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2303C51" w14:textId="77777777" w:rsidTr="00FC1527">
        <w:trPr>
          <w:cantSplit/>
          <w:trHeight w:hRule="exact" w:val="851"/>
        </w:trPr>
        <w:tc>
          <w:tcPr>
            <w:tcW w:w="1276" w:type="dxa"/>
            <w:tcBorders>
              <w:bottom w:val="single" w:sz="4" w:space="0" w:color="auto"/>
            </w:tcBorders>
            <w:vAlign w:val="bottom"/>
          </w:tcPr>
          <w:p w14:paraId="4946F050" w14:textId="77777777" w:rsidR="00A43F01" w:rsidRDefault="00A43F01" w:rsidP="00FC1527">
            <w:pPr>
              <w:spacing w:after="80"/>
            </w:pPr>
          </w:p>
        </w:tc>
        <w:tc>
          <w:tcPr>
            <w:tcW w:w="2268" w:type="dxa"/>
            <w:tcBorders>
              <w:bottom w:val="single" w:sz="4" w:space="0" w:color="auto"/>
            </w:tcBorders>
            <w:vAlign w:val="bottom"/>
          </w:tcPr>
          <w:p w14:paraId="417DF718"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87D18E1" w14:textId="77777777" w:rsidR="00A43F01" w:rsidRPr="006E4EE9" w:rsidRDefault="007467BC" w:rsidP="007467BC">
            <w:pPr>
              <w:suppressAutoHyphens w:val="0"/>
              <w:spacing w:after="20"/>
              <w:jc w:val="right"/>
            </w:pPr>
            <w:r w:rsidRPr="007467BC">
              <w:rPr>
                <w:sz w:val="40"/>
              </w:rPr>
              <w:t>CAT</w:t>
            </w:r>
            <w:r>
              <w:t>/C/NZL/7</w:t>
            </w:r>
          </w:p>
        </w:tc>
      </w:tr>
      <w:tr w:rsidR="00A43F01" w14:paraId="44B70849" w14:textId="77777777" w:rsidTr="00FC1527">
        <w:trPr>
          <w:cantSplit/>
          <w:trHeight w:hRule="exact" w:val="2835"/>
        </w:trPr>
        <w:tc>
          <w:tcPr>
            <w:tcW w:w="1276" w:type="dxa"/>
            <w:tcBorders>
              <w:top w:val="single" w:sz="4" w:space="0" w:color="auto"/>
              <w:bottom w:val="single" w:sz="12" w:space="0" w:color="auto"/>
            </w:tcBorders>
          </w:tcPr>
          <w:p w14:paraId="5F86BB54" w14:textId="77777777" w:rsidR="00A43F01" w:rsidRDefault="00A43F01" w:rsidP="00FC1527">
            <w:pPr>
              <w:spacing w:before="120"/>
              <w:jc w:val="center"/>
            </w:pPr>
            <w:r>
              <w:rPr>
                <w:noProof/>
                <w:lang w:eastAsia="en-GB"/>
              </w:rPr>
              <w:drawing>
                <wp:inline distT="0" distB="0" distL="0" distR="0" wp14:anchorId="70A1EC26" wp14:editId="0EED4E7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CD5F6E" w14:textId="77777777"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37D2D79A" w14:textId="77777777" w:rsidR="00A43F01" w:rsidRDefault="007467BC" w:rsidP="007467BC">
            <w:pPr>
              <w:suppressAutoHyphens w:val="0"/>
              <w:spacing w:before="240"/>
            </w:pPr>
            <w:r>
              <w:t>Distr.: General</w:t>
            </w:r>
          </w:p>
          <w:p w14:paraId="2EA60437" w14:textId="77777777" w:rsidR="007467BC" w:rsidRDefault="007467BC" w:rsidP="00EA0EE9">
            <w:pPr>
              <w:suppressAutoHyphens w:val="0"/>
            </w:pPr>
            <w:r>
              <w:t>1</w:t>
            </w:r>
            <w:r w:rsidR="006E05BA">
              <w:t>6</w:t>
            </w:r>
            <w:r>
              <w:t xml:space="preserve"> March 2020</w:t>
            </w:r>
          </w:p>
          <w:p w14:paraId="31FC8095" w14:textId="77777777" w:rsidR="007467BC" w:rsidRDefault="007467BC" w:rsidP="007467BC">
            <w:pPr>
              <w:suppressAutoHyphens w:val="0"/>
            </w:pPr>
          </w:p>
          <w:p w14:paraId="3EDD9C5C" w14:textId="77777777" w:rsidR="007467BC" w:rsidRDefault="007467BC" w:rsidP="007467BC">
            <w:pPr>
              <w:suppressAutoHyphens w:val="0"/>
            </w:pPr>
            <w:r>
              <w:t>Original: English</w:t>
            </w:r>
          </w:p>
          <w:p w14:paraId="56C45328" w14:textId="77777777" w:rsidR="007467BC" w:rsidRDefault="007467BC" w:rsidP="007467BC">
            <w:pPr>
              <w:suppressAutoHyphens w:val="0"/>
            </w:pPr>
            <w:r>
              <w:t>English, French and Spanish only</w:t>
            </w:r>
          </w:p>
        </w:tc>
      </w:tr>
    </w:tbl>
    <w:p w14:paraId="3CC5C1CB" w14:textId="77777777" w:rsidR="007467BC" w:rsidRDefault="007467BC">
      <w:pPr>
        <w:spacing w:before="120"/>
        <w:rPr>
          <w:b/>
          <w:sz w:val="24"/>
          <w:szCs w:val="24"/>
        </w:rPr>
      </w:pPr>
      <w:r>
        <w:rPr>
          <w:b/>
          <w:sz w:val="24"/>
          <w:szCs w:val="24"/>
        </w:rPr>
        <w:t>Committee against Torture</w:t>
      </w:r>
    </w:p>
    <w:p w14:paraId="09A86A75" w14:textId="77777777" w:rsidR="007467BC" w:rsidRPr="009F47DE" w:rsidRDefault="007467BC" w:rsidP="007467BC">
      <w:pPr>
        <w:pStyle w:val="HMG"/>
      </w:pPr>
      <w:r w:rsidRPr="009F47DE">
        <w:tab/>
      </w:r>
      <w:r w:rsidRPr="009F47DE">
        <w:tab/>
      </w:r>
      <w:r>
        <w:t>Seventh periodic report submitted by New Zealand</w:t>
      </w:r>
      <w:r w:rsidRPr="009F47DE">
        <w:t xml:space="preserve"> under article 19 of the Convention pursuant to the simplified reporting procedure, due in 2019</w:t>
      </w:r>
      <w:r w:rsidRPr="007467BC">
        <w:rPr>
          <w:b w:val="0"/>
          <w:bCs/>
          <w:sz w:val="20"/>
        </w:rPr>
        <w:footnoteReference w:customMarkFollows="1" w:id="1"/>
        <w:t>*</w:t>
      </w:r>
      <w:r w:rsidRPr="007467BC">
        <w:rPr>
          <w:b w:val="0"/>
          <w:bCs/>
          <w:position w:val="8"/>
          <w:sz w:val="20"/>
        </w:rPr>
        <w:t>,</w:t>
      </w:r>
      <w:r w:rsidRPr="007467BC">
        <w:rPr>
          <w:b w:val="0"/>
          <w:bCs/>
          <w:sz w:val="20"/>
        </w:rPr>
        <w:t xml:space="preserve"> </w:t>
      </w:r>
      <w:r w:rsidRPr="007467BC">
        <w:rPr>
          <w:b w:val="0"/>
          <w:bCs/>
          <w:sz w:val="20"/>
        </w:rPr>
        <w:footnoteReference w:customMarkFollows="1" w:id="2"/>
        <w:t>**</w:t>
      </w:r>
    </w:p>
    <w:p w14:paraId="1D08B896" w14:textId="77777777" w:rsidR="007467BC" w:rsidRPr="009F47DE" w:rsidRDefault="007467BC" w:rsidP="007467BC">
      <w:pPr>
        <w:pStyle w:val="SingleTxtG"/>
        <w:jc w:val="right"/>
      </w:pPr>
      <w:r w:rsidRPr="009F47DE">
        <w:t>[Date received: 25 September 2019]</w:t>
      </w:r>
    </w:p>
    <w:p w14:paraId="729E212A" w14:textId="77777777" w:rsidR="007467BC" w:rsidRPr="009F47DE" w:rsidRDefault="007467BC" w:rsidP="007467BC">
      <w:pPr>
        <w:pStyle w:val="SingleTxtG"/>
      </w:pPr>
      <w:r w:rsidRPr="009F47DE">
        <w:br w:type="page"/>
      </w:r>
    </w:p>
    <w:p w14:paraId="376B3DD2" w14:textId="77777777" w:rsidR="007467BC" w:rsidRPr="009F47DE" w:rsidRDefault="007467BC" w:rsidP="00D0257E">
      <w:pPr>
        <w:pStyle w:val="HChG"/>
      </w:pPr>
      <w:bookmarkStart w:id="0" w:name="_Toc20139392"/>
      <w:r w:rsidRPr="009F47DE">
        <w:lastRenderedPageBreak/>
        <w:tab/>
        <w:t>I.</w:t>
      </w:r>
      <w:r w:rsidRPr="009F47DE">
        <w:tab/>
        <w:t>Introduction</w:t>
      </w:r>
      <w:bookmarkEnd w:id="0"/>
    </w:p>
    <w:p w14:paraId="282F7AFB" w14:textId="77777777" w:rsidR="007467BC" w:rsidRPr="009F47DE" w:rsidRDefault="007467BC" w:rsidP="007467BC">
      <w:pPr>
        <w:pStyle w:val="SingleTxtG"/>
      </w:pPr>
      <w:r w:rsidRPr="009F47DE">
        <w:t>1.</w:t>
      </w:r>
      <w:r w:rsidRPr="009F47DE">
        <w:tab/>
        <w:t>New Zealand is pleased to present its seventh periodic report to the United Nations Committee against Torture, responding to the Committee</w:t>
      </w:r>
      <w:r w:rsidR="00562737">
        <w:t>’</w:t>
      </w:r>
      <w:r w:rsidRPr="009F47DE">
        <w:t>s list of issues prior to the submission of the seventh periodic report, dated 9 June 2017.</w:t>
      </w:r>
    </w:p>
    <w:p w14:paraId="408DB2EB" w14:textId="77777777" w:rsidR="007467BC" w:rsidRPr="009F47DE" w:rsidRDefault="007467BC" w:rsidP="007467BC">
      <w:pPr>
        <w:pStyle w:val="SingleTxtG"/>
      </w:pPr>
      <w:r w:rsidRPr="009F47DE">
        <w:t>2.</w:t>
      </w:r>
      <w:r w:rsidRPr="009F47DE">
        <w:tab/>
        <w:t xml:space="preserve">New Zealand is committed to protecting human rights. We are a small country that is proud of its record as a contributor to human rights. Nevertheless, there is always room for </w:t>
      </w:r>
      <w:proofErr w:type="gramStart"/>
      <w:r w:rsidRPr="009F47DE">
        <w:t>improvement</w:t>
      </w:r>
      <w:proofErr w:type="gramEnd"/>
      <w:r w:rsidRPr="009F47DE">
        <w:t xml:space="preserve"> and we value the engagement with other countries and international bodies to better protect human rights.</w:t>
      </w:r>
    </w:p>
    <w:p w14:paraId="1715C301" w14:textId="77777777" w:rsidR="007467BC" w:rsidRPr="009F47DE" w:rsidRDefault="007467BC" w:rsidP="007467BC">
      <w:pPr>
        <w:pStyle w:val="SingleTxtG"/>
      </w:pPr>
      <w:r w:rsidRPr="009F47DE">
        <w:t>3.</w:t>
      </w:r>
      <w:r w:rsidRPr="009F47DE">
        <w:tab/>
        <w:t>Prior to drafting the report, public engagement sessions with civil society were held and the Government consulted the public on the draft report in 2019. Topics raised during consultation included the criminal justice system, conditions in prisons and family violence.</w:t>
      </w:r>
    </w:p>
    <w:p w14:paraId="38E6CAD7" w14:textId="77777777" w:rsidR="007467BC" w:rsidRPr="009F47DE" w:rsidRDefault="007467BC" w:rsidP="007467BC">
      <w:pPr>
        <w:pStyle w:val="SingleTxtG"/>
      </w:pPr>
      <w:r w:rsidRPr="009F47DE">
        <w:t>4.</w:t>
      </w:r>
      <w:r w:rsidRPr="009F47DE">
        <w:tab/>
        <w:t>The report is organised according to the list of issues.</w:t>
      </w:r>
      <w:r w:rsidRPr="009F47DE" w:rsidDel="00065FEB">
        <w:t xml:space="preserve"> </w:t>
      </w:r>
      <w:r w:rsidRPr="009F47DE">
        <w:t xml:space="preserve">Key data is contained in the body of the report. More detailed data is in the appendices. </w:t>
      </w:r>
    </w:p>
    <w:p w14:paraId="09006CE8" w14:textId="77777777" w:rsidR="007467BC" w:rsidRPr="009F47DE" w:rsidRDefault="007467BC" w:rsidP="00427FEF">
      <w:pPr>
        <w:pStyle w:val="H1G"/>
      </w:pPr>
      <w:bookmarkStart w:id="1" w:name="_Toc365451555"/>
      <w:r w:rsidRPr="009F47DE">
        <w:tab/>
      </w:r>
      <w:r w:rsidRPr="009F47DE">
        <w:tab/>
        <w:t>Summary of key developments</w:t>
      </w:r>
      <w:bookmarkEnd w:id="1"/>
    </w:p>
    <w:p w14:paraId="705EA8BD" w14:textId="77777777" w:rsidR="007467BC" w:rsidRPr="009F47DE" w:rsidRDefault="007467BC" w:rsidP="007467BC">
      <w:pPr>
        <w:pStyle w:val="SingleTxtG"/>
      </w:pPr>
      <w:r w:rsidRPr="009F47DE">
        <w:t>5.</w:t>
      </w:r>
      <w:r w:rsidRPr="009F47DE">
        <w:tab/>
        <w:t>Legislative and other changes since our last periodic report to the Committee include:</w:t>
      </w:r>
    </w:p>
    <w:p w14:paraId="7A7C5E28" w14:textId="77777777" w:rsidR="007467BC" w:rsidRPr="009F47DE" w:rsidRDefault="007467BC" w:rsidP="007B1A80">
      <w:pPr>
        <w:pStyle w:val="Bullet1G"/>
      </w:pPr>
      <w:proofErr w:type="spellStart"/>
      <w:r w:rsidRPr="007B1A80">
        <w:rPr>
          <w:i/>
          <w:iCs/>
        </w:rPr>
        <w:t>Hāpaitia</w:t>
      </w:r>
      <w:proofErr w:type="spellEnd"/>
      <w:r w:rsidRPr="007B1A80">
        <w:rPr>
          <w:i/>
          <w:iCs/>
        </w:rPr>
        <w:t xml:space="preserve"> </w:t>
      </w:r>
      <w:proofErr w:type="spellStart"/>
      <w:r w:rsidRPr="007B1A80">
        <w:rPr>
          <w:i/>
          <w:iCs/>
        </w:rPr>
        <w:t>te</w:t>
      </w:r>
      <w:proofErr w:type="spellEnd"/>
      <w:r w:rsidRPr="007B1A80">
        <w:rPr>
          <w:i/>
          <w:iCs/>
        </w:rPr>
        <w:t xml:space="preserve"> </w:t>
      </w:r>
      <w:proofErr w:type="spellStart"/>
      <w:r w:rsidRPr="007B1A80">
        <w:rPr>
          <w:i/>
          <w:iCs/>
        </w:rPr>
        <w:t>Oranga</w:t>
      </w:r>
      <w:proofErr w:type="spellEnd"/>
      <w:r w:rsidRPr="007B1A80">
        <w:rPr>
          <w:i/>
          <w:iCs/>
        </w:rPr>
        <w:t xml:space="preserve"> </w:t>
      </w:r>
      <w:proofErr w:type="spellStart"/>
      <w:r w:rsidRPr="007B1A80">
        <w:rPr>
          <w:i/>
          <w:iCs/>
        </w:rPr>
        <w:t>Tangata</w:t>
      </w:r>
      <w:proofErr w:type="spellEnd"/>
      <w:r w:rsidRPr="009F47DE">
        <w:t xml:space="preserve"> – the Safe and Effective Justice programme, which started in 2018 and seeks to reform the criminal justice system </w:t>
      </w:r>
    </w:p>
    <w:p w14:paraId="10351C58" w14:textId="77777777" w:rsidR="007467BC" w:rsidRPr="009F47DE" w:rsidRDefault="007467BC" w:rsidP="007B1A80">
      <w:pPr>
        <w:pStyle w:val="Bullet1G"/>
      </w:pPr>
      <w:r w:rsidRPr="009F47DE">
        <w:t xml:space="preserve">Enhanced efforts to combat gender-based violence </w:t>
      </w:r>
    </w:p>
    <w:p w14:paraId="608D2087" w14:textId="77777777" w:rsidR="007467BC" w:rsidRPr="009F47DE" w:rsidRDefault="007467BC" w:rsidP="007B1A80">
      <w:pPr>
        <w:pStyle w:val="Bullet1G"/>
      </w:pPr>
      <w:r w:rsidRPr="009F47DE">
        <w:t xml:space="preserve">2018 amendments to the National Preventive Mechanism responsibilities </w:t>
      </w:r>
    </w:p>
    <w:p w14:paraId="2125BC9A" w14:textId="77777777" w:rsidR="007467BC" w:rsidRPr="009F47DE" w:rsidRDefault="007467BC" w:rsidP="007B1A80">
      <w:pPr>
        <w:pStyle w:val="Bullet1G"/>
      </w:pPr>
      <w:r w:rsidRPr="009F47DE">
        <w:t>Expanding the Office of the Inspectorate</w:t>
      </w:r>
      <w:r w:rsidR="00562737">
        <w:t>’</w:t>
      </w:r>
      <w:r w:rsidRPr="009F47DE">
        <w:t>s purpose</w:t>
      </w:r>
    </w:p>
    <w:p w14:paraId="3FC12674" w14:textId="77777777" w:rsidR="007467BC" w:rsidRPr="009F47DE" w:rsidRDefault="007467BC" w:rsidP="007B1A80">
      <w:pPr>
        <w:pStyle w:val="Bullet1G"/>
      </w:pPr>
      <w:r w:rsidRPr="009F47DE">
        <w:t>Joining the Global Alliance for Torture-Free Trade in 2018</w:t>
      </w:r>
    </w:p>
    <w:p w14:paraId="6FED070E" w14:textId="77777777" w:rsidR="007467BC" w:rsidRPr="009F47DE" w:rsidRDefault="007467BC" w:rsidP="007B1A80">
      <w:pPr>
        <w:pStyle w:val="Bullet1G"/>
      </w:pPr>
      <w:r w:rsidRPr="009F47DE">
        <w:t>Supporting the Global Compact for Safe, Orderly and Regular Migration</w:t>
      </w:r>
    </w:p>
    <w:p w14:paraId="733498E5" w14:textId="77777777" w:rsidR="007467BC" w:rsidRPr="009F47DE" w:rsidRDefault="007467BC" w:rsidP="007B1A80">
      <w:pPr>
        <w:pStyle w:val="Bullet1G"/>
      </w:pPr>
      <w:bookmarkStart w:id="2" w:name="_Hlk530494538"/>
      <w:r w:rsidRPr="009F47DE">
        <w:t xml:space="preserve">Large scale inquiries into historic abuse in state care, the mental health system, and military activities in Afghanistan </w:t>
      </w:r>
    </w:p>
    <w:p w14:paraId="43DA904A" w14:textId="77777777" w:rsidR="007467BC" w:rsidRPr="009F47DE" w:rsidRDefault="007467BC" w:rsidP="007B1A80">
      <w:pPr>
        <w:pStyle w:val="Bullet1G"/>
      </w:pPr>
      <w:r w:rsidRPr="009F47DE">
        <w:t>Increasing the refugee quota from 750 to 1,500 per year from 2020/21. Furthermore, 600 additional places were filled by Syrian refugees between 2015/16 to 2017/18</w:t>
      </w:r>
    </w:p>
    <w:p w14:paraId="32DE2D8B" w14:textId="77777777" w:rsidR="007467BC" w:rsidRPr="009F47DE" w:rsidRDefault="007467BC" w:rsidP="007B1A80">
      <w:pPr>
        <w:pStyle w:val="Bullet1G"/>
      </w:pPr>
      <w:r w:rsidRPr="009F47DE">
        <w:t xml:space="preserve">The establishment of a new agency for Māori/Crown relations </w:t>
      </w:r>
      <w:r w:rsidR="007B1A80">
        <w:t>–</w:t>
      </w:r>
      <w:r w:rsidRPr="009F47DE">
        <w:t xml:space="preserve"> </w:t>
      </w:r>
      <w:proofErr w:type="spellStart"/>
      <w:r w:rsidRPr="009F47DE">
        <w:t>Te</w:t>
      </w:r>
      <w:proofErr w:type="spellEnd"/>
      <w:r w:rsidRPr="009F47DE">
        <w:t xml:space="preserve"> </w:t>
      </w:r>
      <w:proofErr w:type="spellStart"/>
      <w:r w:rsidRPr="009F47DE">
        <w:t>Arawhiti</w:t>
      </w:r>
      <w:proofErr w:type="spellEnd"/>
      <w:r w:rsidRPr="009F47DE">
        <w:t xml:space="preserve"> (the bridge), to enhance input from Māori across all portfolios</w:t>
      </w:r>
    </w:p>
    <w:bookmarkEnd w:id="2"/>
    <w:p w14:paraId="1085EBFD" w14:textId="77777777" w:rsidR="007467BC" w:rsidRPr="009F47DE" w:rsidRDefault="007467BC" w:rsidP="007B1A80">
      <w:pPr>
        <w:pStyle w:val="Bullet1G"/>
      </w:pPr>
      <w:r w:rsidRPr="009F47DE">
        <w:t>The formation of an International Human Rights Governance Group leading cross-government work on human rights reporting</w:t>
      </w:r>
    </w:p>
    <w:p w14:paraId="7CBB0F1D" w14:textId="77777777" w:rsidR="007467BC" w:rsidRPr="009F47DE" w:rsidRDefault="007467BC" w:rsidP="007F3260">
      <w:pPr>
        <w:pStyle w:val="Bullet1G"/>
      </w:pPr>
      <w:r w:rsidRPr="009F47DE">
        <w:t xml:space="preserve">The establishment of </w:t>
      </w:r>
      <w:proofErr w:type="spellStart"/>
      <w:r w:rsidRPr="009F47DE">
        <w:t>Oranga</w:t>
      </w:r>
      <w:proofErr w:type="spellEnd"/>
      <w:r w:rsidRPr="009F47DE">
        <w:t xml:space="preserve"> Tamariki</w:t>
      </w:r>
      <w:r w:rsidR="007F3260">
        <w:t xml:space="preserve"> – </w:t>
      </w:r>
      <w:r w:rsidRPr="009F47DE">
        <w:t>Ministry for Children, with a child-</w:t>
      </w:r>
      <w:proofErr w:type="spellStart"/>
      <w:r w:rsidRPr="009F47DE">
        <w:t>centered</w:t>
      </w:r>
      <w:proofErr w:type="spellEnd"/>
      <w:r w:rsidRPr="009F47DE">
        <w:t xml:space="preserve"> operating model and increased focus on the needs of Māori children</w:t>
      </w:r>
    </w:p>
    <w:p w14:paraId="2F3FD34E" w14:textId="77777777" w:rsidR="007467BC" w:rsidRPr="009F47DE" w:rsidRDefault="007467BC" w:rsidP="007B1A80">
      <w:pPr>
        <w:pStyle w:val="Bullet1G"/>
      </w:pPr>
      <w:r w:rsidRPr="009F47DE">
        <w:t>The first convictions for people trafficking.</w:t>
      </w:r>
    </w:p>
    <w:p w14:paraId="3E9A3645" w14:textId="77777777" w:rsidR="007467BC" w:rsidRPr="009F47DE" w:rsidRDefault="007467BC" w:rsidP="00B551E7">
      <w:pPr>
        <w:pStyle w:val="HChG"/>
      </w:pPr>
      <w:bookmarkStart w:id="3" w:name="_Toc20139393"/>
      <w:r w:rsidRPr="009F47DE">
        <w:tab/>
        <w:t>II.</w:t>
      </w:r>
      <w:r w:rsidRPr="009F47DE">
        <w:tab/>
        <w:t>Specific information on the implementation of Articles 1–16 of the Convention</w:t>
      </w:r>
      <w:bookmarkEnd w:id="3"/>
      <w:r w:rsidRPr="009F47DE">
        <w:t xml:space="preserve"> </w:t>
      </w:r>
    </w:p>
    <w:p w14:paraId="3D20D43A" w14:textId="77777777" w:rsidR="007467BC" w:rsidRPr="009F47DE" w:rsidRDefault="007467BC" w:rsidP="00B551E7">
      <w:pPr>
        <w:pStyle w:val="H1G"/>
      </w:pPr>
      <w:bookmarkStart w:id="4" w:name="_Toc365451556"/>
      <w:bookmarkStart w:id="5" w:name="_Toc371351443"/>
      <w:bookmarkStart w:id="6" w:name="_Toc20139394"/>
      <w:bookmarkStart w:id="7" w:name="_Hlk526241866"/>
      <w:r w:rsidRPr="009F47DE">
        <w:tab/>
      </w:r>
      <w:r w:rsidRPr="009F47DE">
        <w:tab/>
        <w:t>Articles 1 and 4</w:t>
      </w:r>
      <w:bookmarkEnd w:id="4"/>
      <w:bookmarkEnd w:id="5"/>
      <w:bookmarkEnd w:id="6"/>
    </w:p>
    <w:p w14:paraId="2F7A82C6" w14:textId="77777777" w:rsidR="007467BC" w:rsidRPr="009F47DE" w:rsidRDefault="007467BC" w:rsidP="00B551E7">
      <w:pPr>
        <w:pStyle w:val="H1G"/>
      </w:pPr>
      <w:r w:rsidRPr="009F47DE">
        <w:tab/>
      </w:r>
      <w:r w:rsidRPr="009F47DE">
        <w:tab/>
        <w:t>Reply to paragraph 2 of the list of issues (CAT/C/NZL/QPR/7)</w:t>
      </w:r>
    </w:p>
    <w:p w14:paraId="09F7A745" w14:textId="77777777" w:rsidR="007467BC" w:rsidRPr="009F47DE" w:rsidRDefault="007467BC" w:rsidP="00B551E7">
      <w:pPr>
        <w:pStyle w:val="H23G"/>
      </w:pPr>
      <w:r w:rsidRPr="009F47DE">
        <w:tab/>
      </w:r>
      <w:r w:rsidRPr="009F47DE">
        <w:tab/>
        <w:t>Incorporation into domestic law</w:t>
      </w:r>
      <w:bookmarkEnd w:id="7"/>
    </w:p>
    <w:p w14:paraId="7CD8C486" w14:textId="77777777" w:rsidR="007467BC" w:rsidRPr="009F47DE" w:rsidRDefault="007467BC" w:rsidP="00B551E7">
      <w:pPr>
        <w:pStyle w:val="H23G"/>
      </w:pPr>
      <w:r w:rsidRPr="009F47DE">
        <w:tab/>
      </w:r>
      <w:r w:rsidRPr="009F47DE">
        <w:tab/>
        <w:t>Protection of human rights within our constitution</w:t>
      </w:r>
    </w:p>
    <w:p w14:paraId="22F84D4E" w14:textId="77777777" w:rsidR="007467BC" w:rsidRPr="009F47DE" w:rsidRDefault="007467BC" w:rsidP="007467BC">
      <w:pPr>
        <w:pStyle w:val="SingleTxtG"/>
      </w:pPr>
      <w:r w:rsidRPr="009F47DE">
        <w:t>6.</w:t>
      </w:r>
      <w:r w:rsidRPr="009F47DE">
        <w:tab/>
        <w:t>New Zealand does not have a single written constitution. Our constitution is in a range of sources, including legislation, common law, the Treaty of Waitangi/</w:t>
      </w:r>
      <w:proofErr w:type="spellStart"/>
      <w:r w:rsidRPr="009F47DE">
        <w:t>Te</w:t>
      </w:r>
      <w:proofErr w:type="spellEnd"/>
      <w:r w:rsidRPr="009F47DE">
        <w:t xml:space="preserve"> </w:t>
      </w:r>
      <w:proofErr w:type="spellStart"/>
      <w:r w:rsidRPr="009F47DE">
        <w:t>Tiriti</w:t>
      </w:r>
      <w:proofErr w:type="spellEnd"/>
      <w:r w:rsidRPr="009F47DE">
        <w:t xml:space="preserve"> o </w:t>
      </w:r>
      <w:r w:rsidRPr="009F47DE">
        <w:lastRenderedPageBreak/>
        <w:t>Waitangi (our founding document, the 1840 agreement between Māori and the British Crown), constitutional conventions, parliamentary customs and customary international law. The Human Rights Act 1993, New Zealand Bill of Rights Act 1990 (NZBORA) and Crimes of Torture Act 1989, promote and protect human rights.</w:t>
      </w:r>
    </w:p>
    <w:p w14:paraId="2ABA704B" w14:textId="77777777" w:rsidR="007467BC" w:rsidRPr="009F47DE" w:rsidRDefault="007467BC" w:rsidP="007467BC">
      <w:pPr>
        <w:pStyle w:val="SingleTxtG"/>
      </w:pPr>
      <w:r w:rsidRPr="009F47DE">
        <w:t>7.</w:t>
      </w:r>
      <w:r w:rsidRPr="009F47DE">
        <w:tab/>
        <w:t>The Human Rights Act prohibits discrimination in New Zealand. It also outlines the role of the Human Rights Commission (HRC), our national human rights institution, and the Human Rights Review Tribunal.</w:t>
      </w:r>
    </w:p>
    <w:p w14:paraId="4D72C79C" w14:textId="77777777" w:rsidR="007467BC" w:rsidRPr="009F47DE" w:rsidRDefault="007467BC" w:rsidP="007467BC">
      <w:pPr>
        <w:pStyle w:val="SingleTxtG"/>
      </w:pPr>
      <w:r w:rsidRPr="009F47DE">
        <w:t>8.</w:t>
      </w:r>
      <w:r w:rsidRPr="009F47DE">
        <w:tab/>
        <w:t xml:space="preserve">NZBORA sets out obligations relating to civil and political rights arising from the ICCPR. Section 9 prohibits torture and other cruel treatment, which mirrors the Convention against Torture. Section 23(5) states </w:t>
      </w:r>
      <w:r w:rsidR="00562737">
        <w:t>‘</w:t>
      </w:r>
      <w:r w:rsidRPr="009F47DE">
        <w:t>Everyone deprived of liberty shall be treated with humanity and with respect for the inherent dignity of the person.</w:t>
      </w:r>
      <w:r w:rsidR="00562737">
        <w:t>’</w:t>
      </w:r>
      <w:r w:rsidRPr="009F47DE">
        <w:t xml:space="preserve"> New legislative proposals are vetted for compliance with the rights and freedoms set out in NZBORA (for further information see paragraph 13 of our previous report). </w:t>
      </w:r>
    </w:p>
    <w:p w14:paraId="476087C2" w14:textId="77777777" w:rsidR="007467BC" w:rsidRPr="009F47DE" w:rsidRDefault="007467BC" w:rsidP="007467BC">
      <w:pPr>
        <w:pStyle w:val="SingleTxtG"/>
      </w:pPr>
      <w:r w:rsidRPr="009F47DE">
        <w:t>9.</w:t>
      </w:r>
      <w:r w:rsidRPr="009F47DE">
        <w:tab/>
        <w:t xml:space="preserve">The Crimes of Torture Act prohibits acts of torture against another person in or outside of New Zealand. The penalties for torture (including attempts, aiding, abetting and inciting) are comparable to those for other serious offences such as grievous bodily assault and attempted sexual violation. </w:t>
      </w:r>
    </w:p>
    <w:p w14:paraId="5D450061" w14:textId="77777777" w:rsidR="007467BC" w:rsidRPr="009F47DE" w:rsidRDefault="007467BC" w:rsidP="00B551E7">
      <w:pPr>
        <w:pStyle w:val="H23G"/>
      </w:pPr>
      <w:r w:rsidRPr="009F47DE">
        <w:tab/>
      </w:r>
      <w:r w:rsidRPr="009F47DE">
        <w:tab/>
        <w:t>Constitutional developments</w:t>
      </w:r>
    </w:p>
    <w:p w14:paraId="3B2C8073" w14:textId="77777777" w:rsidR="007467BC" w:rsidRPr="009F47DE" w:rsidRDefault="007467BC" w:rsidP="007467BC">
      <w:pPr>
        <w:pStyle w:val="SingleTxtG"/>
      </w:pPr>
      <w:r w:rsidRPr="009F47DE">
        <w:t>10.</w:t>
      </w:r>
      <w:r w:rsidRPr="009F47DE">
        <w:tab/>
        <w:t>New Zealand</w:t>
      </w:r>
      <w:r w:rsidR="00562737">
        <w:t>’</w:t>
      </w:r>
      <w:r w:rsidRPr="009F47DE">
        <w:t xml:space="preserve">s National Plan of Action on Human Rights is an online tool developed by the HRC to record UPR recommendations and monitor progress in achieving recommendations. </w:t>
      </w:r>
    </w:p>
    <w:p w14:paraId="3548953E" w14:textId="77777777" w:rsidR="007467BC" w:rsidRPr="009F47DE" w:rsidRDefault="007467BC" w:rsidP="007467BC">
      <w:pPr>
        <w:pStyle w:val="SingleTxtG"/>
      </w:pPr>
      <w:bookmarkStart w:id="8" w:name="_Hlk536538474"/>
      <w:r w:rsidRPr="009F47DE">
        <w:t>11.</w:t>
      </w:r>
      <w:r w:rsidRPr="009F47DE">
        <w:tab/>
        <w:t>In 2018, the Supreme Court confirmed that courts have jurisdiction to declare legislation inconsistent with NZBORA. While a declaration does not affect the validity of legislation, it can help strengthen human rights protections and inform Parliament that the courts consider an Act to be inconsistent with human rights. In 2019, the Government will progress law changes to ensure an effective response when the Courts make declarations of inconsistency.</w:t>
      </w:r>
      <w:bookmarkEnd w:id="8"/>
    </w:p>
    <w:p w14:paraId="3C9240B8" w14:textId="77777777" w:rsidR="007467BC" w:rsidRPr="009F47DE" w:rsidRDefault="007467BC" w:rsidP="007467BC">
      <w:pPr>
        <w:pStyle w:val="SingleTxtG"/>
      </w:pPr>
      <w:r w:rsidRPr="009F47DE">
        <w:t>12.</w:t>
      </w:r>
      <w:r w:rsidRPr="009F47DE">
        <w:tab/>
        <w:t>In 2018, the Government established a stand-alone agency to strengthen engagement between Māori and the Government (</w:t>
      </w:r>
      <w:proofErr w:type="spellStart"/>
      <w:r w:rsidRPr="009F47DE">
        <w:t>Te</w:t>
      </w:r>
      <w:proofErr w:type="spellEnd"/>
      <w:r w:rsidRPr="009F47DE">
        <w:t xml:space="preserve"> </w:t>
      </w:r>
      <w:proofErr w:type="spellStart"/>
      <w:r w:rsidRPr="009F47DE">
        <w:t>Arawhiti</w:t>
      </w:r>
      <w:proofErr w:type="spellEnd"/>
      <w:r w:rsidRPr="009F47DE">
        <w:t xml:space="preserve"> – Office for Māori Crown Relations). </w:t>
      </w:r>
    </w:p>
    <w:p w14:paraId="51C99A79" w14:textId="77777777" w:rsidR="007467BC" w:rsidRPr="009F47DE" w:rsidRDefault="007467BC" w:rsidP="007467BC">
      <w:pPr>
        <w:pStyle w:val="SingleTxtG"/>
      </w:pPr>
      <w:r w:rsidRPr="009F47DE">
        <w:t>13.</w:t>
      </w:r>
      <w:r w:rsidRPr="009F47DE">
        <w:tab/>
        <w:t>There are no plans to review the constitutional arrangements.</w:t>
      </w:r>
    </w:p>
    <w:p w14:paraId="3E3806AC" w14:textId="77777777" w:rsidR="007467BC" w:rsidRPr="009F47DE" w:rsidRDefault="007467BC" w:rsidP="00B551E7">
      <w:pPr>
        <w:pStyle w:val="H23G"/>
      </w:pPr>
      <w:r w:rsidRPr="009F47DE">
        <w:tab/>
      </w:r>
      <w:r w:rsidRPr="009F47DE">
        <w:tab/>
        <w:t>Case law</w:t>
      </w:r>
    </w:p>
    <w:p w14:paraId="0664D1D9" w14:textId="77777777" w:rsidR="007467BC" w:rsidRPr="009F47DE" w:rsidRDefault="007467BC" w:rsidP="007467BC">
      <w:pPr>
        <w:pStyle w:val="SingleTxtG"/>
      </w:pPr>
      <w:r w:rsidRPr="009F47DE">
        <w:t>14.</w:t>
      </w:r>
      <w:r w:rsidRPr="009F47DE">
        <w:tab/>
        <w:t xml:space="preserve">References to the Convention in judgments are rare, as courts generally cite the equivalent provisions in NZBORA. However, the Supreme Court discussed the Convention in </w:t>
      </w:r>
      <w:r w:rsidRPr="00E4053C">
        <w:rPr>
          <w:i/>
          <w:iCs/>
        </w:rPr>
        <w:t>Vogel v. Attorney-General</w:t>
      </w:r>
      <w:r w:rsidRPr="009F47DE">
        <w:t xml:space="preserve"> [2014] NZSC 5, regarding extended seclusion in prison (para</w:t>
      </w:r>
      <w:r w:rsidR="00CD13C7">
        <w:t>.</w:t>
      </w:r>
      <w:r w:rsidRPr="009F47DE">
        <w:t xml:space="preserve"> </w:t>
      </w:r>
      <w:r w:rsidRPr="009F47DE">
        <w:rPr>
          <w:cs/>
        </w:rPr>
        <w:t>‎</w:t>
      </w:r>
      <w:r w:rsidRPr="009F47DE">
        <w:t>0).</w:t>
      </w:r>
      <w:bookmarkStart w:id="9" w:name="_Ref531001507"/>
      <w:r w:rsidRPr="009F47DE">
        <w:t xml:space="preserve"> Examples of the application of NZBORA include:</w:t>
      </w:r>
      <w:bookmarkEnd w:id="9"/>
    </w:p>
    <w:p w14:paraId="64D331BE" w14:textId="77777777" w:rsidR="007467BC" w:rsidRPr="009F47DE" w:rsidRDefault="007467BC" w:rsidP="00E4053C">
      <w:pPr>
        <w:pStyle w:val="Bullet1G"/>
      </w:pPr>
      <w:bookmarkStart w:id="10" w:name="_Hlk528829992"/>
      <w:r w:rsidRPr="00E4053C">
        <w:rPr>
          <w:i/>
          <w:iCs/>
        </w:rPr>
        <w:t>S v</w:t>
      </w:r>
      <w:r w:rsidR="00E4053C">
        <w:rPr>
          <w:i/>
          <w:iCs/>
        </w:rPr>
        <w:t>.</w:t>
      </w:r>
      <w:r w:rsidRPr="00E4053C">
        <w:rPr>
          <w:i/>
          <w:iCs/>
        </w:rPr>
        <w:t xml:space="preserve"> NZ Police</w:t>
      </w:r>
      <w:r w:rsidRPr="009F47DE">
        <w:t xml:space="preserve"> (2018): breach of s23(5), right of detainees to be treated with dignity by Police (see para</w:t>
      </w:r>
      <w:r w:rsidR="004E5AB8">
        <w:t>.</w:t>
      </w:r>
      <w:r w:rsidRPr="009F47DE">
        <w:t xml:space="preserve"> </w:t>
      </w:r>
      <w:r w:rsidRPr="009F47DE">
        <w:rPr>
          <w:cs/>
        </w:rPr>
        <w:t>‎</w:t>
      </w:r>
      <w:r w:rsidRPr="009F47DE">
        <w:t>0).</w:t>
      </w:r>
    </w:p>
    <w:p w14:paraId="152843E8" w14:textId="77777777" w:rsidR="007467BC" w:rsidRPr="009F47DE" w:rsidRDefault="007467BC" w:rsidP="00E4053C">
      <w:pPr>
        <w:pStyle w:val="Bullet1G"/>
      </w:pPr>
      <w:r w:rsidRPr="00E4053C">
        <w:rPr>
          <w:i/>
          <w:iCs/>
        </w:rPr>
        <w:t>R v</w:t>
      </w:r>
      <w:r w:rsidR="00E4053C">
        <w:rPr>
          <w:i/>
          <w:iCs/>
        </w:rPr>
        <w:t>.</w:t>
      </w:r>
      <w:r w:rsidRPr="00E4053C">
        <w:rPr>
          <w:i/>
          <w:iCs/>
        </w:rPr>
        <w:t xml:space="preserve"> Harrison</w:t>
      </w:r>
      <w:r w:rsidRPr="009F47DE">
        <w:t xml:space="preserve"> [2016] NZCA 381: right not to be subjected to disproportionately severe treatment or punishment (s9) affecting interpretation of an Act.</w:t>
      </w:r>
    </w:p>
    <w:p w14:paraId="44C1D4C0" w14:textId="77777777" w:rsidR="007467BC" w:rsidRPr="009F47DE" w:rsidRDefault="007467BC" w:rsidP="00E4053C">
      <w:pPr>
        <w:pStyle w:val="Bullet1G"/>
      </w:pPr>
      <w:r w:rsidRPr="00E4053C">
        <w:rPr>
          <w:i/>
          <w:iCs/>
        </w:rPr>
        <w:t>Taylor v</w:t>
      </w:r>
      <w:r w:rsidR="00E4053C">
        <w:rPr>
          <w:i/>
          <w:iCs/>
        </w:rPr>
        <w:t>.</w:t>
      </w:r>
      <w:r w:rsidRPr="00E4053C">
        <w:rPr>
          <w:i/>
          <w:iCs/>
        </w:rPr>
        <w:t xml:space="preserve"> Attorney-General</w:t>
      </w:r>
      <w:r w:rsidRPr="009F47DE">
        <w:t xml:space="preserve"> [2018] NZHC 2557: Court awarded $1,000 per prisoner in compensation for a breach of NZBORA through unreasonable strip-search.</w:t>
      </w:r>
    </w:p>
    <w:p w14:paraId="5B0BAFCD" w14:textId="77777777" w:rsidR="007467BC" w:rsidRPr="009F47DE" w:rsidRDefault="007467BC" w:rsidP="00A16EF8">
      <w:pPr>
        <w:pStyle w:val="H1G"/>
      </w:pPr>
      <w:bookmarkStart w:id="11" w:name="_Toc20139395"/>
      <w:bookmarkEnd w:id="10"/>
      <w:r w:rsidRPr="009F47DE">
        <w:tab/>
      </w:r>
      <w:r w:rsidRPr="009F47DE">
        <w:tab/>
        <w:t>Article 2</w:t>
      </w:r>
      <w:bookmarkEnd w:id="11"/>
    </w:p>
    <w:p w14:paraId="6A643472" w14:textId="77777777" w:rsidR="007467BC" w:rsidRPr="009F47DE" w:rsidRDefault="007467BC" w:rsidP="00A16EF8">
      <w:pPr>
        <w:pStyle w:val="H1G"/>
      </w:pPr>
      <w:r w:rsidRPr="009F47DE">
        <w:tab/>
      </w:r>
      <w:r w:rsidRPr="009F47DE">
        <w:tab/>
        <w:t>Reply to paragraph 3 of the list of issues</w:t>
      </w:r>
    </w:p>
    <w:p w14:paraId="213CE59D" w14:textId="77777777" w:rsidR="007467BC" w:rsidRPr="009F47DE" w:rsidRDefault="007467BC" w:rsidP="00A16EF8">
      <w:pPr>
        <w:pStyle w:val="H23G"/>
      </w:pPr>
      <w:r w:rsidRPr="009F47DE">
        <w:tab/>
      </w:r>
      <w:r w:rsidRPr="009F47DE">
        <w:tab/>
        <w:t>Rights of people in custody</w:t>
      </w:r>
    </w:p>
    <w:p w14:paraId="3841769A" w14:textId="77777777" w:rsidR="007467BC" w:rsidRPr="009F47DE" w:rsidRDefault="007467BC" w:rsidP="007467BC">
      <w:pPr>
        <w:pStyle w:val="SingleTxtG"/>
      </w:pPr>
      <w:r w:rsidRPr="009F47DE">
        <w:t>15.</w:t>
      </w:r>
      <w:r w:rsidRPr="009F47DE">
        <w:tab/>
        <w:t>Section 23 NZBORA requires that all detainees are informed of their rights at the time of arrest or detention and of the charges against them, including:</w:t>
      </w:r>
    </w:p>
    <w:p w14:paraId="426FBF1F" w14:textId="77777777" w:rsidR="007467BC" w:rsidRPr="009F47DE" w:rsidRDefault="007467BC" w:rsidP="00A16EF8">
      <w:pPr>
        <w:pStyle w:val="Bullet1G"/>
      </w:pPr>
      <w:r w:rsidRPr="009F47DE">
        <w:t>Being informed of the reasons;</w:t>
      </w:r>
    </w:p>
    <w:p w14:paraId="5403E58C" w14:textId="77777777" w:rsidR="007467BC" w:rsidRPr="009F47DE" w:rsidRDefault="007467BC" w:rsidP="00A16EF8">
      <w:pPr>
        <w:pStyle w:val="Bullet1G"/>
      </w:pPr>
      <w:r w:rsidRPr="009F47DE">
        <w:t>Consulting a lawyer without delay;</w:t>
      </w:r>
    </w:p>
    <w:p w14:paraId="348A0B2B" w14:textId="77777777" w:rsidR="007467BC" w:rsidRPr="009F47DE" w:rsidRDefault="007467BC" w:rsidP="00A16EF8">
      <w:pPr>
        <w:pStyle w:val="Bullet1G"/>
      </w:pPr>
      <w:r w:rsidRPr="009F47DE">
        <w:lastRenderedPageBreak/>
        <w:t>Being charged promptly or released;</w:t>
      </w:r>
    </w:p>
    <w:p w14:paraId="2EDB4C43" w14:textId="77777777" w:rsidR="007467BC" w:rsidRPr="009F47DE" w:rsidRDefault="007467BC" w:rsidP="00A16EF8">
      <w:pPr>
        <w:pStyle w:val="Bullet1G"/>
      </w:pPr>
      <w:r w:rsidRPr="009F47DE">
        <w:t>Being brought before a court as soon as possible;</w:t>
      </w:r>
    </w:p>
    <w:p w14:paraId="2E095F70" w14:textId="77777777" w:rsidR="007467BC" w:rsidRPr="009F47DE" w:rsidRDefault="007467BC" w:rsidP="00A16EF8">
      <w:pPr>
        <w:pStyle w:val="Bullet1G"/>
      </w:pPr>
      <w:r w:rsidRPr="009F47DE">
        <w:t>Being treated with humanity and respect.</w:t>
      </w:r>
    </w:p>
    <w:p w14:paraId="389F0EE6" w14:textId="77777777" w:rsidR="007467BC" w:rsidRPr="009F47DE" w:rsidRDefault="007467BC" w:rsidP="00D60B68">
      <w:pPr>
        <w:pStyle w:val="SingleTxtG"/>
      </w:pPr>
      <w:r w:rsidRPr="009F47DE">
        <w:t>16.</w:t>
      </w:r>
      <w:r w:rsidRPr="009F47DE">
        <w:tab/>
        <w:t xml:space="preserve">All frontline officers hold a </w:t>
      </w:r>
      <w:r w:rsidR="00562737">
        <w:t>‘</w:t>
      </w:r>
      <w:r w:rsidRPr="009F47DE">
        <w:t>rights caution card</w:t>
      </w:r>
      <w:r w:rsidR="00562737">
        <w:t>’</w:t>
      </w:r>
      <w:r w:rsidRPr="009F47DE">
        <w:t xml:space="preserve"> to read out to a person being arrested, detained, or questioned, where there is </w:t>
      </w:r>
      <w:proofErr w:type="gramStart"/>
      <w:r w:rsidRPr="009F47DE">
        <w:t>sufficient</w:t>
      </w:r>
      <w:proofErr w:type="gramEnd"/>
      <w:r w:rsidRPr="009F47DE">
        <w:t xml:space="preserve"> evidence to charge that person with an offence. Police Instructions (provided to every officer) are designed to ensure staff know their legal obligations and the standards expected of them. The Instructions include the operational policy that staff must follow when advising detainees of their rights while in custody. Once detainees have been informed of their rights, staff and detainee sign the </w:t>
      </w:r>
      <w:r w:rsidR="00562737">
        <w:t>‘</w:t>
      </w:r>
      <w:r w:rsidRPr="009F47DE">
        <w:t>Notice to Person in Custody</w:t>
      </w:r>
      <w:r w:rsidR="00562737">
        <w:t>’</w:t>
      </w:r>
      <w:r w:rsidRPr="009F47DE">
        <w:t xml:space="preserve"> form. For further information, see paragraphs 17</w:t>
      </w:r>
      <w:r w:rsidR="00D60B68">
        <w:t>–</w:t>
      </w:r>
      <w:r w:rsidRPr="009F47DE">
        <w:t xml:space="preserve">24 of our previous report. </w:t>
      </w:r>
    </w:p>
    <w:p w14:paraId="490B64C5" w14:textId="77777777" w:rsidR="007467BC" w:rsidRPr="009F47DE" w:rsidRDefault="007467BC" w:rsidP="007467BC">
      <w:pPr>
        <w:pStyle w:val="SingleTxtG"/>
      </w:pPr>
      <w:r w:rsidRPr="009F47DE">
        <w:t>17.</w:t>
      </w:r>
      <w:r w:rsidRPr="009F47DE">
        <w:tab/>
        <w:t xml:space="preserve">For </w:t>
      </w:r>
      <w:proofErr w:type="spellStart"/>
      <w:r w:rsidRPr="009F47DE">
        <w:t>Oranga</w:t>
      </w:r>
      <w:proofErr w:type="spellEnd"/>
      <w:r w:rsidRPr="009F47DE">
        <w:t xml:space="preserve"> Tamariki residences, the explanations of rules must be appropriate given the child or young person</w:t>
      </w:r>
      <w:r w:rsidR="00562737">
        <w:t>’</w:t>
      </w:r>
      <w:r w:rsidRPr="009F47DE">
        <w:t>s age, culture, language, and capacity to understand. A copy of the residence</w:t>
      </w:r>
      <w:r w:rsidR="00562737">
        <w:t>’</w:t>
      </w:r>
      <w:r w:rsidRPr="009F47DE">
        <w:t>s rules and grievance procedures must be publicly displayed in residences.</w:t>
      </w:r>
      <w:r w:rsidRPr="009F47DE" w:rsidDel="0065108C">
        <w:t xml:space="preserve"> </w:t>
      </w:r>
      <w:r w:rsidRPr="009F47DE">
        <w:t>A child receives information and copies of:</w:t>
      </w:r>
    </w:p>
    <w:p w14:paraId="5525C3E4" w14:textId="77777777" w:rsidR="007467BC" w:rsidRPr="009F47DE" w:rsidRDefault="007467BC" w:rsidP="00A16EF8">
      <w:pPr>
        <w:pStyle w:val="Bullet1G"/>
      </w:pPr>
      <w:r w:rsidRPr="009F47DE">
        <w:t>What to expect from the agency;</w:t>
      </w:r>
    </w:p>
    <w:p w14:paraId="24D8D201" w14:textId="77777777" w:rsidR="007467BC" w:rsidRPr="009F47DE" w:rsidRDefault="007467BC" w:rsidP="00A16EF8">
      <w:pPr>
        <w:pStyle w:val="Bullet1G"/>
      </w:pPr>
      <w:r w:rsidRPr="009F47DE">
        <w:t xml:space="preserve">Rights and duties including complaints; </w:t>
      </w:r>
    </w:p>
    <w:p w14:paraId="2CFD317A" w14:textId="77777777" w:rsidR="007467BC" w:rsidRPr="009F47DE" w:rsidRDefault="007467BC" w:rsidP="00A16EF8">
      <w:pPr>
        <w:pStyle w:val="Bullet1G"/>
      </w:pPr>
      <w:r w:rsidRPr="009F47DE">
        <w:t>Rules of the specific residence;</w:t>
      </w:r>
    </w:p>
    <w:p w14:paraId="085FE93E" w14:textId="77777777" w:rsidR="007467BC" w:rsidRPr="009F47DE" w:rsidRDefault="007467BC" w:rsidP="00A16EF8">
      <w:pPr>
        <w:pStyle w:val="Bullet1G"/>
      </w:pPr>
      <w:r w:rsidRPr="009F47DE">
        <w:t>Residential care regulations and other legislation (copies on request).</w:t>
      </w:r>
    </w:p>
    <w:p w14:paraId="6283B3C8" w14:textId="77777777" w:rsidR="007467BC" w:rsidRPr="009F47DE" w:rsidRDefault="007467BC" w:rsidP="007467BC">
      <w:pPr>
        <w:pStyle w:val="SingleTxtG"/>
      </w:pPr>
      <w:bookmarkStart w:id="12" w:name="_Hlk525291331"/>
      <w:r w:rsidRPr="009F47DE">
        <w:t>18.</w:t>
      </w:r>
      <w:r w:rsidRPr="009F47DE">
        <w:tab/>
        <w:t>National Care Standards came into force in July 2019. They set out binding standards for all children in state care and include a child-friendly Statement of Rights.</w:t>
      </w:r>
    </w:p>
    <w:p w14:paraId="7194EBB3" w14:textId="77777777" w:rsidR="007467BC" w:rsidRPr="009F47DE" w:rsidRDefault="007467BC" w:rsidP="007467BC">
      <w:pPr>
        <w:pStyle w:val="SingleTxtG"/>
      </w:pPr>
      <w:r w:rsidRPr="009F47DE">
        <w:t>19.</w:t>
      </w:r>
      <w:r w:rsidRPr="009F47DE">
        <w:tab/>
        <w:t>The Code of Health and Disability Services Consumers</w:t>
      </w:r>
      <w:r w:rsidR="00562737">
        <w:t>’</w:t>
      </w:r>
      <w:r w:rsidRPr="009F47DE">
        <w:t xml:space="preserve"> Rights establishes the rights of consumers receiving health or disability services and the obligations and duties of health and disability service providers. Consumers have the right to effective communication in a form, language, and manner that enables them to understand the information. The Health and Disability Commissioner (HDC) provides education sessions and material to support service providers to understand their responsibilities under the Code. The Government accepts the need to raise awareness of consumer</w:t>
      </w:r>
      <w:r w:rsidR="00562737">
        <w:t>’</w:t>
      </w:r>
      <w:r w:rsidRPr="009F47DE">
        <w:t xml:space="preserve">s rights, including the rights to be treated with respect, to dignity and independence, and to be fully informed. In May 2019, the Government accepted in principle, a recommendation of </w:t>
      </w:r>
      <w:r w:rsidRPr="00282AE0">
        <w:rPr>
          <w:i/>
          <w:iCs/>
        </w:rPr>
        <w:t xml:space="preserve">He Ara </w:t>
      </w:r>
      <w:proofErr w:type="spellStart"/>
      <w:r w:rsidRPr="00282AE0">
        <w:rPr>
          <w:i/>
          <w:iCs/>
        </w:rPr>
        <w:t>Oranga</w:t>
      </w:r>
      <w:proofErr w:type="spellEnd"/>
      <w:r w:rsidRPr="00282AE0">
        <w:rPr>
          <w:i/>
          <w:iCs/>
        </w:rPr>
        <w:t>: Report of the Government Inquiry into Mental Health and Addiction</w:t>
      </w:r>
      <w:r w:rsidRPr="009F47DE">
        <w:t xml:space="preserve"> to direct the HDC to undertake initiatives to promote respect for and observance of the Code by providers.</w:t>
      </w:r>
    </w:p>
    <w:p w14:paraId="79232F61" w14:textId="77777777" w:rsidR="007467BC" w:rsidRPr="009F47DE" w:rsidRDefault="007467BC" w:rsidP="00282AE0">
      <w:pPr>
        <w:pStyle w:val="H1G"/>
      </w:pPr>
      <w:r w:rsidRPr="009F47DE">
        <w:tab/>
      </w:r>
      <w:r w:rsidRPr="009F47DE">
        <w:tab/>
        <w:t>Reply to paragraph 4 of the list of issues</w:t>
      </w:r>
    </w:p>
    <w:bookmarkEnd w:id="12"/>
    <w:p w14:paraId="55DD9818" w14:textId="77777777" w:rsidR="007467BC" w:rsidRPr="009F47DE" w:rsidRDefault="007467BC" w:rsidP="00282AE0">
      <w:pPr>
        <w:pStyle w:val="H23G"/>
      </w:pPr>
      <w:r w:rsidRPr="009F47DE">
        <w:tab/>
      </w:r>
      <w:r w:rsidRPr="009F47DE">
        <w:tab/>
        <w:t>National Preventive Mechanism (NPM)</w:t>
      </w:r>
    </w:p>
    <w:p w14:paraId="3120B44D" w14:textId="77777777" w:rsidR="007467BC" w:rsidRPr="009F47DE" w:rsidRDefault="007467BC" w:rsidP="007467BC">
      <w:pPr>
        <w:pStyle w:val="SingleTxtG"/>
      </w:pPr>
      <w:r w:rsidRPr="009F47DE">
        <w:t>20.</w:t>
      </w:r>
      <w:r w:rsidRPr="009F47DE">
        <w:tab/>
        <w:t>The structure, responsibilities, and budget processes for the NPM were outlined in our previous report. There were no changes to the basic structure or legislation. All five NPMs are independent of Government and the agencies they monitor.</w:t>
      </w:r>
      <w:r w:rsidRPr="009F47DE" w:rsidDel="00C27EC0">
        <w:t xml:space="preserve"> </w:t>
      </w:r>
      <w:r w:rsidRPr="009F47DE">
        <w:t>The NPMs continue to work well together by collaborating at site visits, sharing best practice, and working together on common themes. Annual OPCAT reports are tabled in Parliament.</w:t>
      </w:r>
    </w:p>
    <w:p w14:paraId="4EB1B0CF" w14:textId="77777777" w:rsidR="007467BC" w:rsidRPr="009F47DE" w:rsidRDefault="007467BC" w:rsidP="00282AE0">
      <w:pPr>
        <w:pStyle w:val="H4G"/>
      </w:pPr>
      <w:r w:rsidRPr="009F47DE">
        <w:tab/>
      </w:r>
      <w:r w:rsidRPr="009F47DE">
        <w:tab/>
        <w:t>Amendments to the designations</w:t>
      </w:r>
    </w:p>
    <w:p w14:paraId="11D8CFF1" w14:textId="77777777" w:rsidR="007467BC" w:rsidRPr="009F47DE" w:rsidRDefault="007467BC" w:rsidP="007467BC">
      <w:pPr>
        <w:pStyle w:val="SingleTxtG"/>
      </w:pPr>
      <w:r w:rsidRPr="009F47DE">
        <w:t>21.</w:t>
      </w:r>
      <w:r w:rsidRPr="009F47DE">
        <w:tab/>
        <w:t>In 2018, the Minister of Justice amended NPM designations to ensure they remain fit for purpose. Detention in private aged-care facilities and in court cells was expressly included in the Ombudsman</w:t>
      </w:r>
      <w:r w:rsidR="00562737">
        <w:t>’</w:t>
      </w:r>
      <w:r w:rsidRPr="009F47DE">
        <w:t>s designation. The Ombudsman is receiving increased funding, over three years, to meet these additional demands. Some further minor amendments were made to clarify designations.</w:t>
      </w:r>
    </w:p>
    <w:p w14:paraId="45AE02C1" w14:textId="77777777" w:rsidR="007467BC" w:rsidRPr="009F47DE" w:rsidRDefault="007467BC" w:rsidP="00282AE0">
      <w:pPr>
        <w:pStyle w:val="H4G"/>
      </w:pPr>
      <w:r w:rsidRPr="009F47DE">
        <w:tab/>
      </w:r>
      <w:r w:rsidRPr="009F47DE">
        <w:tab/>
        <w:t>Funding</w:t>
      </w:r>
    </w:p>
    <w:p w14:paraId="3FAC746A" w14:textId="77777777" w:rsidR="007467BC" w:rsidRPr="009F47DE" w:rsidRDefault="007467BC" w:rsidP="007467BC">
      <w:pPr>
        <w:pStyle w:val="SingleTxtG"/>
      </w:pPr>
      <w:r w:rsidRPr="009F47DE">
        <w:t>22.</w:t>
      </w:r>
      <w:r w:rsidRPr="009F47DE">
        <w:tab/>
        <w:t xml:space="preserve">Like many other Government-funded agencies, NPMs need to operate within an environment of financial restraint. </w:t>
      </w:r>
    </w:p>
    <w:p w14:paraId="55FAD93A" w14:textId="77777777" w:rsidR="007467BC" w:rsidRPr="009F47DE" w:rsidRDefault="00282AE0" w:rsidP="00CD13C7">
      <w:pPr>
        <w:pStyle w:val="H23G"/>
      </w:pPr>
      <w:r>
        <w:lastRenderedPageBreak/>
        <w:tab/>
      </w:r>
      <w:r>
        <w:tab/>
      </w:r>
      <w:r w:rsidR="007467BC" w:rsidRPr="009F47DE">
        <w:t>NPM funding 2017/18</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7467BC" w:rsidRPr="00282AE0" w14:paraId="5C595A4D" w14:textId="77777777" w:rsidTr="007F2864">
        <w:trPr>
          <w:tblHeader/>
        </w:trPr>
        <w:tc>
          <w:tcPr>
            <w:tcW w:w="1666" w:type="pct"/>
            <w:tcBorders>
              <w:top w:val="single" w:sz="4" w:space="0" w:color="auto"/>
              <w:bottom w:val="single" w:sz="12" w:space="0" w:color="auto"/>
            </w:tcBorders>
            <w:shd w:val="clear" w:color="auto" w:fill="auto"/>
            <w:vAlign w:val="bottom"/>
          </w:tcPr>
          <w:p w14:paraId="136C744B" w14:textId="77777777" w:rsidR="007467BC" w:rsidRPr="00282AE0" w:rsidRDefault="007467BC" w:rsidP="00282AE0">
            <w:pPr>
              <w:suppressAutoHyphens w:val="0"/>
              <w:spacing w:before="80" w:after="80" w:line="200" w:lineRule="exact"/>
              <w:ind w:right="113"/>
              <w:rPr>
                <w:i/>
                <w:sz w:val="16"/>
              </w:rPr>
            </w:pPr>
          </w:p>
        </w:tc>
        <w:tc>
          <w:tcPr>
            <w:tcW w:w="1667" w:type="pct"/>
            <w:tcBorders>
              <w:top w:val="single" w:sz="4" w:space="0" w:color="auto"/>
              <w:bottom w:val="single" w:sz="12" w:space="0" w:color="auto"/>
            </w:tcBorders>
            <w:shd w:val="clear" w:color="auto" w:fill="auto"/>
            <w:vAlign w:val="bottom"/>
          </w:tcPr>
          <w:p w14:paraId="42B61C24" w14:textId="77777777" w:rsidR="007467BC" w:rsidRPr="00282AE0" w:rsidRDefault="007467BC" w:rsidP="00282AE0">
            <w:pPr>
              <w:suppressAutoHyphens w:val="0"/>
              <w:spacing w:before="80" w:after="80" w:line="200" w:lineRule="exact"/>
              <w:ind w:right="113"/>
              <w:rPr>
                <w:i/>
                <w:sz w:val="16"/>
              </w:rPr>
            </w:pPr>
            <w:r w:rsidRPr="00282AE0">
              <w:rPr>
                <w:i/>
                <w:sz w:val="16"/>
              </w:rPr>
              <w:t>Funding for all functions</w:t>
            </w:r>
          </w:p>
        </w:tc>
        <w:tc>
          <w:tcPr>
            <w:tcW w:w="1667" w:type="pct"/>
            <w:tcBorders>
              <w:top w:val="single" w:sz="4" w:space="0" w:color="auto"/>
              <w:bottom w:val="single" w:sz="12" w:space="0" w:color="auto"/>
            </w:tcBorders>
            <w:shd w:val="clear" w:color="auto" w:fill="auto"/>
            <w:vAlign w:val="bottom"/>
          </w:tcPr>
          <w:p w14:paraId="5F626213" w14:textId="77777777" w:rsidR="007467BC" w:rsidRPr="00282AE0" w:rsidRDefault="007467BC" w:rsidP="00282AE0">
            <w:pPr>
              <w:suppressAutoHyphens w:val="0"/>
              <w:spacing w:before="80" w:after="80" w:line="200" w:lineRule="exact"/>
              <w:ind w:right="113"/>
              <w:rPr>
                <w:i/>
                <w:sz w:val="16"/>
              </w:rPr>
            </w:pPr>
            <w:r w:rsidRPr="00282AE0">
              <w:rPr>
                <w:i/>
                <w:sz w:val="16"/>
              </w:rPr>
              <w:t>OPCAT appropriation</w:t>
            </w:r>
          </w:p>
        </w:tc>
      </w:tr>
      <w:tr w:rsidR="007467BC" w:rsidRPr="00282AE0" w14:paraId="699A6D58" w14:textId="77777777" w:rsidTr="007F2864">
        <w:tc>
          <w:tcPr>
            <w:tcW w:w="1666" w:type="pct"/>
            <w:tcBorders>
              <w:top w:val="single" w:sz="12" w:space="0" w:color="auto"/>
            </w:tcBorders>
            <w:shd w:val="clear" w:color="auto" w:fill="auto"/>
          </w:tcPr>
          <w:p w14:paraId="6AEA2F49" w14:textId="77777777" w:rsidR="007467BC" w:rsidRPr="00282AE0" w:rsidRDefault="007467BC" w:rsidP="00282AE0">
            <w:pPr>
              <w:suppressAutoHyphens w:val="0"/>
              <w:spacing w:before="40" w:after="120" w:line="220" w:lineRule="exact"/>
              <w:ind w:right="113"/>
            </w:pPr>
            <w:r w:rsidRPr="00282AE0">
              <w:t>Human Rights Commission (HRC)</w:t>
            </w:r>
          </w:p>
        </w:tc>
        <w:tc>
          <w:tcPr>
            <w:tcW w:w="1667" w:type="pct"/>
            <w:tcBorders>
              <w:top w:val="single" w:sz="12" w:space="0" w:color="auto"/>
            </w:tcBorders>
            <w:shd w:val="clear" w:color="auto" w:fill="auto"/>
          </w:tcPr>
          <w:p w14:paraId="3524F244" w14:textId="77777777" w:rsidR="007467BC" w:rsidRPr="00282AE0" w:rsidRDefault="007467BC" w:rsidP="00282AE0">
            <w:pPr>
              <w:suppressAutoHyphens w:val="0"/>
              <w:spacing w:before="40" w:after="120" w:line="220" w:lineRule="exact"/>
              <w:ind w:right="113"/>
            </w:pPr>
            <w:r w:rsidRPr="00282AE0">
              <w:t>Approx. $10m</w:t>
            </w:r>
          </w:p>
        </w:tc>
        <w:tc>
          <w:tcPr>
            <w:tcW w:w="1667" w:type="pct"/>
            <w:tcBorders>
              <w:top w:val="single" w:sz="12" w:space="0" w:color="auto"/>
            </w:tcBorders>
            <w:shd w:val="clear" w:color="auto" w:fill="auto"/>
          </w:tcPr>
          <w:p w14:paraId="656EE029" w14:textId="77777777" w:rsidR="007467BC" w:rsidRPr="00282AE0" w:rsidRDefault="007467BC" w:rsidP="00562737">
            <w:pPr>
              <w:suppressAutoHyphens w:val="0"/>
              <w:spacing w:before="40" w:after="120" w:line="220" w:lineRule="exact"/>
              <w:ind w:right="113"/>
            </w:pPr>
            <w:r w:rsidRPr="00282AE0">
              <w:t>Approx. $5</w:t>
            </w:r>
            <w:r w:rsidR="00562737">
              <w:t>–</w:t>
            </w:r>
            <w:r w:rsidRPr="00282AE0">
              <w:t>10,000 for operational cost but excluding personnel cost (not budgeted separately)</w:t>
            </w:r>
          </w:p>
        </w:tc>
      </w:tr>
      <w:tr w:rsidR="007467BC" w:rsidRPr="00282AE0" w14:paraId="557D5723" w14:textId="77777777" w:rsidTr="007F2864">
        <w:tc>
          <w:tcPr>
            <w:tcW w:w="1666" w:type="pct"/>
            <w:shd w:val="clear" w:color="auto" w:fill="auto"/>
          </w:tcPr>
          <w:p w14:paraId="6461AAC0" w14:textId="77777777" w:rsidR="007467BC" w:rsidRPr="00282AE0" w:rsidRDefault="007467BC" w:rsidP="00282AE0">
            <w:pPr>
              <w:suppressAutoHyphens w:val="0"/>
              <w:spacing w:before="40" w:after="120" w:line="220" w:lineRule="exact"/>
              <w:ind w:right="113"/>
            </w:pPr>
            <w:r w:rsidRPr="00282AE0">
              <w:t>Ombudsman</w:t>
            </w:r>
          </w:p>
        </w:tc>
        <w:tc>
          <w:tcPr>
            <w:tcW w:w="1667" w:type="pct"/>
            <w:shd w:val="clear" w:color="auto" w:fill="auto"/>
          </w:tcPr>
          <w:p w14:paraId="11E0632A" w14:textId="77777777" w:rsidR="007467BC" w:rsidRPr="00282AE0" w:rsidRDefault="007467BC" w:rsidP="00282AE0">
            <w:pPr>
              <w:suppressAutoHyphens w:val="0"/>
              <w:spacing w:before="40" w:after="120" w:line="220" w:lineRule="exact"/>
              <w:ind w:right="113"/>
            </w:pPr>
            <w:r w:rsidRPr="00282AE0">
              <w:t>$16.725m</w:t>
            </w:r>
          </w:p>
        </w:tc>
        <w:tc>
          <w:tcPr>
            <w:tcW w:w="1667" w:type="pct"/>
            <w:shd w:val="clear" w:color="auto" w:fill="auto"/>
          </w:tcPr>
          <w:p w14:paraId="68490CCF" w14:textId="77777777" w:rsidR="007467BC" w:rsidRPr="00282AE0" w:rsidRDefault="007467BC" w:rsidP="00282AE0">
            <w:pPr>
              <w:suppressAutoHyphens w:val="0"/>
              <w:spacing w:before="40" w:after="120" w:line="220" w:lineRule="exact"/>
              <w:ind w:right="113"/>
            </w:pPr>
            <w:r w:rsidRPr="00282AE0">
              <w:t>$1,127,000</w:t>
            </w:r>
            <w:r w:rsidR="0009789F">
              <w:t xml:space="preserve"> </w:t>
            </w:r>
            <w:r w:rsidRPr="00282AE0">
              <w:t xml:space="preserve">(for </w:t>
            </w:r>
            <w:r w:rsidR="00562737">
              <w:t>‘</w:t>
            </w:r>
            <w:r w:rsidRPr="00282AE0">
              <w:t>monitoring of detained people</w:t>
            </w:r>
            <w:r w:rsidR="00562737">
              <w:t>’</w:t>
            </w:r>
            <w:r w:rsidRPr="00282AE0">
              <w:t>)</w:t>
            </w:r>
          </w:p>
        </w:tc>
      </w:tr>
      <w:tr w:rsidR="007467BC" w:rsidRPr="00282AE0" w14:paraId="5A2E033C" w14:textId="77777777" w:rsidTr="007F2864">
        <w:tc>
          <w:tcPr>
            <w:tcW w:w="1666" w:type="pct"/>
            <w:shd w:val="clear" w:color="auto" w:fill="auto"/>
          </w:tcPr>
          <w:p w14:paraId="4484AFCF" w14:textId="77777777" w:rsidR="007467BC" w:rsidRPr="00282AE0" w:rsidRDefault="007467BC" w:rsidP="00282AE0">
            <w:pPr>
              <w:suppressAutoHyphens w:val="0"/>
              <w:spacing w:before="40" w:after="120" w:line="220" w:lineRule="exact"/>
              <w:ind w:right="113"/>
            </w:pPr>
            <w:r w:rsidRPr="00282AE0">
              <w:t>Independent Police Conduct Authority (IPCA)</w:t>
            </w:r>
          </w:p>
        </w:tc>
        <w:tc>
          <w:tcPr>
            <w:tcW w:w="1667" w:type="pct"/>
            <w:shd w:val="clear" w:color="auto" w:fill="auto"/>
          </w:tcPr>
          <w:p w14:paraId="315966BA" w14:textId="77777777" w:rsidR="007467BC" w:rsidRPr="00282AE0" w:rsidRDefault="007467BC" w:rsidP="00282AE0">
            <w:pPr>
              <w:suppressAutoHyphens w:val="0"/>
              <w:spacing w:before="40" w:after="120" w:line="220" w:lineRule="exact"/>
              <w:ind w:right="113"/>
            </w:pPr>
            <w:r w:rsidRPr="00282AE0">
              <w:t>$4.2m</w:t>
            </w:r>
          </w:p>
        </w:tc>
        <w:tc>
          <w:tcPr>
            <w:tcW w:w="1667" w:type="pct"/>
            <w:shd w:val="clear" w:color="auto" w:fill="auto"/>
          </w:tcPr>
          <w:p w14:paraId="4DC6AED5" w14:textId="77777777" w:rsidR="007467BC" w:rsidRPr="00282AE0" w:rsidRDefault="007467BC" w:rsidP="00282AE0">
            <w:pPr>
              <w:suppressAutoHyphens w:val="0"/>
              <w:spacing w:before="40" w:after="120" w:line="220" w:lineRule="exact"/>
              <w:ind w:right="113"/>
            </w:pPr>
            <w:r w:rsidRPr="00282AE0">
              <w:t>$55,000 (but see para. 23)</w:t>
            </w:r>
          </w:p>
        </w:tc>
      </w:tr>
      <w:tr w:rsidR="007467BC" w:rsidRPr="00282AE0" w14:paraId="482BF3E6" w14:textId="77777777" w:rsidTr="007F2864">
        <w:tc>
          <w:tcPr>
            <w:tcW w:w="1666" w:type="pct"/>
            <w:shd w:val="clear" w:color="auto" w:fill="auto"/>
          </w:tcPr>
          <w:p w14:paraId="323EF72E" w14:textId="77777777" w:rsidR="007467BC" w:rsidRPr="00282AE0" w:rsidRDefault="007467BC" w:rsidP="00282AE0">
            <w:pPr>
              <w:suppressAutoHyphens w:val="0"/>
              <w:spacing w:before="40" w:after="120" w:line="220" w:lineRule="exact"/>
              <w:ind w:right="113"/>
            </w:pPr>
            <w:r w:rsidRPr="00282AE0">
              <w:t>Office of the Children</w:t>
            </w:r>
            <w:r w:rsidR="00562737">
              <w:t>’</w:t>
            </w:r>
            <w:r w:rsidRPr="00282AE0">
              <w:t>s Commissioner (OCC)</w:t>
            </w:r>
          </w:p>
        </w:tc>
        <w:tc>
          <w:tcPr>
            <w:tcW w:w="1667" w:type="pct"/>
            <w:shd w:val="clear" w:color="auto" w:fill="auto"/>
          </w:tcPr>
          <w:p w14:paraId="349D6625" w14:textId="77777777" w:rsidR="007467BC" w:rsidRPr="00282AE0" w:rsidRDefault="007467BC" w:rsidP="00282AE0">
            <w:pPr>
              <w:suppressAutoHyphens w:val="0"/>
              <w:spacing w:before="40" w:after="120" w:line="220" w:lineRule="exact"/>
              <w:ind w:right="113"/>
            </w:pPr>
            <w:r w:rsidRPr="00282AE0">
              <w:t>$2,657,000 (including a one-off $500,000)</w:t>
            </w:r>
          </w:p>
        </w:tc>
        <w:tc>
          <w:tcPr>
            <w:tcW w:w="1667" w:type="pct"/>
            <w:shd w:val="clear" w:color="auto" w:fill="auto"/>
          </w:tcPr>
          <w:p w14:paraId="15646965" w14:textId="77777777" w:rsidR="007467BC" w:rsidRPr="00282AE0" w:rsidRDefault="007467BC" w:rsidP="00282AE0">
            <w:pPr>
              <w:suppressAutoHyphens w:val="0"/>
              <w:spacing w:before="40" w:after="120" w:line="220" w:lineRule="exact"/>
              <w:ind w:right="113"/>
            </w:pPr>
            <w:r w:rsidRPr="00282AE0">
              <w:t>No specific appropriation</w:t>
            </w:r>
          </w:p>
        </w:tc>
      </w:tr>
      <w:tr w:rsidR="007467BC" w:rsidRPr="00282AE0" w14:paraId="3E390F16" w14:textId="77777777" w:rsidTr="007F2864">
        <w:tc>
          <w:tcPr>
            <w:tcW w:w="1666" w:type="pct"/>
            <w:shd w:val="clear" w:color="auto" w:fill="auto"/>
          </w:tcPr>
          <w:p w14:paraId="59389ED6" w14:textId="77777777" w:rsidR="007467BC" w:rsidRPr="00282AE0" w:rsidRDefault="007467BC" w:rsidP="00282AE0">
            <w:pPr>
              <w:suppressAutoHyphens w:val="0"/>
              <w:spacing w:before="40" w:after="120" w:line="220" w:lineRule="exact"/>
              <w:ind w:right="113"/>
            </w:pPr>
            <w:r w:rsidRPr="00282AE0">
              <w:t>Inspector of Service Penal Establishment (ISPE)</w:t>
            </w:r>
          </w:p>
        </w:tc>
        <w:tc>
          <w:tcPr>
            <w:tcW w:w="1667" w:type="pct"/>
            <w:shd w:val="clear" w:color="auto" w:fill="auto"/>
          </w:tcPr>
          <w:p w14:paraId="6C32613D" w14:textId="77777777" w:rsidR="007467BC" w:rsidRPr="00282AE0" w:rsidRDefault="007467BC" w:rsidP="00282AE0">
            <w:pPr>
              <w:suppressAutoHyphens w:val="0"/>
              <w:spacing w:before="40" w:after="120" w:line="220" w:lineRule="exact"/>
              <w:ind w:right="113"/>
            </w:pPr>
            <w:r w:rsidRPr="00282AE0">
              <w:t>N/A</w:t>
            </w:r>
          </w:p>
        </w:tc>
        <w:tc>
          <w:tcPr>
            <w:tcW w:w="1667" w:type="pct"/>
            <w:shd w:val="clear" w:color="auto" w:fill="auto"/>
          </w:tcPr>
          <w:p w14:paraId="63C957C5" w14:textId="77777777" w:rsidR="007467BC" w:rsidRPr="00282AE0" w:rsidRDefault="007467BC" w:rsidP="00282AE0">
            <w:pPr>
              <w:suppressAutoHyphens w:val="0"/>
              <w:spacing w:before="40" w:after="120" w:line="220" w:lineRule="exact"/>
              <w:ind w:right="113"/>
            </w:pPr>
            <w:r w:rsidRPr="00282AE0">
              <w:t>Performs functions within general budget as Registrar of the Court Martial</w:t>
            </w:r>
          </w:p>
        </w:tc>
      </w:tr>
    </w:tbl>
    <w:p w14:paraId="2E0495C3" w14:textId="77777777" w:rsidR="007467BC" w:rsidRPr="009F47DE" w:rsidRDefault="007467BC" w:rsidP="00282AE0">
      <w:pPr>
        <w:pStyle w:val="SingleTxtG"/>
        <w:spacing w:before="240"/>
      </w:pPr>
      <w:bookmarkStart w:id="13" w:name="_Ref532308860"/>
      <w:r w:rsidRPr="009F47DE">
        <w:t>23.</w:t>
      </w:r>
      <w:r w:rsidRPr="009F47DE">
        <w:tab/>
        <w:t xml:space="preserve">IPCA received an overall increase in baseline of $481,000 from 2018/19. IPCA had requested a $75,000 increase for OPCAT. The baseline increase does not specify an OPCAT portion and internally, IPCA does not separately budget for OPCAT work. </w:t>
      </w:r>
      <w:bookmarkEnd w:id="13"/>
    </w:p>
    <w:p w14:paraId="00F21A5B" w14:textId="77777777" w:rsidR="007467BC" w:rsidRPr="009F47DE" w:rsidRDefault="007467BC" w:rsidP="00A96FA1">
      <w:pPr>
        <w:pStyle w:val="H4G"/>
      </w:pPr>
      <w:r w:rsidRPr="009F47DE">
        <w:tab/>
      </w:r>
      <w:r w:rsidRPr="009F47DE">
        <w:tab/>
        <w:t xml:space="preserve">Selected </w:t>
      </w:r>
      <w:r w:rsidR="00A96FA1">
        <w:t>a</w:t>
      </w:r>
      <w:r w:rsidRPr="009F47DE">
        <w:t>ctivities</w:t>
      </w:r>
    </w:p>
    <w:p w14:paraId="62E9D798" w14:textId="77777777" w:rsidR="007467BC" w:rsidRPr="009F47DE" w:rsidRDefault="007467BC" w:rsidP="007467BC">
      <w:pPr>
        <w:pStyle w:val="SingleTxtG"/>
      </w:pPr>
      <w:r w:rsidRPr="009F47DE">
        <w:t>24.</w:t>
      </w:r>
      <w:r w:rsidRPr="009F47DE">
        <w:tab/>
        <w:t xml:space="preserve">NPMs regularly monitor places of detention. Between July 2017 and June 2018, OCC conducted 12 OPCAT monitoring visits to </w:t>
      </w:r>
      <w:proofErr w:type="spellStart"/>
      <w:r w:rsidRPr="009F47DE">
        <w:t>Oranga</w:t>
      </w:r>
      <w:proofErr w:type="spellEnd"/>
      <w:r w:rsidRPr="009F47DE">
        <w:t xml:space="preserve"> Tamariki residences. OCC and the Ombudsman also conduct joint monitoring visits to the three Mothers with Babies Units within prisons. </w:t>
      </w:r>
    </w:p>
    <w:p w14:paraId="4000C773" w14:textId="77777777" w:rsidR="007467BC" w:rsidRPr="009F47DE" w:rsidRDefault="007467BC" w:rsidP="008836B8">
      <w:pPr>
        <w:pStyle w:val="SingleTxtG"/>
      </w:pPr>
      <w:r w:rsidRPr="009F47DE">
        <w:t>25.</w:t>
      </w:r>
      <w:r w:rsidRPr="009F47DE">
        <w:tab/>
        <w:t>The Ombudsman holds the NPM designation for detainees (in approximately 110 places of detention). In 2017/18, the Ombudsman carried out 39 visits, including 12 formal inspections. The ISPE carried out two unannounced visits to the military detention facility. As there are 400 Police facilities, IPCA uses opportunities during the ordinary course of work to inspect facilities on a no-notice basis. It also undertakes audits of Police custody records and works with Police to develop and monitor appropriate standards. In 2018/19, IPCA undertook a programme of detailed inspections of the 32 Police custody units where detainees are currently held overnight.</w:t>
      </w:r>
    </w:p>
    <w:p w14:paraId="78F054ED" w14:textId="77777777" w:rsidR="007467BC" w:rsidRPr="009F47DE" w:rsidRDefault="007467BC" w:rsidP="007467BC">
      <w:pPr>
        <w:pStyle w:val="SingleTxtG"/>
      </w:pPr>
      <w:r w:rsidRPr="009F47DE">
        <w:t>26.</w:t>
      </w:r>
      <w:r w:rsidRPr="009F47DE">
        <w:tab/>
        <w:t>In addition to inspection reports, NPMs also published thematic reports, including:</w:t>
      </w:r>
    </w:p>
    <w:p w14:paraId="36F6F33F" w14:textId="77777777" w:rsidR="007467BC" w:rsidRPr="009F47DE" w:rsidRDefault="00562737" w:rsidP="00A96FA1">
      <w:pPr>
        <w:pStyle w:val="Bullet1G"/>
      </w:pPr>
      <w:r>
        <w:t>‘</w:t>
      </w:r>
      <w:r w:rsidR="007467BC" w:rsidRPr="009F47DE">
        <w:t xml:space="preserve">He Ara </w:t>
      </w:r>
      <w:proofErr w:type="spellStart"/>
      <w:r w:rsidR="007467BC" w:rsidRPr="009F47DE">
        <w:t>Tika</w:t>
      </w:r>
      <w:proofErr w:type="spellEnd"/>
      <w:r w:rsidR="007467BC" w:rsidRPr="009F47DE">
        <w:t xml:space="preserve"> – a pathway forward</w:t>
      </w:r>
      <w:r>
        <w:t>’</w:t>
      </w:r>
      <w:r w:rsidR="007467BC" w:rsidRPr="009F47DE">
        <w:t xml:space="preserve"> (2016) – HRC report on OPCAT and aged-care and disability facilities (funded through the Torture Prevention Ambassadors project);</w:t>
      </w:r>
    </w:p>
    <w:p w14:paraId="3ADE8823" w14:textId="77777777" w:rsidR="007467BC" w:rsidRPr="009F47DE" w:rsidRDefault="00562737" w:rsidP="00A96FA1">
      <w:pPr>
        <w:pStyle w:val="Bullet1G"/>
      </w:pPr>
      <w:r>
        <w:t>‘</w:t>
      </w:r>
      <w:r w:rsidR="007467BC" w:rsidRPr="009F47DE">
        <w:t>Thinking outside the box</w:t>
      </w:r>
      <w:r>
        <w:t>’</w:t>
      </w:r>
      <w:r w:rsidR="007467BC" w:rsidRPr="009F47DE">
        <w:t xml:space="preserve"> by Dr Shalev (2017) </w:t>
      </w:r>
      <w:r w:rsidR="00A96FA1">
        <w:t>–</w:t>
      </w:r>
      <w:r w:rsidR="007467BC" w:rsidRPr="009F47DE">
        <w:t xml:space="preserve"> on seclusion and restraint (commissioned by the HRC, supported through OHCHR</w:t>
      </w:r>
      <w:r>
        <w:t>’</w:t>
      </w:r>
      <w:r w:rsidR="007467BC" w:rsidRPr="009F47DE">
        <w:t>s special OPCAT fund);</w:t>
      </w:r>
    </w:p>
    <w:p w14:paraId="06196ECD" w14:textId="77777777" w:rsidR="007467BC" w:rsidRPr="009F47DE" w:rsidRDefault="00562737" w:rsidP="00A96FA1">
      <w:pPr>
        <w:pStyle w:val="Bullet1G"/>
      </w:pPr>
      <w:r>
        <w:t>‘</w:t>
      </w:r>
      <w:r w:rsidR="007467BC" w:rsidRPr="009F47DE">
        <w:t>A question of restraint</w:t>
      </w:r>
      <w:r>
        <w:t>’</w:t>
      </w:r>
      <w:r w:rsidR="007467BC" w:rsidRPr="009F47DE">
        <w:t xml:space="preserve"> (2017) – Chief Ombudsman on care of prisoners at risk of self-harm;</w:t>
      </w:r>
    </w:p>
    <w:p w14:paraId="18BC57E9" w14:textId="77777777" w:rsidR="007467BC" w:rsidRPr="009F47DE" w:rsidRDefault="00562737" w:rsidP="00A96FA1">
      <w:pPr>
        <w:pStyle w:val="Bullet1G"/>
      </w:pPr>
      <w:r>
        <w:t>‘</w:t>
      </w:r>
      <w:r w:rsidR="007467BC" w:rsidRPr="009F47DE">
        <w:t>This is not my home</w:t>
      </w:r>
      <w:r>
        <w:t>’</w:t>
      </w:r>
      <w:r w:rsidR="007467BC" w:rsidRPr="009F47DE">
        <w:t xml:space="preserve"> (2018) – HRC compilation of essays on aged residential care;</w:t>
      </w:r>
    </w:p>
    <w:p w14:paraId="0C854A48" w14:textId="77777777" w:rsidR="007467BC" w:rsidRPr="009F47DE" w:rsidRDefault="00562737" w:rsidP="00A96FA1">
      <w:pPr>
        <w:pStyle w:val="Bullet1G"/>
      </w:pPr>
      <w:r>
        <w:t>‘</w:t>
      </w:r>
      <w:r w:rsidR="007467BC" w:rsidRPr="009F47DE">
        <w:t>State of Care</w:t>
      </w:r>
      <w:r>
        <w:t>’</w:t>
      </w:r>
      <w:r w:rsidR="007467BC" w:rsidRPr="009F47DE">
        <w:t xml:space="preserve"> (2017) – OCC</w:t>
      </w:r>
      <w:r>
        <w:t>’</w:t>
      </w:r>
      <w:r w:rsidR="007467BC" w:rsidRPr="009F47DE">
        <w:t>s report on secure residences.</w:t>
      </w:r>
    </w:p>
    <w:p w14:paraId="707F6E51" w14:textId="77777777" w:rsidR="007467BC" w:rsidRPr="009F47DE" w:rsidRDefault="007467BC" w:rsidP="00A96FA1">
      <w:pPr>
        <w:pStyle w:val="H1G"/>
      </w:pPr>
      <w:r w:rsidRPr="009F47DE">
        <w:tab/>
      </w:r>
      <w:r w:rsidRPr="009F47DE">
        <w:tab/>
        <w:t>Reply to paragraph 5 of the list of issues</w:t>
      </w:r>
    </w:p>
    <w:p w14:paraId="63B8022C" w14:textId="77777777" w:rsidR="007467BC" w:rsidRPr="009F47DE" w:rsidRDefault="007467BC" w:rsidP="00D22328">
      <w:pPr>
        <w:pStyle w:val="H23G"/>
      </w:pPr>
      <w:bookmarkStart w:id="14" w:name="_Hlk529964423"/>
      <w:r w:rsidRPr="009F47DE">
        <w:tab/>
      </w:r>
      <w:r w:rsidRPr="009F47DE">
        <w:tab/>
        <w:t xml:space="preserve">Combat of gender-based violence </w:t>
      </w:r>
    </w:p>
    <w:p w14:paraId="25384FCA" w14:textId="77777777" w:rsidR="007467BC" w:rsidRPr="009F47DE" w:rsidRDefault="007467BC" w:rsidP="007467BC">
      <w:pPr>
        <w:pStyle w:val="SingleTxtG"/>
      </w:pPr>
      <w:r w:rsidRPr="009F47DE">
        <w:t>27.</w:t>
      </w:r>
      <w:r w:rsidRPr="009F47DE">
        <w:tab/>
        <w:t xml:space="preserve">Our rates of gender-based violence are high. </w:t>
      </w:r>
    </w:p>
    <w:p w14:paraId="7C59D13F" w14:textId="77777777" w:rsidR="007467BC" w:rsidRPr="009F47DE" w:rsidRDefault="007467BC" w:rsidP="007F2864">
      <w:pPr>
        <w:pStyle w:val="H23G"/>
      </w:pPr>
      <w:r w:rsidRPr="009F47DE">
        <w:lastRenderedPageBreak/>
        <w:tab/>
      </w:r>
      <w:r w:rsidRPr="009F47DE">
        <w:tab/>
        <w:t xml:space="preserve">Family </w:t>
      </w:r>
      <w:r w:rsidR="00D22328">
        <w:t>v</w:t>
      </w:r>
      <w:r w:rsidRPr="009F47DE">
        <w:t xml:space="preserve">iolence investigations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1"/>
        <w:gridCol w:w="1083"/>
        <w:gridCol w:w="1084"/>
        <w:gridCol w:w="1084"/>
        <w:gridCol w:w="1084"/>
        <w:gridCol w:w="1084"/>
      </w:tblGrid>
      <w:tr w:rsidR="007467BC" w:rsidRPr="00D22328" w14:paraId="7B487DFC" w14:textId="77777777" w:rsidTr="007F2864">
        <w:trPr>
          <w:tblHeader/>
        </w:trPr>
        <w:tc>
          <w:tcPr>
            <w:tcW w:w="1951"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1CBD4810" w14:textId="77777777" w:rsidR="007467BC" w:rsidRPr="00D22328" w:rsidRDefault="007467BC" w:rsidP="00D22328">
            <w:pPr>
              <w:spacing w:before="80" w:after="80" w:line="200" w:lineRule="exact"/>
              <w:ind w:right="113"/>
              <w:rPr>
                <w:i/>
                <w:sz w:val="16"/>
              </w:rPr>
            </w:pPr>
          </w:p>
        </w:tc>
        <w:tc>
          <w:tcPr>
            <w:tcW w:w="108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4825020" w14:textId="77777777" w:rsidR="007467BC" w:rsidRPr="00D22328" w:rsidRDefault="007467BC" w:rsidP="00D22328">
            <w:pPr>
              <w:spacing w:before="80" w:after="80" w:line="200" w:lineRule="exact"/>
              <w:ind w:right="113"/>
              <w:jc w:val="right"/>
              <w:rPr>
                <w:i/>
                <w:sz w:val="16"/>
              </w:rPr>
            </w:pPr>
            <w:r w:rsidRPr="00D22328">
              <w:rPr>
                <w:i/>
                <w:sz w:val="16"/>
              </w:rPr>
              <w:t>2014</w:t>
            </w:r>
          </w:p>
        </w:tc>
        <w:tc>
          <w:tcPr>
            <w:tcW w:w="10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648ABF3" w14:textId="77777777" w:rsidR="007467BC" w:rsidRPr="00D22328" w:rsidRDefault="007467BC" w:rsidP="00D22328">
            <w:pPr>
              <w:spacing w:before="80" w:after="80" w:line="200" w:lineRule="exact"/>
              <w:ind w:right="113"/>
              <w:jc w:val="right"/>
              <w:rPr>
                <w:i/>
                <w:sz w:val="16"/>
              </w:rPr>
            </w:pPr>
            <w:r w:rsidRPr="00D22328">
              <w:rPr>
                <w:i/>
                <w:sz w:val="16"/>
              </w:rPr>
              <w:t>2015</w:t>
            </w:r>
          </w:p>
        </w:tc>
        <w:tc>
          <w:tcPr>
            <w:tcW w:w="10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CF95854" w14:textId="77777777" w:rsidR="007467BC" w:rsidRPr="00D22328" w:rsidRDefault="007467BC" w:rsidP="00D22328">
            <w:pPr>
              <w:spacing w:before="80" w:after="80" w:line="200" w:lineRule="exact"/>
              <w:ind w:right="113"/>
              <w:jc w:val="right"/>
              <w:rPr>
                <w:i/>
                <w:sz w:val="16"/>
              </w:rPr>
            </w:pPr>
            <w:r w:rsidRPr="00D22328">
              <w:rPr>
                <w:i/>
                <w:sz w:val="16"/>
              </w:rPr>
              <w:t>2016</w:t>
            </w:r>
          </w:p>
        </w:tc>
        <w:tc>
          <w:tcPr>
            <w:tcW w:w="1084" w:type="dxa"/>
            <w:tcBorders>
              <w:top w:val="single" w:sz="4" w:space="0" w:color="auto"/>
              <w:bottom w:val="single" w:sz="12" w:space="0" w:color="auto"/>
            </w:tcBorders>
            <w:shd w:val="clear" w:color="auto" w:fill="auto"/>
            <w:vAlign w:val="bottom"/>
          </w:tcPr>
          <w:p w14:paraId="24BE5A32" w14:textId="77777777" w:rsidR="007467BC" w:rsidRPr="00D22328" w:rsidRDefault="007467BC" w:rsidP="00D22328">
            <w:pPr>
              <w:spacing w:before="80" w:after="80" w:line="200" w:lineRule="exact"/>
              <w:ind w:right="113"/>
              <w:jc w:val="right"/>
              <w:rPr>
                <w:i/>
                <w:sz w:val="16"/>
              </w:rPr>
            </w:pPr>
            <w:r w:rsidRPr="00D22328">
              <w:rPr>
                <w:i/>
                <w:sz w:val="16"/>
              </w:rPr>
              <w:t>2017</w:t>
            </w:r>
          </w:p>
        </w:tc>
        <w:tc>
          <w:tcPr>
            <w:tcW w:w="1084" w:type="dxa"/>
            <w:tcBorders>
              <w:top w:val="single" w:sz="4" w:space="0" w:color="auto"/>
              <w:bottom w:val="single" w:sz="12" w:space="0" w:color="auto"/>
            </w:tcBorders>
            <w:shd w:val="clear" w:color="auto" w:fill="auto"/>
            <w:vAlign w:val="bottom"/>
          </w:tcPr>
          <w:p w14:paraId="3596F52D" w14:textId="77777777" w:rsidR="007467BC" w:rsidRPr="00D22328" w:rsidRDefault="007467BC" w:rsidP="00D22328">
            <w:pPr>
              <w:spacing w:before="80" w:after="80" w:line="200" w:lineRule="exact"/>
              <w:ind w:right="113"/>
              <w:jc w:val="right"/>
              <w:rPr>
                <w:i/>
                <w:sz w:val="16"/>
              </w:rPr>
            </w:pPr>
            <w:r w:rsidRPr="00D22328">
              <w:rPr>
                <w:i/>
                <w:sz w:val="16"/>
              </w:rPr>
              <w:t>2018</w:t>
            </w:r>
          </w:p>
        </w:tc>
      </w:tr>
      <w:tr w:rsidR="007467BC" w:rsidRPr="00D22328" w14:paraId="7F569E3C" w14:textId="77777777" w:rsidTr="007F2864">
        <w:tc>
          <w:tcPr>
            <w:tcW w:w="1951" w:type="dxa"/>
            <w:tcBorders>
              <w:top w:val="single" w:sz="12" w:space="0" w:color="auto"/>
            </w:tcBorders>
            <w:shd w:val="clear" w:color="auto" w:fill="auto"/>
            <w:tcMar>
              <w:top w:w="0" w:type="dxa"/>
              <w:left w:w="108" w:type="dxa"/>
              <w:bottom w:w="0" w:type="dxa"/>
              <w:right w:w="108" w:type="dxa"/>
            </w:tcMar>
            <w:hideMark/>
          </w:tcPr>
          <w:p w14:paraId="2716270E" w14:textId="77777777" w:rsidR="007467BC" w:rsidRPr="00D22328" w:rsidRDefault="007467BC" w:rsidP="00D22328">
            <w:pPr>
              <w:spacing w:before="40" w:after="40" w:line="220" w:lineRule="exact"/>
              <w:ind w:right="113"/>
              <w:rPr>
                <w:sz w:val="18"/>
              </w:rPr>
            </w:pPr>
            <w:r w:rsidRPr="00D22328">
              <w:rPr>
                <w:sz w:val="18"/>
              </w:rPr>
              <w:t>Total family violence investigations</w:t>
            </w:r>
          </w:p>
        </w:tc>
        <w:tc>
          <w:tcPr>
            <w:tcW w:w="1083" w:type="dxa"/>
            <w:tcBorders>
              <w:top w:val="single" w:sz="12" w:space="0" w:color="auto"/>
            </w:tcBorders>
            <w:shd w:val="clear" w:color="auto" w:fill="auto"/>
            <w:tcMar>
              <w:top w:w="0" w:type="dxa"/>
              <w:left w:w="108" w:type="dxa"/>
              <w:bottom w:w="0" w:type="dxa"/>
              <w:right w:w="108" w:type="dxa"/>
            </w:tcMar>
            <w:vAlign w:val="bottom"/>
            <w:hideMark/>
          </w:tcPr>
          <w:p w14:paraId="17E51D54" w14:textId="77777777" w:rsidR="007467BC" w:rsidRPr="00D22328" w:rsidRDefault="007467BC" w:rsidP="004D2653">
            <w:pPr>
              <w:spacing w:before="40" w:after="40" w:line="220" w:lineRule="exact"/>
              <w:ind w:right="113"/>
              <w:jc w:val="right"/>
              <w:rPr>
                <w:sz w:val="18"/>
              </w:rPr>
            </w:pPr>
            <w:r w:rsidRPr="00D22328">
              <w:rPr>
                <w:sz w:val="18"/>
              </w:rPr>
              <w:t>101</w:t>
            </w:r>
            <w:r w:rsidR="004D2653">
              <w:rPr>
                <w:sz w:val="18"/>
              </w:rPr>
              <w:t xml:space="preserve"> </w:t>
            </w:r>
            <w:r w:rsidRPr="00D22328">
              <w:rPr>
                <w:sz w:val="18"/>
              </w:rPr>
              <w:t>465</w:t>
            </w:r>
          </w:p>
        </w:tc>
        <w:tc>
          <w:tcPr>
            <w:tcW w:w="1084" w:type="dxa"/>
            <w:tcBorders>
              <w:top w:val="single" w:sz="12" w:space="0" w:color="auto"/>
            </w:tcBorders>
            <w:shd w:val="clear" w:color="auto" w:fill="auto"/>
            <w:tcMar>
              <w:top w:w="0" w:type="dxa"/>
              <w:left w:w="108" w:type="dxa"/>
              <w:bottom w:w="0" w:type="dxa"/>
              <w:right w:w="108" w:type="dxa"/>
            </w:tcMar>
            <w:vAlign w:val="bottom"/>
            <w:hideMark/>
          </w:tcPr>
          <w:p w14:paraId="4BA2DFCE" w14:textId="77777777" w:rsidR="007467BC" w:rsidRPr="00D22328" w:rsidRDefault="007467BC" w:rsidP="004D2653">
            <w:pPr>
              <w:spacing w:before="40" w:after="40" w:line="220" w:lineRule="exact"/>
              <w:ind w:right="113"/>
              <w:jc w:val="right"/>
              <w:rPr>
                <w:sz w:val="18"/>
              </w:rPr>
            </w:pPr>
            <w:r w:rsidRPr="00D22328">
              <w:rPr>
                <w:sz w:val="18"/>
              </w:rPr>
              <w:t>110</w:t>
            </w:r>
            <w:r w:rsidR="004D2653">
              <w:rPr>
                <w:sz w:val="18"/>
              </w:rPr>
              <w:t xml:space="preserve"> </w:t>
            </w:r>
            <w:r w:rsidRPr="00D22328">
              <w:rPr>
                <w:sz w:val="18"/>
              </w:rPr>
              <w:t>129</w:t>
            </w:r>
          </w:p>
        </w:tc>
        <w:tc>
          <w:tcPr>
            <w:tcW w:w="1084" w:type="dxa"/>
            <w:tcBorders>
              <w:top w:val="single" w:sz="12" w:space="0" w:color="auto"/>
            </w:tcBorders>
            <w:shd w:val="clear" w:color="auto" w:fill="auto"/>
            <w:tcMar>
              <w:top w:w="0" w:type="dxa"/>
              <w:left w:w="108" w:type="dxa"/>
              <w:bottom w:w="0" w:type="dxa"/>
              <w:right w:w="108" w:type="dxa"/>
            </w:tcMar>
            <w:vAlign w:val="bottom"/>
            <w:hideMark/>
          </w:tcPr>
          <w:p w14:paraId="4270B5D5" w14:textId="77777777" w:rsidR="007467BC" w:rsidRPr="00D22328" w:rsidRDefault="007467BC" w:rsidP="004D2653">
            <w:pPr>
              <w:spacing w:before="40" w:after="40" w:line="220" w:lineRule="exact"/>
              <w:ind w:right="113"/>
              <w:jc w:val="right"/>
              <w:rPr>
                <w:sz w:val="18"/>
              </w:rPr>
            </w:pPr>
            <w:r w:rsidRPr="00D22328">
              <w:rPr>
                <w:sz w:val="18"/>
              </w:rPr>
              <w:t>118</w:t>
            </w:r>
            <w:r w:rsidR="004D2653">
              <w:rPr>
                <w:sz w:val="18"/>
              </w:rPr>
              <w:t xml:space="preserve"> </w:t>
            </w:r>
            <w:r w:rsidRPr="00D22328">
              <w:rPr>
                <w:sz w:val="18"/>
              </w:rPr>
              <w:t>923</w:t>
            </w:r>
          </w:p>
        </w:tc>
        <w:tc>
          <w:tcPr>
            <w:tcW w:w="1084" w:type="dxa"/>
            <w:tcBorders>
              <w:top w:val="single" w:sz="12" w:space="0" w:color="auto"/>
            </w:tcBorders>
            <w:shd w:val="clear" w:color="auto" w:fill="auto"/>
            <w:vAlign w:val="bottom"/>
          </w:tcPr>
          <w:p w14:paraId="78FC779B" w14:textId="77777777" w:rsidR="007467BC" w:rsidRPr="00D22328" w:rsidRDefault="007467BC" w:rsidP="004D2653">
            <w:pPr>
              <w:spacing w:before="40" w:after="40" w:line="220" w:lineRule="exact"/>
              <w:ind w:right="113"/>
              <w:jc w:val="right"/>
              <w:rPr>
                <w:sz w:val="18"/>
              </w:rPr>
            </w:pPr>
            <w:r w:rsidRPr="00D22328">
              <w:rPr>
                <w:sz w:val="18"/>
              </w:rPr>
              <w:t>121</w:t>
            </w:r>
            <w:r w:rsidR="004D2653">
              <w:rPr>
                <w:sz w:val="18"/>
              </w:rPr>
              <w:t xml:space="preserve"> </w:t>
            </w:r>
            <w:r w:rsidRPr="00D22328">
              <w:rPr>
                <w:sz w:val="18"/>
              </w:rPr>
              <w:t>753</w:t>
            </w:r>
          </w:p>
        </w:tc>
        <w:tc>
          <w:tcPr>
            <w:tcW w:w="1084" w:type="dxa"/>
            <w:tcBorders>
              <w:top w:val="single" w:sz="12" w:space="0" w:color="auto"/>
            </w:tcBorders>
            <w:shd w:val="clear" w:color="auto" w:fill="auto"/>
            <w:vAlign w:val="bottom"/>
          </w:tcPr>
          <w:p w14:paraId="08855D3D" w14:textId="77777777" w:rsidR="007467BC" w:rsidRPr="00D22328" w:rsidRDefault="007467BC" w:rsidP="004D2653">
            <w:pPr>
              <w:spacing w:before="40" w:after="40" w:line="220" w:lineRule="exact"/>
              <w:ind w:right="113"/>
              <w:jc w:val="right"/>
              <w:rPr>
                <w:sz w:val="18"/>
              </w:rPr>
            </w:pPr>
            <w:r w:rsidRPr="00D22328">
              <w:rPr>
                <w:sz w:val="18"/>
              </w:rPr>
              <w:t>132</w:t>
            </w:r>
            <w:r w:rsidR="004D2653">
              <w:rPr>
                <w:sz w:val="18"/>
              </w:rPr>
              <w:t xml:space="preserve"> </w:t>
            </w:r>
            <w:r w:rsidRPr="00D22328">
              <w:rPr>
                <w:sz w:val="18"/>
              </w:rPr>
              <w:t>978</w:t>
            </w:r>
          </w:p>
        </w:tc>
      </w:tr>
      <w:tr w:rsidR="007467BC" w:rsidRPr="00D22328" w14:paraId="22F4900D" w14:textId="77777777" w:rsidTr="007F2864">
        <w:tc>
          <w:tcPr>
            <w:tcW w:w="1951" w:type="dxa"/>
            <w:shd w:val="clear" w:color="auto" w:fill="auto"/>
            <w:tcMar>
              <w:top w:w="0" w:type="dxa"/>
              <w:left w:w="108" w:type="dxa"/>
              <w:bottom w:w="0" w:type="dxa"/>
              <w:right w:w="108" w:type="dxa"/>
            </w:tcMar>
            <w:hideMark/>
          </w:tcPr>
          <w:p w14:paraId="39016307" w14:textId="77777777" w:rsidR="007467BC" w:rsidRPr="00D22328" w:rsidRDefault="007467BC" w:rsidP="00D22328">
            <w:pPr>
              <w:spacing w:before="40" w:after="40" w:line="220" w:lineRule="exact"/>
              <w:ind w:right="113"/>
              <w:rPr>
                <w:sz w:val="18"/>
              </w:rPr>
            </w:pPr>
            <w:r w:rsidRPr="00D22328">
              <w:rPr>
                <w:sz w:val="18"/>
              </w:rPr>
              <w:t>At least one offence recorded</w:t>
            </w:r>
          </w:p>
        </w:tc>
        <w:tc>
          <w:tcPr>
            <w:tcW w:w="1083" w:type="dxa"/>
            <w:shd w:val="clear" w:color="auto" w:fill="auto"/>
            <w:tcMar>
              <w:top w:w="0" w:type="dxa"/>
              <w:left w:w="108" w:type="dxa"/>
              <w:bottom w:w="0" w:type="dxa"/>
              <w:right w:w="108" w:type="dxa"/>
            </w:tcMar>
            <w:vAlign w:val="bottom"/>
            <w:hideMark/>
          </w:tcPr>
          <w:p w14:paraId="0540C782" w14:textId="77777777" w:rsidR="007467BC" w:rsidRPr="00D22328" w:rsidRDefault="007467BC" w:rsidP="004D2653">
            <w:pPr>
              <w:spacing w:before="40" w:after="40" w:line="220" w:lineRule="exact"/>
              <w:ind w:right="113"/>
              <w:jc w:val="right"/>
              <w:rPr>
                <w:sz w:val="18"/>
              </w:rPr>
            </w:pPr>
            <w:r w:rsidRPr="00D22328">
              <w:rPr>
                <w:sz w:val="18"/>
              </w:rPr>
              <w:t>37</w:t>
            </w:r>
            <w:r w:rsidR="004D2653">
              <w:rPr>
                <w:sz w:val="18"/>
              </w:rPr>
              <w:t xml:space="preserve"> </w:t>
            </w:r>
            <w:r w:rsidRPr="00D22328">
              <w:rPr>
                <w:sz w:val="18"/>
              </w:rPr>
              <w:t>194</w:t>
            </w:r>
          </w:p>
        </w:tc>
        <w:tc>
          <w:tcPr>
            <w:tcW w:w="1084" w:type="dxa"/>
            <w:shd w:val="clear" w:color="auto" w:fill="auto"/>
            <w:tcMar>
              <w:top w:w="0" w:type="dxa"/>
              <w:left w:w="108" w:type="dxa"/>
              <w:bottom w:w="0" w:type="dxa"/>
              <w:right w:w="108" w:type="dxa"/>
            </w:tcMar>
            <w:vAlign w:val="bottom"/>
            <w:hideMark/>
          </w:tcPr>
          <w:p w14:paraId="2132700A" w14:textId="77777777" w:rsidR="007467BC" w:rsidRPr="00D22328" w:rsidRDefault="007467BC" w:rsidP="004D2653">
            <w:pPr>
              <w:spacing w:before="40" w:after="40" w:line="220" w:lineRule="exact"/>
              <w:ind w:right="113"/>
              <w:jc w:val="right"/>
              <w:rPr>
                <w:sz w:val="18"/>
              </w:rPr>
            </w:pPr>
            <w:r w:rsidRPr="00D22328">
              <w:rPr>
                <w:sz w:val="18"/>
              </w:rPr>
              <w:t>38</w:t>
            </w:r>
            <w:r w:rsidR="004D2653">
              <w:rPr>
                <w:sz w:val="18"/>
              </w:rPr>
              <w:t xml:space="preserve"> </w:t>
            </w:r>
            <w:r w:rsidRPr="00D22328">
              <w:rPr>
                <w:sz w:val="18"/>
              </w:rPr>
              <w:t>340</w:t>
            </w:r>
          </w:p>
        </w:tc>
        <w:tc>
          <w:tcPr>
            <w:tcW w:w="1084" w:type="dxa"/>
            <w:shd w:val="clear" w:color="auto" w:fill="auto"/>
            <w:tcMar>
              <w:top w:w="0" w:type="dxa"/>
              <w:left w:w="108" w:type="dxa"/>
              <w:bottom w:w="0" w:type="dxa"/>
              <w:right w:w="108" w:type="dxa"/>
            </w:tcMar>
            <w:vAlign w:val="bottom"/>
            <w:hideMark/>
          </w:tcPr>
          <w:p w14:paraId="2700F0BF" w14:textId="77777777" w:rsidR="007467BC" w:rsidRPr="00D22328" w:rsidRDefault="007467BC" w:rsidP="004D2653">
            <w:pPr>
              <w:spacing w:before="40" w:after="40" w:line="220" w:lineRule="exact"/>
              <w:ind w:right="113"/>
              <w:jc w:val="right"/>
              <w:rPr>
                <w:sz w:val="18"/>
              </w:rPr>
            </w:pPr>
            <w:r w:rsidRPr="00D22328">
              <w:rPr>
                <w:sz w:val="18"/>
              </w:rPr>
              <w:t>41</w:t>
            </w:r>
            <w:r w:rsidR="004D2653">
              <w:rPr>
                <w:sz w:val="18"/>
              </w:rPr>
              <w:t xml:space="preserve"> </w:t>
            </w:r>
            <w:r w:rsidRPr="00D22328">
              <w:rPr>
                <w:sz w:val="18"/>
              </w:rPr>
              <w:t>128</w:t>
            </w:r>
          </w:p>
        </w:tc>
        <w:tc>
          <w:tcPr>
            <w:tcW w:w="1084" w:type="dxa"/>
            <w:shd w:val="clear" w:color="auto" w:fill="auto"/>
            <w:vAlign w:val="bottom"/>
          </w:tcPr>
          <w:p w14:paraId="6A20A34E" w14:textId="77777777" w:rsidR="007467BC" w:rsidRPr="00D22328" w:rsidRDefault="007467BC" w:rsidP="004D2653">
            <w:pPr>
              <w:spacing w:before="40" w:after="40" w:line="220" w:lineRule="exact"/>
              <w:ind w:right="113"/>
              <w:jc w:val="right"/>
              <w:rPr>
                <w:sz w:val="18"/>
              </w:rPr>
            </w:pPr>
            <w:r w:rsidRPr="00D22328">
              <w:rPr>
                <w:sz w:val="18"/>
              </w:rPr>
              <w:t>39</w:t>
            </w:r>
            <w:r w:rsidR="004D2653">
              <w:rPr>
                <w:sz w:val="18"/>
              </w:rPr>
              <w:t xml:space="preserve"> </w:t>
            </w:r>
            <w:r w:rsidRPr="00D22328">
              <w:rPr>
                <w:sz w:val="18"/>
              </w:rPr>
              <w:t>680</w:t>
            </w:r>
          </w:p>
        </w:tc>
        <w:tc>
          <w:tcPr>
            <w:tcW w:w="1084" w:type="dxa"/>
            <w:shd w:val="clear" w:color="auto" w:fill="auto"/>
            <w:vAlign w:val="bottom"/>
          </w:tcPr>
          <w:p w14:paraId="0125D1F7" w14:textId="77777777" w:rsidR="007467BC" w:rsidRPr="00D22328" w:rsidRDefault="007467BC" w:rsidP="004D2653">
            <w:pPr>
              <w:spacing w:before="40" w:after="40" w:line="220" w:lineRule="exact"/>
              <w:ind w:right="113"/>
              <w:jc w:val="right"/>
              <w:rPr>
                <w:sz w:val="18"/>
              </w:rPr>
            </w:pPr>
            <w:r w:rsidRPr="00D22328">
              <w:rPr>
                <w:sz w:val="18"/>
              </w:rPr>
              <w:t>37</w:t>
            </w:r>
            <w:r w:rsidR="004D2653">
              <w:rPr>
                <w:sz w:val="18"/>
              </w:rPr>
              <w:t xml:space="preserve"> </w:t>
            </w:r>
            <w:r w:rsidRPr="00D22328">
              <w:rPr>
                <w:sz w:val="18"/>
              </w:rPr>
              <w:t>450</w:t>
            </w:r>
          </w:p>
        </w:tc>
      </w:tr>
      <w:tr w:rsidR="007467BC" w:rsidRPr="00D22328" w14:paraId="5807DA83" w14:textId="77777777" w:rsidTr="007F2864">
        <w:tc>
          <w:tcPr>
            <w:tcW w:w="1951" w:type="dxa"/>
            <w:shd w:val="clear" w:color="auto" w:fill="auto"/>
            <w:tcMar>
              <w:top w:w="0" w:type="dxa"/>
              <w:left w:w="108" w:type="dxa"/>
              <w:bottom w:w="0" w:type="dxa"/>
              <w:right w:w="108" w:type="dxa"/>
            </w:tcMar>
            <w:hideMark/>
          </w:tcPr>
          <w:p w14:paraId="1B4719B8" w14:textId="77777777" w:rsidR="007467BC" w:rsidRPr="00D22328" w:rsidRDefault="007467BC" w:rsidP="00D22328">
            <w:pPr>
              <w:spacing w:before="40" w:after="40" w:line="220" w:lineRule="exact"/>
              <w:ind w:right="113"/>
              <w:rPr>
                <w:sz w:val="18"/>
              </w:rPr>
            </w:pPr>
            <w:r w:rsidRPr="00D22328">
              <w:rPr>
                <w:sz w:val="18"/>
              </w:rPr>
              <w:t>No offence recorded</w:t>
            </w:r>
          </w:p>
        </w:tc>
        <w:tc>
          <w:tcPr>
            <w:tcW w:w="1083" w:type="dxa"/>
            <w:shd w:val="clear" w:color="auto" w:fill="auto"/>
            <w:tcMar>
              <w:top w:w="0" w:type="dxa"/>
              <w:left w:w="108" w:type="dxa"/>
              <w:bottom w:w="0" w:type="dxa"/>
              <w:right w:w="108" w:type="dxa"/>
            </w:tcMar>
            <w:vAlign w:val="bottom"/>
            <w:hideMark/>
          </w:tcPr>
          <w:p w14:paraId="11B26267" w14:textId="77777777" w:rsidR="007467BC" w:rsidRPr="00D22328" w:rsidRDefault="007467BC" w:rsidP="004D2653">
            <w:pPr>
              <w:spacing w:before="40" w:after="40" w:line="220" w:lineRule="exact"/>
              <w:ind w:right="113"/>
              <w:jc w:val="right"/>
              <w:rPr>
                <w:sz w:val="18"/>
              </w:rPr>
            </w:pPr>
            <w:r w:rsidRPr="00D22328">
              <w:rPr>
                <w:sz w:val="18"/>
              </w:rPr>
              <w:t>64</w:t>
            </w:r>
            <w:r w:rsidR="004D2653">
              <w:rPr>
                <w:sz w:val="18"/>
              </w:rPr>
              <w:t xml:space="preserve"> </w:t>
            </w:r>
            <w:r w:rsidRPr="00D22328">
              <w:rPr>
                <w:sz w:val="18"/>
              </w:rPr>
              <w:t>271</w:t>
            </w:r>
          </w:p>
        </w:tc>
        <w:tc>
          <w:tcPr>
            <w:tcW w:w="1084" w:type="dxa"/>
            <w:shd w:val="clear" w:color="auto" w:fill="auto"/>
            <w:tcMar>
              <w:top w:w="0" w:type="dxa"/>
              <w:left w:w="108" w:type="dxa"/>
              <w:bottom w:w="0" w:type="dxa"/>
              <w:right w:w="108" w:type="dxa"/>
            </w:tcMar>
            <w:vAlign w:val="bottom"/>
            <w:hideMark/>
          </w:tcPr>
          <w:p w14:paraId="0375CE3E" w14:textId="77777777" w:rsidR="007467BC" w:rsidRPr="00D22328" w:rsidRDefault="007467BC" w:rsidP="004D2653">
            <w:pPr>
              <w:spacing w:before="40" w:after="40" w:line="220" w:lineRule="exact"/>
              <w:ind w:right="113"/>
              <w:jc w:val="right"/>
              <w:rPr>
                <w:sz w:val="18"/>
              </w:rPr>
            </w:pPr>
            <w:r w:rsidRPr="00D22328">
              <w:rPr>
                <w:sz w:val="18"/>
              </w:rPr>
              <w:t>71</w:t>
            </w:r>
            <w:r w:rsidR="004D2653">
              <w:rPr>
                <w:sz w:val="18"/>
              </w:rPr>
              <w:t xml:space="preserve"> </w:t>
            </w:r>
            <w:r w:rsidRPr="00D22328">
              <w:rPr>
                <w:sz w:val="18"/>
              </w:rPr>
              <w:t>789</w:t>
            </w:r>
          </w:p>
        </w:tc>
        <w:tc>
          <w:tcPr>
            <w:tcW w:w="1084" w:type="dxa"/>
            <w:shd w:val="clear" w:color="auto" w:fill="auto"/>
            <w:tcMar>
              <w:top w:w="0" w:type="dxa"/>
              <w:left w:w="108" w:type="dxa"/>
              <w:bottom w:w="0" w:type="dxa"/>
              <w:right w:w="108" w:type="dxa"/>
            </w:tcMar>
            <w:vAlign w:val="bottom"/>
            <w:hideMark/>
          </w:tcPr>
          <w:p w14:paraId="5975E0EC" w14:textId="77777777" w:rsidR="007467BC" w:rsidRPr="00D22328" w:rsidRDefault="007467BC" w:rsidP="004D2653">
            <w:pPr>
              <w:spacing w:before="40" w:after="40" w:line="220" w:lineRule="exact"/>
              <w:ind w:right="113"/>
              <w:jc w:val="right"/>
              <w:rPr>
                <w:sz w:val="18"/>
              </w:rPr>
            </w:pPr>
            <w:r w:rsidRPr="00D22328">
              <w:rPr>
                <w:sz w:val="18"/>
              </w:rPr>
              <w:t>77</w:t>
            </w:r>
            <w:r w:rsidR="004D2653">
              <w:rPr>
                <w:sz w:val="18"/>
              </w:rPr>
              <w:t xml:space="preserve"> </w:t>
            </w:r>
            <w:r w:rsidRPr="00D22328">
              <w:rPr>
                <w:sz w:val="18"/>
              </w:rPr>
              <w:t>795</w:t>
            </w:r>
          </w:p>
        </w:tc>
        <w:tc>
          <w:tcPr>
            <w:tcW w:w="1084" w:type="dxa"/>
            <w:shd w:val="clear" w:color="auto" w:fill="auto"/>
            <w:vAlign w:val="bottom"/>
          </w:tcPr>
          <w:p w14:paraId="1A42AF5E" w14:textId="77777777" w:rsidR="007467BC" w:rsidRPr="00D22328" w:rsidRDefault="007467BC" w:rsidP="004D2653">
            <w:pPr>
              <w:spacing w:before="40" w:after="40" w:line="220" w:lineRule="exact"/>
              <w:ind w:right="113"/>
              <w:jc w:val="right"/>
              <w:rPr>
                <w:sz w:val="18"/>
              </w:rPr>
            </w:pPr>
            <w:r w:rsidRPr="00D22328">
              <w:rPr>
                <w:sz w:val="18"/>
              </w:rPr>
              <w:t>82</w:t>
            </w:r>
            <w:r w:rsidR="004D2653">
              <w:rPr>
                <w:sz w:val="18"/>
              </w:rPr>
              <w:t xml:space="preserve"> </w:t>
            </w:r>
            <w:r w:rsidRPr="00D22328">
              <w:rPr>
                <w:sz w:val="18"/>
              </w:rPr>
              <w:t>073</w:t>
            </w:r>
          </w:p>
        </w:tc>
        <w:tc>
          <w:tcPr>
            <w:tcW w:w="1084" w:type="dxa"/>
            <w:shd w:val="clear" w:color="auto" w:fill="auto"/>
            <w:vAlign w:val="bottom"/>
          </w:tcPr>
          <w:p w14:paraId="0B4E5B0E" w14:textId="77777777" w:rsidR="007467BC" w:rsidRPr="00D22328" w:rsidRDefault="007467BC" w:rsidP="004D2653">
            <w:pPr>
              <w:spacing w:before="40" w:after="40" w:line="220" w:lineRule="exact"/>
              <w:ind w:right="113"/>
              <w:jc w:val="right"/>
              <w:rPr>
                <w:sz w:val="18"/>
              </w:rPr>
            </w:pPr>
            <w:r w:rsidRPr="00D22328">
              <w:rPr>
                <w:sz w:val="18"/>
              </w:rPr>
              <w:t>95</w:t>
            </w:r>
            <w:r w:rsidR="004D2653">
              <w:rPr>
                <w:sz w:val="18"/>
              </w:rPr>
              <w:t xml:space="preserve"> </w:t>
            </w:r>
            <w:r w:rsidRPr="00D22328">
              <w:rPr>
                <w:sz w:val="18"/>
              </w:rPr>
              <w:t>528</w:t>
            </w:r>
          </w:p>
        </w:tc>
      </w:tr>
    </w:tbl>
    <w:p w14:paraId="4056B6CC" w14:textId="77777777" w:rsidR="007467BC" w:rsidRPr="009F47DE" w:rsidRDefault="007467BC" w:rsidP="007F2864">
      <w:pPr>
        <w:pStyle w:val="H23G"/>
      </w:pPr>
      <w:r w:rsidRPr="009F47DE">
        <w:tab/>
      </w:r>
      <w:r w:rsidRPr="009F47DE">
        <w:tab/>
        <w:t>Prosecutions and Conviction</w:t>
      </w:r>
      <w:r w:rsidR="00562737">
        <w:t>s for Male Assaults Female 2013–</w:t>
      </w:r>
      <w:r w:rsidRPr="009F47DE">
        <w:t>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03"/>
        <w:gridCol w:w="913"/>
        <w:gridCol w:w="914"/>
        <w:gridCol w:w="912"/>
        <w:gridCol w:w="914"/>
        <w:gridCol w:w="914"/>
      </w:tblGrid>
      <w:tr w:rsidR="00817125" w:rsidRPr="004D2653" w14:paraId="5C3BA8B0" w14:textId="77777777" w:rsidTr="00817125">
        <w:trPr>
          <w:tblHeader/>
        </w:trPr>
        <w:tc>
          <w:tcPr>
            <w:tcW w:w="1901" w:type="pct"/>
            <w:tcBorders>
              <w:top w:val="single" w:sz="4" w:space="0" w:color="auto"/>
              <w:bottom w:val="single" w:sz="12" w:space="0" w:color="auto"/>
            </w:tcBorders>
            <w:shd w:val="clear" w:color="auto" w:fill="auto"/>
            <w:tcMar>
              <w:top w:w="0" w:type="dxa"/>
              <w:left w:w="108" w:type="dxa"/>
              <w:bottom w:w="0" w:type="dxa"/>
              <w:right w:w="108" w:type="dxa"/>
            </w:tcMar>
            <w:vAlign w:val="bottom"/>
          </w:tcPr>
          <w:p w14:paraId="59AF7677" w14:textId="77777777" w:rsidR="007467BC" w:rsidRPr="004D2653" w:rsidRDefault="007467BC" w:rsidP="004D2653">
            <w:pPr>
              <w:spacing w:before="80" w:after="80" w:line="200" w:lineRule="exact"/>
              <w:ind w:right="113"/>
              <w:rPr>
                <w:i/>
                <w:sz w:val="16"/>
              </w:rPr>
            </w:pPr>
          </w:p>
        </w:tc>
        <w:tc>
          <w:tcPr>
            <w:tcW w:w="619"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3B60A293" w14:textId="77777777" w:rsidR="007467BC" w:rsidRPr="004D2653" w:rsidRDefault="007467BC" w:rsidP="004D2653">
            <w:pPr>
              <w:spacing w:before="80" w:after="80" w:line="200" w:lineRule="exact"/>
              <w:ind w:right="113"/>
              <w:jc w:val="right"/>
              <w:rPr>
                <w:i/>
                <w:sz w:val="16"/>
              </w:rPr>
            </w:pPr>
            <w:r w:rsidRPr="004D2653">
              <w:rPr>
                <w:i/>
                <w:sz w:val="16"/>
              </w:rPr>
              <w:t>2</w:t>
            </w:r>
            <w:r w:rsidR="00DD449F">
              <w:rPr>
                <w:i/>
                <w:sz w:val="16"/>
              </w:rPr>
              <w:t>0</w:t>
            </w:r>
            <w:r w:rsidRPr="004D2653">
              <w:rPr>
                <w:i/>
                <w:sz w:val="16"/>
              </w:rPr>
              <w:t>13/14</w:t>
            </w:r>
          </w:p>
        </w:tc>
        <w:tc>
          <w:tcPr>
            <w:tcW w:w="620"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0549B819" w14:textId="77777777" w:rsidR="007467BC" w:rsidRPr="004D2653" w:rsidRDefault="007467BC" w:rsidP="004D2653">
            <w:pPr>
              <w:spacing w:before="80" w:after="80" w:line="200" w:lineRule="exact"/>
              <w:ind w:right="113"/>
              <w:jc w:val="right"/>
              <w:rPr>
                <w:i/>
                <w:sz w:val="16"/>
              </w:rPr>
            </w:pPr>
            <w:r w:rsidRPr="004D2653">
              <w:rPr>
                <w:i/>
                <w:sz w:val="16"/>
              </w:rPr>
              <w:t>2014/15</w:t>
            </w:r>
          </w:p>
        </w:tc>
        <w:tc>
          <w:tcPr>
            <w:tcW w:w="619" w:type="pct"/>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82850A0" w14:textId="77777777" w:rsidR="007467BC" w:rsidRPr="004D2653" w:rsidRDefault="007467BC" w:rsidP="004D2653">
            <w:pPr>
              <w:spacing w:before="80" w:after="80" w:line="200" w:lineRule="exact"/>
              <w:ind w:right="113"/>
              <w:jc w:val="right"/>
              <w:rPr>
                <w:i/>
                <w:sz w:val="16"/>
              </w:rPr>
            </w:pPr>
            <w:r w:rsidRPr="004D2653">
              <w:rPr>
                <w:i/>
                <w:sz w:val="16"/>
              </w:rPr>
              <w:t>2015/16</w:t>
            </w:r>
          </w:p>
        </w:tc>
        <w:tc>
          <w:tcPr>
            <w:tcW w:w="620" w:type="pct"/>
            <w:tcBorders>
              <w:top w:val="single" w:sz="4" w:space="0" w:color="auto"/>
              <w:bottom w:val="single" w:sz="12" w:space="0" w:color="auto"/>
            </w:tcBorders>
            <w:shd w:val="clear" w:color="auto" w:fill="auto"/>
            <w:vAlign w:val="bottom"/>
          </w:tcPr>
          <w:p w14:paraId="3DA9F725" w14:textId="77777777" w:rsidR="007467BC" w:rsidRPr="004D2653" w:rsidRDefault="007467BC" w:rsidP="004D2653">
            <w:pPr>
              <w:spacing w:before="80" w:after="80" w:line="200" w:lineRule="exact"/>
              <w:ind w:right="113"/>
              <w:jc w:val="right"/>
              <w:rPr>
                <w:i/>
                <w:sz w:val="16"/>
              </w:rPr>
            </w:pPr>
            <w:r w:rsidRPr="004D2653">
              <w:rPr>
                <w:i/>
                <w:sz w:val="16"/>
              </w:rPr>
              <w:t>2016/17</w:t>
            </w:r>
          </w:p>
        </w:tc>
        <w:tc>
          <w:tcPr>
            <w:tcW w:w="620" w:type="pct"/>
            <w:tcBorders>
              <w:top w:val="single" w:sz="4" w:space="0" w:color="auto"/>
              <w:bottom w:val="single" w:sz="12" w:space="0" w:color="auto"/>
            </w:tcBorders>
            <w:shd w:val="clear" w:color="auto" w:fill="auto"/>
            <w:vAlign w:val="bottom"/>
          </w:tcPr>
          <w:p w14:paraId="3C7B2B5F" w14:textId="77777777" w:rsidR="007467BC" w:rsidRPr="004D2653" w:rsidRDefault="007467BC" w:rsidP="004D2653">
            <w:pPr>
              <w:spacing w:before="80" w:after="80" w:line="200" w:lineRule="exact"/>
              <w:ind w:right="113"/>
              <w:jc w:val="right"/>
              <w:rPr>
                <w:i/>
                <w:sz w:val="16"/>
              </w:rPr>
            </w:pPr>
            <w:r w:rsidRPr="004D2653">
              <w:rPr>
                <w:i/>
                <w:sz w:val="16"/>
              </w:rPr>
              <w:t>2017/18</w:t>
            </w:r>
          </w:p>
        </w:tc>
      </w:tr>
      <w:tr w:rsidR="00817125" w:rsidRPr="004D2653" w14:paraId="6173ABC8" w14:textId="77777777" w:rsidTr="00817125">
        <w:tc>
          <w:tcPr>
            <w:tcW w:w="1901" w:type="pct"/>
            <w:tcBorders>
              <w:top w:val="single" w:sz="12" w:space="0" w:color="auto"/>
            </w:tcBorders>
            <w:shd w:val="clear" w:color="auto" w:fill="auto"/>
            <w:tcMar>
              <w:top w:w="0" w:type="dxa"/>
              <w:left w:w="108" w:type="dxa"/>
              <w:bottom w:w="0" w:type="dxa"/>
              <w:right w:w="108" w:type="dxa"/>
            </w:tcMar>
            <w:hideMark/>
          </w:tcPr>
          <w:p w14:paraId="77C34538" w14:textId="77777777" w:rsidR="007467BC" w:rsidRPr="004D2653" w:rsidRDefault="007467BC" w:rsidP="004D2653">
            <w:pPr>
              <w:spacing w:before="40" w:after="40" w:line="220" w:lineRule="exact"/>
              <w:ind w:right="113"/>
              <w:rPr>
                <w:sz w:val="18"/>
              </w:rPr>
            </w:pPr>
            <w:r w:rsidRPr="004D2653">
              <w:rPr>
                <w:sz w:val="18"/>
              </w:rPr>
              <w:t>Number of charges prosecuted</w:t>
            </w:r>
          </w:p>
        </w:tc>
        <w:tc>
          <w:tcPr>
            <w:tcW w:w="619" w:type="pct"/>
            <w:tcBorders>
              <w:top w:val="single" w:sz="12" w:space="0" w:color="auto"/>
            </w:tcBorders>
            <w:shd w:val="clear" w:color="auto" w:fill="auto"/>
            <w:tcMar>
              <w:top w:w="0" w:type="dxa"/>
              <w:left w:w="108" w:type="dxa"/>
              <w:bottom w:w="0" w:type="dxa"/>
              <w:right w:w="108" w:type="dxa"/>
            </w:tcMar>
            <w:vAlign w:val="bottom"/>
            <w:hideMark/>
          </w:tcPr>
          <w:p w14:paraId="19437B05" w14:textId="77777777" w:rsidR="007467BC" w:rsidRPr="004D2653" w:rsidRDefault="007467BC" w:rsidP="00DD449F">
            <w:pPr>
              <w:spacing w:before="40" w:after="40" w:line="220" w:lineRule="exact"/>
              <w:ind w:right="113"/>
              <w:jc w:val="right"/>
              <w:rPr>
                <w:sz w:val="18"/>
              </w:rPr>
            </w:pPr>
            <w:r w:rsidRPr="004D2653">
              <w:rPr>
                <w:sz w:val="18"/>
              </w:rPr>
              <w:t>4</w:t>
            </w:r>
            <w:r w:rsidR="00DD449F">
              <w:rPr>
                <w:sz w:val="18"/>
              </w:rPr>
              <w:t xml:space="preserve"> </w:t>
            </w:r>
            <w:r w:rsidRPr="004D2653">
              <w:rPr>
                <w:sz w:val="18"/>
              </w:rPr>
              <w:t>113</w:t>
            </w:r>
          </w:p>
        </w:tc>
        <w:tc>
          <w:tcPr>
            <w:tcW w:w="620" w:type="pct"/>
            <w:tcBorders>
              <w:top w:val="single" w:sz="12" w:space="0" w:color="auto"/>
            </w:tcBorders>
            <w:shd w:val="clear" w:color="auto" w:fill="auto"/>
            <w:tcMar>
              <w:top w:w="0" w:type="dxa"/>
              <w:left w:w="108" w:type="dxa"/>
              <w:bottom w:w="0" w:type="dxa"/>
              <w:right w:w="108" w:type="dxa"/>
            </w:tcMar>
            <w:vAlign w:val="bottom"/>
            <w:hideMark/>
          </w:tcPr>
          <w:p w14:paraId="4CD32417" w14:textId="77777777" w:rsidR="007467BC" w:rsidRPr="004D2653" w:rsidRDefault="007467BC" w:rsidP="00DD449F">
            <w:pPr>
              <w:spacing w:before="40" w:after="40" w:line="220" w:lineRule="exact"/>
              <w:ind w:right="113"/>
              <w:jc w:val="right"/>
              <w:rPr>
                <w:sz w:val="18"/>
              </w:rPr>
            </w:pPr>
            <w:r w:rsidRPr="004D2653">
              <w:rPr>
                <w:sz w:val="18"/>
              </w:rPr>
              <w:t>4</w:t>
            </w:r>
            <w:r w:rsidR="00DD449F">
              <w:rPr>
                <w:sz w:val="18"/>
              </w:rPr>
              <w:t xml:space="preserve"> </w:t>
            </w:r>
            <w:r w:rsidRPr="004D2653">
              <w:rPr>
                <w:sz w:val="18"/>
              </w:rPr>
              <w:t>134</w:t>
            </w:r>
          </w:p>
        </w:tc>
        <w:tc>
          <w:tcPr>
            <w:tcW w:w="619" w:type="pct"/>
            <w:tcBorders>
              <w:top w:val="single" w:sz="12" w:space="0" w:color="auto"/>
            </w:tcBorders>
            <w:shd w:val="clear" w:color="auto" w:fill="auto"/>
            <w:tcMar>
              <w:top w:w="0" w:type="dxa"/>
              <w:left w:w="108" w:type="dxa"/>
              <w:bottom w:w="0" w:type="dxa"/>
              <w:right w:w="108" w:type="dxa"/>
            </w:tcMar>
            <w:vAlign w:val="bottom"/>
            <w:hideMark/>
          </w:tcPr>
          <w:p w14:paraId="5B1C65D0" w14:textId="77777777" w:rsidR="007467BC" w:rsidRPr="004D2653" w:rsidRDefault="007467BC" w:rsidP="00DD449F">
            <w:pPr>
              <w:spacing w:before="40" w:after="40" w:line="220" w:lineRule="exact"/>
              <w:ind w:right="113"/>
              <w:jc w:val="right"/>
              <w:rPr>
                <w:sz w:val="18"/>
              </w:rPr>
            </w:pPr>
            <w:r w:rsidRPr="004D2653">
              <w:rPr>
                <w:sz w:val="18"/>
              </w:rPr>
              <w:t>4</w:t>
            </w:r>
            <w:r w:rsidR="00DD449F">
              <w:rPr>
                <w:sz w:val="18"/>
              </w:rPr>
              <w:t xml:space="preserve"> </w:t>
            </w:r>
            <w:r w:rsidRPr="004D2653">
              <w:rPr>
                <w:sz w:val="18"/>
              </w:rPr>
              <w:t>692</w:t>
            </w:r>
          </w:p>
        </w:tc>
        <w:tc>
          <w:tcPr>
            <w:tcW w:w="620" w:type="pct"/>
            <w:tcBorders>
              <w:top w:val="single" w:sz="12" w:space="0" w:color="auto"/>
            </w:tcBorders>
            <w:shd w:val="clear" w:color="auto" w:fill="auto"/>
            <w:vAlign w:val="bottom"/>
          </w:tcPr>
          <w:p w14:paraId="6B7AC622" w14:textId="77777777" w:rsidR="007467BC" w:rsidRPr="004D2653" w:rsidRDefault="007467BC" w:rsidP="00DD449F">
            <w:pPr>
              <w:spacing w:before="40" w:after="40" w:line="220" w:lineRule="exact"/>
              <w:ind w:right="113"/>
              <w:jc w:val="right"/>
              <w:rPr>
                <w:sz w:val="18"/>
              </w:rPr>
            </w:pPr>
            <w:r w:rsidRPr="004D2653">
              <w:rPr>
                <w:sz w:val="18"/>
              </w:rPr>
              <w:t>4</w:t>
            </w:r>
            <w:r w:rsidR="00DD449F">
              <w:rPr>
                <w:sz w:val="18"/>
              </w:rPr>
              <w:t xml:space="preserve"> </w:t>
            </w:r>
            <w:r w:rsidRPr="004D2653">
              <w:rPr>
                <w:sz w:val="18"/>
              </w:rPr>
              <w:t>792</w:t>
            </w:r>
          </w:p>
        </w:tc>
        <w:tc>
          <w:tcPr>
            <w:tcW w:w="620" w:type="pct"/>
            <w:tcBorders>
              <w:top w:val="single" w:sz="12" w:space="0" w:color="auto"/>
            </w:tcBorders>
            <w:shd w:val="clear" w:color="auto" w:fill="auto"/>
            <w:vAlign w:val="bottom"/>
          </w:tcPr>
          <w:p w14:paraId="601003EE" w14:textId="77777777" w:rsidR="007467BC" w:rsidRPr="004D2653" w:rsidRDefault="007467BC" w:rsidP="00DD449F">
            <w:pPr>
              <w:spacing w:before="40" w:after="40" w:line="220" w:lineRule="exact"/>
              <w:ind w:right="113"/>
              <w:jc w:val="right"/>
              <w:rPr>
                <w:sz w:val="18"/>
              </w:rPr>
            </w:pPr>
            <w:r w:rsidRPr="004D2653">
              <w:rPr>
                <w:sz w:val="18"/>
              </w:rPr>
              <w:t>4</w:t>
            </w:r>
            <w:r w:rsidR="00DD449F">
              <w:rPr>
                <w:sz w:val="18"/>
              </w:rPr>
              <w:t xml:space="preserve"> </w:t>
            </w:r>
            <w:r w:rsidRPr="004D2653">
              <w:rPr>
                <w:sz w:val="18"/>
              </w:rPr>
              <w:t>745</w:t>
            </w:r>
          </w:p>
        </w:tc>
      </w:tr>
      <w:tr w:rsidR="00817125" w:rsidRPr="004D2653" w14:paraId="040A84FF" w14:textId="77777777" w:rsidTr="00817125">
        <w:tc>
          <w:tcPr>
            <w:tcW w:w="1901" w:type="pct"/>
            <w:shd w:val="clear" w:color="auto" w:fill="auto"/>
            <w:tcMar>
              <w:top w:w="0" w:type="dxa"/>
              <w:left w:w="108" w:type="dxa"/>
              <w:bottom w:w="0" w:type="dxa"/>
              <w:right w:w="108" w:type="dxa"/>
            </w:tcMar>
            <w:hideMark/>
          </w:tcPr>
          <w:p w14:paraId="2D920E32" w14:textId="77777777" w:rsidR="007467BC" w:rsidRPr="004D2653" w:rsidRDefault="007467BC" w:rsidP="004D2653">
            <w:pPr>
              <w:spacing w:before="40" w:after="40" w:line="220" w:lineRule="exact"/>
              <w:ind w:right="113"/>
              <w:rPr>
                <w:sz w:val="18"/>
              </w:rPr>
            </w:pPr>
            <w:r w:rsidRPr="004D2653">
              <w:rPr>
                <w:sz w:val="18"/>
              </w:rPr>
              <w:t>Number of convicted charges</w:t>
            </w:r>
          </w:p>
        </w:tc>
        <w:tc>
          <w:tcPr>
            <w:tcW w:w="619" w:type="pct"/>
            <w:shd w:val="clear" w:color="auto" w:fill="auto"/>
            <w:tcMar>
              <w:top w:w="0" w:type="dxa"/>
              <w:left w:w="108" w:type="dxa"/>
              <w:bottom w:w="0" w:type="dxa"/>
              <w:right w:w="108" w:type="dxa"/>
            </w:tcMar>
            <w:vAlign w:val="bottom"/>
            <w:hideMark/>
          </w:tcPr>
          <w:p w14:paraId="57375547" w14:textId="77777777" w:rsidR="007467BC" w:rsidRPr="004D2653" w:rsidRDefault="007467BC" w:rsidP="00DD449F">
            <w:pPr>
              <w:spacing w:before="40" w:after="40" w:line="220" w:lineRule="exact"/>
              <w:ind w:right="113"/>
              <w:jc w:val="right"/>
              <w:rPr>
                <w:sz w:val="18"/>
              </w:rPr>
            </w:pPr>
            <w:r w:rsidRPr="004D2653">
              <w:rPr>
                <w:sz w:val="18"/>
              </w:rPr>
              <w:t>2</w:t>
            </w:r>
            <w:r w:rsidR="005E70BA">
              <w:rPr>
                <w:sz w:val="18"/>
              </w:rPr>
              <w:t xml:space="preserve"> </w:t>
            </w:r>
            <w:r w:rsidRPr="004D2653">
              <w:rPr>
                <w:sz w:val="18"/>
              </w:rPr>
              <w:t>980</w:t>
            </w:r>
          </w:p>
        </w:tc>
        <w:tc>
          <w:tcPr>
            <w:tcW w:w="620" w:type="pct"/>
            <w:shd w:val="clear" w:color="auto" w:fill="auto"/>
            <w:tcMar>
              <w:top w:w="0" w:type="dxa"/>
              <w:left w:w="108" w:type="dxa"/>
              <w:bottom w:w="0" w:type="dxa"/>
              <w:right w:w="108" w:type="dxa"/>
            </w:tcMar>
            <w:vAlign w:val="bottom"/>
            <w:hideMark/>
          </w:tcPr>
          <w:p w14:paraId="00CF58B8" w14:textId="77777777" w:rsidR="007467BC" w:rsidRPr="004D2653" w:rsidRDefault="007467BC" w:rsidP="00DD449F">
            <w:pPr>
              <w:spacing w:before="40" w:after="40" w:line="220" w:lineRule="exact"/>
              <w:ind w:right="113"/>
              <w:jc w:val="right"/>
              <w:rPr>
                <w:sz w:val="18"/>
              </w:rPr>
            </w:pPr>
            <w:r w:rsidRPr="004D2653">
              <w:rPr>
                <w:sz w:val="18"/>
              </w:rPr>
              <w:t>2</w:t>
            </w:r>
            <w:r w:rsidR="00DD449F">
              <w:rPr>
                <w:sz w:val="18"/>
              </w:rPr>
              <w:t xml:space="preserve"> </w:t>
            </w:r>
            <w:r w:rsidRPr="004D2653">
              <w:rPr>
                <w:sz w:val="18"/>
              </w:rPr>
              <w:t>869</w:t>
            </w:r>
          </w:p>
        </w:tc>
        <w:tc>
          <w:tcPr>
            <w:tcW w:w="619" w:type="pct"/>
            <w:shd w:val="clear" w:color="auto" w:fill="auto"/>
            <w:tcMar>
              <w:top w:w="0" w:type="dxa"/>
              <w:left w:w="108" w:type="dxa"/>
              <w:bottom w:w="0" w:type="dxa"/>
              <w:right w:w="108" w:type="dxa"/>
            </w:tcMar>
            <w:vAlign w:val="bottom"/>
            <w:hideMark/>
          </w:tcPr>
          <w:p w14:paraId="2D8B28BE" w14:textId="77777777" w:rsidR="007467BC" w:rsidRPr="004D2653" w:rsidRDefault="007467BC" w:rsidP="00DD449F">
            <w:pPr>
              <w:spacing w:before="40" w:after="40" w:line="220" w:lineRule="exact"/>
              <w:ind w:right="113"/>
              <w:jc w:val="right"/>
              <w:rPr>
                <w:sz w:val="18"/>
              </w:rPr>
            </w:pPr>
            <w:r w:rsidRPr="004D2653">
              <w:rPr>
                <w:sz w:val="18"/>
              </w:rPr>
              <w:t>3</w:t>
            </w:r>
            <w:r w:rsidR="00DD449F">
              <w:rPr>
                <w:sz w:val="18"/>
              </w:rPr>
              <w:t xml:space="preserve"> </w:t>
            </w:r>
            <w:r w:rsidRPr="004D2653">
              <w:rPr>
                <w:sz w:val="18"/>
              </w:rPr>
              <w:t>292</w:t>
            </w:r>
          </w:p>
        </w:tc>
        <w:tc>
          <w:tcPr>
            <w:tcW w:w="620" w:type="pct"/>
            <w:shd w:val="clear" w:color="auto" w:fill="auto"/>
            <w:vAlign w:val="bottom"/>
          </w:tcPr>
          <w:p w14:paraId="4EA6C6B5" w14:textId="77777777" w:rsidR="007467BC" w:rsidRPr="004D2653" w:rsidRDefault="007467BC" w:rsidP="00DD449F">
            <w:pPr>
              <w:spacing w:before="40" w:after="40" w:line="220" w:lineRule="exact"/>
              <w:ind w:right="113"/>
              <w:jc w:val="right"/>
              <w:rPr>
                <w:sz w:val="18"/>
              </w:rPr>
            </w:pPr>
            <w:r w:rsidRPr="004D2653">
              <w:rPr>
                <w:sz w:val="18"/>
              </w:rPr>
              <w:t>3</w:t>
            </w:r>
            <w:r w:rsidR="00DD449F">
              <w:rPr>
                <w:sz w:val="18"/>
              </w:rPr>
              <w:t xml:space="preserve"> </w:t>
            </w:r>
            <w:r w:rsidRPr="004D2653">
              <w:rPr>
                <w:sz w:val="18"/>
              </w:rPr>
              <w:t>322</w:t>
            </w:r>
          </w:p>
        </w:tc>
        <w:tc>
          <w:tcPr>
            <w:tcW w:w="620" w:type="pct"/>
            <w:shd w:val="clear" w:color="auto" w:fill="auto"/>
            <w:vAlign w:val="bottom"/>
          </w:tcPr>
          <w:p w14:paraId="6F21F03F" w14:textId="77777777" w:rsidR="007467BC" w:rsidRPr="004D2653" w:rsidRDefault="007467BC" w:rsidP="00DD449F">
            <w:pPr>
              <w:spacing w:before="40" w:after="40" w:line="220" w:lineRule="exact"/>
              <w:ind w:right="113"/>
              <w:jc w:val="right"/>
              <w:rPr>
                <w:sz w:val="18"/>
              </w:rPr>
            </w:pPr>
            <w:r w:rsidRPr="004D2653">
              <w:rPr>
                <w:sz w:val="18"/>
              </w:rPr>
              <w:t>3</w:t>
            </w:r>
            <w:r w:rsidR="00DD449F">
              <w:rPr>
                <w:sz w:val="18"/>
              </w:rPr>
              <w:t xml:space="preserve"> </w:t>
            </w:r>
            <w:r w:rsidRPr="004D2653">
              <w:rPr>
                <w:sz w:val="18"/>
              </w:rPr>
              <w:t>288</w:t>
            </w:r>
          </w:p>
        </w:tc>
      </w:tr>
      <w:tr w:rsidR="00817125" w:rsidRPr="004D2653" w14:paraId="405B7F55" w14:textId="77777777" w:rsidTr="00817125">
        <w:tc>
          <w:tcPr>
            <w:tcW w:w="1901" w:type="pct"/>
            <w:shd w:val="clear" w:color="auto" w:fill="auto"/>
            <w:tcMar>
              <w:top w:w="0" w:type="dxa"/>
              <w:left w:w="108" w:type="dxa"/>
              <w:bottom w:w="0" w:type="dxa"/>
              <w:right w:w="108" w:type="dxa"/>
            </w:tcMar>
            <w:hideMark/>
          </w:tcPr>
          <w:p w14:paraId="229CD187" w14:textId="77777777" w:rsidR="007467BC" w:rsidRPr="004D2653" w:rsidRDefault="007467BC" w:rsidP="004D2653">
            <w:pPr>
              <w:spacing w:before="40" w:after="40" w:line="220" w:lineRule="exact"/>
              <w:ind w:right="113"/>
              <w:rPr>
                <w:sz w:val="18"/>
              </w:rPr>
            </w:pPr>
            <w:r w:rsidRPr="004D2653">
              <w:rPr>
                <w:sz w:val="18"/>
              </w:rPr>
              <w:t>% of charges prosecuted</w:t>
            </w:r>
          </w:p>
        </w:tc>
        <w:tc>
          <w:tcPr>
            <w:tcW w:w="619" w:type="pct"/>
            <w:shd w:val="clear" w:color="auto" w:fill="auto"/>
            <w:tcMar>
              <w:top w:w="0" w:type="dxa"/>
              <w:left w:w="108" w:type="dxa"/>
              <w:bottom w:w="0" w:type="dxa"/>
              <w:right w:w="108" w:type="dxa"/>
            </w:tcMar>
            <w:vAlign w:val="bottom"/>
            <w:hideMark/>
          </w:tcPr>
          <w:p w14:paraId="751EE5EE" w14:textId="77777777" w:rsidR="007467BC" w:rsidRPr="004D2653" w:rsidRDefault="007467BC" w:rsidP="004D2653">
            <w:pPr>
              <w:spacing w:before="40" w:after="40" w:line="220" w:lineRule="exact"/>
              <w:ind w:right="113"/>
              <w:jc w:val="right"/>
              <w:rPr>
                <w:sz w:val="18"/>
              </w:rPr>
            </w:pPr>
            <w:r w:rsidRPr="004D2653">
              <w:rPr>
                <w:sz w:val="18"/>
              </w:rPr>
              <w:t>72%</w:t>
            </w:r>
          </w:p>
        </w:tc>
        <w:tc>
          <w:tcPr>
            <w:tcW w:w="620" w:type="pct"/>
            <w:shd w:val="clear" w:color="auto" w:fill="auto"/>
            <w:tcMar>
              <w:top w:w="0" w:type="dxa"/>
              <w:left w:w="108" w:type="dxa"/>
              <w:bottom w:w="0" w:type="dxa"/>
              <w:right w:w="108" w:type="dxa"/>
            </w:tcMar>
            <w:vAlign w:val="bottom"/>
            <w:hideMark/>
          </w:tcPr>
          <w:p w14:paraId="3D67DD03" w14:textId="77777777" w:rsidR="007467BC" w:rsidRPr="004D2653" w:rsidRDefault="007467BC" w:rsidP="004D2653">
            <w:pPr>
              <w:spacing w:before="40" w:after="40" w:line="220" w:lineRule="exact"/>
              <w:ind w:right="113"/>
              <w:jc w:val="right"/>
              <w:rPr>
                <w:sz w:val="18"/>
              </w:rPr>
            </w:pPr>
            <w:r w:rsidRPr="004D2653">
              <w:rPr>
                <w:sz w:val="18"/>
              </w:rPr>
              <w:t>69%</w:t>
            </w:r>
          </w:p>
        </w:tc>
        <w:tc>
          <w:tcPr>
            <w:tcW w:w="619" w:type="pct"/>
            <w:shd w:val="clear" w:color="auto" w:fill="auto"/>
            <w:tcMar>
              <w:top w:w="0" w:type="dxa"/>
              <w:left w:w="108" w:type="dxa"/>
              <w:bottom w:w="0" w:type="dxa"/>
              <w:right w:w="108" w:type="dxa"/>
            </w:tcMar>
            <w:vAlign w:val="bottom"/>
            <w:hideMark/>
          </w:tcPr>
          <w:p w14:paraId="5496982D" w14:textId="77777777" w:rsidR="007467BC" w:rsidRPr="004D2653" w:rsidRDefault="007467BC" w:rsidP="004D2653">
            <w:pPr>
              <w:spacing w:before="40" w:after="40" w:line="220" w:lineRule="exact"/>
              <w:ind w:right="113"/>
              <w:jc w:val="right"/>
              <w:rPr>
                <w:sz w:val="18"/>
              </w:rPr>
            </w:pPr>
            <w:r w:rsidRPr="004D2653">
              <w:rPr>
                <w:sz w:val="18"/>
              </w:rPr>
              <w:t>70%</w:t>
            </w:r>
          </w:p>
        </w:tc>
        <w:tc>
          <w:tcPr>
            <w:tcW w:w="620" w:type="pct"/>
            <w:shd w:val="clear" w:color="auto" w:fill="auto"/>
            <w:vAlign w:val="bottom"/>
          </w:tcPr>
          <w:p w14:paraId="3058D941" w14:textId="77777777" w:rsidR="007467BC" w:rsidRPr="004D2653" w:rsidRDefault="007467BC" w:rsidP="004D2653">
            <w:pPr>
              <w:spacing w:before="40" w:after="40" w:line="220" w:lineRule="exact"/>
              <w:ind w:right="113"/>
              <w:jc w:val="right"/>
              <w:rPr>
                <w:sz w:val="18"/>
              </w:rPr>
            </w:pPr>
            <w:r w:rsidRPr="004D2653">
              <w:rPr>
                <w:sz w:val="18"/>
              </w:rPr>
              <w:t>69%</w:t>
            </w:r>
          </w:p>
        </w:tc>
        <w:tc>
          <w:tcPr>
            <w:tcW w:w="620" w:type="pct"/>
            <w:shd w:val="clear" w:color="auto" w:fill="auto"/>
            <w:vAlign w:val="bottom"/>
          </w:tcPr>
          <w:p w14:paraId="5B936376" w14:textId="77777777" w:rsidR="007467BC" w:rsidRPr="004D2653" w:rsidRDefault="007467BC" w:rsidP="004D2653">
            <w:pPr>
              <w:spacing w:before="40" w:after="40" w:line="220" w:lineRule="exact"/>
              <w:ind w:right="113"/>
              <w:jc w:val="right"/>
              <w:rPr>
                <w:sz w:val="18"/>
              </w:rPr>
            </w:pPr>
            <w:r w:rsidRPr="004D2653">
              <w:rPr>
                <w:sz w:val="18"/>
              </w:rPr>
              <w:t>69%</w:t>
            </w:r>
          </w:p>
        </w:tc>
      </w:tr>
    </w:tbl>
    <w:p w14:paraId="1130B513" w14:textId="77777777" w:rsidR="007467BC" w:rsidRPr="009F47DE" w:rsidRDefault="007467BC" w:rsidP="00DD449F">
      <w:pPr>
        <w:pStyle w:val="SingleTxtG"/>
        <w:spacing w:before="240"/>
      </w:pPr>
      <w:bookmarkStart w:id="15" w:name="_Ref531001761"/>
      <w:r w:rsidRPr="009F47DE">
        <w:t>28.</w:t>
      </w:r>
      <w:r w:rsidRPr="009F47DE">
        <w:tab/>
        <w:t>Between 2014 and 2017, a Ministerial Group on Family and Sexual Violence was established to develop a range of measures to significantly improve responses to gender-based violence.</w:t>
      </w:r>
      <w:bookmarkEnd w:id="15"/>
      <w:r w:rsidRPr="009F47DE">
        <w:t xml:space="preserve"> Workforce Capability Family Violence Risk Assessment and Management Frameworks were released in 2017.</w:t>
      </w:r>
    </w:p>
    <w:p w14:paraId="149F6189" w14:textId="77777777" w:rsidR="007467BC" w:rsidRPr="009F47DE" w:rsidRDefault="007467BC" w:rsidP="007467BC">
      <w:pPr>
        <w:pStyle w:val="SingleTxtG"/>
      </w:pPr>
      <w:r w:rsidRPr="009F47DE">
        <w:t>29.</w:t>
      </w:r>
      <w:r w:rsidRPr="009F47DE">
        <w:tab/>
        <w:t>In 2017, a political position of Parliamentary Under-Secretary to the Minister of Justice (Domestic and Sexual Violence) was created. The Under-Secretary leads a group of Ministers coordinating cross-government work; the Government</w:t>
      </w:r>
      <w:r w:rsidR="00562737">
        <w:t>’</w:t>
      </w:r>
      <w:r w:rsidRPr="009F47DE">
        <w:t>s engagement with the community; and oversees operational improvements.</w:t>
      </w:r>
    </w:p>
    <w:p w14:paraId="416D911F" w14:textId="77777777" w:rsidR="007467BC" w:rsidRPr="009F47DE" w:rsidRDefault="007467BC" w:rsidP="007467BC">
      <w:pPr>
        <w:pStyle w:val="SingleTxtG"/>
      </w:pPr>
      <w:r w:rsidRPr="009F47DE">
        <w:t>30.</w:t>
      </w:r>
      <w:r w:rsidRPr="009F47DE">
        <w:tab/>
        <w:t xml:space="preserve">In 2018, the Government announced a Joint Venture, comprised of Chief Executives across the public sector, </w:t>
      </w:r>
      <w:bookmarkStart w:id="16" w:name="_Hlk882129"/>
      <w:r w:rsidRPr="009F47DE">
        <w:t>to deliver an integrated approach to family and sexual violence</w:t>
      </w:r>
      <w:bookmarkEnd w:id="16"/>
      <w:r w:rsidRPr="009F47DE">
        <w:t xml:space="preserve">. The Joint Venture developed a single package for Budget 2019 to align and prioritise government resources and is preparing a national strategy and action plan on family violence and sexual violence. </w:t>
      </w:r>
    </w:p>
    <w:p w14:paraId="23652FA0" w14:textId="77777777" w:rsidR="007467BC" w:rsidRPr="009F47DE" w:rsidRDefault="007467BC" w:rsidP="007467BC">
      <w:pPr>
        <w:pStyle w:val="SingleTxtG"/>
      </w:pPr>
      <w:r w:rsidRPr="009F47DE">
        <w:t>31.</w:t>
      </w:r>
      <w:r w:rsidRPr="009F47DE">
        <w:tab/>
        <w:t xml:space="preserve">The 2017/18 Budget invested significantly to combat violence: an additional $76m over four years was invested in frontline social services working with families impacted by family violence. Sexual abuse and treatment services received an additional $7.5m over four years to deliver medical treatment, forensic services and referrals. This additional funding built on increased funding of $46m over four years provided in Budget 2016/17 for specialist services for victims and perpetrators. </w:t>
      </w:r>
    </w:p>
    <w:p w14:paraId="7BE0CD09" w14:textId="77777777" w:rsidR="007467BC" w:rsidRPr="009F47DE" w:rsidRDefault="007467BC" w:rsidP="007467BC">
      <w:pPr>
        <w:pStyle w:val="SingleTxtG"/>
      </w:pPr>
      <w:r w:rsidRPr="009F47DE">
        <w:t>32.</w:t>
      </w:r>
      <w:r w:rsidRPr="009F47DE">
        <w:tab/>
        <w:t>In 2019, the Government allocated $320m over four years for initiatives and services to tackle family and sexual violence.</w:t>
      </w:r>
    </w:p>
    <w:p w14:paraId="7A26D025" w14:textId="77777777" w:rsidR="007467BC" w:rsidRPr="009F47DE" w:rsidRDefault="007467BC" w:rsidP="00DD449F">
      <w:pPr>
        <w:pStyle w:val="H23G"/>
      </w:pPr>
      <w:r w:rsidRPr="009F47DE">
        <w:tab/>
      </w:r>
      <w:r w:rsidRPr="009F47DE">
        <w:tab/>
        <w:t>Legislation</w:t>
      </w:r>
    </w:p>
    <w:p w14:paraId="3E0C21A3" w14:textId="77777777" w:rsidR="007467BC" w:rsidRPr="009F47DE" w:rsidRDefault="007467BC" w:rsidP="007467BC">
      <w:pPr>
        <w:pStyle w:val="SingleTxtG"/>
      </w:pPr>
      <w:r w:rsidRPr="009F47DE">
        <w:t>33.</w:t>
      </w:r>
      <w:r w:rsidRPr="009F47DE">
        <w:tab/>
        <w:t>The new Family Violence Act came into force in 2019. It aims to prevent, identify and address family violence by:</w:t>
      </w:r>
    </w:p>
    <w:p w14:paraId="72735057" w14:textId="77777777" w:rsidR="007467BC" w:rsidRPr="009F47DE" w:rsidRDefault="007467BC" w:rsidP="00DD449F">
      <w:pPr>
        <w:pStyle w:val="Bullet1G"/>
      </w:pPr>
      <w:r w:rsidRPr="009F47DE">
        <w:t>Establishing a more integrated response to family violence, including increased ability to access risk and needs assessments and services, codes of practice, and new information-sharing provisions;</w:t>
      </w:r>
    </w:p>
    <w:p w14:paraId="4CDE098C" w14:textId="77777777" w:rsidR="007467BC" w:rsidRPr="009F47DE" w:rsidRDefault="007467BC" w:rsidP="00DD449F">
      <w:pPr>
        <w:pStyle w:val="Bullet1G"/>
      </w:pPr>
      <w:r w:rsidRPr="009F47DE">
        <w:t>Improving accessibility and effectiveness of protection and Police Safety Orders;</w:t>
      </w:r>
    </w:p>
    <w:p w14:paraId="7D212815" w14:textId="77777777" w:rsidR="007467BC" w:rsidRPr="009F47DE" w:rsidRDefault="007467BC" w:rsidP="00DD449F">
      <w:pPr>
        <w:pStyle w:val="Bullet1G"/>
      </w:pPr>
      <w:r w:rsidRPr="009F47DE">
        <w:t>Improving the justice response, including by creating three new criminal offences and more accurate recording of family violence.</w:t>
      </w:r>
    </w:p>
    <w:p w14:paraId="7C0BA0DE" w14:textId="77777777" w:rsidR="007467BC" w:rsidRPr="009F47DE" w:rsidRDefault="007467BC" w:rsidP="007467BC">
      <w:pPr>
        <w:pStyle w:val="SingleTxtG"/>
      </w:pPr>
      <w:r w:rsidRPr="009F47DE">
        <w:t>34.</w:t>
      </w:r>
      <w:r w:rsidRPr="009F47DE">
        <w:tab/>
        <w:t xml:space="preserve">In 2018, Parliament passed the Domestic Violence Victims Protection Act 2018. The Act allows victims of family violence to take leave from their employment, separate from sick leave or annual leave, to support them through violent situations or to address the effects of past or current violence. The Government has announced planned legislative changes, to be introduced to Parliament in 2019, to reduce the re-traumatisation sexual violence victims can experience in criminal trials. </w:t>
      </w:r>
    </w:p>
    <w:p w14:paraId="65274C92" w14:textId="77777777" w:rsidR="007467BC" w:rsidRPr="009F47DE" w:rsidRDefault="007467BC" w:rsidP="00DD449F">
      <w:pPr>
        <w:pStyle w:val="H23G"/>
      </w:pPr>
      <w:r w:rsidRPr="009F47DE">
        <w:lastRenderedPageBreak/>
        <w:tab/>
      </w:r>
      <w:r w:rsidRPr="009F47DE">
        <w:tab/>
        <w:t>Police-led initiatives</w:t>
      </w:r>
    </w:p>
    <w:p w14:paraId="2FB17AD8" w14:textId="77777777" w:rsidR="007467BC" w:rsidRPr="009F47DE" w:rsidRDefault="007467BC" w:rsidP="007467BC">
      <w:pPr>
        <w:pStyle w:val="SingleTxtG"/>
      </w:pPr>
      <w:r w:rsidRPr="009F47DE">
        <w:t>35.</w:t>
      </w:r>
      <w:r w:rsidRPr="009F47DE">
        <w:tab/>
        <w:t xml:space="preserve">Under the Safer </w:t>
      </w:r>
      <w:proofErr w:type="spellStart"/>
      <w:r w:rsidRPr="009F47DE">
        <w:t>Wh</w:t>
      </w:r>
      <w:bookmarkStart w:id="17" w:name="_Hlk536191734"/>
      <w:r w:rsidRPr="009F47DE">
        <w:t>ā</w:t>
      </w:r>
      <w:bookmarkEnd w:id="17"/>
      <w:r w:rsidRPr="009F47DE">
        <w:t>nau</w:t>
      </w:r>
      <w:proofErr w:type="spellEnd"/>
      <w:r w:rsidRPr="009F47DE">
        <w:t xml:space="preserve"> programme, Police partners with </w:t>
      </w:r>
      <w:bookmarkStart w:id="18" w:name="_Hlk536086743"/>
      <w:r w:rsidRPr="009F47DE">
        <w:t>Māori</w:t>
      </w:r>
      <w:bookmarkEnd w:id="18"/>
      <w:r w:rsidRPr="009F47DE">
        <w:t>, community groups, and other agencies to assist our vulnerable and disadvantaged communities.</w:t>
      </w:r>
    </w:p>
    <w:p w14:paraId="46C28955" w14:textId="77777777" w:rsidR="007467BC" w:rsidRPr="009F47DE" w:rsidRDefault="007467BC" w:rsidP="007467BC">
      <w:pPr>
        <w:pStyle w:val="SingleTxtG"/>
      </w:pPr>
      <w:r w:rsidRPr="009F47DE">
        <w:t>36.</w:t>
      </w:r>
      <w:r w:rsidRPr="009F47DE">
        <w:tab/>
        <w:t xml:space="preserve">Changes to Police practice and training seek to prevent further victimisation and offending. Police will be able to recognise patterns of harm and adverse circumstances earlier and take a holistic view of the issues occurring within </w:t>
      </w:r>
      <w:proofErr w:type="spellStart"/>
      <w:r w:rsidRPr="009F47DE">
        <w:t>whānau</w:t>
      </w:r>
      <w:proofErr w:type="spellEnd"/>
      <w:r w:rsidRPr="009F47DE">
        <w:t>.</w:t>
      </w:r>
      <w:r w:rsidRPr="00436790">
        <w:rPr>
          <w:rStyle w:val="FootnoteReference"/>
        </w:rPr>
        <w:footnoteReference w:id="3"/>
      </w:r>
      <w:r w:rsidRPr="009F47DE">
        <w:t xml:space="preserve"> Police also introduced new risk measures and a graduated response model of safety actions, including a frontline safety plan.</w:t>
      </w:r>
    </w:p>
    <w:p w14:paraId="301B6C0E" w14:textId="77777777" w:rsidR="007467BC" w:rsidRPr="009F47DE" w:rsidRDefault="007467BC" w:rsidP="007467BC">
      <w:pPr>
        <w:pStyle w:val="SingleTxtG"/>
      </w:pPr>
      <w:r w:rsidRPr="009F47DE">
        <w:t>37.</w:t>
      </w:r>
      <w:r w:rsidRPr="009F47DE">
        <w:tab/>
        <w:t xml:space="preserve">Police designed a Family Harm Investigation app, </w:t>
      </w:r>
      <w:proofErr w:type="spellStart"/>
      <w:r w:rsidRPr="009F47DE">
        <w:t>OnDuty</w:t>
      </w:r>
      <w:proofErr w:type="spellEnd"/>
      <w:r w:rsidRPr="009F47DE">
        <w:t>, to assist officers at a Family Harm Investigation to collect information, determine whether offences have occurred, and identify safety concerns. Police completed testing of on-scene video interviews for victims of violence to improve quality of evidence and reduce re-victimisation. Video interviewing is to be i</w:t>
      </w:r>
      <w:r w:rsidR="00436790">
        <w:t>mplemented across New Zealand.</w:t>
      </w:r>
    </w:p>
    <w:p w14:paraId="270D1753" w14:textId="77777777" w:rsidR="007467BC" w:rsidRPr="009F47DE" w:rsidRDefault="007467BC" w:rsidP="007467BC">
      <w:pPr>
        <w:pStyle w:val="SingleTxtG"/>
      </w:pPr>
      <w:r w:rsidRPr="009F47DE">
        <w:t>38.</w:t>
      </w:r>
      <w:r w:rsidRPr="009F47DE">
        <w:tab/>
        <w:t xml:space="preserve">Police is testing a new response model to family violence, </w:t>
      </w:r>
      <w:proofErr w:type="spellStart"/>
      <w:r w:rsidRPr="009F47DE">
        <w:t>Whāngaia</w:t>
      </w:r>
      <w:proofErr w:type="spellEnd"/>
      <w:r w:rsidRPr="009F47DE">
        <w:t xml:space="preserve"> Nga Pa Harakeke, whereby Police and community workers respond together after initial attendance. An evaluation is in progress with promising signs of reductions in reoffending and victimisation.</w:t>
      </w:r>
    </w:p>
    <w:p w14:paraId="3C449482" w14:textId="77777777" w:rsidR="007467BC" w:rsidRPr="009F47DE" w:rsidRDefault="007467BC" w:rsidP="007467BC">
      <w:pPr>
        <w:pStyle w:val="SingleTxtG"/>
      </w:pPr>
      <w:r w:rsidRPr="009F47DE">
        <w:t>39.</w:t>
      </w:r>
      <w:r w:rsidRPr="009F47DE">
        <w:tab/>
        <w:t>In 2016, a new Integrated Safety Response model pilot was launched in two districts. The multi-agency model provides an enhanced response to family violence and high-risk prison releases by improved information sharing, risk assessment, safety planning, and family-centred assistance. An evaluation of the first year delivered promising results. Proximity alarm systems are being tested.</w:t>
      </w:r>
    </w:p>
    <w:p w14:paraId="2E021266" w14:textId="77777777" w:rsidR="007467BC" w:rsidRPr="009F47DE" w:rsidRDefault="007467BC" w:rsidP="007467BC">
      <w:pPr>
        <w:pStyle w:val="SingleTxtG"/>
      </w:pPr>
      <w:r w:rsidRPr="009F47DE">
        <w:t>40.</w:t>
      </w:r>
      <w:r w:rsidRPr="009F47DE">
        <w:tab/>
        <w:t xml:space="preserve">In 2015, Police launched the Family Violence Information Disclosure Scheme to facilitate disclosure of information to a person about the previous violence committed by their partner. Disclosure, which is aimed at harm prevention, may be made upon request or proactively. </w:t>
      </w:r>
    </w:p>
    <w:p w14:paraId="20889E5C" w14:textId="77777777" w:rsidR="007467BC" w:rsidRPr="009F47DE" w:rsidRDefault="007467BC" w:rsidP="00436790">
      <w:pPr>
        <w:pStyle w:val="H23G"/>
      </w:pPr>
      <w:r w:rsidRPr="009F47DE">
        <w:tab/>
      </w:r>
      <w:r w:rsidRPr="009F47DE">
        <w:tab/>
        <w:t>Improved data collection</w:t>
      </w:r>
    </w:p>
    <w:p w14:paraId="342FF7F4" w14:textId="77777777" w:rsidR="007467BC" w:rsidRPr="009F47DE" w:rsidRDefault="007467BC" w:rsidP="007467BC">
      <w:pPr>
        <w:pStyle w:val="SingleTxtG"/>
      </w:pPr>
      <w:r w:rsidRPr="009F47DE">
        <w:t>41.</w:t>
      </w:r>
      <w:r w:rsidRPr="009F47DE">
        <w:tab/>
        <w:t>Family and sexual violence data comes from national crime surveys carried out in 2006, 2009 and 2014. Surveys help ascertain the prevalence of family violence, as only about 24% of offences are reported to Police. The survey was redesigned to allow collection of richer data, including relationships between victims and perpetrators and now runs annually.</w:t>
      </w:r>
    </w:p>
    <w:p w14:paraId="2F481EE3" w14:textId="77777777" w:rsidR="007467BC" w:rsidRPr="009F47DE" w:rsidRDefault="007467BC" w:rsidP="007467BC">
      <w:pPr>
        <w:pStyle w:val="SingleTxtG"/>
      </w:pPr>
      <w:r w:rsidRPr="009F47DE">
        <w:t>42.</w:t>
      </w:r>
      <w:r w:rsidRPr="009F47DE">
        <w:tab/>
        <w:t>Evaluations have been conducted to establish baselines for sexual violence victims</w:t>
      </w:r>
      <w:r w:rsidR="00562737">
        <w:t>’</w:t>
      </w:r>
      <w:r w:rsidRPr="009F47DE">
        <w:t xml:space="preserve"> experience of the justice sector, and the effectiveness of programmes for victims and perpetrators. </w:t>
      </w:r>
    </w:p>
    <w:p w14:paraId="7CD5BCBC" w14:textId="77777777" w:rsidR="007467BC" w:rsidRPr="009F47DE" w:rsidRDefault="007467BC" w:rsidP="0009789F">
      <w:pPr>
        <w:pStyle w:val="H23G"/>
      </w:pPr>
      <w:bookmarkStart w:id="19" w:name="_Hlk14257816"/>
      <w:r w:rsidRPr="009F47DE">
        <w:tab/>
      </w:r>
      <w:r w:rsidRPr="009F47DE">
        <w:tab/>
        <w:t>Additional services for victims</w:t>
      </w:r>
    </w:p>
    <w:p w14:paraId="2EB66312" w14:textId="77777777" w:rsidR="007467BC" w:rsidRPr="009F47DE" w:rsidRDefault="007467BC" w:rsidP="007467BC">
      <w:pPr>
        <w:pStyle w:val="SingleTxtG"/>
      </w:pPr>
      <w:r w:rsidRPr="009F47DE">
        <w:t>43.</w:t>
      </w:r>
      <w:r w:rsidRPr="009F47DE">
        <w:tab/>
        <w:t>Significant investment has been made into victims</w:t>
      </w:r>
      <w:r w:rsidR="00562737">
        <w:t>’</w:t>
      </w:r>
      <w:r w:rsidRPr="009F47DE">
        <w:t xml:space="preserve"> services, including additional specialist crisis and psycho-social support for sexual violence victims. Full medical services, including counselling, are available and a new sexual harm helpline went live in 2018. For further information on victims</w:t>
      </w:r>
      <w:r w:rsidR="00562737">
        <w:t>’</w:t>
      </w:r>
      <w:r w:rsidRPr="009F47DE">
        <w:t xml:space="preserve"> rights see para. </w:t>
      </w:r>
      <w:r w:rsidRPr="009F47DE">
        <w:rPr>
          <w:cs/>
        </w:rPr>
        <w:t>‎</w:t>
      </w:r>
      <w:r w:rsidRPr="009F47DE">
        <w:t>0.</w:t>
      </w:r>
    </w:p>
    <w:p w14:paraId="26037D3C" w14:textId="77777777" w:rsidR="007467BC" w:rsidRPr="009F47DE" w:rsidRDefault="007467BC" w:rsidP="007467BC">
      <w:pPr>
        <w:pStyle w:val="SingleTxtG"/>
      </w:pPr>
      <w:r w:rsidRPr="009F47DE">
        <w:t>44.</w:t>
      </w:r>
      <w:r w:rsidRPr="009F47DE">
        <w:tab/>
        <w:t xml:space="preserve">E Tu </w:t>
      </w:r>
      <w:proofErr w:type="spellStart"/>
      <w:r w:rsidRPr="009F47DE">
        <w:t>Whānau</w:t>
      </w:r>
      <w:proofErr w:type="spellEnd"/>
      <w:r w:rsidRPr="009F47DE">
        <w:t xml:space="preserve"> and Pasifika Proud are family strength-based programmes aimed at delivering culturally appropriate responses to violence for Māori and Pacific peoples. New funding for specialist support services includes dedicated funding for the development of </w:t>
      </w:r>
      <w:proofErr w:type="spellStart"/>
      <w:r w:rsidRPr="009F47DE">
        <w:t>kaupapa</w:t>
      </w:r>
      <w:proofErr w:type="spellEnd"/>
      <w:r w:rsidRPr="009F47DE">
        <w:t xml:space="preserve"> Māori</w:t>
      </w:r>
      <w:r w:rsidRPr="00436790">
        <w:rPr>
          <w:rStyle w:val="FootnoteReference"/>
        </w:rPr>
        <w:footnoteReference w:id="4"/>
      </w:r>
      <w:r w:rsidRPr="009F47DE">
        <w:t xml:space="preserve"> models. </w:t>
      </w:r>
    </w:p>
    <w:p w14:paraId="6EE83C83" w14:textId="77777777" w:rsidR="007467BC" w:rsidRPr="009F47DE" w:rsidRDefault="007467BC" w:rsidP="007467BC">
      <w:pPr>
        <w:pStyle w:val="SingleTxtG"/>
      </w:pPr>
      <w:r w:rsidRPr="009F47DE">
        <w:t>45.</w:t>
      </w:r>
      <w:r w:rsidRPr="009F47DE">
        <w:tab/>
        <w:t>Guidance was published in 2018 to help sexual violence victims and their supporters understand the justice process and facilities are being upgraded to increase victims</w:t>
      </w:r>
      <w:r w:rsidR="00562737">
        <w:t>’</w:t>
      </w:r>
      <w:r w:rsidRPr="009F47DE">
        <w:t xml:space="preserve"> comfort in court. </w:t>
      </w:r>
    </w:p>
    <w:p w14:paraId="5E666600" w14:textId="77777777" w:rsidR="007467BC" w:rsidRPr="009F47DE" w:rsidRDefault="007467BC" w:rsidP="005E3E34">
      <w:pPr>
        <w:pStyle w:val="H1G"/>
        <w:spacing w:before="240" w:after="120"/>
      </w:pPr>
      <w:r w:rsidRPr="009F47DE">
        <w:lastRenderedPageBreak/>
        <w:tab/>
      </w:r>
      <w:r w:rsidRPr="009F47DE">
        <w:tab/>
        <w:t>Reply to paragraph 6 of the list of issues</w:t>
      </w:r>
    </w:p>
    <w:bookmarkEnd w:id="14"/>
    <w:bookmarkEnd w:id="19"/>
    <w:p w14:paraId="1963E3F2" w14:textId="77777777" w:rsidR="007467BC" w:rsidRPr="009F47DE" w:rsidRDefault="007467BC" w:rsidP="005E3E34">
      <w:pPr>
        <w:pStyle w:val="H23G"/>
        <w:spacing w:before="120"/>
      </w:pPr>
      <w:r w:rsidRPr="009F47DE">
        <w:tab/>
      </w:r>
      <w:r w:rsidRPr="009F47DE">
        <w:tab/>
        <w:t>Trafficking in persons</w:t>
      </w:r>
    </w:p>
    <w:p w14:paraId="282C7B81" w14:textId="77777777" w:rsidR="007467BC" w:rsidRPr="009F47DE" w:rsidRDefault="007467BC" w:rsidP="007467BC">
      <w:pPr>
        <w:pStyle w:val="SingleTxtG"/>
      </w:pPr>
      <w:bookmarkStart w:id="20" w:name="_Hlk525818789"/>
      <w:r w:rsidRPr="009F47DE">
        <w:t>46.</w:t>
      </w:r>
      <w:r w:rsidRPr="009F47DE">
        <w:tab/>
        <w:t>The National Plan of Action to Prevent People Trafficking is being refreshed, supported by the 12-member Interagency Working Group on People Trafficking. It is expected that this will move us towards being able to ratify the 2014 Protocol to the International Labour Organisation</w:t>
      </w:r>
      <w:r w:rsidR="00562737">
        <w:t>’</w:t>
      </w:r>
      <w:r w:rsidRPr="009F47DE">
        <w:t>s Forced Labour Convention 1930.</w:t>
      </w:r>
    </w:p>
    <w:p w14:paraId="4D8ACD5E" w14:textId="77777777" w:rsidR="007467BC" w:rsidRPr="009F47DE" w:rsidRDefault="007467BC" w:rsidP="007467BC">
      <w:pPr>
        <w:pStyle w:val="SingleTxtG"/>
      </w:pPr>
      <w:r w:rsidRPr="009F47DE">
        <w:t>47.</w:t>
      </w:r>
      <w:r w:rsidRPr="009F47DE">
        <w:tab/>
        <w:t>Immigration New Zealand (INZ) has carried out a range of training, including for the Labour Inspectorate and Crown Prosecutors, and is planning training with the Customs Service. INZ staff oversee the implementation of the National Plan. The Serious Offences Unit focusses on investigating and prosecuting the most serious or complex offending, including human trafficking and migrant exploitation. New Zealand actively investigates financial flows linked to trafficking. INZ works closely with Police</w:t>
      </w:r>
      <w:r w:rsidR="00562737">
        <w:t>’</w:t>
      </w:r>
      <w:r w:rsidRPr="009F47DE">
        <w:t xml:space="preserve">s Financial Intelligence and Asset Recovery Units. </w:t>
      </w:r>
    </w:p>
    <w:p w14:paraId="60F57041" w14:textId="77777777" w:rsidR="007467BC" w:rsidRPr="009F47DE" w:rsidRDefault="007467BC" w:rsidP="007467BC">
      <w:pPr>
        <w:pStyle w:val="SingleTxtG"/>
      </w:pPr>
      <w:r w:rsidRPr="009F47DE">
        <w:t>48.</w:t>
      </w:r>
      <w:r w:rsidRPr="009F47DE">
        <w:tab/>
        <w:t xml:space="preserve">INZ partners with non-government stakeholders to prevent trafficking, protect victims, and prosecute offenders. The </w:t>
      </w:r>
      <w:r w:rsidR="00562737">
        <w:t>‘</w:t>
      </w:r>
      <w:r w:rsidRPr="009F47DE">
        <w:t>Consultative Group</w:t>
      </w:r>
      <w:r w:rsidR="00562737">
        <w:t>’</w:t>
      </w:r>
      <w:r w:rsidRPr="009F47DE">
        <w:t xml:space="preserve"> comprises Anglican Diocese of Wellington, Auckland University, New Zealand Prostitutes</w:t>
      </w:r>
      <w:r w:rsidR="00562737">
        <w:t>’</w:t>
      </w:r>
      <w:r w:rsidRPr="009F47DE">
        <w:t xml:space="preserve"> Collective and Stand Against Slavery.</w:t>
      </w:r>
    </w:p>
    <w:p w14:paraId="42E0570A" w14:textId="77777777" w:rsidR="007467BC" w:rsidRPr="009F47DE" w:rsidRDefault="007467BC" w:rsidP="007467BC">
      <w:pPr>
        <w:pStyle w:val="SingleTxtG"/>
      </w:pPr>
      <w:r w:rsidRPr="009F47DE">
        <w:t>49.</w:t>
      </w:r>
      <w:r w:rsidRPr="009F47DE">
        <w:tab/>
        <w:t xml:space="preserve">In 2017, the Government adopted new measures to stop employers who breach immigration and employment law from recruiting migrant workers. More than 70 employers were prevented from recruiting migrants for varying periods since the new rules came into effect. More than 90 employers are on the </w:t>
      </w:r>
      <w:r w:rsidR="00562737">
        <w:t>‘</w:t>
      </w:r>
      <w:r w:rsidRPr="009F47DE">
        <w:t>stand-down-list</w:t>
      </w:r>
      <w:r w:rsidR="00562737">
        <w:t>’</w:t>
      </w:r>
      <w:r w:rsidRPr="009F47DE">
        <w:t>.</w:t>
      </w:r>
    </w:p>
    <w:p w14:paraId="3377E3EA" w14:textId="77777777" w:rsidR="007467BC" w:rsidRPr="009F47DE" w:rsidRDefault="007467BC" w:rsidP="007467BC">
      <w:pPr>
        <w:pStyle w:val="SingleTxtG"/>
      </w:pPr>
      <w:r w:rsidRPr="009F47DE">
        <w:t>50.</w:t>
      </w:r>
      <w:r w:rsidRPr="009F47DE">
        <w:tab/>
        <w:t>New Zealand is an active participant in the Bali Process, including the Regional Office and various Working Groups.</w:t>
      </w:r>
    </w:p>
    <w:p w14:paraId="196F5436" w14:textId="77777777" w:rsidR="007467BC" w:rsidRPr="009F47DE" w:rsidRDefault="007467BC" w:rsidP="0009789F">
      <w:pPr>
        <w:pStyle w:val="H23G"/>
      </w:pPr>
      <w:r w:rsidRPr="009F47DE">
        <w:tab/>
      </w:r>
      <w:r w:rsidRPr="009F47DE">
        <w:tab/>
        <w:t>Prosecutions and convictions</w:t>
      </w:r>
    </w:p>
    <w:p w14:paraId="5EFE6B0A" w14:textId="77777777" w:rsidR="007467BC" w:rsidRPr="009F47DE" w:rsidRDefault="007467BC" w:rsidP="007467BC">
      <w:pPr>
        <w:pStyle w:val="SingleTxtG"/>
      </w:pPr>
      <w:r w:rsidRPr="009F47DE">
        <w:t>51.</w:t>
      </w:r>
      <w:r w:rsidRPr="009F47DE">
        <w:tab/>
        <w:t>The first people trafficking charges were brought in 2015. Two men were charged for arranging, by deception, the entry of 18 Indian nationals. Although they were acquitted on the trafficking charges, one was convicted on other charges.</w:t>
      </w:r>
    </w:p>
    <w:p w14:paraId="615D4D26" w14:textId="77777777" w:rsidR="007467BC" w:rsidRPr="009F47DE" w:rsidRDefault="007467BC" w:rsidP="007467BC">
      <w:pPr>
        <w:pStyle w:val="SingleTxtG"/>
      </w:pPr>
      <w:r w:rsidRPr="009F47DE">
        <w:t>52.</w:t>
      </w:r>
      <w:r w:rsidRPr="009F47DE">
        <w:tab/>
        <w:t>The first person convicted of people trafficking (a Fijian national) was sentenced in 2016 to nine years and six months</w:t>
      </w:r>
      <w:r w:rsidR="00562737">
        <w:t>’</w:t>
      </w:r>
      <w:r w:rsidRPr="009F47DE">
        <w:t xml:space="preserve"> imprisonment. He was convicted of 15 human trafficking charges and a further 27 immigration-related offences involving victims of Fijian nationality. </w:t>
      </w:r>
    </w:p>
    <w:p w14:paraId="5365A7EF" w14:textId="77777777" w:rsidR="007467BC" w:rsidRPr="009F47DE" w:rsidRDefault="007467BC" w:rsidP="007467BC">
      <w:pPr>
        <w:pStyle w:val="SingleTxtG"/>
      </w:pPr>
      <w:r w:rsidRPr="009F47DE">
        <w:t>53.</w:t>
      </w:r>
      <w:r w:rsidRPr="009F47DE">
        <w:tab/>
        <w:t>In November 2017, charges were laid against two Bangla</w:t>
      </w:r>
      <w:r w:rsidR="0009789F">
        <w:t>desh-born New Zealand citizens.</w:t>
      </w:r>
      <w:r w:rsidRPr="009F47DE">
        <w:t xml:space="preserve"> They were also acquitted on the trafficking charges but were convicted on 10 charges of exploitation and six other immigration-related offences. They were sentenced to four years and five months</w:t>
      </w:r>
      <w:r w:rsidR="00562737">
        <w:t>’</w:t>
      </w:r>
      <w:r w:rsidRPr="009F47DE">
        <w:t>, and two years and six months</w:t>
      </w:r>
      <w:r w:rsidR="00562737">
        <w:t>’</w:t>
      </w:r>
      <w:r w:rsidRPr="009F47DE">
        <w:t xml:space="preserve"> imprisonment, respectively.</w:t>
      </w:r>
    </w:p>
    <w:p w14:paraId="7DE862B3" w14:textId="77777777" w:rsidR="007467BC" w:rsidRPr="009F47DE" w:rsidRDefault="007467BC" w:rsidP="007467BC">
      <w:pPr>
        <w:pStyle w:val="SingleTxtG"/>
      </w:pPr>
      <w:r w:rsidRPr="009F47DE">
        <w:t>54.</w:t>
      </w:r>
      <w:r w:rsidRPr="009F47DE">
        <w:tab/>
        <w:t xml:space="preserve">In December 2018, people </w:t>
      </w:r>
      <w:proofErr w:type="gramStart"/>
      <w:r w:rsidRPr="009F47DE">
        <w:t>trafficking</w:t>
      </w:r>
      <w:proofErr w:type="gramEnd"/>
      <w:r w:rsidRPr="009F47DE">
        <w:t xml:space="preserve"> and slavery charges were laid against a New Zealand resident Samoan national, including eleven of arranging entry by deception and 13 counts of using a person as a slave.</w:t>
      </w:r>
    </w:p>
    <w:p w14:paraId="571F55ED" w14:textId="77777777" w:rsidR="007467BC" w:rsidRPr="009F47DE" w:rsidRDefault="007467BC" w:rsidP="00F3613F">
      <w:pPr>
        <w:pStyle w:val="H23G"/>
      </w:pPr>
      <w:bookmarkStart w:id="21" w:name="_Hlk18404693"/>
      <w:r w:rsidRPr="009F47DE">
        <w:tab/>
      </w:r>
      <w:r w:rsidRPr="009F47DE">
        <w:tab/>
        <w:t>Reported victims of trafficking</w:t>
      </w:r>
      <w:r w:rsidRPr="00F3613F">
        <w:rPr>
          <w:b w:val="0"/>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76"/>
        <w:gridCol w:w="709"/>
        <w:gridCol w:w="709"/>
        <w:gridCol w:w="1559"/>
        <w:gridCol w:w="1134"/>
        <w:gridCol w:w="883"/>
      </w:tblGrid>
      <w:tr w:rsidR="007467BC" w:rsidRPr="00747FEC" w14:paraId="12AE452A" w14:textId="77777777" w:rsidTr="00405A9B">
        <w:trPr>
          <w:cantSplit/>
          <w:tblHeader/>
        </w:trPr>
        <w:tc>
          <w:tcPr>
            <w:tcW w:w="2376"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68304A53" w14:textId="77777777" w:rsidR="007467BC" w:rsidRPr="00747FEC" w:rsidRDefault="007467BC" w:rsidP="00747FEC">
            <w:pPr>
              <w:spacing w:before="80" w:after="80" w:line="200" w:lineRule="exact"/>
              <w:ind w:right="113"/>
              <w:rPr>
                <w:i/>
                <w:sz w:val="16"/>
              </w:rPr>
            </w:pPr>
          </w:p>
        </w:tc>
        <w:tc>
          <w:tcPr>
            <w:tcW w:w="70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FA03B34" w14:textId="77777777" w:rsidR="007467BC" w:rsidRPr="00747FEC" w:rsidRDefault="007467BC" w:rsidP="00747FEC">
            <w:pPr>
              <w:spacing w:before="80" w:after="80" w:line="200" w:lineRule="exact"/>
              <w:ind w:right="113"/>
              <w:jc w:val="right"/>
              <w:rPr>
                <w:i/>
                <w:sz w:val="16"/>
              </w:rPr>
            </w:pPr>
            <w:r w:rsidRPr="00747FEC">
              <w:rPr>
                <w:i/>
                <w:sz w:val="16"/>
              </w:rPr>
              <w:t>2014</w:t>
            </w:r>
          </w:p>
        </w:tc>
        <w:tc>
          <w:tcPr>
            <w:tcW w:w="70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10C06B1" w14:textId="77777777" w:rsidR="007467BC" w:rsidRPr="00747FEC" w:rsidRDefault="007467BC" w:rsidP="00747FEC">
            <w:pPr>
              <w:spacing w:before="80" w:after="80" w:line="200" w:lineRule="exact"/>
              <w:ind w:right="113"/>
              <w:jc w:val="right"/>
              <w:rPr>
                <w:i/>
                <w:sz w:val="16"/>
              </w:rPr>
            </w:pPr>
            <w:r w:rsidRPr="00747FEC">
              <w:rPr>
                <w:i/>
                <w:sz w:val="16"/>
              </w:rPr>
              <w:t>2015</w:t>
            </w:r>
          </w:p>
        </w:tc>
        <w:tc>
          <w:tcPr>
            <w:tcW w:w="1559"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2569951C" w14:textId="77777777" w:rsidR="007467BC" w:rsidRPr="00747FEC" w:rsidRDefault="007467BC" w:rsidP="00747FEC">
            <w:pPr>
              <w:spacing w:before="80" w:after="80" w:line="200" w:lineRule="exact"/>
              <w:ind w:right="113"/>
              <w:jc w:val="right"/>
              <w:rPr>
                <w:i/>
                <w:sz w:val="16"/>
              </w:rPr>
            </w:pPr>
            <w:r w:rsidRPr="00747FEC">
              <w:rPr>
                <w:i/>
                <w:sz w:val="16"/>
              </w:rPr>
              <w:t>2016</w:t>
            </w:r>
          </w:p>
        </w:tc>
        <w:tc>
          <w:tcPr>
            <w:tcW w:w="113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5E8A20B9" w14:textId="77777777" w:rsidR="007467BC" w:rsidRPr="00747FEC" w:rsidRDefault="007467BC" w:rsidP="00747FEC">
            <w:pPr>
              <w:spacing w:before="80" w:after="80" w:line="200" w:lineRule="exact"/>
              <w:ind w:right="113"/>
              <w:jc w:val="right"/>
              <w:rPr>
                <w:i/>
                <w:sz w:val="16"/>
              </w:rPr>
            </w:pPr>
            <w:r w:rsidRPr="00747FEC">
              <w:rPr>
                <w:i/>
                <w:sz w:val="16"/>
              </w:rPr>
              <w:t>2017</w:t>
            </w:r>
          </w:p>
        </w:tc>
        <w:tc>
          <w:tcPr>
            <w:tcW w:w="883"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41632F8" w14:textId="77777777" w:rsidR="007467BC" w:rsidRPr="00747FEC" w:rsidRDefault="007467BC" w:rsidP="00747FEC">
            <w:pPr>
              <w:spacing w:before="80" w:after="80" w:line="200" w:lineRule="exact"/>
              <w:ind w:right="113"/>
              <w:jc w:val="right"/>
              <w:rPr>
                <w:i/>
                <w:sz w:val="16"/>
              </w:rPr>
            </w:pPr>
            <w:r w:rsidRPr="00747FEC">
              <w:rPr>
                <w:i/>
                <w:sz w:val="16"/>
              </w:rPr>
              <w:t>2018</w:t>
            </w:r>
          </w:p>
        </w:tc>
      </w:tr>
      <w:tr w:rsidR="007467BC" w:rsidRPr="00747FEC" w14:paraId="40F6D954" w14:textId="77777777" w:rsidTr="00405A9B">
        <w:trPr>
          <w:cantSplit/>
        </w:trPr>
        <w:tc>
          <w:tcPr>
            <w:tcW w:w="2376" w:type="dxa"/>
            <w:tcBorders>
              <w:top w:val="single" w:sz="12" w:space="0" w:color="auto"/>
            </w:tcBorders>
            <w:shd w:val="clear" w:color="auto" w:fill="auto"/>
            <w:tcMar>
              <w:top w:w="0" w:type="dxa"/>
              <w:left w:w="108" w:type="dxa"/>
              <w:bottom w:w="0" w:type="dxa"/>
              <w:right w:w="108" w:type="dxa"/>
            </w:tcMar>
            <w:hideMark/>
          </w:tcPr>
          <w:p w14:paraId="42A0137B" w14:textId="77777777" w:rsidR="007467BC" w:rsidRPr="00747FEC" w:rsidRDefault="007467BC" w:rsidP="00747FEC">
            <w:pPr>
              <w:spacing w:before="40" w:after="40" w:line="220" w:lineRule="exact"/>
              <w:ind w:right="113"/>
              <w:rPr>
                <w:sz w:val="18"/>
              </w:rPr>
            </w:pPr>
            <w:r w:rsidRPr="00747FEC">
              <w:rPr>
                <w:sz w:val="18"/>
              </w:rPr>
              <w:t>Children (under 18) – males</w:t>
            </w:r>
          </w:p>
        </w:tc>
        <w:tc>
          <w:tcPr>
            <w:tcW w:w="709" w:type="dxa"/>
            <w:tcBorders>
              <w:top w:val="single" w:sz="12" w:space="0" w:color="auto"/>
            </w:tcBorders>
            <w:shd w:val="clear" w:color="auto" w:fill="auto"/>
            <w:tcMar>
              <w:top w:w="0" w:type="dxa"/>
              <w:left w:w="108" w:type="dxa"/>
              <w:bottom w:w="0" w:type="dxa"/>
              <w:right w:w="108" w:type="dxa"/>
            </w:tcMar>
            <w:vAlign w:val="bottom"/>
            <w:hideMark/>
          </w:tcPr>
          <w:p w14:paraId="12182A81" w14:textId="77777777" w:rsidR="007467BC" w:rsidRPr="00747FEC" w:rsidRDefault="007467BC" w:rsidP="00747FEC">
            <w:pPr>
              <w:spacing w:before="40" w:after="40" w:line="220" w:lineRule="exact"/>
              <w:ind w:right="113"/>
              <w:jc w:val="right"/>
              <w:rPr>
                <w:sz w:val="18"/>
              </w:rPr>
            </w:pPr>
            <w:r w:rsidRPr="00747FEC">
              <w:rPr>
                <w:sz w:val="18"/>
              </w:rPr>
              <w:t>0</w:t>
            </w:r>
          </w:p>
        </w:tc>
        <w:tc>
          <w:tcPr>
            <w:tcW w:w="709" w:type="dxa"/>
            <w:tcBorders>
              <w:top w:val="single" w:sz="12" w:space="0" w:color="auto"/>
            </w:tcBorders>
            <w:shd w:val="clear" w:color="auto" w:fill="auto"/>
            <w:tcMar>
              <w:top w:w="0" w:type="dxa"/>
              <w:left w:w="108" w:type="dxa"/>
              <w:bottom w:w="0" w:type="dxa"/>
              <w:right w:w="108" w:type="dxa"/>
            </w:tcMar>
            <w:vAlign w:val="bottom"/>
            <w:hideMark/>
          </w:tcPr>
          <w:p w14:paraId="44236204" w14:textId="77777777" w:rsidR="007467BC" w:rsidRPr="00747FEC" w:rsidRDefault="007467BC" w:rsidP="00747FEC">
            <w:pPr>
              <w:spacing w:before="40" w:after="40" w:line="220" w:lineRule="exact"/>
              <w:ind w:right="113"/>
              <w:jc w:val="right"/>
              <w:rPr>
                <w:sz w:val="18"/>
              </w:rPr>
            </w:pPr>
            <w:r w:rsidRPr="00747FEC">
              <w:rPr>
                <w:sz w:val="18"/>
              </w:rPr>
              <w:t>0</w:t>
            </w:r>
          </w:p>
        </w:tc>
        <w:tc>
          <w:tcPr>
            <w:tcW w:w="1559" w:type="dxa"/>
            <w:tcBorders>
              <w:top w:val="single" w:sz="12" w:space="0" w:color="auto"/>
            </w:tcBorders>
            <w:shd w:val="clear" w:color="auto" w:fill="auto"/>
            <w:tcMar>
              <w:top w:w="0" w:type="dxa"/>
              <w:left w:w="108" w:type="dxa"/>
              <w:bottom w:w="0" w:type="dxa"/>
              <w:right w:w="108" w:type="dxa"/>
            </w:tcMar>
            <w:vAlign w:val="bottom"/>
            <w:hideMark/>
          </w:tcPr>
          <w:p w14:paraId="1C74146A" w14:textId="77777777" w:rsidR="007467BC" w:rsidRPr="00747FEC" w:rsidRDefault="007467BC" w:rsidP="00747FEC">
            <w:pPr>
              <w:spacing w:before="40" w:after="40" w:line="220" w:lineRule="exact"/>
              <w:ind w:right="113"/>
              <w:jc w:val="right"/>
              <w:rPr>
                <w:sz w:val="18"/>
              </w:rPr>
            </w:pPr>
            <w:r w:rsidRPr="00747FEC">
              <w:rPr>
                <w:sz w:val="18"/>
              </w:rPr>
              <w:t>0</w:t>
            </w:r>
          </w:p>
        </w:tc>
        <w:tc>
          <w:tcPr>
            <w:tcW w:w="1134" w:type="dxa"/>
            <w:tcBorders>
              <w:top w:val="single" w:sz="12" w:space="0" w:color="auto"/>
            </w:tcBorders>
            <w:shd w:val="clear" w:color="auto" w:fill="auto"/>
            <w:tcMar>
              <w:top w:w="0" w:type="dxa"/>
              <w:left w:w="108" w:type="dxa"/>
              <w:bottom w:w="0" w:type="dxa"/>
              <w:right w:w="108" w:type="dxa"/>
            </w:tcMar>
            <w:vAlign w:val="bottom"/>
            <w:hideMark/>
          </w:tcPr>
          <w:p w14:paraId="2C3FDBA2" w14:textId="77777777" w:rsidR="007467BC" w:rsidRPr="00747FEC" w:rsidRDefault="007467BC" w:rsidP="00747FEC">
            <w:pPr>
              <w:spacing w:before="40" w:after="40" w:line="220" w:lineRule="exact"/>
              <w:ind w:right="113"/>
              <w:jc w:val="right"/>
              <w:rPr>
                <w:sz w:val="18"/>
              </w:rPr>
            </w:pPr>
            <w:r w:rsidRPr="00747FEC">
              <w:rPr>
                <w:sz w:val="18"/>
              </w:rPr>
              <w:t>0</w:t>
            </w:r>
          </w:p>
        </w:tc>
        <w:tc>
          <w:tcPr>
            <w:tcW w:w="883" w:type="dxa"/>
            <w:tcBorders>
              <w:top w:val="single" w:sz="12" w:space="0" w:color="auto"/>
            </w:tcBorders>
            <w:shd w:val="clear" w:color="auto" w:fill="auto"/>
            <w:tcMar>
              <w:top w:w="0" w:type="dxa"/>
              <w:left w:w="108" w:type="dxa"/>
              <w:bottom w:w="0" w:type="dxa"/>
              <w:right w:w="108" w:type="dxa"/>
            </w:tcMar>
            <w:vAlign w:val="bottom"/>
          </w:tcPr>
          <w:p w14:paraId="28D9A760" w14:textId="77777777" w:rsidR="007467BC" w:rsidRPr="00747FEC" w:rsidRDefault="007467BC" w:rsidP="00747FEC">
            <w:pPr>
              <w:spacing w:before="40" w:after="40" w:line="220" w:lineRule="exact"/>
              <w:ind w:right="113"/>
              <w:jc w:val="right"/>
              <w:rPr>
                <w:sz w:val="18"/>
              </w:rPr>
            </w:pPr>
          </w:p>
        </w:tc>
      </w:tr>
      <w:tr w:rsidR="007467BC" w:rsidRPr="00747FEC" w14:paraId="3E710E2F" w14:textId="77777777" w:rsidTr="00405A9B">
        <w:trPr>
          <w:cantSplit/>
        </w:trPr>
        <w:tc>
          <w:tcPr>
            <w:tcW w:w="2376" w:type="dxa"/>
            <w:tcBorders>
              <w:bottom w:val="single" w:sz="4" w:space="0" w:color="auto"/>
            </w:tcBorders>
            <w:shd w:val="clear" w:color="auto" w:fill="auto"/>
            <w:tcMar>
              <w:top w:w="0" w:type="dxa"/>
              <w:left w:w="108" w:type="dxa"/>
              <w:bottom w:w="0" w:type="dxa"/>
              <w:right w:w="108" w:type="dxa"/>
            </w:tcMar>
            <w:hideMark/>
          </w:tcPr>
          <w:p w14:paraId="58FC41FB" w14:textId="77777777" w:rsidR="007467BC" w:rsidRPr="00747FEC" w:rsidRDefault="007467BC" w:rsidP="00747FEC">
            <w:pPr>
              <w:spacing w:before="40" w:after="40" w:line="220" w:lineRule="exact"/>
              <w:ind w:right="113"/>
              <w:rPr>
                <w:sz w:val="18"/>
              </w:rPr>
            </w:pPr>
            <w:r w:rsidRPr="00747FEC">
              <w:rPr>
                <w:sz w:val="18"/>
              </w:rPr>
              <w:t>Children – females</w:t>
            </w:r>
          </w:p>
        </w:tc>
        <w:tc>
          <w:tcPr>
            <w:tcW w:w="709" w:type="dxa"/>
            <w:tcBorders>
              <w:bottom w:val="single" w:sz="4" w:space="0" w:color="auto"/>
            </w:tcBorders>
            <w:shd w:val="clear" w:color="auto" w:fill="auto"/>
            <w:tcMar>
              <w:top w:w="0" w:type="dxa"/>
              <w:left w:w="108" w:type="dxa"/>
              <w:bottom w:w="0" w:type="dxa"/>
              <w:right w:w="108" w:type="dxa"/>
            </w:tcMar>
            <w:vAlign w:val="bottom"/>
            <w:hideMark/>
          </w:tcPr>
          <w:p w14:paraId="607C2B8C" w14:textId="77777777" w:rsidR="007467BC" w:rsidRPr="00747FEC" w:rsidRDefault="007467BC" w:rsidP="00747FEC">
            <w:pPr>
              <w:spacing w:before="40" w:after="40" w:line="220" w:lineRule="exact"/>
              <w:ind w:right="113"/>
              <w:jc w:val="right"/>
              <w:rPr>
                <w:sz w:val="18"/>
              </w:rPr>
            </w:pPr>
            <w:r w:rsidRPr="00747FEC">
              <w:rPr>
                <w:sz w:val="18"/>
              </w:rPr>
              <w:t>0</w:t>
            </w:r>
          </w:p>
        </w:tc>
        <w:tc>
          <w:tcPr>
            <w:tcW w:w="709" w:type="dxa"/>
            <w:tcBorders>
              <w:bottom w:val="single" w:sz="4" w:space="0" w:color="auto"/>
            </w:tcBorders>
            <w:shd w:val="clear" w:color="auto" w:fill="auto"/>
            <w:tcMar>
              <w:top w:w="0" w:type="dxa"/>
              <w:left w:w="108" w:type="dxa"/>
              <w:bottom w:w="0" w:type="dxa"/>
              <w:right w:w="108" w:type="dxa"/>
            </w:tcMar>
            <w:vAlign w:val="bottom"/>
            <w:hideMark/>
          </w:tcPr>
          <w:p w14:paraId="169F933F" w14:textId="77777777" w:rsidR="007467BC" w:rsidRPr="00747FEC" w:rsidRDefault="007467BC" w:rsidP="00747FEC">
            <w:pPr>
              <w:spacing w:before="40" w:after="40" w:line="220" w:lineRule="exact"/>
              <w:ind w:right="113"/>
              <w:jc w:val="right"/>
              <w:rPr>
                <w:sz w:val="18"/>
              </w:rPr>
            </w:pPr>
            <w:r w:rsidRPr="00747FEC">
              <w:rPr>
                <w:sz w:val="18"/>
              </w:rPr>
              <w:t>0</w:t>
            </w:r>
          </w:p>
        </w:tc>
        <w:tc>
          <w:tcPr>
            <w:tcW w:w="1559" w:type="dxa"/>
            <w:tcBorders>
              <w:bottom w:val="single" w:sz="4" w:space="0" w:color="auto"/>
            </w:tcBorders>
            <w:shd w:val="clear" w:color="auto" w:fill="auto"/>
            <w:tcMar>
              <w:top w:w="0" w:type="dxa"/>
              <w:left w:w="108" w:type="dxa"/>
              <w:bottom w:w="0" w:type="dxa"/>
              <w:right w:w="108" w:type="dxa"/>
            </w:tcMar>
            <w:vAlign w:val="bottom"/>
            <w:hideMark/>
          </w:tcPr>
          <w:p w14:paraId="02E09542" w14:textId="77777777" w:rsidR="007467BC" w:rsidRPr="00747FEC" w:rsidRDefault="007467BC" w:rsidP="00747FEC">
            <w:pPr>
              <w:spacing w:before="40" w:after="40" w:line="220" w:lineRule="exact"/>
              <w:ind w:right="113"/>
              <w:jc w:val="right"/>
              <w:rPr>
                <w:sz w:val="18"/>
              </w:rPr>
            </w:pPr>
            <w:r w:rsidRPr="00747FEC">
              <w:rPr>
                <w:sz w:val="18"/>
              </w:rPr>
              <w:t>0</w:t>
            </w:r>
          </w:p>
        </w:tc>
        <w:tc>
          <w:tcPr>
            <w:tcW w:w="1134" w:type="dxa"/>
            <w:tcBorders>
              <w:bottom w:val="single" w:sz="4" w:space="0" w:color="auto"/>
            </w:tcBorders>
            <w:shd w:val="clear" w:color="auto" w:fill="auto"/>
            <w:tcMar>
              <w:top w:w="0" w:type="dxa"/>
              <w:left w:w="108" w:type="dxa"/>
              <w:bottom w:w="0" w:type="dxa"/>
              <w:right w:w="108" w:type="dxa"/>
            </w:tcMar>
            <w:vAlign w:val="bottom"/>
            <w:hideMark/>
          </w:tcPr>
          <w:p w14:paraId="7CCAAF62" w14:textId="77777777" w:rsidR="007467BC" w:rsidRPr="00747FEC" w:rsidRDefault="007467BC" w:rsidP="00747FEC">
            <w:pPr>
              <w:spacing w:before="40" w:after="40" w:line="220" w:lineRule="exact"/>
              <w:ind w:right="113"/>
              <w:jc w:val="right"/>
              <w:rPr>
                <w:sz w:val="18"/>
              </w:rPr>
            </w:pPr>
            <w:r w:rsidRPr="00747FEC">
              <w:rPr>
                <w:sz w:val="18"/>
              </w:rPr>
              <w:t>1</w:t>
            </w:r>
          </w:p>
        </w:tc>
        <w:tc>
          <w:tcPr>
            <w:tcW w:w="883" w:type="dxa"/>
            <w:tcBorders>
              <w:bottom w:val="single" w:sz="4" w:space="0" w:color="auto"/>
            </w:tcBorders>
            <w:shd w:val="clear" w:color="auto" w:fill="auto"/>
            <w:tcMar>
              <w:top w:w="0" w:type="dxa"/>
              <w:left w:w="108" w:type="dxa"/>
              <w:bottom w:w="0" w:type="dxa"/>
              <w:right w:w="108" w:type="dxa"/>
            </w:tcMar>
            <w:vAlign w:val="bottom"/>
          </w:tcPr>
          <w:p w14:paraId="06B73B78" w14:textId="77777777" w:rsidR="007467BC" w:rsidRPr="00747FEC" w:rsidRDefault="007467BC" w:rsidP="00747FEC">
            <w:pPr>
              <w:spacing w:before="40" w:after="40" w:line="220" w:lineRule="exact"/>
              <w:ind w:right="113"/>
              <w:jc w:val="right"/>
              <w:rPr>
                <w:sz w:val="18"/>
              </w:rPr>
            </w:pPr>
          </w:p>
        </w:tc>
      </w:tr>
      <w:tr w:rsidR="00405A9B" w:rsidRPr="001C5C56" w14:paraId="2383FF30" w14:textId="77777777" w:rsidTr="00FD1289">
        <w:trPr>
          <w:cantSplit/>
          <w:trHeight w:val="212"/>
        </w:trPr>
        <w:tc>
          <w:tcPr>
            <w:tcW w:w="2376"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123A05A2" w14:textId="77777777" w:rsidR="007467BC" w:rsidRPr="001C5C56" w:rsidRDefault="007467BC" w:rsidP="001C5C56">
            <w:pPr>
              <w:spacing w:before="80" w:after="80" w:line="220" w:lineRule="exact"/>
              <w:ind w:left="283"/>
              <w:rPr>
                <w:b/>
                <w:sz w:val="18"/>
              </w:rPr>
            </w:pPr>
            <w:r w:rsidRPr="001C5C56">
              <w:rPr>
                <w:b/>
                <w:sz w:val="18"/>
              </w:rPr>
              <w:t>Total children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56F6C22F" w14:textId="77777777" w:rsidR="007467BC" w:rsidRPr="001C5C56" w:rsidRDefault="007467BC" w:rsidP="001C5C56">
            <w:pPr>
              <w:spacing w:before="80" w:after="80" w:line="220" w:lineRule="exact"/>
              <w:ind w:right="113"/>
              <w:jc w:val="right"/>
              <w:rPr>
                <w:b/>
                <w:sz w:val="18"/>
              </w:rPr>
            </w:pPr>
            <w:r w:rsidRPr="001C5C56">
              <w:rPr>
                <w:b/>
                <w:sz w:val="18"/>
              </w:rPr>
              <w:t>0</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538476F7" w14:textId="77777777" w:rsidR="007467BC" w:rsidRPr="001C5C56" w:rsidRDefault="007467BC" w:rsidP="001C5C56">
            <w:pPr>
              <w:spacing w:before="80" w:after="80" w:line="220" w:lineRule="exact"/>
              <w:ind w:right="113"/>
              <w:jc w:val="right"/>
              <w:rPr>
                <w:b/>
                <w:sz w:val="18"/>
              </w:rPr>
            </w:pPr>
            <w:r w:rsidRPr="001C5C56">
              <w:rPr>
                <w:b/>
                <w:sz w:val="18"/>
              </w:rPr>
              <w:t>0</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1BD4BF2B" w14:textId="77777777" w:rsidR="007467BC" w:rsidRPr="001C5C56" w:rsidRDefault="007467BC" w:rsidP="001C5C56">
            <w:pPr>
              <w:spacing w:before="80" w:after="80" w:line="220" w:lineRule="exact"/>
              <w:ind w:right="113"/>
              <w:jc w:val="right"/>
              <w:rPr>
                <w:b/>
                <w:sz w:val="18"/>
              </w:rPr>
            </w:pPr>
            <w:r w:rsidRPr="001C5C56">
              <w:rPr>
                <w:b/>
                <w:sz w:val="18"/>
              </w:rPr>
              <w:t>0</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4BB69B81" w14:textId="77777777" w:rsidR="007467BC" w:rsidRPr="001C5C56" w:rsidRDefault="007467BC" w:rsidP="001C5C56">
            <w:pPr>
              <w:spacing w:before="80" w:after="80" w:line="220" w:lineRule="exact"/>
              <w:ind w:right="113"/>
              <w:jc w:val="right"/>
              <w:rPr>
                <w:b/>
                <w:sz w:val="18"/>
              </w:rPr>
            </w:pPr>
            <w:r w:rsidRPr="001C5C56">
              <w:rPr>
                <w:b/>
                <w:sz w:val="18"/>
              </w:rPr>
              <w:t>1</w:t>
            </w:r>
          </w:p>
        </w:tc>
        <w:tc>
          <w:tcPr>
            <w:tcW w:w="883"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37787742" w14:textId="77777777" w:rsidR="007467BC" w:rsidRPr="001C5C56" w:rsidRDefault="007467BC" w:rsidP="001C5C56">
            <w:pPr>
              <w:spacing w:before="80" w:after="80" w:line="220" w:lineRule="exact"/>
              <w:ind w:right="113"/>
              <w:jc w:val="right"/>
              <w:rPr>
                <w:b/>
                <w:sz w:val="18"/>
              </w:rPr>
            </w:pPr>
          </w:p>
        </w:tc>
      </w:tr>
      <w:tr w:rsidR="007467BC" w:rsidRPr="00747FEC" w14:paraId="4E8CD037" w14:textId="77777777" w:rsidTr="00405A9B">
        <w:trPr>
          <w:cantSplit/>
        </w:trPr>
        <w:tc>
          <w:tcPr>
            <w:tcW w:w="2376" w:type="dxa"/>
            <w:tcBorders>
              <w:top w:val="single" w:sz="4" w:space="0" w:color="auto"/>
              <w:bottom w:val="nil"/>
            </w:tcBorders>
            <w:shd w:val="clear" w:color="auto" w:fill="auto"/>
            <w:tcMar>
              <w:top w:w="0" w:type="dxa"/>
              <w:left w:w="108" w:type="dxa"/>
              <w:bottom w:w="0" w:type="dxa"/>
              <w:right w:w="108" w:type="dxa"/>
            </w:tcMar>
            <w:hideMark/>
          </w:tcPr>
          <w:p w14:paraId="19E1909C" w14:textId="77777777" w:rsidR="007467BC" w:rsidRPr="00747FEC" w:rsidRDefault="007467BC" w:rsidP="00747FEC">
            <w:pPr>
              <w:spacing w:before="40" w:after="40" w:line="220" w:lineRule="exact"/>
              <w:ind w:right="113"/>
              <w:rPr>
                <w:sz w:val="18"/>
              </w:rPr>
            </w:pPr>
            <w:r w:rsidRPr="00747FEC">
              <w:rPr>
                <w:sz w:val="18"/>
              </w:rPr>
              <w:t>Adult males</w:t>
            </w:r>
          </w:p>
        </w:tc>
        <w:tc>
          <w:tcPr>
            <w:tcW w:w="709" w:type="dxa"/>
            <w:tcBorders>
              <w:top w:val="single" w:sz="4" w:space="0" w:color="auto"/>
              <w:bottom w:val="nil"/>
            </w:tcBorders>
            <w:shd w:val="clear" w:color="auto" w:fill="auto"/>
            <w:tcMar>
              <w:top w:w="0" w:type="dxa"/>
              <w:left w:w="108" w:type="dxa"/>
              <w:bottom w:w="0" w:type="dxa"/>
              <w:right w:w="108" w:type="dxa"/>
            </w:tcMar>
            <w:vAlign w:val="bottom"/>
            <w:hideMark/>
          </w:tcPr>
          <w:p w14:paraId="7D755EAD" w14:textId="77777777" w:rsidR="007467BC" w:rsidRPr="00747FEC" w:rsidRDefault="007467BC" w:rsidP="00747FEC">
            <w:pPr>
              <w:spacing w:before="40" w:after="40" w:line="220" w:lineRule="exact"/>
              <w:ind w:right="113"/>
              <w:jc w:val="right"/>
              <w:rPr>
                <w:sz w:val="18"/>
              </w:rPr>
            </w:pPr>
            <w:r w:rsidRPr="00747FEC">
              <w:rPr>
                <w:sz w:val="18"/>
              </w:rPr>
              <w:t>0</w:t>
            </w:r>
          </w:p>
        </w:tc>
        <w:tc>
          <w:tcPr>
            <w:tcW w:w="709" w:type="dxa"/>
            <w:tcBorders>
              <w:top w:val="single" w:sz="4" w:space="0" w:color="auto"/>
              <w:bottom w:val="nil"/>
            </w:tcBorders>
            <w:shd w:val="clear" w:color="auto" w:fill="auto"/>
            <w:tcMar>
              <w:top w:w="0" w:type="dxa"/>
              <w:left w:w="108" w:type="dxa"/>
              <w:bottom w:w="0" w:type="dxa"/>
              <w:right w:w="108" w:type="dxa"/>
            </w:tcMar>
            <w:vAlign w:val="bottom"/>
            <w:hideMark/>
          </w:tcPr>
          <w:p w14:paraId="1ABE00EC" w14:textId="77777777" w:rsidR="007467BC" w:rsidRPr="00747FEC" w:rsidRDefault="007467BC" w:rsidP="00747FEC">
            <w:pPr>
              <w:spacing w:before="40" w:after="40" w:line="220" w:lineRule="exact"/>
              <w:ind w:right="113"/>
              <w:jc w:val="right"/>
              <w:rPr>
                <w:sz w:val="18"/>
              </w:rPr>
            </w:pPr>
            <w:r w:rsidRPr="00747FEC">
              <w:rPr>
                <w:sz w:val="18"/>
              </w:rPr>
              <w:t>18</w:t>
            </w:r>
          </w:p>
        </w:tc>
        <w:tc>
          <w:tcPr>
            <w:tcW w:w="1559" w:type="dxa"/>
            <w:tcBorders>
              <w:top w:val="single" w:sz="4" w:space="0" w:color="auto"/>
              <w:bottom w:val="nil"/>
            </w:tcBorders>
            <w:shd w:val="clear" w:color="auto" w:fill="auto"/>
            <w:tcMar>
              <w:top w:w="0" w:type="dxa"/>
              <w:left w:w="108" w:type="dxa"/>
              <w:bottom w:w="0" w:type="dxa"/>
              <w:right w:w="108" w:type="dxa"/>
            </w:tcMar>
            <w:vAlign w:val="bottom"/>
            <w:hideMark/>
          </w:tcPr>
          <w:p w14:paraId="06360AC5" w14:textId="77777777" w:rsidR="007467BC" w:rsidRPr="00747FEC" w:rsidRDefault="007467BC" w:rsidP="00747FEC">
            <w:pPr>
              <w:spacing w:before="40" w:after="40" w:line="220" w:lineRule="exact"/>
              <w:ind w:right="113"/>
              <w:jc w:val="right"/>
              <w:rPr>
                <w:sz w:val="18"/>
              </w:rPr>
            </w:pPr>
            <w:r w:rsidRPr="00747FEC">
              <w:rPr>
                <w:sz w:val="18"/>
              </w:rPr>
              <w:t>13</w:t>
            </w:r>
          </w:p>
        </w:tc>
        <w:tc>
          <w:tcPr>
            <w:tcW w:w="1134" w:type="dxa"/>
            <w:tcBorders>
              <w:top w:val="single" w:sz="4" w:space="0" w:color="auto"/>
              <w:bottom w:val="nil"/>
            </w:tcBorders>
            <w:shd w:val="clear" w:color="auto" w:fill="auto"/>
            <w:tcMar>
              <w:top w:w="0" w:type="dxa"/>
              <w:left w:w="108" w:type="dxa"/>
              <w:bottom w:w="0" w:type="dxa"/>
              <w:right w:w="108" w:type="dxa"/>
            </w:tcMar>
            <w:vAlign w:val="bottom"/>
            <w:hideMark/>
          </w:tcPr>
          <w:p w14:paraId="6247E169" w14:textId="77777777" w:rsidR="007467BC" w:rsidRPr="00747FEC" w:rsidRDefault="007467BC" w:rsidP="00747FEC">
            <w:pPr>
              <w:spacing w:before="40" w:after="40" w:line="220" w:lineRule="exact"/>
              <w:ind w:right="113"/>
              <w:jc w:val="right"/>
              <w:rPr>
                <w:sz w:val="18"/>
              </w:rPr>
            </w:pPr>
            <w:r w:rsidRPr="00747FEC">
              <w:rPr>
                <w:sz w:val="18"/>
              </w:rPr>
              <w:t>2</w:t>
            </w:r>
          </w:p>
        </w:tc>
        <w:tc>
          <w:tcPr>
            <w:tcW w:w="883" w:type="dxa"/>
            <w:tcBorders>
              <w:top w:val="single" w:sz="4" w:space="0" w:color="auto"/>
              <w:bottom w:val="nil"/>
            </w:tcBorders>
            <w:shd w:val="clear" w:color="auto" w:fill="auto"/>
            <w:tcMar>
              <w:top w:w="0" w:type="dxa"/>
              <w:left w:w="108" w:type="dxa"/>
              <w:bottom w:w="0" w:type="dxa"/>
              <w:right w:w="108" w:type="dxa"/>
            </w:tcMar>
            <w:vAlign w:val="bottom"/>
            <w:hideMark/>
          </w:tcPr>
          <w:p w14:paraId="7A9F5BAC" w14:textId="77777777" w:rsidR="007467BC" w:rsidRPr="00747FEC" w:rsidRDefault="007467BC" w:rsidP="00747FEC">
            <w:pPr>
              <w:spacing w:before="40" w:after="40" w:line="220" w:lineRule="exact"/>
              <w:ind w:right="113"/>
              <w:jc w:val="right"/>
              <w:rPr>
                <w:sz w:val="18"/>
              </w:rPr>
            </w:pPr>
            <w:r w:rsidRPr="00747FEC">
              <w:rPr>
                <w:sz w:val="18"/>
              </w:rPr>
              <w:t>9</w:t>
            </w:r>
          </w:p>
        </w:tc>
      </w:tr>
      <w:tr w:rsidR="007467BC" w:rsidRPr="00747FEC" w14:paraId="582035C4" w14:textId="77777777" w:rsidTr="00405A9B">
        <w:trPr>
          <w:cantSplit/>
        </w:trPr>
        <w:tc>
          <w:tcPr>
            <w:tcW w:w="2376" w:type="dxa"/>
            <w:tcBorders>
              <w:top w:val="nil"/>
              <w:bottom w:val="nil"/>
            </w:tcBorders>
            <w:shd w:val="clear" w:color="auto" w:fill="auto"/>
            <w:tcMar>
              <w:top w:w="0" w:type="dxa"/>
              <w:left w:w="108" w:type="dxa"/>
              <w:bottom w:w="0" w:type="dxa"/>
              <w:right w:w="108" w:type="dxa"/>
            </w:tcMar>
            <w:hideMark/>
          </w:tcPr>
          <w:p w14:paraId="0B1CBC34" w14:textId="77777777" w:rsidR="007467BC" w:rsidRPr="00747FEC" w:rsidRDefault="007467BC" w:rsidP="00747FEC">
            <w:pPr>
              <w:spacing w:before="40" w:after="40" w:line="220" w:lineRule="exact"/>
              <w:ind w:right="113"/>
              <w:rPr>
                <w:sz w:val="18"/>
              </w:rPr>
            </w:pPr>
            <w:r w:rsidRPr="00747FEC">
              <w:rPr>
                <w:sz w:val="18"/>
              </w:rPr>
              <w:t>Adult females</w:t>
            </w:r>
          </w:p>
        </w:tc>
        <w:tc>
          <w:tcPr>
            <w:tcW w:w="709" w:type="dxa"/>
            <w:tcBorders>
              <w:top w:val="nil"/>
              <w:bottom w:val="nil"/>
            </w:tcBorders>
            <w:shd w:val="clear" w:color="auto" w:fill="auto"/>
            <w:tcMar>
              <w:top w:w="0" w:type="dxa"/>
              <w:left w:w="108" w:type="dxa"/>
              <w:bottom w:w="0" w:type="dxa"/>
              <w:right w:w="108" w:type="dxa"/>
            </w:tcMar>
            <w:vAlign w:val="bottom"/>
            <w:hideMark/>
          </w:tcPr>
          <w:p w14:paraId="686CD1C8" w14:textId="77777777" w:rsidR="007467BC" w:rsidRPr="00747FEC" w:rsidRDefault="007467BC" w:rsidP="00747FEC">
            <w:pPr>
              <w:spacing w:before="40" w:after="40" w:line="220" w:lineRule="exact"/>
              <w:ind w:right="113"/>
              <w:jc w:val="right"/>
              <w:rPr>
                <w:sz w:val="18"/>
              </w:rPr>
            </w:pPr>
            <w:r w:rsidRPr="00747FEC">
              <w:rPr>
                <w:sz w:val="18"/>
              </w:rPr>
              <w:t>0</w:t>
            </w:r>
          </w:p>
        </w:tc>
        <w:tc>
          <w:tcPr>
            <w:tcW w:w="709" w:type="dxa"/>
            <w:tcBorders>
              <w:top w:val="nil"/>
              <w:bottom w:val="nil"/>
            </w:tcBorders>
            <w:shd w:val="clear" w:color="auto" w:fill="auto"/>
            <w:tcMar>
              <w:top w:w="0" w:type="dxa"/>
              <w:left w:w="108" w:type="dxa"/>
              <w:bottom w:w="0" w:type="dxa"/>
              <w:right w:w="108" w:type="dxa"/>
            </w:tcMar>
            <w:vAlign w:val="bottom"/>
            <w:hideMark/>
          </w:tcPr>
          <w:p w14:paraId="31B8DD05" w14:textId="77777777" w:rsidR="007467BC" w:rsidRPr="00747FEC" w:rsidRDefault="007467BC" w:rsidP="00747FEC">
            <w:pPr>
              <w:spacing w:before="40" w:after="40" w:line="220" w:lineRule="exact"/>
              <w:ind w:right="113"/>
              <w:jc w:val="right"/>
              <w:rPr>
                <w:sz w:val="18"/>
              </w:rPr>
            </w:pPr>
            <w:r w:rsidRPr="00747FEC">
              <w:rPr>
                <w:sz w:val="18"/>
              </w:rPr>
              <w:t>0</w:t>
            </w:r>
          </w:p>
        </w:tc>
        <w:tc>
          <w:tcPr>
            <w:tcW w:w="1559" w:type="dxa"/>
            <w:tcBorders>
              <w:top w:val="nil"/>
              <w:bottom w:val="nil"/>
            </w:tcBorders>
            <w:shd w:val="clear" w:color="auto" w:fill="auto"/>
            <w:tcMar>
              <w:top w:w="0" w:type="dxa"/>
              <w:left w:w="108" w:type="dxa"/>
              <w:bottom w:w="0" w:type="dxa"/>
              <w:right w:w="108" w:type="dxa"/>
            </w:tcMar>
            <w:vAlign w:val="bottom"/>
            <w:hideMark/>
          </w:tcPr>
          <w:p w14:paraId="1C03C9DB" w14:textId="77777777" w:rsidR="007467BC" w:rsidRPr="00747FEC" w:rsidRDefault="007467BC" w:rsidP="00747FEC">
            <w:pPr>
              <w:spacing w:before="40" w:after="40" w:line="220" w:lineRule="exact"/>
              <w:ind w:right="113"/>
              <w:jc w:val="right"/>
              <w:rPr>
                <w:sz w:val="18"/>
              </w:rPr>
            </w:pPr>
            <w:r w:rsidRPr="00747FEC">
              <w:rPr>
                <w:sz w:val="18"/>
              </w:rPr>
              <w:t>6</w:t>
            </w:r>
          </w:p>
        </w:tc>
        <w:tc>
          <w:tcPr>
            <w:tcW w:w="1134" w:type="dxa"/>
            <w:tcBorders>
              <w:top w:val="nil"/>
              <w:bottom w:val="nil"/>
            </w:tcBorders>
            <w:shd w:val="clear" w:color="auto" w:fill="auto"/>
            <w:tcMar>
              <w:top w:w="0" w:type="dxa"/>
              <w:left w:w="108" w:type="dxa"/>
              <w:bottom w:w="0" w:type="dxa"/>
              <w:right w:w="108" w:type="dxa"/>
            </w:tcMar>
            <w:vAlign w:val="bottom"/>
            <w:hideMark/>
          </w:tcPr>
          <w:p w14:paraId="5863A382" w14:textId="77777777" w:rsidR="007467BC" w:rsidRPr="00747FEC" w:rsidRDefault="007467BC" w:rsidP="00747FEC">
            <w:pPr>
              <w:spacing w:before="40" w:after="40" w:line="220" w:lineRule="exact"/>
              <w:ind w:right="113"/>
              <w:jc w:val="right"/>
              <w:rPr>
                <w:sz w:val="18"/>
              </w:rPr>
            </w:pPr>
            <w:r w:rsidRPr="00747FEC">
              <w:rPr>
                <w:sz w:val="18"/>
              </w:rPr>
              <w:t>0</w:t>
            </w:r>
          </w:p>
        </w:tc>
        <w:tc>
          <w:tcPr>
            <w:tcW w:w="883" w:type="dxa"/>
            <w:tcBorders>
              <w:top w:val="nil"/>
              <w:bottom w:val="nil"/>
            </w:tcBorders>
            <w:shd w:val="clear" w:color="auto" w:fill="auto"/>
            <w:tcMar>
              <w:top w:w="0" w:type="dxa"/>
              <w:left w:w="108" w:type="dxa"/>
              <w:bottom w:w="0" w:type="dxa"/>
              <w:right w:w="108" w:type="dxa"/>
            </w:tcMar>
            <w:vAlign w:val="bottom"/>
            <w:hideMark/>
          </w:tcPr>
          <w:p w14:paraId="0184A0FA" w14:textId="77777777" w:rsidR="007467BC" w:rsidRPr="00747FEC" w:rsidRDefault="007467BC" w:rsidP="00747FEC">
            <w:pPr>
              <w:spacing w:before="40" w:after="40" w:line="220" w:lineRule="exact"/>
              <w:ind w:right="113"/>
              <w:jc w:val="right"/>
              <w:rPr>
                <w:sz w:val="18"/>
              </w:rPr>
            </w:pPr>
            <w:r w:rsidRPr="00747FEC">
              <w:rPr>
                <w:sz w:val="18"/>
              </w:rPr>
              <w:t>1</w:t>
            </w:r>
          </w:p>
        </w:tc>
      </w:tr>
      <w:tr w:rsidR="00405A9B" w:rsidRPr="001C5C56" w14:paraId="4BDD8157" w14:textId="77777777" w:rsidTr="00405A9B">
        <w:trPr>
          <w:cantSplit/>
        </w:trPr>
        <w:tc>
          <w:tcPr>
            <w:tcW w:w="2376" w:type="dxa"/>
            <w:tcBorders>
              <w:top w:val="nil"/>
              <w:bottom w:val="single" w:sz="4" w:space="0" w:color="auto"/>
            </w:tcBorders>
            <w:shd w:val="clear" w:color="auto" w:fill="auto"/>
            <w:tcMar>
              <w:top w:w="0" w:type="dxa"/>
              <w:left w:w="108" w:type="dxa"/>
              <w:bottom w:w="0" w:type="dxa"/>
              <w:right w:w="108" w:type="dxa"/>
            </w:tcMar>
            <w:hideMark/>
          </w:tcPr>
          <w:p w14:paraId="66BB7AB7" w14:textId="77777777" w:rsidR="007467BC" w:rsidRPr="001C5C56" w:rsidRDefault="007467BC" w:rsidP="001C5C56">
            <w:pPr>
              <w:spacing w:before="80" w:after="80" w:line="220" w:lineRule="exact"/>
              <w:ind w:left="283"/>
              <w:rPr>
                <w:b/>
                <w:bCs/>
                <w:sz w:val="18"/>
              </w:rPr>
            </w:pPr>
            <w:r w:rsidRPr="001C5C56">
              <w:rPr>
                <w:b/>
                <w:bCs/>
                <w:sz w:val="18"/>
              </w:rPr>
              <w:t>Total adults</w:t>
            </w:r>
          </w:p>
        </w:tc>
        <w:tc>
          <w:tcPr>
            <w:tcW w:w="709" w:type="dxa"/>
            <w:tcBorders>
              <w:top w:val="nil"/>
              <w:bottom w:val="single" w:sz="4" w:space="0" w:color="auto"/>
            </w:tcBorders>
            <w:shd w:val="clear" w:color="auto" w:fill="auto"/>
            <w:tcMar>
              <w:top w:w="0" w:type="dxa"/>
              <w:left w:w="108" w:type="dxa"/>
              <w:bottom w:w="0" w:type="dxa"/>
              <w:right w:w="108" w:type="dxa"/>
            </w:tcMar>
            <w:vAlign w:val="bottom"/>
            <w:hideMark/>
          </w:tcPr>
          <w:p w14:paraId="415FB3F8" w14:textId="77777777" w:rsidR="007467BC" w:rsidRPr="001C5C56" w:rsidRDefault="007467BC" w:rsidP="001C5C56">
            <w:pPr>
              <w:spacing w:before="80" w:after="80" w:line="220" w:lineRule="exact"/>
              <w:ind w:right="113"/>
              <w:jc w:val="right"/>
              <w:rPr>
                <w:b/>
                <w:bCs/>
                <w:sz w:val="18"/>
              </w:rPr>
            </w:pPr>
            <w:r w:rsidRPr="001C5C56">
              <w:rPr>
                <w:b/>
                <w:bCs/>
                <w:sz w:val="18"/>
              </w:rPr>
              <w:t>0</w:t>
            </w:r>
          </w:p>
        </w:tc>
        <w:tc>
          <w:tcPr>
            <w:tcW w:w="709" w:type="dxa"/>
            <w:tcBorders>
              <w:top w:val="nil"/>
              <w:bottom w:val="single" w:sz="4" w:space="0" w:color="auto"/>
            </w:tcBorders>
            <w:shd w:val="clear" w:color="auto" w:fill="auto"/>
            <w:tcMar>
              <w:top w:w="0" w:type="dxa"/>
              <w:left w:w="108" w:type="dxa"/>
              <w:bottom w:w="0" w:type="dxa"/>
              <w:right w:w="108" w:type="dxa"/>
            </w:tcMar>
            <w:vAlign w:val="bottom"/>
            <w:hideMark/>
          </w:tcPr>
          <w:p w14:paraId="0F8803BE" w14:textId="77777777" w:rsidR="007467BC" w:rsidRPr="001C5C56" w:rsidRDefault="007467BC" w:rsidP="001C5C56">
            <w:pPr>
              <w:spacing w:before="80" w:after="80" w:line="220" w:lineRule="exact"/>
              <w:ind w:right="113"/>
              <w:jc w:val="right"/>
              <w:rPr>
                <w:b/>
                <w:bCs/>
                <w:sz w:val="18"/>
              </w:rPr>
            </w:pPr>
            <w:r w:rsidRPr="001C5C56">
              <w:rPr>
                <w:b/>
                <w:bCs/>
                <w:sz w:val="18"/>
              </w:rPr>
              <w:t>18</w:t>
            </w:r>
          </w:p>
        </w:tc>
        <w:tc>
          <w:tcPr>
            <w:tcW w:w="1559" w:type="dxa"/>
            <w:tcBorders>
              <w:top w:val="nil"/>
              <w:bottom w:val="single" w:sz="4" w:space="0" w:color="auto"/>
            </w:tcBorders>
            <w:shd w:val="clear" w:color="auto" w:fill="auto"/>
            <w:tcMar>
              <w:top w:w="0" w:type="dxa"/>
              <w:left w:w="108" w:type="dxa"/>
              <w:bottom w:w="0" w:type="dxa"/>
              <w:right w:w="108" w:type="dxa"/>
            </w:tcMar>
            <w:vAlign w:val="bottom"/>
            <w:hideMark/>
          </w:tcPr>
          <w:p w14:paraId="700450E9" w14:textId="77777777" w:rsidR="007467BC" w:rsidRPr="001C5C56" w:rsidRDefault="007467BC" w:rsidP="001C5C56">
            <w:pPr>
              <w:spacing w:before="80" w:after="80" w:line="220" w:lineRule="exact"/>
              <w:ind w:right="113"/>
              <w:jc w:val="right"/>
              <w:rPr>
                <w:b/>
                <w:bCs/>
                <w:sz w:val="18"/>
              </w:rPr>
            </w:pPr>
            <w:r w:rsidRPr="001C5C56">
              <w:rPr>
                <w:b/>
                <w:bCs/>
                <w:sz w:val="18"/>
              </w:rPr>
              <w:t>19</w:t>
            </w:r>
          </w:p>
        </w:tc>
        <w:tc>
          <w:tcPr>
            <w:tcW w:w="1134" w:type="dxa"/>
            <w:tcBorders>
              <w:top w:val="nil"/>
              <w:bottom w:val="single" w:sz="4" w:space="0" w:color="auto"/>
            </w:tcBorders>
            <w:shd w:val="clear" w:color="auto" w:fill="auto"/>
            <w:tcMar>
              <w:top w:w="0" w:type="dxa"/>
              <w:left w:w="108" w:type="dxa"/>
              <w:bottom w:w="0" w:type="dxa"/>
              <w:right w:w="108" w:type="dxa"/>
            </w:tcMar>
            <w:vAlign w:val="bottom"/>
            <w:hideMark/>
          </w:tcPr>
          <w:p w14:paraId="70A0E005" w14:textId="77777777" w:rsidR="007467BC" w:rsidRPr="001C5C56" w:rsidRDefault="007467BC" w:rsidP="001C5C56">
            <w:pPr>
              <w:spacing w:before="80" w:after="80" w:line="220" w:lineRule="exact"/>
              <w:ind w:right="113"/>
              <w:jc w:val="right"/>
              <w:rPr>
                <w:b/>
                <w:bCs/>
                <w:sz w:val="18"/>
              </w:rPr>
            </w:pPr>
            <w:r w:rsidRPr="001C5C56">
              <w:rPr>
                <w:b/>
                <w:bCs/>
                <w:sz w:val="18"/>
              </w:rPr>
              <w:t>2</w:t>
            </w:r>
          </w:p>
        </w:tc>
        <w:tc>
          <w:tcPr>
            <w:tcW w:w="883" w:type="dxa"/>
            <w:tcBorders>
              <w:top w:val="nil"/>
              <w:bottom w:val="single" w:sz="4" w:space="0" w:color="auto"/>
            </w:tcBorders>
            <w:shd w:val="clear" w:color="auto" w:fill="auto"/>
            <w:tcMar>
              <w:top w:w="0" w:type="dxa"/>
              <w:left w:w="108" w:type="dxa"/>
              <w:bottom w:w="0" w:type="dxa"/>
              <w:right w:w="108" w:type="dxa"/>
            </w:tcMar>
            <w:vAlign w:val="bottom"/>
          </w:tcPr>
          <w:p w14:paraId="66BF16E0" w14:textId="77777777" w:rsidR="007467BC" w:rsidRPr="001C5C56" w:rsidRDefault="007467BC" w:rsidP="001C5C56">
            <w:pPr>
              <w:spacing w:before="80" w:after="80" w:line="220" w:lineRule="exact"/>
              <w:ind w:right="113"/>
              <w:jc w:val="right"/>
              <w:rPr>
                <w:b/>
                <w:bCs/>
                <w:sz w:val="18"/>
              </w:rPr>
            </w:pPr>
            <w:r w:rsidRPr="001C5C56">
              <w:rPr>
                <w:b/>
                <w:bCs/>
                <w:sz w:val="18"/>
              </w:rPr>
              <w:t>10</w:t>
            </w:r>
          </w:p>
        </w:tc>
      </w:tr>
      <w:tr w:rsidR="00405A9B" w:rsidRPr="001C5C56" w14:paraId="3AC94928" w14:textId="77777777" w:rsidTr="00FD1289">
        <w:trPr>
          <w:cantSplit/>
          <w:trHeight w:val="260"/>
        </w:trPr>
        <w:tc>
          <w:tcPr>
            <w:tcW w:w="2376" w:type="dxa"/>
            <w:tcBorders>
              <w:top w:val="single" w:sz="4" w:space="0" w:color="auto"/>
              <w:bottom w:val="single" w:sz="4" w:space="0" w:color="auto"/>
            </w:tcBorders>
            <w:shd w:val="clear" w:color="auto" w:fill="auto"/>
            <w:tcMar>
              <w:top w:w="0" w:type="dxa"/>
              <w:left w:w="108" w:type="dxa"/>
              <w:bottom w:w="0" w:type="dxa"/>
              <w:right w:w="108" w:type="dxa"/>
            </w:tcMar>
            <w:hideMark/>
          </w:tcPr>
          <w:p w14:paraId="0BB7CB03" w14:textId="77777777" w:rsidR="007467BC" w:rsidRPr="001C5C56" w:rsidRDefault="007467BC" w:rsidP="001C5C56">
            <w:pPr>
              <w:spacing w:before="80" w:after="80" w:line="220" w:lineRule="exact"/>
              <w:ind w:left="283"/>
              <w:rPr>
                <w:b/>
                <w:sz w:val="18"/>
              </w:rPr>
            </w:pPr>
            <w:r w:rsidRPr="001C5C56">
              <w:rPr>
                <w:b/>
                <w:sz w:val="18"/>
              </w:rPr>
              <w:t>Total</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24F3F4DA" w14:textId="77777777" w:rsidR="007467BC" w:rsidRPr="001C5C56" w:rsidRDefault="007467BC" w:rsidP="001C5C56">
            <w:pPr>
              <w:spacing w:before="80" w:after="80" w:line="220" w:lineRule="exact"/>
              <w:ind w:right="113"/>
              <w:jc w:val="right"/>
              <w:rPr>
                <w:b/>
                <w:sz w:val="18"/>
              </w:rPr>
            </w:pPr>
            <w:r w:rsidRPr="001C5C56">
              <w:rPr>
                <w:b/>
                <w:sz w:val="18"/>
              </w:rPr>
              <w:t>0</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3E0522F7" w14:textId="77777777" w:rsidR="007467BC" w:rsidRPr="001C5C56" w:rsidRDefault="007467BC" w:rsidP="001C5C56">
            <w:pPr>
              <w:spacing w:before="80" w:after="80" w:line="220" w:lineRule="exact"/>
              <w:ind w:right="113"/>
              <w:jc w:val="right"/>
              <w:rPr>
                <w:b/>
                <w:sz w:val="18"/>
              </w:rPr>
            </w:pPr>
            <w:r w:rsidRPr="001C5C56">
              <w:rPr>
                <w:b/>
                <w:sz w:val="18"/>
              </w:rPr>
              <w:t>18</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661B3A6A" w14:textId="77777777" w:rsidR="007467BC" w:rsidRPr="001C5C56" w:rsidRDefault="007467BC" w:rsidP="001C5C56">
            <w:pPr>
              <w:spacing w:before="80" w:after="80" w:line="220" w:lineRule="exact"/>
              <w:ind w:right="113"/>
              <w:jc w:val="right"/>
              <w:rPr>
                <w:b/>
                <w:sz w:val="18"/>
              </w:rPr>
            </w:pPr>
            <w:r w:rsidRPr="001C5C56">
              <w:rPr>
                <w:b/>
                <w:sz w:val="18"/>
              </w:rPr>
              <w:t>19</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vAlign w:val="bottom"/>
            <w:hideMark/>
          </w:tcPr>
          <w:p w14:paraId="3D9CE8CC" w14:textId="77777777" w:rsidR="007467BC" w:rsidRPr="001C5C56" w:rsidRDefault="007467BC" w:rsidP="001C5C56">
            <w:pPr>
              <w:spacing w:before="80" w:after="80" w:line="220" w:lineRule="exact"/>
              <w:ind w:right="113"/>
              <w:jc w:val="right"/>
              <w:rPr>
                <w:b/>
                <w:sz w:val="18"/>
              </w:rPr>
            </w:pPr>
            <w:r w:rsidRPr="001C5C56">
              <w:rPr>
                <w:b/>
                <w:sz w:val="18"/>
              </w:rPr>
              <w:t>3</w:t>
            </w:r>
          </w:p>
        </w:tc>
        <w:tc>
          <w:tcPr>
            <w:tcW w:w="883" w:type="dxa"/>
            <w:tcBorders>
              <w:top w:val="single" w:sz="4" w:space="0" w:color="auto"/>
              <w:bottom w:val="single" w:sz="4" w:space="0" w:color="auto"/>
            </w:tcBorders>
            <w:shd w:val="clear" w:color="auto" w:fill="auto"/>
            <w:tcMar>
              <w:top w:w="0" w:type="dxa"/>
              <w:left w:w="108" w:type="dxa"/>
              <w:bottom w:w="0" w:type="dxa"/>
              <w:right w:w="108" w:type="dxa"/>
            </w:tcMar>
            <w:vAlign w:val="bottom"/>
          </w:tcPr>
          <w:p w14:paraId="479BB05A" w14:textId="77777777" w:rsidR="007467BC" w:rsidRPr="001C5C56" w:rsidRDefault="007467BC" w:rsidP="001C5C56">
            <w:pPr>
              <w:spacing w:before="80" w:after="80" w:line="220" w:lineRule="exact"/>
              <w:ind w:right="113"/>
              <w:jc w:val="right"/>
              <w:rPr>
                <w:b/>
                <w:sz w:val="18"/>
              </w:rPr>
            </w:pPr>
            <w:r w:rsidRPr="001C5C56">
              <w:rPr>
                <w:b/>
                <w:sz w:val="18"/>
              </w:rPr>
              <w:t>10</w:t>
            </w:r>
          </w:p>
        </w:tc>
      </w:tr>
      <w:tr w:rsidR="007467BC" w:rsidRPr="00747FEC" w14:paraId="452DF1E6" w14:textId="77777777" w:rsidTr="00405A9B">
        <w:trPr>
          <w:cantSplit/>
        </w:trPr>
        <w:tc>
          <w:tcPr>
            <w:tcW w:w="2376" w:type="dxa"/>
            <w:tcBorders>
              <w:top w:val="single" w:sz="4" w:space="0" w:color="auto"/>
            </w:tcBorders>
            <w:shd w:val="clear" w:color="auto" w:fill="auto"/>
            <w:tcMar>
              <w:top w:w="0" w:type="dxa"/>
              <w:left w:w="108" w:type="dxa"/>
              <w:bottom w:w="0" w:type="dxa"/>
              <w:right w:w="108" w:type="dxa"/>
            </w:tcMar>
            <w:hideMark/>
          </w:tcPr>
          <w:p w14:paraId="570862EA" w14:textId="77777777" w:rsidR="007467BC" w:rsidRPr="00747FEC" w:rsidRDefault="007467BC" w:rsidP="00747FEC">
            <w:pPr>
              <w:spacing w:before="40" w:after="40" w:line="220" w:lineRule="exact"/>
              <w:ind w:right="113"/>
              <w:rPr>
                <w:sz w:val="18"/>
              </w:rPr>
            </w:pPr>
            <w:r w:rsidRPr="00747FEC">
              <w:rPr>
                <w:sz w:val="18"/>
              </w:rPr>
              <w:t>Origin of Victims</w:t>
            </w:r>
          </w:p>
        </w:tc>
        <w:tc>
          <w:tcPr>
            <w:tcW w:w="709" w:type="dxa"/>
            <w:tcBorders>
              <w:top w:val="single" w:sz="4" w:space="0" w:color="auto"/>
            </w:tcBorders>
            <w:shd w:val="clear" w:color="auto" w:fill="auto"/>
            <w:tcMar>
              <w:top w:w="0" w:type="dxa"/>
              <w:left w:w="108" w:type="dxa"/>
              <w:bottom w:w="0" w:type="dxa"/>
              <w:right w:w="108" w:type="dxa"/>
            </w:tcMar>
            <w:vAlign w:val="bottom"/>
          </w:tcPr>
          <w:p w14:paraId="77C78D9C" w14:textId="77777777" w:rsidR="007467BC" w:rsidRPr="00747FEC" w:rsidRDefault="007467BC" w:rsidP="00747FEC">
            <w:pPr>
              <w:spacing w:before="40" w:after="40" w:line="220" w:lineRule="exact"/>
              <w:ind w:right="113"/>
              <w:jc w:val="right"/>
              <w:rPr>
                <w:sz w:val="18"/>
              </w:rPr>
            </w:pPr>
          </w:p>
        </w:tc>
        <w:tc>
          <w:tcPr>
            <w:tcW w:w="709" w:type="dxa"/>
            <w:tcBorders>
              <w:top w:val="single" w:sz="4" w:space="0" w:color="auto"/>
            </w:tcBorders>
            <w:shd w:val="clear" w:color="auto" w:fill="auto"/>
            <w:tcMar>
              <w:top w:w="0" w:type="dxa"/>
              <w:left w:w="108" w:type="dxa"/>
              <w:bottom w:w="0" w:type="dxa"/>
              <w:right w:w="108" w:type="dxa"/>
            </w:tcMar>
            <w:vAlign w:val="bottom"/>
            <w:hideMark/>
          </w:tcPr>
          <w:p w14:paraId="3D909B60" w14:textId="77777777" w:rsidR="007467BC" w:rsidRPr="00747FEC" w:rsidRDefault="007467BC" w:rsidP="00747FEC">
            <w:pPr>
              <w:spacing w:before="40" w:after="40" w:line="220" w:lineRule="exact"/>
              <w:ind w:right="113"/>
              <w:jc w:val="right"/>
              <w:rPr>
                <w:sz w:val="18"/>
              </w:rPr>
            </w:pPr>
            <w:r w:rsidRPr="00747FEC">
              <w:rPr>
                <w:sz w:val="18"/>
              </w:rPr>
              <w:t>India</w:t>
            </w:r>
          </w:p>
        </w:tc>
        <w:tc>
          <w:tcPr>
            <w:tcW w:w="1559" w:type="dxa"/>
            <w:tcBorders>
              <w:top w:val="single" w:sz="4" w:space="0" w:color="auto"/>
            </w:tcBorders>
            <w:shd w:val="clear" w:color="auto" w:fill="auto"/>
            <w:tcMar>
              <w:top w:w="0" w:type="dxa"/>
              <w:left w:w="108" w:type="dxa"/>
              <w:bottom w:w="0" w:type="dxa"/>
              <w:right w:w="108" w:type="dxa"/>
            </w:tcMar>
            <w:vAlign w:val="bottom"/>
            <w:hideMark/>
          </w:tcPr>
          <w:p w14:paraId="6FA57588" w14:textId="77777777" w:rsidR="007467BC" w:rsidRPr="00747FEC" w:rsidRDefault="007467BC" w:rsidP="00747FEC">
            <w:pPr>
              <w:spacing w:before="40" w:after="40" w:line="220" w:lineRule="exact"/>
              <w:ind w:right="113"/>
              <w:jc w:val="right"/>
              <w:rPr>
                <w:sz w:val="18"/>
              </w:rPr>
            </w:pPr>
            <w:r w:rsidRPr="00747FEC">
              <w:rPr>
                <w:sz w:val="18"/>
              </w:rPr>
              <w:t>Fiji</w:t>
            </w:r>
            <w:r w:rsidR="00747FEC">
              <w:rPr>
                <w:sz w:val="18"/>
              </w:rPr>
              <w:t xml:space="preserve"> </w:t>
            </w:r>
            <w:r w:rsidRPr="00747FEC">
              <w:rPr>
                <w:sz w:val="18"/>
              </w:rPr>
              <w:t>Bangladesh</w:t>
            </w:r>
          </w:p>
        </w:tc>
        <w:tc>
          <w:tcPr>
            <w:tcW w:w="1134" w:type="dxa"/>
            <w:tcBorders>
              <w:top w:val="single" w:sz="4" w:space="0" w:color="auto"/>
            </w:tcBorders>
            <w:shd w:val="clear" w:color="auto" w:fill="auto"/>
            <w:tcMar>
              <w:top w:w="0" w:type="dxa"/>
              <w:left w:w="108" w:type="dxa"/>
              <w:bottom w:w="0" w:type="dxa"/>
              <w:right w:w="108" w:type="dxa"/>
            </w:tcMar>
            <w:vAlign w:val="bottom"/>
            <w:hideMark/>
          </w:tcPr>
          <w:p w14:paraId="399AE36F" w14:textId="77777777" w:rsidR="007467BC" w:rsidRPr="00747FEC" w:rsidRDefault="007467BC" w:rsidP="00747FEC">
            <w:pPr>
              <w:spacing w:before="40" w:after="40" w:line="220" w:lineRule="exact"/>
              <w:ind w:right="113"/>
              <w:jc w:val="right"/>
              <w:rPr>
                <w:sz w:val="18"/>
              </w:rPr>
            </w:pPr>
            <w:r w:rsidRPr="00747FEC">
              <w:rPr>
                <w:sz w:val="18"/>
              </w:rPr>
              <w:t>Samoa</w:t>
            </w:r>
            <w:r w:rsidR="00747FEC">
              <w:rPr>
                <w:sz w:val="18"/>
              </w:rPr>
              <w:t xml:space="preserve"> </w:t>
            </w:r>
            <w:r w:rsidRPr="00747FEC">
              <w:rPr>
                <w:sz w:val="18"/>
              </w:rPr>
              <w:t>Fiji</w:t>
            </w:r>
          </w:p>
        </w:tc>
        <w:tc>
          <w:tcPr>
            <w:tcW w:w="883" w:type="dxa"/>
            <w:tcBorders>
              <w:top w:val="single" w:sz="4" w:space="0" w:color="auto"/>
            </w:tcBorders>
            <w:shd w:val="clear" w:color="auto" w:fill="auto"/>
            <w:tcMar>
              <w:top w:w="0" w:type="dxa"/>
              <w:left w:w="108" w:type="dxa"/>
              <w:bottom w:w="0" w:type="dxa"/>
              <w:right w:w="108" w:type="dxa"/>
            </w:tcMar>
            <w:vAlign w:val="bottom"/>
            <w:hideMark/>
          </w:tcPr>
          <w:p w14:paraId="0613EB13" w14:textId="77777777" w:rsidR="007467BC" w:rsidRPr="00747FEC" w:rsidRDefault="007467BC" w:rsidP="00747FEC">
            <w:pPr>
              <w:spacing w:before="40" w:after="40" w:line="220" w:lineRule="exact"/>
              <w:ind w:right="113"/>
              <w:jc w:val="right"/>
              <w:rPr>
                <w:sz w:val="18"/>
              </w:rPr>
            </w:pPr>
            <w:r w:rsidRPr="00747FEC">
              <w:rPr>
                <w:sz w:val="18"/>
              </w:rPr>
              <w:t>Samoa</w:t>
            </w:r>
          </w:p>
        </w:tc>
      </w:tr>
    </w:tbl>
    <w:p w14:paraId="0EA5CEA9" w14:textId="77777777" w:rsidR="007467BC" w:rsidRPr="002D2A54" w:rsidRDefault="007467BC" w:rsidP="0026296C">
      <w:pPr>
        <w:spacing w:line="240" w:lineRule="atLeast"/>
        <w:ind w:left="1134" w:right="1134" w:firstLine="170"/>
        <w:rPr>
          <w:sz w:val="18"/>
        </w:rPr>
      </w:pPr>
      <w:r w:rsidRPr="002D2A54">
        <w:t>*</w:t>
      </w:r>
      <w:r w:rsidRPr="002D2A54">
        <w:rPr>
          <w:sz w:val="18"/>
        </w:rPr>
        <w:t xml:space="preserve"> </w:t>
      </w:r>
      <w:r w:rsidR="002D2A54">
        <w:rPr>
          <w:sz w:val="18"/>
        </w:rPr>
        <w:t xml:space="preserve"> </w:t>
      </w:r>
      <w:r w:rsidRPr="002D2A54">
        <w:rPr>
          <w:sz w:val="18"/>
        </w:rPr>
        <w:t>Victims identified refer to criminal charges laid</w:t>
      </w:r>
      <w:bookmarkEnd w:id="21"/>
      <w:r w:rsidRPr="002D2A54">
        <w:rPr>
          <w:sz w:val="18"/>
        </w:rPr>
        <w:t>.</w:t>
      </w:r>
    </w:p>
    <w:p w14:paraId="09F5F586" w14:textId="77777777" w:rsidR="007467BC" w:rsidRPr="009F47DE" w:rsidRDefault="007467BC" w:rsidP="000F0DEC">
      <w:pPr>
        <w:pStyle w:val="H23G"/>
      </w:pPr>
      <w:r w:rsidRPr="009F47DE">
        <w:lastRenderedPageBreak/>
        <w:tab/>
      </w:r>
      <w:r w:rsidRPr="009F47DE">
        <w:tab/>
        <w:t>Updated legislation</w:t>
      </w:r>
    </w:p>
    <w:p w14:paraId="3BD8DE23" w14:textId="77777777" w:rsidR="007467BC" w:rsidRPr="009F47DE" w:rsidRDefault="007467BC" w:rsidP="000F0DEC">
      <w:pPr>
        <w:pStyle w:val="H4G"/>
      </w:pPr>
      <w:r w:rsidRPr="009F47DE">
        <w:tab/>
      </w:r>
      <w:r w:rsidRPr="009F47DE">
        <w:tab/>
        <w:t>Crimes Amendment Act 2015</w:t>
      </w:r>
    </w:p>
    <w:p w14:paraId="09CEB0FF" w14:textId="77777777" w:rsidR="007467BC" w:rsidRPr="009F47DE" w:rsidRDefault="007467BC" w:rsidP="007467BC">
      <w:pPr>
        <w:pStyle w:val="SingleTxtG"/>
      </w:pPr>
      <w:r w:rsidRPr="009F47DE">
        <w:t>55.</w:t>
      </w:r>
      <w:r w:rsidRPr="009F47DE">
        <w:tab/>
        <w:t xml:space="preserve">This Act now includes trafficking within, as well as into and out of, the country. It also prohibits slavery, servitude, forced labour, and people trafficking. </w:t>
      </w:r>
    </w:p>
    <w:p w14:paraId="5968D6AA" w14:textId="77777777" w:rsidR="007467BC" w:rsidRPr="009F47DE" w:rsidRDefault="007467BC" w:rsidP="000F0DEC">
      <w:pPr>
        <w:pStyle w:val="H4G"/>
      </w:pPr>
      <w:r w:rsidRPr="009F47DE">
        <w:tab/>
      </w:r>
      <w:r w:rsidRPr="009F47DE">
        <w:tab/>
        <w:t>Immigration Amendment Act 2015</w:t>
      </w:r>
    </w:p>
    <w:p w14:paraId="26002228" w14:textId="77777777" w:rsidR="007467BC" w:rsidRPr="009F47DE" w:rsidRDefault="007467BC" w:rsidP="007467BC">
      <w:pPr>
        <w:pStyle w:val="SingleTxtG"/>
      </w:pPr>
      <w:r w:rsidRPr="009F47DE">
        <w:t>56.</w:t>
      </w:r>
      <w:r w:rsidRPr="009F47DE">
        <w:tab/>
        <w:t xml:space="preserve">Employers exploiting temporary migrant workers face a jail term of up to seven years and/or a fine up to $100,000. Employers holding a residence visa are liable for deportation if the offence was committed within 10 years of gaining residence. New provisions include enhanced search powers for immigration officers, responsiveness to new technology, more sustainable funding and changing collection of biometric information. </w:t>
      </w:r>
    </w:p>
    <w:p w14:paraId="6E2B2FAC" w14:textId="77777777" w:rsidR="007467BC" w:rsidRPr="009F47DE" w:rsidRDefault="007467BC" w:rsidP="000F0DEC">
      <w:pPr>
        <w:pStyle w:val="H4G"/>
      </w:pPr>
      <w:r w:rsidRPr="009F47DE">
        <w:tab/>
      </w:r>
      <w:r w:rsidRPr="009F47DE">
        <w:tab/>
        <w:t>Fisheries (Foreign Charter Vessels and Other Matters) Amendment Act 2014</w:t>
      </w:r>
    </w:p>
    <w:p w14:paraId="09D0BCD8" w14:textId="77777777" w:rsidR="007467BC" w:rsidRPr="009F47DE" w:rsidRDefault="007467BC" w:rsidP="007467BC">
      <w:pPr>
        <w:pStyle w:val="SingleTxtG"/>
      </w:pPr>
      <w:r w:rsidRPr="009F47DE">
        <w:t>57.</w:t>
      </w:r>
      <w:r w:rsidRPr="009F47DE">
        <w:tab/>
        <w:t>All crew on fishing vessels operating in New Zealand</w:t>
      </w:r>
      <w:r w:rsidR="00562737">
        <w:t>’</w:t>
      </w:r>
      <w:r w:rsidRPr="009F47DE">
        <w:t>s Exclusive Economic Zone must be employed on New Zealand employment contracts. Requiring vessels to operate under New Zealand jurisdiction and laws seeks to strengthen protection of crews</w:t>
      </w:r>
      <w:r w:rsidR="00562737">
        <w:t>’</w:t>
      </w:r>
      <w:r w:rsidRPr="009F47DE">
        <w:t xml:space="preserve"> human rights. </w:t>
      </w:r>
    </w:p>
    <w:p w14:paraId="27E9588D" w14:textId="77777777" w:rsidR="007467BC" w:rsidRPr="009F47DE" w:rsidRDefault="007467BC" w:rsidP="001405F8">
      <w:pPr>
        <w:pStyle w:val="H4G"/>
      </w:pPr>
      <w:r w:rsidRPr="009F47DE">
        <w:tab/>
      </w:r>
      <w:r w:rsidRPr="009F47DE">
        <w:tab/>
        <w:t>Prostitution Reform Act 2003</w:t>
      </w:r>
    </w:p>
    <w:p w14:paraId="3DF6E7E6" w14:textId="77777777" w:rsidR="007467BC" w:rsidRPr="009F47DE" w:rsidRDefault="007467BC" w:rsidP="007467BC">
      <w:pPr>
        <w:pStyle w:val="SingleTxtG"/>
      </w:pPr>
      <w:r w:rsidRPr="009F47DE">
        <w:t>58.</w:t>
      </w:r>
      <w:r w:rsidRPr="009F47DE">
        <w:tab/>
        <w:t xml:space="preserve">Section 19 of this Act aims to reduce the risk of migrant exploitation by prohibiting temporary visa applicants from engaging in prostitution. </w:t>
      </w:r>
    </w:p>
    <w:p w14:paraId="442B31C1" w14:textId="77777777" w:rsidR="007467BC" w:rsidRPr="009F47DE" w:rsidRDefault="007467BC" w:rsidP="007467BC">
      <w:pPr>
        <w:pStyle w:val="SingleTxtG"/>
      </w:pPr>
      <w:r w:rsidRPr="009F47DE">
        <w:t>59.</w:t>
      </w:r>
      <w:r w:rsidRPr="009F47DE">
        <w:tab/>
        <w:t xml:space="preserve">Most trafficking in New Zealand is linked to industries such as horticulture and construction. While there are occasional reports of exploitation of foreign sex workers, investigations have showed no evidence of systemic exploitation. No instances of trafficking have been confirmed, and in recent years, the Labour Inspectorate has not received any complaints of exploitation. Police also report there were no allegations of foreign sex worker exploitation or trafficking meeting the threshold for prosecution. Independent research in 2018 on the migrant sex industry in New Zealand, commissioned by the relevant Ministry, found no evidence of trafficking. Exploitation of foreign sex workers remains a risk and agencies remain vigilant. </w:t>
      </w:r>
    </w:p>
    <w:p w14:paraId="482092BA" w14:textId="77777777" w:rsidR="007467BC" w:rsidRPr="009F47DE" w:rsidRDefault="007467BC" w:rsidP="001405F8">
      <w:pPr>
        <w:pStyle w:val="H23G"/>
      </w:pPr>
      <w:r w:rsidRPr="009F47DE">
        <w:tab/>
      </w:r>
      <w:r w:rsidRPr="009F47DE">
        <w:tab/>
        <w:t>Reparation for victims</w:t>
      </w:r>
    </w:p>
    <w:p w14:paraId="24A9CCB4" w14:textId="77777777" w:rsidR="007467BC" w:rsidRPr="009F47DE" w:rsidRDefault="007467BC" w:rsidP="007467BC">
      <w:pPr>
        <w:pStyle w:val="SingleTxtG"/>
      </w:pPr>
      <w:r w:rsidRPr="009F47DE">
        <w:t>60.</w:t>
      </w:r>
      <w:r w:rsidRPr="009F47DE">
        <w:tab/>
        <w:t xml:space="preserve">Victims of crime can obtain compensation. Financial reparation can be sought from anyone convicted of a crime where the victims were financially affected and can be based on loss of wages resulting from exploitation or trafficking. Victims can make civil claims for restitution via assets forfeited as a result of accumulation via criminal offending, without this claim requiring a criminal conviction. </w:t>
      </w:r>
    </w:p>
    <w:p w14:paraId="211ED4C8" w14:textId="77777777" w:rsidR="007467BC" w:rsidRPr="009F47DE" w:rsidRDefault="007467BC" w:rsidP="001405F8">
      <w:pPr>
        <w:pStyle w:val="H23G"/>
      </w:pPr>
      <w:r w:rsidRPr="009F47DE">
        <w:tab/>
      </w:r>
      <w:r w:rsidRPr="009F47DE">
        <w:tab/>
        <w:t>Agreements with countries</w:t>
      </w:r>
    </w:p>
    <w:p w14:paraId="36D5C9C2" w14:textId="77777777" w:rsidR="007467BC" w:rsidRPr="009F47DE" w:rsidRDefault="007467BC" w:rsidP="008836B8">
      <w:pPr>
        <w:pStyle w:val="SingleTxtG"/>
      </w:pPr>
      <w:r w:rsidRPr="009F47DE">
        <w:t>61.</w:t>
      </w:r>
      <w:r w:rsidRPr="009F47DE">
        <w:tab/>
        <w:t>New Zealand signed an arrangement with the Philippines in 2015 regarding recruitment and treatment of migrant workers. It intends to reduce exploitation by improving transparency of recruitment and ensuring compliance with both countries</w:t>
      </w:r>
      <w:r w:rsidR="00562737">
        <w:t>’</w:t>
      </w:r>
      <w:r w:rsidRPr="009F47DE">
        <w:t xml:space="preserve"> rules. Key areas of cooperation are debt bondage, unfair debt arrangements, and excessive deductions from salaries, which are potential indicators of trafficking.</w:t>
      </w:r>
    </w:p>
    <w:p w14:paraId="42A9EDCB" w14:textId="77777777" w:rsidR="007467BC" w:rsidRPr="009F47DE" w:rsidRDefault="007467BC" w:rsidP="001405F8">
      <w:pPr>
        <w:pStyle w:val="H1G"/>
      </w:pPr>
      <w:bookmarkStart w:id="22" w:name="_Toc20139396"/>
      <w:r w:rsidRPr="009F47DE">
        <w:tab/>
      </w:r>
      <w:r w:rsidRPr="009F47DE">
        <w:tab/>
        <w:t>Article 3</w:t>
      </w:r>
      <w:bookmarkEnd w:id="22"/>
      <w:r w:rsidRPr="009F47DE">
        <w:t xml:space="preserve"> </w:t>
      </w:r>
    </w:p>
    <w:p w14:paraId="0C14682E" w14:textId="77777777" w:rsidR="007467BC" w:rsidRPr="009F47DE" w:rsidRDefault="007467BC" w:rsidP="001405F8">
      <w:pPr>
        <w:pStyle w:val="H1G"/>
      </w:pPr>
      <w:r w:rsidRPr="009F47DE">
        <w:tab/>
      </w:r>
      <w:r w:rsidRPr="009F47DE">
        <w:tab/>
        <w:t>Reply to paragraph 7 of the list of issues</w:t>
      </w:r>
    </w:p>
    <w:p w14:paraId="05ED619D" w14:textId="77777777" w:rsidR="007467BC" w:rsidRPr="009F47DE" w:rsidRDefault="007467BC" w:rsidP="001405F8">
      <w:pPr>
        <w:pStyle w:val="H23G"/>
      </w:pPr>
      <w:r w:rsidRPr="009F47DE">
        <w:tab/>
      </w:r>
      <w:r w:rsidRPr="009F47DE">
        <w:tab/>
        <w:t>Refugees and asylum seekers</w:t>
      </w:r>
    </w:p>
    <w:p w14:paraId="7EC680A6" w14:textId="77777777" w:rsidR="007467BC" w:rsidRPr="009F47DE" w:rsidRDefault="007467BC" w:rsidP="007467BC">
      <w:pPr>
        <w:pStyle w:val="SingleTxtG"/>
      </w:pPr>
      <w:r w:rsidRPr="009F47DE">
        <w:t>62.</w:t>
      </w:r>
      <w:r w:rsidRPr="009F47DE">
        <w:tab/>
        <w:t xml:space="preserve">New Zealand works with the UNHCR to resettle refugees with priority protection needs through our refugee quota programme. The Government has increased the annual refugee quota from 750 to 1,500, effective from 2020/2021. </w:t>
      </w:r>
    </w:p>
    <w:p w14:paraId="20425E7C" w14:textId="77777777" w:rsidR="007467BC" w:rsidRPr="009F47DE" w:rsidRDefault="007467BC" w:rsidP="001405F8">
      <w:pPr>
        <w:pStyle w:val="H23G"/>
      </w:pPr>
      <w:r w:rsidRPr="009F47DE">
        <w:lastRenderedPageBreak/>
        <w:tab/>
      </w:r>
      <w:r w:rsidRPr="009F47DE">
        <w:tab/>
        <w:t>Legal Framework</w:t>
      </w:r>
    </w:p>
    <w:p w14:paraId="2D2F9064" w14:textId="77777777" w:rsidR="007467BC" w:rsidRPr="009F47DE" w:rsidRDefault="007467BC" w:rsidP="007467BC">
      <w:pPr>
        <w:pStyle w:val="SingleTxtG"/>
      </w:pPr>
      <w:r w:rsidRPr="009F47DE">
        <w:t>63.</w:t>
      </w:r>
      <w:r w:rsidRPr="009F47DE">
        <w:tab/>
        <w:t>Under the Immigration Act 2009, all asylum applications are considered under the Refugee Convention, then the Convention against Torture and, if still unsuccessful, the ICCPR. In the reporting period, three people did not meet the definition under the Refugee Convention but met Article 3 of the Convention against Torture.</w:t>
      </w:r>
    </w:p>
    <w:p w14:paraId="14C321E6" w14:textId="77777777" w:rsidR="007467BC" w:rsidRPr="009F47DE" w:rsidRDefault="007467BC" w:rsidP="007467BC">
      <w:pPr>
        <w:pStyle w:val="SingleTxtG"/>
      </w:pPr>
      <w:r w:rsidRPr="009F47DE">
        <w:t>64.</w:t>
      </w:r>
      <w:r w:rsidRPr="009F47DE">
        <w:tab/>
        <w:t xml:space="preserve">Under s164 of the Immigration Act, a refugee or protected person cannot be deported, except where Article 32.1 or 33.2 of the Refugee Convention applies. A protected person may not be deported to a place where there are substantial grounds for believing they would be in danger of torture or cruel treatment. </w:t>
      </w:r>
    </w:p>
    <w:p w14:paraId="1CF838AB" w14:textId="77777777" w:rsidR="007467BC" w:rsidRPr="009F47DE" w:rsidRDefault="007467BC" w:rsidP="007467BC">
      <w:pPr>
        <w:pStyle w:val="SingleTxtG"/>
      </w:pPr>
      <w:r w:rsidRPr="009F47DE">
        <w:t>65.</w:t>
      </w:r>
      <w:r w:rsidRPr="009F47DE">
        <w:tab/>
        <w:t>In 2013, the Immigration Act was amended to include provisions to enable the detention of mass arrivals (a group of more than 30 people). These provisions have never been applied. More information regarding these provisions is in paragraph 115 of our previous repor</w:t>
      </w:r>
      <w:r w:rsidR="008836B8">
        <w:t>t. For detention see issue 23.</w:t>
      </w:r>
    </w:p>
    <w:p w14:paraId="79A2AFDD" w14:textId="77777777" w:rsidR="007467BC" w:rsidRPr="009F47DE" w:rsidRDefault="007467BC" w:rsidP="007467BC">
      <w:pPr>
        <w:pStyle w:val="SingleTxtG"/>
      </w:pPr>
      <w:r w:rsidRPr="009F47DE">
        <w:t>66.</w:t>
      </w:r>
      <w:r w:rsidRPr="009F47DE">
        <w:tab/>
        <w:t xml:space="preserve">Asylum cases, including those under mass arrival, are assessed on a case-by-case basis by trained INZ staff. Guidance is provided to immigration officers concerning the treatment of persons claiming refugee or protection status on arrival at the border, including in a mass arrival context. </w:t>
      </w:r>
    </w:p>
    <w:p w14:paraId="7141B6E1" w14:textId="77777777" w:rsidR="007467BC" w:rsidRPr="009F47DE" w:rsidRDefault="007467BC" w:rsidP="001405F8">
      <w:pPr>
        <w:pStyle w:val="H23G"/>
      </w:pPr>
      <w:r w:rsidRPr="009F47DE">
        <w:tab/>
      </w:r>
      <w:r w:rsidRPr="009F47DE">
        <w:tab/>
        <w:t>Refugee resettlement</w:t>
      </w:r>
    </w:p>
    <w:p w14:paraId="0111D0DA" w14:textId="77777777" w:rsidR="007467BC" w:rsidRPr="009F47DE" w:rsidRDefault="007467BC" w:rsidP="008836B8">
      <w:pPr>
        <w:pStyle w:val="SingleTxtG"/>
      </w:pPr>
      <w:r w:rsidRPr="009F47DE">
        <w:t>67.</w:t>
      </w:r>
      <w:r w:rsidRPr="009F47DE">
        <w:tab/>
        <w:t>The Refugee Resettlement Strategy aims to enable refugees to quickly achieve self-sufficiency and social integration. UNHCR (</w:t>
      </w:r>
      <w:r w:rsidR="00562737">
        <w:t>‘</w:t>
      </w:r>
      <w:r w:rsidRPr="009F47DE">
        <w:t>Quota</w:t>
      </w:r>
      <w:r w:rsidR="00562737">
        <w:t>’</w:t>
      </w:r>
      <w:r w:rsidRPr="009F47DE">
        <w:t xml:space="preserve">) refugees arrive in New Zealand already holding resident visas. They undertake a reception programme at Mangere Refugee Resettlement Centre (MRRC) which provides them with information on living and working in New Zealand. When moving into the community, they are provided up to 12 months settlement support to link them to the services they require. A </w:t>
      </w:r>
      <w:r w:rsidR="00562737">
        <w:t>“</w:t>
      </w:r>
      <w:r w:rsidRPr="009F47DE">
        <w:t>Convention Refugee Navigator</w:t>
      </w:r>
      <w:r w:rsidR="00562737">
        <w:t>”</w:t>
      </w:r>
      <w:r w:rsidRPr="009F47DE">
        <w:t xml:space="preserve"> position is being piloted to improve outcomes through settlement plans linked to existing services.</w:t>
      </w:r>
    </w:p>
    <w:p w14:paraId="2385D918" w14:textId="77777777" w:rsidR="007467BC" w:rsidRPr="009F47DE" w:rsidRDefault="007467BC" w:rsidP="007467BC">
      <w:pPr>
        <w:pStyle w:val="SingleTxtG"/>
      </w:pPr>
      <w:r w:rsidRPr="009F47DE">
        <w:t>68.</w:t>
      </w:r>
      <w:r w:rsidRPr="009F47DE">
        <w:tab/>
        <w:t>At MRRC, Quota refugees have food, a weekly allowance, and access to medical and social services, recreation facilities, telephone, and email. Quota refugees undergo a medical screening before arrival and again at MRRC, which includes dentistry and mental health. Initial treatment is provided with referrals to further services as appropriate.</w:t>
      </w:r>
    </w:p>
    <w:p w14:paraId="60E63367" w14:textId="77777777" w:rsidR="007467BC" w:rsidRPr="009F47DE" w:rsidRDefault="007467BC" w:rsidP="001405F8">
      <w:pPr>
        <w:pStyle w:val="H23G"/>
      </w:pPr>
      <w:r w:rsidRPr="009F47DE">
        <w:tab/>
      </w:r>
      <w:r w:rsidRPr="009F47DE">
        <w:tab/>
        <w:t>Protection of vulnerable persons and victims</w:t>
      </w:r>
    </w:p>
    <w:p w14:paraId="7A4ED8E8" w14:textId="77777777" w:rsidR="007467BC" w:rsidRPr="009F47DE" w:rsidRDefault="007467BC" w:rsidP="007467BC">
      <w:pPr>
        <w:pStyle w:val="SingleTxtG"/>
      </w:pPr>
      <w:r w:rsidRPr="009F47DE">
        <w:t>69.</w:t>
      </w:r>
      <w:r w:rsidRPr="009F47DE">
        <w:tab/>
        <w:t xml:space="preserve">Claims of detained asylum seekers are given priority. Officers must process all vulnerable claimants in a timely and sensitive way. Guidelines were developed regarding the treatment of children and are being developed for people presenting with serious mental health issues, including victims of torture. Determining whether a claimant is a victim of torture is an integral part of the asylum application process (for training see issue 16). Claimants can present medical evidence during their claim, are eligible for legal aid, and most are represented by a government-funded lawyer. </w:t>
      </w:r>
    </w:p>
    <w:p w14:paraId="3DE446C0" w14:textId="77777777" w:rsidR="007467BC" w:rsidRPr="009F47DE" w:rsidRDefault="007467BC" w:rsidP="007467BC">
      <w:pPr>
        <w:pStyle w:val="SingleTxtG"/>
      </w:pPr>
      <w:r w:rsidRPr="009F47DE">
        <w:t>70.</w:t>
      </w:r>
      <w:r w:rsidRPr="009F47DE">
        <w:tab/>
        <w:t>Most asylum seekers awaiting determination, live in the community on temporary visas. Asylum seekers who have made a claim for refugee or protection status and are lawfully in New Zealand, can apply for welfare support. If they have a valid work visa, they can work and apply for government assistance to gain employment. They are also eligible to access publicly funded health services and children can attend school.</w:t>
      </w:r>
    </w:p>
    <w:p w14:paraId="797B00FF" w14:textId="77777777" w:rsidR="007467BC" w:rsidRPr="009F47DE" w:rsidRDefault="007467BC" w:rsidP="007467BC">
      <w:pPr>
        <w:pStyle w:val="SingleTxtG"/>
      </w:pPr>
      <w:bookmarkStart w:id="23" w:name="_Hlk15026168"/>
      <w:r w:rsidRPr="009F47DE">
        <w:t>71.</w:t>
      </w:r>
      <w:r w:rsidRPr="009F47DE">
        <w:tab/>
        <w:t>People with approved refugee or protected person status can apply for residence. All New Zealand residents have the same access to government-funded services (such as employment, education, public health, housing, benefit). Health services available include primary health care and counselling/psychological care if referred to. An organisation (Refugees as Survivors New Zealand) provides onsite support to victims of torture and ill-treatment.</w:t>
      </w:r>
    </w:p>
    <w:p w14:paraId="7EE24140" w14:textId="77777777" w:rsidR="007467BC" w:rsidRPr="009F47DE" w:rsidRDefault="007467BC" w:rsidP="007467BC">
      <w:pPr>
        <w:pStyle w:val="SingleTxtG"/>
      </w:pPr>
      <w:r w:rsidRPr="009F47DE">
        <w:t>72.</w:t>
      </w:r>
      <w:r w:rsidRPr="009F47DE">
        <w:tab/>
        <w:t xml:space="preserve">All MRRC residents, including detainees, are informed of the comprehensive complaints process. Where issues are identified, government agencies collaborate to address them. </w:t>
      </w:r>
    </w:p>
    <w:p w14:paraId="48EE35F3" w14:textId="77777777" w:rsidR="007467BC" w:rsidRPr="009F47DE" w:rsidRDefault="007467BC" w:rsidP="00250BE2">
      <w:pPr>
        <w:pStyle w:val="H1G"/>
      </w:pPr>
      <w:r w:rsidRPr="009F47DE">
        <w:lastRenderedPageBreak/>
        <w:tab/>
      </w:r>
      <w:r w:rsidRPr="009F47DE">
        <w:tab/>
        <w:t>Reply to paragraph 8 of the list of issues</w:t>
      </w:r>
    </w:p>
    <w:bookmarkEnd w:id="23"/>
    <w:p w14:paraId="7598954C" w14:textId="77777777" w:rsidR="007467BC" w:rsidRPr="009F47DE" w:rsidRDefault="007467BC" w:rsidP="00250BE2">
      <w:pPr>
        <w:pStyle w:val="H23G"/>
      </w:pPr>
      <w:r w:rsidRPr="009F47DE">
        <w:tab/>
      </w:r>
      <w:r w:rsidRPr="009F47DE">
        <w:tab/>
        <w:t>Asylum applications, returns and extraditions</w:t>
      </w:r>
    </w:p>
    <w:p w14:paraId="79A485A2" w14:textId="77777777" w:rsidR="007467BC" w:rsidRPr="009F47DE" w:rsidRDefault="007467BC" w:rsidP="00562737">
      <w:pPr>
        <w:pStyle w:val="SingleTxtG"/>
      </w:pPr>
      <w:r w:rsidRPr="009F47DE">
        <w:t>73.</w:t>
      </w:r>
      <w:r w:rsidRPr="009F47DE">
        <w:tab/>
        <w:t>New Zealand does not have a backlog of refugee and protection claims and there are no delays in accessing the system. Average processing time at first instance is currently 184 days and for appeals at the Immigration and Protection Tribunal (IPT), generally 4</w:t>
      </w:r>
      <w:r w:rsidR="00562737">
        <w:t>–</w:t>
      </w:r>
      <w:r w:rsidRPr="009F47DE">
        <w:t xml:space="preserve">6 months. </w:t>
      </w:r>
      <w:bookmarkStart w:id="24" w:name="_Hlk525820622"/>
      <w:bookmarkEnd w:id="20"/>
    </w:p>
    <w:p w14:paraId="37A78FF6" w14:textId="77777777" w:rsidR="007467BC" w:rsidRPr="009F47DE" w:rsidRDefault="00250BE2" w:rsidP="00E40C22">
      <w:pPr>
        <w:pStyle w:val="H23G"/>
      </w:pPr>
      <w:r>
        <w:tab/>
      </w:r>
      <w:r>
        <w:tab/>
      </w:r>
      <w:r w:rsidR="007467BC" w:rsidRPr="009F47DE">
        <w:t xml:space="preserve">Asylum claims (INZ decisions) </w:t>
      </w:r>
    </w:p>
    <w:tbl>
      <w:tblPr>
        <w:tblStyle w:val="LightList-Accent1"/>
        <w:tblW w:w="7370" w:type="dxa"/>
        <w:tblInd w:w="1134" w:type="dxa"/>
        <w:tblBorders>
          <w:top w:val="single" w:sz="4"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1693"/>
        <w:gridCol w:w="1805"/>
        <w:gridCol w:w="1919"/>
        <w:gridCol w:w="1953"/>
      </w:tblGrid>
      <w:tr w:rsidR="007467BC" w:rsidRPr="00250BE2" w14:paraId="5A317F4F" w14:textId="77777777" w:rsidTr="00250B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3" w:type="dxa"/>
            <w:tcBorders>
              <w:top w:val="single" w:sz="4" w:space="0" w:color="auto"/>
              <w:bottom w:val="single" w:sz="12" w:space="0" w:color="auto"/>
            </w:tcBorders>
            <w:shd w:val="clear" w:color="auto" w:fill="auto"/>
            <w:vAlign w:val="bottom"/>
          </w:tcPr>
          <w:p w14:paraId="324AB0CD" w14:textId="77777777" w:rsidR="007467BC" w:rsidRPr="00250BE2" w:rsidRDefault="007467BC" w:rsidP="00250BE2">
            <w:pPr>
              <w:spacing w:before="80" w:after="80" w:line="200" w:lineRule="exact"/>
              <w:ind w:right="113"/>
              <w:rPr>
                <w:b w:val="0"/>
                <w:i/>
                <w:color w:val="auto"/>
                <w:sz w:val="16"/>
              </w:rPr>
            </w:pPr>
          </w:p>
        </w:tc>
        <w:tc>
          <w:tcPr>
            <w:tcW w:w="1805" w:type="dxa"/>
            <w:tcBorders>
              <w:top w:val="single" w:sz="4" w:space="0" w:color="auto"/>
              <w:bottom w:val="single" w:sz="12" w:space="0" w:color="auto"/>
            </w:tcBorders>
            <w:shd w:val="clear" w:color="auto" w:fill="auto"/>
            <w:vAlign w:val="bottom"/>
          </w:tcPr>
          <w:p w14:paraId="766D798B" w14:textId="77777777" w:rsidR="007467BC" w:rsidRPr="00250BE2" w:rsidRDefault="007467BC" w:rsidP="00250BE2">
            <w:pPr>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color w:val="auto"/>
                <w:sz w:val="16"/>
              </w:rPr>
            </w:pPr>
            <w:r w:rsidRPr="00250BE2">
              <w:rPr>
                <w:b w:val="0"/>
                <w:i/>
                <w:color w:val="auto"/>
                <w:sz w:val="16"/>
              </w:rPr>
              <w:t xml:space="preserve">Claims </w:t>
            </w:r>
          </w:p>
        </w:tc>
        <w:tc>
          <w:tcPr>
            <w:tcW w:w="1919" w:type="dxa"/>
            <w:tcBorders>
              <w:top w:val="single" w:sz="4" w:space="0" w:color="auto"/>
              <w:bottom w:val="single" w:sz="12" w:space="0" w:color="auto"/>
            </w:tcBorders>
            <w:shd w:val="clear" w:color="auto" w:fill="auto"/>
            <w:vAlign w:val="bottom"/>
          </w:tcPr>
          <w:p w14:paraId="60DCB7DD" w14:textId="77777777" w:rsidR="007467BC" w:rsidRPr="00250BE2" w:rsidRDefault="007467BC" w:rsidP="00250BE2">
            <w:pPr>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color w:val="auto"/>
                <w:sz w:val="16"/>
              </w:rPr>
            </w:pPr>
            <w:r w:rsidRPr="00250BE2">
              <w:rPr>
                <w:b w:val="0"/>
                <w:i/>
                <w:color w:val="auto"/>
                <w:sz w:val="16"/>
              </w:rPr>
              <w:t>Decisions</w:t>
            </w:r>
          </w:p>
        </w:tc>
        <w:tc>
          <w:tcPr>
            <w:tcW w:w="1953" w:type="dxa"/>
            <w:tcBorders>
              <w:top w:val="single" w:sz="4" w:space="0" w:color="auto"/>
              <w:bottom w:val="single" w:sz="12" w:space="0" w:color="auto"/>
            </w:tcBorders>
            <w:shd w:val="clear" w:color="auto" w:fill="auto"/>
            <w:vAlign w:val="bottom"/>
          </w:tcPr>
          <w:p w14:paraId="0E86888F" w14:textId="77777777" w:rsidR="007467BC" w:rsidRPr="00250BE2" w:rsidRDefault="007467BC" w:rsidP="00250BE2">
            <w:pPr>
              <w:spacing w:before="80" w:after="80" w:line="200" w:lineRule="exact"/>
              <w:ind w:right="113"/>
              <w:jc w:val="right"/>
              <w:cnfStyle w:val="100000000000" w:firstRow="1" w:lastRow="0" w:firstColumn="0" w:lastColumn="0" w:oddVBand="0" w:evenVBand="0" w:oddHBand="0" w:evenHBand="0" w:firstRowFirstColumn="0" w:firstRowLastColumn="0" w:lastRowFirstColumn="0" w:lastRowLastColumn="0"/>
              <w:rPr>
                <w:b w:val="0"/>
                <w:i/>
                <w:color w:val="auto"/>
                <w:sz w:val="16"/>
              </w:rPr>
            </w:pPr>
            <w:r w:rsidRPr="00250BE2">
              <w:rPr>
                <w:b w:val="0"/>
                <w:i/>
                <w:color w:val="auto"/>
                <w:sz w:val="16"/>
              </w:rPr>
              <w:t>Approved</w:t>
            </w:r>
          </w:p>
        </w:tc>
      </w:tr>
      <w:tr w:rsidR="007467BC" w:rsidRPr="00250BE2" w14:paraId="254CF28C" w14:textId="77777777" w:rsidTr="00250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tcBorders>
              <w:top w:val="single" w:sz="12" w:space="0" w:color="auto"/>
              <w:left w:val="none" w:sz="0" w:space="0" w:color="auto"/>
              <w:bottom w:val="none" w:sz="0" w:space="0" w:color="auto"/>
            </w:tcBorders>
            <w:shd w:val="clear" w:color="auto" w:fill="auto"/>
          </w:tcPr>
          <w:p w14:paraId="37EDDDBB" w14:textId="77777777" w:rsidR="007467BC" w:rsidRPr="00250BE2" w:rsidRDefault="007467BC" w:rsidP="00250BE2">
            <w:pPr>
              <w:spacing w:before="40" w:after="40" w:line="220" w:lineRule="exact"/>
              <w:ind w:right="113"/>
              <w:rPr>
                <w:b w:val="0"/>
                <w:bCs w:val="0"/>
                <w:sz w:val="18"/>
              </w:rPr>
            </w:pPr>
            <w:r w:rsidRPr="00250BE2">
              <w:rPr>
                <w:b w:val="0"/>
                <w:bCs w:val="0"/>
                <w:sz w:val="18"/>
              </w:rPr>
              <w:t>2014</w:t>
            </w:r>
          </w:p>
        </w:tc>
        <w:tc>
          <w:tcPr>
            <w:tcW w:w="1805" w:type="dxa"/>
            <w:tcBorders>
              <w:top w:val="single" w:sz="12" w:space="0" w:color="auto"/>
              <w:bottom w:val="none" w:sz="0" w:space="0" w:color="auto"/>
            </w:tcBorders>
            <w:shd w:val="clear" w:color="auto" w:fill="auto"/>
            <w:vAlign w:val="bottom"/>
          </w:tcPr>
          <w:p w14:paraId="3B601538" w14:textId="77777777" w:rsidR="007467BC" w:rsidRPr="00250BE2" w:rsidRDefault="007467BC" w:rsidP="00250BE2">
            <w:pPr>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rPr>
            </w:pPr>
            <w:r w:rsidRPr="00250BE2">
              <w:rPr>
                <w:sz w:val="18"/>
              </w:rPr>
              <w:t>288</w:t>
            </w:r>
          </w:p>
        </w:tc>
        <w:tc>
          <w:tcPr>
            <w:tcW w:w="1919" w:type="dxa"/>
            <w:tcBorders>
              <w:top w:val="single" w:sz="12" w:space="0" w:color="auto"/>
              <w:bottom w:val="none" w:sz="0" w:space="0" w:color="auto"/>
            </w:tcBorders>
            <w:shd w:val="clear" w:color="auto" w:fill="auto"/>
            <w:vAlign w:val="bottom"/>
          </w:tcPr>
          <w:p w14:paraId="701AC75A" w14:textId="77777777" w:rsidR="007467BC" w:rsidRPr="00250BE2" w:rsidRDefault="007467BC" w:rsidP="00250BE2">
            <w:pPr>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rPr>
            </w:pPr>
            <w:r w:rsidRPr="00250BE2">
              <w:rPr>
                <w:sz w:val="18"/>
              </w:rPr>
              <w:t>296</w:t>
            </w:r>
          </w:p>
        </w:tc>
        <w:tc>
          <w:tcPr>
            <w:tcW w:w="1953" w:type="dxa"/>
            <w:tcBorders>
              <w:top w:val="single" w:sz="12" w:space="0" w:color="auto"/>
              <w:bottom w:val="none" w:sz="0" w:space="0" w:color="auto"/>
              <w:right w:val="none" w:sz="0" w:space="0" w:color="auto"/>
            </w:tcBorders>
            <w:shd w:val="clear" w:color="auto" w:fill="auto"/>
            <w:vAlign w:val="bottom"/>
          </w:tcPr>
          <w:p w14:paraId="4E5EC8DF" w14:textId="77777777" w:rsidR="007467BC" w:rsidRPr="00250BE2" w:rsidRDefault="007467BC" w:rsidP="00250BE2">
            <w:pPr>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rPr>
            </w:pPr>
            <w:r w:rsidRPr="00250BE2">
              <w:rPr>
                <w:sz w:val="18"/>
              </w:rPr>
              <w:t>78</w:t>
            </w:r>
          </w:p>
        </w:tc>
      </w:tr>
      <w:tr w:rsidR="007467BC" w:rsidRPr="00250BE2" w14:paraId="380B2FB7" w14:textId="77777777" w:rsidTr="00250BE2">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14:paraId="1401AF0B" w14:textId="77777777" w:rsidR="007467BC" w:rsidRPr="00250BE2" w:rsidRDefault="007467BC" w:rsidP="00250BE2">
            <w:pPr>
              <w:spacing w:before="40" w:after="40" w:line="220" w:lineRule="exact"/>
              <w:ind w:right="113"/>
              <w:rPr>
                <w:b w:val="0"/>
                <w:bCs w:val="0"/>
                <w:sz w:val="18"/>
              </w:rPr>
            </w:pPr>
            <w:r w:rsidRPr="00250BE2">
              <w:rPr>
                <w:b w:val="0"/>
                <w:bCs w:val="0"/>
                <w:sz w:val="18"/>
              </w:rPr>
              <w:t>2015</w:t>
            </w:r>
          </w:p>
        </w:tc>
        <w:tc>
          <w:tcPr>
            <w:tcW w:w="1805" w:type="dxa"/>
            <w:shd w:val="clear" w:color="auto" w:fill="auto"/>
            <w:vAlign w:val="bottom"/>
          </w:tcPr>
          <w:p w14:paraId="1FA4E5BB" w14:textId="77777777" w:rsidR="007467BC" w:rsidRPr="00250BE2" w:rsidRDefault="007467BC" w:rsidP="00250BE2">
            <w:pPr>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rPr>
            </w:pPr>
            <w:r w:rsidRPr="00250BE2">
              <w:rPr>
                <w:sz w:val="18"/>
              </w:rPr>
              <w:t>351</w:t>
            </w:r>
          </w:p>
        </w:tc>
        <w:tc>
          <w:tcPr>
            <w:tcW w:w="1919" w:type="dxa"/>
            <w:shd w:val="clear" w:color="auto" w:fill="auto"/>
            <w:vAlign w:val="bottom"/>
          </w:tcPr>
          <w:p w14:paraId="140DFB45" w14:textId="77777777" w:rsidR="007467BC" w:rsidRPr="00250BE2" w:rsidRDefault="007467BC" w:rsidP="00250BE2">
            <w:pPr>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rPr>
            </w:pPr>
            <w:r w:rsidRPr="00250BE2">
              <w:rPr>
                <w:sz w:val="18"/>
              </w:rPr>
              <w:t>288</w:t>
            </w:r>
          </w:p>
        </w:tc>
        <w:tc>
          <w:tcPr>
            <w:tcW w:w="1953" w:type="dxa"/>
            <w:shd w:val="clear" w:color="auto" w:fill="auto"/>
            <w:vAlign w:val="bottom"/>
          </w:tcPr>
          <w:p w14:paraId="776D52B7" w14:textId="77777777" w:rsidR="007467BC" w:rsidRPr="00250BE2" w:rsidRDefault="007467BC" w:rsidP="00250BE2">
            <w:pPr>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rPr>
            </w:pPr>
            <w:r w:rsidRPr="00250BE2">
              <w:rPr>
                <w:sz w:val="18"/>
              </w:rPr>
              <w:t>133</w:t>
            </w:r>
          </w:p>
        </w:tc>
      </w:tr>
      <w:tr w:rsidR="007467BC" w:rsidRPr="00250BE2" w14:paraId="55F37974" w14:textId="77777777" w:rsidTr="00250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left w:val="none" w:sz="0" w:space="0" w:color="auto"/>
              <w:bottom w:val="none" w:sz="0" w:space="0" w:color="auto"/>
            </w:tcBorders>
            <w:shd w:val="clear" w:color="auto" w:fill="auto"/>
          </w:tcPr>
          <w:p w14:paraId="2032556D" w14:textId="77777777" w:rsidR="007467BC" w:rsidRPr="00250BE2" w:rsidRDefault="007467BC" w:rsidP="00250BE2">
            <w:pPr>
              <w:spacing w:before="40" w:after="40" w:line="220" w:lineRule="exact"/>
              <w:ind w:right="113"/>
              <w:rPr>
                <w:b w:val="0"/>
                <w:bCs w:val="0"/>
                <w:sz w:val="18"/>
              </w:rPr>
            </w:pPr>
            <w:r w:rsidRPr="00250BE2">
              <w:rPr>
                <w:b w:val="0"/>
                <w:bCs w:val="0"/>
                <w:sz w:val="18"/>
              </w:rPr>
              <w:t>2016</w:t>
            </w:r>
          </w:p>
        </w:tc>
        <w:tc>
          <w:tcPr>
            <w:tcW w:w="1805" w:type="dxa"/>
            <w:tcBorders>
              <w:top w:val="none" w:sz="0" w:space="0" w:color="auto"/>
              <w:bottom w:val="none" w:sz="0" w:space="0" w:color="auto"/>
            </w:tcBorders>
            <w:shd w:val="clear" w:color="auto" w:fill="auto"/>
            <w:vAlign w:val="bottom"/>
          </w:tcPr>
          <w:p w14:paraId="4603F730" w14:textId="77777777" w:rsidR="007467BC" w:rsidRPr="00250BE2" w:rsidRDefault="007467BC" w:rsidP="00250BE2">
            <w:pPr>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rPr>
            </w:pPr>
            <w:r w:rsidRPr="00250BE2">
              <w:rPr>
                <w:sz w:val="18"/>
              </w:rPr>
              <w:t>387</w:t>
            </w:r>
          </w:p>
        </w:tc>
        <w:tc>
          <w:tcPr>
            <w:tcW w:w="1919" w:type="dxa"/>
            <w:tcBorders>
              <w:top w:val="none" w:sz="0" w:space="0" w:color="auto"/>
              <w:bottom w:val="none" w:sz="0" w:space="0" w:color="auto"/>
            </w:tcBorders>
            <w:shd w:val="clear" w:color="auto" w:fill="auto"/>
            <w:vAlign w:val="bottom"/>
          </w:tcPr>
          <w:p w14:paraId="212EB5F2" w14:textId="77777777" w:rsidR="007467BC" w:rsidRPr="00250BE2" w:rsidRDefault="007467BC" w:rsidP="00250BE2">
            <w:pPr>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rPr>
            </w:pPr>
            <w:r w:rsidRPr="00250BE2">
              <w:rPr>
                <w:sz w:val="18"/>
              </w:rPr>
              <w:t>346</w:t>
            </w:r>
          </w:p>
        </w:tc>
        <w:tc>
          <w:tcPr>
            <w:tcW w:w="1953" w:type="dxa"/>
            <w:tcBorders>
              <w:top w:val="none" w:sz="0" w:space="0" w:color="auto"/>
              <w:bottom w:val="none" w:sz="0" w:space="0" w:color="auto"/>
              <w:right w:val="none" w:sz="0" w:space="0" w:color="auto"/>
            </w:tcBorders>
            <w:shd w:val="clear" w:color="auto" w:fill="auto"/>
            <w:vAlign w:val="bottom"/>
          </w:tcPr>
          <w:p w14:paraId="1806BFA9" w14:textId="77777777" w:rsidR="007467BC" w:rsidRPr="00250BE2" w:rsidRDefault="007467BC" w:rsidP="00250BE2">
            <w:pPr>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rPr>
            </w:pPr>
            <w:r w:rsidRPr="00250BE2">
              <w:rPr>
                <w:sz w:val="18"/>
              </w:rPr>
              <w:t>110</w:t>
            </w:r>
          </w:p>
        </w:tc>
      </w:tr>
      <w:tr w:rsidR="007467BC" w:rsidRPr="00250BE2" w14:paraId="076662C2" w14:textId="77777777" w:rsidTr="00250BE2">
        <w:tc>
          <w:tcPr>
            <w:cnfStyle w:val="001000000000" w:firstRow="0" w:lastRow="0" w:firstColumn="1" w:lastColumn="0" w:oddVBand="0" w:evenVBand="0" w:oddHBand="0" w:evenHBand="0" w:firstRowFirstColumn="0" w:firstRowLastColumn="0" w:lastRowFirstColumn="0" w:lastRowLastColumn="0"/>
            <w:tcW w:w="1693" w:type="dxa"/>
            <w:shd w:val="clear" w:color="auto" w:fill="auto"/>
          </w:tcPr>
          <w:p w14:paraId="788746C8" w14:textId="77777777" w:rsidR="007467BC" w:rsidRPr="00250BE2" w:rsidRDefault="007467BC" w:rsidP="00250BE2">
            <w:pPr>
              <w:spacing w:before="40" w:after="40" w:line="220" w:lineRule="exact"/>
              <w:ind w:right="113"/>
              <w:rPr>
                <w:b w:val="0"/>
                <w:bCs w:val="0"/>
                <w:sz w:val="18"/>
              </w:rPr>
            </w:pPr>
            <w:r w:rsidRPr="00250BE2">
              <w:rPr>
                <w:b w:val="0"/>
                <w:bCs w:val="0"/>
                <w:sz w:val="18"/>
              </w:rPr>
              <w:t>2017</w:t>
            </w:r>
          </w:p>
        </w:tc>
        <w:tc>
          <w:tcPr>
            <w:tcW w:w="1805" w:type="dxa"/>
            <w:shd w:val="clear" w:color="auto" w:fill="auto"/>
            <w:vAlign w:val="bottom"/>
          </w:tcPr>
          <w:p w14:paraId="78B35938" w14:textId="77777777" w:rsidR="007467BC" w:rsidRPr="00250BE2" w:rsidRDefault="007467BC" w:rsidP="00250BE2">
            <w:pPr>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rPr>
            </w:pPr>
            <w:r w:rsidRPr="00250BE2">
              <w:rPr>
                <w:sz w:val="18"/>
              </w:rPr>
              <w:t>449</w:t>
            </w:r>
          </w:p>
        </w:tc>
        <w:tc>
          <w:tcPr>
            <w:tcW w:w="1919" w:type="dxa"/>
            <w:shd w:val="clear" w:color="auto" w:fill="auto"/>
            <w:vAlign w:val="bottom"/>
          </w:tcPr>
          <w:p w14:paraId="1372AF36" w14:textId="77777777" w:rsidR="007467BC" w:rsidRPr="00250BE2" w:rsidRDefault="007467BC" w:rsidP="00250BE2">
            <w:pPr>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rPr>
            </w:pPr>
            <w:r w:rsidRPr="00250BE2">
              <w:rPr>
                <w:sz w:val="18"/>
              </w:rPr>
              <w:t>350</w:t>
            </w:r>
          </w:p>
        </w:tc>
        <w:tc>
          <w:tcPr>
            <w:tcW w:w="1953" w:type="dxa"/>
            <w:shd w:val="clear" w:color="auto" w:fill="auto"/>
            <w:vAlign w:val="bottom"/>
          </w:tcPr>
          <w:p w14:paraId="31B85374" w14:textId="77777777" w:rsidR="007467BC" w:rsidRPr="00250BE2" w:rsidRDefault="007467BC" w:rsidP="00250BE2">
            <w:pPr>
              <w:spacing w:before="40" w:after="40" w:line="220" w:lineRule="exact"/>
              <w:ind w:right="113"/>
              <w:jc w:val="right"/>
              <w:cnfStyle w:val="000000000000" w:firstRow="0" w:lastRow="0" w:firstColumn="0" w:lastColumn="0" w:oddVBand="0" w:evenVBand="0" w:oddHBand="0" w:evenHBand="0" w:firstRowFirstColumn="0" w:firstRowLastColumn="0" w:lastRowFirstColumn="0" w:lastRowLastColumn="0"/>
              <w:rPr>
                <w:sz w:val="18"/>
              </w:rPr>
            </w:pPr>
            <w:r w:rsidRPr="00250BE2">
              <w:rPr>
                <w:sz w:val="18"/>
              </w:rPr>
              <w:t>113</w:t>
            </w:r>
          </w:p>
        </w:tc>
      </w:tr>
      <w:tr w:rsidR="007467BC" w:rsidRPr="00250BE2" w14:paraId="6CC9F66F" w14:textId="77777777" w:rsidTr="00250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left w:val="none" w:sz="0" w:space="0" w:color="auto"/>
              <w:bottom w:val="none" w:sz="0" w:space="0" w:color="auto"/>
            </w:tcBorders>
            <w:shd w:val="clear" w:color="auto" w:fill="auto"/>
          </w:tcPr>
          <w:p w14:paraId="7DE7693D" w14:textId="77777777" w:rsidR="007467BC" w:rsidRPr="00250BE2" w:rsidRDefault="007467BC" w:rsidP="00250BE2">
            <w:pPr>
              <w:spacing w:before="40" w:after="40" w:line="220" w:lineRule="exact"/>
              <w:ind w:right="113"/>
              <w:rPr>
                <w:b w:val="0"/>
                <w:bCs w:val="0"/>
                <w:sz w:val="18"/>
              </w:rPr>
            </w:pPr>
            <w:r w:rsidRPr="00250BE2">
              <w:rPr>
                <w:b w:val="0"/>
                <w:bCs w:val="0"/>
                <w:sz w:val="18"/>
              </w:rPr>
              <w:t>2018</w:t>
            </w:r>
          </w:p>
        </w:tc>
        <w:tc>
          <w:tcPr>
            <w:tcW w:w="1805" w:type="dxa"/>
            <w:tcBorders>
              <w:top w:val="none" w:sz="0" w:space="0" w:color="auto"/>
              <w:bottom w:val="none" w:sz="0" w:space="0" w:color="auto"/>
            </w:tcBorders>
            <w:shd w:val="clear" w:color="auto" w:fill="auto"/>
            <w:vAlign w:val="bottom"/>
          </w:tcPr>
          <w:p w14:paraId="31BD5547" w14:textId="77777777" w:rsidR="007467BC" w:rsidRPr="00250BE2" w:rsidRDefault="007467BC" w:rsidP="00250BE2">
            <w:pPr>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rPr>
            </w:pPr>
            <w:r w:rsidRPr="00250BE2">
              <w:rPr>
                <w:sz w:val="18"/>
              </w:rPr>
              <w:t>455</w:t>
            </w:r>
          </w:p>
        </w:tc>
        <w:tc>
          <w:tcPr>
            <w:tcW w:w="1919" w:type="dxa"/>
            <w:tcBorders>
              <w:top w:val="none" w:sz="0" w:space="0" w:color="auto"/>
              <w:bottom w:val="none" w:sz="0" w:space="0" w:color="auto"/>
            </w:tcBorders>
            <w:shd w:val="clear" w:color="auto" w:fill="auto"/>
            <w:vAlign w:val="bottom"/>
          </w:tcPr>
          <w:p w14:paraId="477D520B" w14:textId="77777777" w:rsidR="007467BC" w:rsidRPr="00250BE2" w:rsidRDefault="007467BC" w:rsidP="00250BE2">
            <w:pPr>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rPr>
            </w:pPr>
            <w:r w:rsidRPr="00250BE2">
              <w:rPr>
                <w:sz w:val="18"/>
              </w:rPr>
              <w:t>440</w:t>
            </w:r>
          </w:p>
        </w:tc>
        <w:tc>
          <w:tcPr>
            <w:tcW w:w="1953" w:type="dxa"/>
            <w:tcBorders>
              <w:top w:val="none" w:sz="0" w:space="0" w:color="auto"/>
              <w:bottom w:val="none" w:sz="0" w:space="0" w:color="auto"/>
              <w:right w:val="none" w:sz="0" w:space="0" w:color="auto"/>
            </w:tcBorders>
            <w:shd w:val="clear" w:color="auto" w:fill="auto"/>
            <w:vAlign w:val="bottom"/>
          </w:tcPr>
          <w:p w14:paraId="2DC15440" w14:textId="77777777" w:rsidR="007467BC" w:rsidRPr="00250BE2" w:rsidRDefault="007467BC" w:rsidP="00250BE2">
            <w:pPr>
              <w:spacing w:before="40" w:after="40" w:line="220" w:lineRule="exact"/>
              <w:ind w:right="113"/>
              <w:jc w:val="right"/>
              <w:cnfStyle w:val="000000100000" w:firstRow="0" w:lastRow="0" w:firstColumn="0" w:lastColumn="0" w:oddVBand="0" w:evenVBand="0" w:oddHBand="1" w:evenHBand="0" w:firstRowFirstColumn="0" w:firstRowLastColumn="0" w:lastRowFirstColumn="0" w:lastRowLastColumn="0"/>
              <w:rPr>
                <w:sz w:val="18"/>
              </w:rPr>
            </w:pPr>
            <w:r w:rsidRPr="00250BE2">
              <w:rPr>
                <w:sz w:val="18"/>
              </w:rPr>
              <w:t>139</w:t>
            </w:r>
          </w:p>
        </w:tc>
      </w:tr>
    </w:tbl>
    <w:p w14:paraId="1B0002B4" w14:textId="77777777" w:rsidR="007467BC" w:rsidRPr="00250BE2" w:rsidRDefault="007467BC" w:rsidP="00250BE2">
      <w:pPr>
        <w:spacing w:before="120" w:line="240" w:lineRule="atLeast"/>
        <w:ind w:left="1134" w:right="1134" w:firstLine="170"/>
        <w:rPr>
          <w:sz w:val="18"/>
        </w:rPr>
      </w:pPr>
      <w:r w:rsidRPr="00250BE2">
        <w:rPr>
          <w:sz w:val="18"/>
        </w:rPr>
        <w:t>INZ does not disaggregate data based on whether torture may have occurred.</w:t>
      </w:r>
    </w:p>
    <w:p w14:paraId="6A7468F6" w14:textId="77777777" w:rsidR="007467BC" w:rsidRPr="009F47DE" w:rsidRDefault="007467BC" w:rsidP="00D17A9A">
      <w:pPr>
        <w:pStyle w:val="H23G"/>
      </w:pPr>
      <w:r w:rsidRPr="009F47DE">
        <w:tab/>
      </w:r>
      <w:r w:rsidRPr="009F47DE">
        <w:tab/>
        <w:t>Appeals mechanisms</w:t>
      </w:r>
    </w:p>
    <w:p w14:paraId="0EEBA0B4" w14:textId="77777777" w:rsidR="007467BC" w:rsidRPr="009F47DE" w:rsidRDefault="007467BC" w:rsidP="007467BC">
      <w:pPr>
        <w:pStyle w:val="SingleTxtG"/>
      </w:pPr>
      <w:r w:rsidRPr="009F47DE">
        <w:t>74.</w:t>
      </w:r>
      <w:r w:rsidRPr="009F47DE">
        <w:tab/>
        <w:t>INZ initially considers claims and must consider the requirement to provide protection as a refugee or from torture, arbitrary deprivation of life, or ill-treatment. If the claim is declined, the claimant can appeal to the IPT. Some appellants may concurrently lodge a deportation appeal on humanitarian grounds. The IPT will consider the refugee and protection appeal first, and if unsuccessful, will consider the deportation appeal. Where any party to an appeal is dissatisfied with the IPT decision, they can seek the leave of the High Court to appeal on points of law within 28 days.</w:t>
      </w:r>
    </w:p>
    <w:p w14:paraId="0080CC1F" w14:textId="77777777" w:rsidR="007467BC" w:rsidRPr="009F47DE" w:rsidRDefault="00D17A9A" w:rsidP="00D17A9A">
      <w:pPr>
        <w:pStyle w:val="H23G"/>
      </w:pPr>
      <w:r>
        <w:tab/>
      </w:r>
      <w:r>
        <w:tab/>
      </w:r>
      <w:r w:rsidR="007467BC" w:rsidRPr="009F47DE">
        <w:t>Appeals to the Immigration and Protection Tribunal</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1"/>
        <w:gridCol w:w="1877"/>
        <w:gridCol w:w="1897"/>
        <w:gridCol w:w="1945"/>
      </w:tblGrid>
      <w:tr w:rsidR="007467BC" w:rsidRPr="00D17A9A" w14:paraId="1C0752BD" w14:textId="77777777" w:rsidTr="00D17A9A">
        <w:trPr>
          <w:tblHeader/>
        </w:trPr>
        <w:tc>
          <w:tcPr>
            <w:tcW w:w="2157" w:type="dxa"/>
            <w:tcBorders>
              <w:top w:val="single" w:sz="4" w:space="0" w:color="auto"/>
              <w:bottom w:val="single" w:sz="12" w:space="0" w:color="auto"/>
            </w:tcBorders>
            <w:shd w:val="clear" w:color="auto" w:fill="auto"/>
            <w:vAlign w:val="bottom"/>
            <w:hideMark/>
          </w:tcPr>
          <w:p w14:paraId="6823739D" w14:textId="77777777" w:rsidR="007467BC" w:rsidRPr="00D17A9A" w:rsidRDefault="007467BC" w:rsidP="00D17A9A">
            <w:pPr>
              <w:suppressAutoHyphens w:val="0"/>
              <w:spacing w:before="80" w:after="80" w:line="200" w:lineRule="exact"/>
              <w:ind w:right="113"/>
              <w:rPr>
                <w:i/>
                <w:sz w:val="16"/>
              </w:rPr>
            </w:pPr>
          </w:p>
        </w:tc>
        <w:tc>
          <w:tcPr>
            <w:tcW w:w="2452" w:type="dxa"/>
            <w:tcBorders>
              <w:top w:val="single" w:sz="4" w:space="0" w:color="auto"/>
              <w:bottom w:val="single" w:sz="12" w:space="0" w:color="auto"/>
            </w:tcBorders>
            <w:shd w:val="clear" w:color="auto" w:fill="auto"/>
            <w:vAlign w:val="bottom"/>
            <w:hideMark/>
          </w:tcPr>
          <w:p w14:paraId="33172A46" w14:textId="77777777" w:rsidR="007467BC" w:rsidRPr="00D17A9A" w:rsidRDefault="007467BC" w:rsidP="00D17A9A">
            <w:pPr>
              <w:suppressAutoHyphens w:val="0"/>
              <w:spacing w:before="80" w:after="80" w:line="200" w:lineRule="exact"/>
              <w:ind w:right="113"/>
              <w:jc w:val="right"/>
              <w:rPr>
                <w:i/>
                <w:sz w:val="16"/>
              </w:rPr>
            </w:pPr>
            <w:r w:rsidRPr="00D17A9A">
              <w:rPr>
                <w:i/>
                <w:sz w:val="16"/>
              </w:rPr>
              <w:t>Appeals Received</w:t>
            </w:r>
          </w:p>
        </w:tc>
        <w:tc>
          <w:tcPr>
            <w:tcW w:w="2478" w:type="dxa"/>
            <w:tcBorders>
              <w:top w:val="single" w:sz="4" w:space="0" w:color="auto"/>
              <w:bottom w:val="single" w:sz="12" w:space="0" w:color="auto"/>
            </w:tcBorders>
            <w:shd w:val="clear" w:color="auto" w:fill="auto"/>
            <w:vAlign w:val="bottom"/>
            <w:hideMark/>
          </w:tcPr>
          <w:p w14:paraId="1ABD9560" w14:textId="77777777" w:rsidR="007467BC" w:rsidRPr="00D17A9A" w:rsidRDefault="007467BC" w:rsidP="00D17A9A">
            <w:pPr>
              <w:suppressAutoHyphens w:val="0"/>
              <w:spacing w:before="80" w:after="80" w:line="200" w:lineRule="exact"/>
              <w:ind w:right="113"/>
              <w:jc w:val="right"/>
              <w:rPr>
                <w:i/>
                <w:sz w:val="16"/>
              </w:rPr>
            </w:pPr>
            <w:r w:rsidRPr="00D17A9A">
              <w:rPr>
                <w:i/>
                <w:sz w:val="16"/>
              </w:rPr>
              <w:t xml:space="preserve">Decisions </w:t>
            </w:r>
          </w:p>
        </w:tc>
        <w:tc>
          <w:tcPr>
            <w:tcW w:w="2541" w:type="dxa"/>
            <w:tcBorders>
              <w:top w:val="single" w:sz="4" w:space="0" w:color="auto"/>
              <w:bottom w:val="single" w:sz="12" w:space="0" w:color="auto"/>
            </w:tcBorders>
            <w:shd w:val="clear" w:color="auto" w:fill="auto"/>
            <w:vAlign w:val="bottom"/>
            <w:hideMark/>
          </w:tcPr>
          <w:p w14:paraId="76184476" w14:textId="77777777" w:rsidR="007467BC" w:rsidRPr="00D17A9A" w:rsidRDefault="007467BC" w:rsidP="00D17A9A">
            <w:pPr>
              <w:suppressAutoHyphens w:val="0"/>
              <w:spacing w:before="80" w:after="80" w:line="200" w:lineRule="exact"/>
              <w:ind w:right="113"/>
              <w:jc w:val="right"/>
              <w:rPr>
                <w:i/>
                <w:sz w:val="16"/>
              </w:rPr>
            </w:pPr>
            <w:r w:rsidRPr="00D17A9A">
              <w:rPr>
                <w:i/>
                <w:sz w:val="16"/>
              </w:rPr>
              <w:t>Successful</w:t>
            </w:r>
          </w:p>
        </w:tc>
      </w:tr>
      <w:tr w:rsidR="007467BC" w:rsidRPr="00D17A9A" w14:paraId="04BBC270" w14:textId="77777777" w:rsidTr="00D17A9A">
        <w:tc>
          <w:tcPr>
            <w:tcW w:w="2157" w:type="dxa"/>
            <w:tcBorders>
              <w:top w:val="single" w:sz="12" w:space="0" w:color="auto"/>
            </w:tcBorders>
            <w:shd w:val="clear" w:color="auto" w:fill="auto"/>
            <w:hideMark/>
          </w:tcPr>
          <w:p w14:paraId="5FFDD77A" w14:textId="77777777" w:rsidR="007467BC" w:rsidRPr="00D17A9A" w:rsidRDefault="007467BC" w:rsidP="00D17A9A">
            <w:pPr>
              <w:suppressAutoHyphens w:val="0"/>
              <w:spacing w:before="40" w:after="40" w:line="220" w:lineRule="exact"/>
              <w:ind w:right="113"/>
              <w:rPr>
                <w:sz w:val="18"/>
              </w:rPr>
            </w:pPr>
            <w:r w:rsidRPr="00D17A9A">
              <w:rPr>
                <w:sz w:val="18"/>
              </w:rPr>
              <w:t>2014</w:t>
            </w:r>
          </w:p>
        </w:tc>
        <w:tc>
          <w:tcPr>
            <w:tcW w:w="2452" w:type="dxa"/>
            <w:tcBorders>
              <w:top w:val="single" w:sz="12" w:space="0" w:color="auto"/>
            </w:tcBorders>
            <w:shd w:val="clear" w:color="auto" w:fill="auto"/>
            <w:vAlign w:val="bottom"/>
            <w:hideMark/>
          </w:tcPr>
          <w:p w14:paraId="284053B7" w14:textId="77777777" w:rsidR="007467BC" w:rsidRPr="00D17A9A" w:rsidRDefault="007467BC" w:rsidP="00D17A9A">
            <w:pPr>
              <w:suppressAutoHyphens w:val="0"/>
              <w:spacing w:before="40" w:after="40" w:line="220" w:lineRule="exact"/>
              <w:ind w:right="113"/>
              <w:jc w:val="right"/>
              <w:rPr>
                <w:sz w:val="18"/>
              </w:rPr>
            </w:pPr>
            <w:r w:rsidRPr="00D17A9A">
              <w:rPr>
                <w:sz w:val="18"/>
              </w:rPr>
              <w:t>169</w:t>
            </w:r>
          </w:p>
        </w:tc>
        <w:tc>
          <w:tcPr>
            <w:tcW w:w="2478" w:type="dxa"/>
            <w:tcBorders>
              <w:top w:val="single" w:sz="12" w:space="0" w:color="auto"/>
            </w:tcBorders>
            <w:shd w:val="clear" w:color="auto" w:fill="auto"/>
            <w:vAlign w:val="bottom"/>
            <w:hideMark/>
          </w:tcPr>
          <w:p w14:paraId="46D858A4" w14:textId="77777777" w:rsidR="007467BC" w:rsidRPr="00D17A9A" w:rsidRDefault="007467BC" w:rsidP="00D17A9A">
            <w:pPr>
              <w:suppressAutoHyphens w:val="0"/>
              <w:spacing w:before="40" w:after="40" w:line="220" w:lineRule="exact"/>
              <w:ind w:right="113"/>
              <w:jc w:val="right"/>
              <w:rPr>
                <w:sz w:val="18"/>
              </w:rPr>
            </w:pPr>
            <w:r w:rsidRPr="00D17A9A">
              <w:rPr>
                <w:sz w:val="18"/>
              </w:rPr>
              <w:t>168</w:t>
            </w:r>
          </w:p>
        </w:tc>
        <w:tc>
          <w:tcPr>
            <w:tcW w:w="2541" w:type="dxa"/>
            <w:tcBorders>
              <w:top w:val="single" w:sz="12" w:space="0" w:color="auto"/>
            </w:tcBorders>
            <w:shd w:val="clear" w:color="auto" w:fill="auto"/>
            <w:vAlign w:val="bottom"/>
            <w:hideMark/>
          </w:tcPr>
          <w:p w14:paraId="74CD5827" w14:textId="77777777" w:rsidR="007467BC" w:rsidRPr="00D17A9A" w:rsidRDefault="007467BC" w:rsidP="00D17A9A">
            <w:pPr>
              <w:suppressAutoHyphens w:val="0"/>
              <w:spacing w:before="40" w:after="40" w:line="220" w:lineRule="exact"/>
              <w:ind w:right="113"/>
              <w:jc w:val="right"/>
              <w:rPr>
                <w:sz w:val="18"/>
              </w:rPr>
            </w:pPr>
            <w:r w:rsidRPr="00D17A9A">
              <w:rPr>
                <w:sz w:val="18"/>
              </w:rPr>
              <w:t>76</w:t>
            </w:r>
          </w:p>
        </w:tc>
      </w:tr>
      <w:tr w:rsidR="007467BC" w:rsidRPr="00D17A9A" w14:paraId="5827DBB9" w14:textId="77777777" w:rsidTr="00D17A9A">
        <w:tc>
          <w:tcPr>
            <w:tcW w:w="2157" w:type="dxa"/>
            <w:shd w:val="clear" w:color="auto" w:fill="auto"/>
            <w:hideMark/>
          </w:tcPr>
          <w:p w14:paraId="321EF650" w14:textId="77777777" w:rsidR="007467BC" w:rsidRPr="00D17A9A" w:rsidRDefault="007467BC" w:rsidP="00D17A9A">
            <w:pPr>
              <w:suppressAutoHyphens w:val="0"/>
              <w:spacing w:before="40" w:after="40" w:line="220" w:lineRule="exact"/>
              <w:ind w:right="113"/>
              <w:rPr>
                <w:sz w:val="18"/>
              </w:rPr>
            </w:pPr>
            <w:r w:rsidRPr="00D17A9A">
              <w:rPr>
                <w:sz w:val="18"/>
              </w:rPr>
              <w:t>2015</w:t>
            </w:r>
          </w:p>
        </w:tc>
        <w:tc>
          <w:tcPr>
            <w:tcW w:w="2452" w:type="dxa"/>
            <w:shd w:val="clear" w:color="auto" w:fill="auto"/>
            <w:vAlign w:val="bottom"/>
            <w:hideMark/>
          </w:tcPr>
          <w:p w14:paraId="68DC3AAB" w14:textId="77777777" w:rsidR="007467BC" w:rsidRPr="00D17A9A" w:rsidRDefault="007467BC" w:rsidP="00D17A9A">
            <w:pPr>
              <w:suppressAutoHyphens w:val="0"/>
              <w:spacing w:before="40" w:after="40" w:line="220" w:lineRule="exact"/>
              <w:ind w:right="113"/>
              <w:jc w:val="right"/>
              <w:rPr>
                <w:sz w:val="18"/>
              </w:rPr>
            </w:pPr>
            <w:r w:rsidRPr="00D17A9A">
              <w:rPr>
                <w:sz w:val="18"/>
              </w:rPr>
              <w:t>126</w:t>
            </w:r>
          </w:p>
        </w:tc>
        <w:tc>
          <w:tcPr>
            <w:tcW w:w="2478" w:type="dxa"/>
            <w:shd w:val="clear" w:color="auto" w:fill="auto"/>
            <w:vAlign w:val="bottom"/>
            <w:hideMark/>
          </w:tcPr>
          <w:p w14:paraId="63C3A9A1" w14:textId="77777777" w:rsidR="007467BC" w:rsidRPr="00D17A9A" w:rsidRDefault="007467BC" w:rsidP="00D17A9A">
            <w:pPr>
              <w:suppressAutoHyphens w:val="0"/>
              <w:spacing w:before="40" w:after="40" w:line="220" w:lineRule="exact"/>
              <w:ind w:right="113"/>
              <w:jc w:val="right"/>
              <w:rPr>
                <w:sz w:val="18"/>
              </w:rPr>
            </w:pPr>
            <w:r w:rsidRPr="00D17A9A">
              <w:rPr>
                <w:sz w:val="18"/>
              </w:rPr>
              <w:t>167</w:t>
            </w:r>
          </w:p>
        </w:tc>
        <w:tc>
          <w:tcPr>
            <w:tcW w:w="2541" w:type="dxa"/>
            <w:shd w:val="clear" w:color="auto" w:fill="auto"/>
            <w:vAlign w:val="bottom"/>
            <w:hideMark/>
          </w:tcPr>
          <w:p w14:paraId="644F7AD3" w14:textId="77777777" w:rsidR="007467BC" w:rsidRPr="00D17A9A" w:rsidRDefault="007467BC" w:rsidP="00D17A9A">
            <w:pPr>
              <w:suppressAutoHyphens w:val="0"/>
              <w:spacing w:before="40" w:after="40" w:line="220" w:lineRule="exact"/>
              <w:ind w:right="113"/>
              <w:jc w:val="right"/>
              <w:rPr>
                <w:sz w:val="18"/>
              </w:rPr>
            </w:pPr>
            <w:r w:rsidRPr="00D17A9A">
              <w:rPr>
                <w:sz w:val="18"/>
              </w:rPr>
              <w:t>65</w:t>
            </w:r>
          </w:p>
        </w:tc>
      </w:tr>
      <w:tr w:rsidR="007467BC" w:rsidRPr="00D17A9A" w14:paraId="5E6B1022" w14:textId="77777777" w:rsidTr="00D17A9A">
        <w:tc>
          <w:tcPr>
            <w:tcW w:w="2157" w:type="dxa"/>
            <w:shd w:val="clear" w:color="auto" w:fill="auto"/>
            <w:hideMark/>
          </w:tcPr>
          <w:p w14:paraId="0C2537B4" w14:textId="77777777" w:rsidR="007467BC" w:rsidRPr="00D17A9A" w:rsidRDefault="007467BC" w:rsidP="00D17A9A">
            <w:pPr>
              <w:suppressAutoHyphens w:val="0"/>
              <w:spacing w:before="40" w:after="40" w:line="220" w:lineRule="exact"/>
              <w:ind w:right="113"/>
              <w:rPr>
                <w:sz w:val="18"/>
              </w:rPr>
            </w:pPr>
            <w:r w:rsidRPr="00D17A9A">
              <w:rPr>
                <w:sz w:val="18"/>
              </w:rPr>
              <w:t>2016</w:t>
            </w:r>
          </w:p>
        </w:tc>
        <w:tc>
          <w:tcPr>
            <w:tcW w:w="2452" w:type="dxa"/>
            <w:shd w:val="clear" w:color="auto" w:fill="auto"/>
            <w:vAlign w:val="bottom"/>
            <w:hideMark/>
          </w:tcPr>
          <w:p w14:paraId="0AD6B2A9" w14:textId="77777777" w:rsidR="007467BC" w:rsidRPr="00D17A9A" w:rsidRDefault="007467BC" w:rsidP="00D17A9A">
            <w:pPr>
              <w:suppressAutoHyphens w:val="0"/>
              <w:spacing w:before="40" w:after="40" w:line="220" w:lineRule="exact"/>
              <w:ind w:right="113"/>
              <w:jc w:val="right"/>
              <w:rPr>
                <w:sz w:val="18"/>
              </w:rPr>
            </w:pPr>
            <w:r w:rsidRPr="00D17A9A">
              <w:rPr>
                <w:sz w:val="18"/>
              </w:rPr>
              <w:t>166</w:t>
            </w:r>
          </w:p>
        </w:tc>
        <w:tc>
          <w:tcPr>
            <w:tcW w:w="2478" w:type="dxa"/>
            <w:shd w:val="clear" w:color="auto" w:fill="auto"/>
            <w:vAlign w:val="bottom"/>
            <w:hideMark/>
          </w:tcPr>
          <w:p w14:paraId="6990AEB2" w14:textId="77777777" w:rsidR="007467BC" w:rsidRPr="00D17A9A" w:rsidRDefault="007467BC" w:rsidP="00D17A9A">
            <w:pPr>
              <w:suppressAutoHyphens w:val="0"/>
              <w:spacing w:before="40" w:after="40" w:line="220" w:lineRule="exact"/>
              <w:ind w:right="113"/>
              <w:jc w:val="right"/>
              <w:rPr>
                <w:sz w:val="18"/>
              </w:rPr>
            </w:pPr>
            <w:r w:rsidRPr="00D17A9A">
              <w:rPr>
                <w:sz w:val="18"/>
              </w:rPr>
              <w:t>158</w:t>
            </w:r>
          </w:p>
        </w:tc>
        <w:tc>
          <w:tcPr>
            <w:tcW w:w="2541" w:type="dxa"/>
            <w:shd w:val="clear" w:color="auto" w:fill="auto"/>
            <w:vAlign w:val="bottom"/>
            <w:hideMark/>
          </w:tcPr>
          <w:p w14:paraId="6E8AD06E" w14:textId="77777777" w:rsidR="007467BC" w:rsidRPr="00D17A9A" w:rsidRDefault="007467BC" w:rsidP="00D17A9A">
            <w:pPr>
              <w:suppressAutoHyphens w:val="0"/>
              <w:spacing w:before="40" w:after="40" w:line="220" w:lineRule="exact"/>
              <w:ind w:right="113"/>
              <w:jc w:val="right"/>
              <w:rPr>
                <w:sz w:val="18"/>
              </w:rPr>
            </w:pPr>
            <w:r w:rsidRPr="00D17A9A">
              <w:rPr>
                <w:sz w:val="18"/>
              </w:rPr>
              <w:t>55</w:t>
            </w:r>
          </w:p>
        </w:tc>
      </w:tr>
      <w:tr w:rsidR="007467BC" w:rsidRPr="00D17A9A" w14:paraId="4F1CE9EE" w14:textId="77777777" w:rsidTr="00D17A9A">
        <w:tc>
          <w:tcPr>
            <w:tcW w:w="2157" w:type="dxa"/>
            <w:shd w:val="clear" w:color="auto" w:fill="auto"/>
            <w:hideMark/>
          </w:tcPr>
          <w:p w14:paraId="4C56D213" w14:textId="77777777" w:rsidR="007467BC" w:rsidRPr="00D17A9A" w:rsidRDefault="007467BC" w:rsidP="00D17A9A">
            <w:pPr>
              <w:suppressAutoHyphens w:val="0"/>
              <w:spacing w:before="40" w:after="40" w:line="220" w:lineRule="exact"/>
              <w:ind w:right="113"/>
              <w:rPr>
                <w:sz w:val="18"/>
              </w:rPr>
            </w:pPr>
            <w:r w:rsidRPr="00D17A9A">
              <w:rPr>
                <w:sz w:val="18"/>
              </w:rPr>
              <w:t>2017</w:t>
            </w:r>
          </w:p>
        </w:tc>
        <w:tc>
          <w:tcPr>
            <w:tcW w:w="2452" w:type="dxa"/>
            <w:shd w:val="clear" w:color="auto" w:fill="auto"/>
            <w:vAlign w:val="bottom"/>
            <w:hideMark/>
          </w:tcPr>
          <w:p w14:paraId="39C6080E" w14:textId="77777777" w:rsidR="007467BC" w:rsidRPr="00D17A9A" w:rsidRDefault="007467BC" w:rsidP="00D17A9A">
            <w:pPr>
              <w:suppressAutoHyphens w:val="0"/>
              <w:spacing w:before="40" w:after="40" w:line="220" w:lineRule="exact"/>
              <w:ind w:right="113"/>
              <w:jc w:val="right"/>
              <w:rPr>
                <w:sz w:val="18"/>
              </w:rPr>
            </w:pPr>
            <w:r w:rsidRPr="00D17A9A">
              <w:rPr>
                <w:sz w:val="18"/>
              </w:rPr>
              <w:t>194</w:t>
            </w:r>
          </w:p>
        </w:tc>
        <w:tc>
          <w:tcPr>
            <w:tcW w:w="2478" w:type="dxa"/>
            <w:shd w:val="clear" w:color="auto" w:fill="auto"/>
            <w:vAlign w:val="bottom"/>
            <w:hideMark/>
          </w:tcPr>
          <w:p w14:paraId="7D2FE32A" w14:textId="77777777" w:rsidR="007467BC" w:rsidRPr="00D17A9A" w:rsidRDefault="007467BC" w:rsidP="00D17A9A">
            <w:pPr>
              <w:suppressAutoHyphens w:val="0"/>
              <w:spacing w:before="40" w:after="40" w:line="220" w:lineRule="exact"/>
              <w:ind w:right="113"/>
              <w:jc w:val="right"/>
              <w:rPr>
                <w:sz w:val="18"/>
              </w:rPr>
            </w:pPr>
            <w:r w:rsidRPr="00D17A9A">
              <w:rPr>
                <w:sz w:val="18"/>
              </w:rPr>
              <w:t>177</w:t>
            </w:r>
          </w:p>
        </w:tc>
        <w:tc>
          <w:tcPr>
            <w:tcW w:w="2541" w:type="dxa"/>
            <w:shd w:val="clear" w:color="auto" w:fill="auto"/>
            <w:vAlign w:val="bottom"/>
            <w:hideMark/>
          </w:tcPr>
          <w:p w14:paraId="312AB98B" w14:textId="77777777" w:rsidR="007467BC" w:rsidRPr="00D17A9A" w:rsidRDefault="007467BC" w:rsidP="00D17A9A">
            <w:pPr>
              <w:suppressAutoHyphens w:val="0"/>
              <w:spacing w:before="40" w:after="40" w:line="220" w:lineRule="exact"/>
              <w:ind w:right="113"/>
              <w:jc w:val="right"/>
              <w:rPr>
                <w:sz w:val="18"/>
              </w:rPr>
            </w:pPr>
            <w:r w:rsidRPr="00D17A9A">
              <w:rPr>
                <w:sz w:val="18"/>
              </w:rPr>
              <w:t>63</w:t>
            </w:r>
          </w:p>
        </w:tc>
      </w:tr>
      <w:tr w:rsidR="007467BC" w:rsidRPr="00D17A9A" w14:paraId="0FA89378" w14:textId="77777777" w:rsidTr="00D17A9A">
        <w:tc>
          <w:tcPr>
            <w:tcW w:w="2157" w:type="dxa"/>
            <w:shd w:val="clear" w:color="auto" w:fill="auto"/>
          </w:tcPr>
          <w:p w14:paraId="23472089" w14:textId="77777777" w:rsidR="007467BC" w:rsidRPr="00D17A9A" w:rsidRDefault="007467BC" w:rsidP="00D17A9A">
            <w:pPr>
              <w:suppressAutoHyphens w:val="0"/>
              <w:spacing w:before="40" w:after="40" w:line="220" w:lineRule="exact"/>
              <w:ind w:right="113"/>
              <w:rPr>
                <w:sz w:val="18"/>
              </w:rPr>
            </w:pPr>
            <w:r w:rsidRPr="00D17A9A">
              <w:rPr>
                <w:sz w:val="18"/>
              </w:rPr>
              <w:t>2018</w:t>
            </w:r>
          </w:p>
        </w:tc>
        <w:tc>
          <w:tcPr>
            <w:tcW w:w="2452" w:type="dxa"/>
            <w:shd w:val="clear" w:color="auto" w:fill="auto"/>
            <w:vAlign w:val="bottom"/>
          </w:tcPr>
          <w:p w14:paraId="7AB7EFC6" w14:textId="77777777" w:rsidR="007467BC" w:rsidRPr="00D17A9A" w:rsidRDefault="007467BC" w:rsidP="00D17A9A">
            <w:pPr>
              <w:suppressAutoHyphens w:val="0"/>
              <w:spacing w:before="40" w:after="40" w:line="220" w:lineRule="exact"/>
              <w:ind w:right="113"/>
              <w:jc w:val="right"/>
              <w:rPr>
                <w:sz w:val="18"/>
              </w:rPr>
            </w:pPr>
            <w:r w:rsidRPr="00D17A9A">
              <w:rPr>
                <w:sz w:val="18"/>
              </w:rPr>
              <w:t>233</w:t>
            </w:r>
          </w:p>
        </w:tc>
        <w:tc>
          <w:tcPr>
            <w:tcW w:w="2478" w:type="dxa"/>
            <w:shd w:val="clear" w:color="auto" w:fill="auto"/>
            <w:vAlign w:val="bottom"/>
          </w:tcPr>
          <w:p w14:paraId="7D766E1F" w14:textId="77777777" w:rsidR="007467BC" w:rsidRPr="00D17A9A" w:rsidRDefault="007467BC" w:rsidP="00D17A9A">
            <w:pPr>
              <w:suppressAutoHyphens w:val="0"/>
              <w:spacing w:before="40" w:after="40" w:line="220" w:lineRule="exact"/>
              <w:ind w:right="113"/>
              <w:jc w:val="right"/>
              <w:rPr>
                <w:sz w:val="18"/>
              </w:rPr>
            </w:pPr>
            <w:r w:rsidRPr="00D17A9A">
              <w:rPr>
                <w:sz w:val="18"/>
              </w:rPr>
              <w:t>167</w:t>
            </w:r>
          </w:p>
        </w:tc>
        <w:tc>
          <w:tcPr>
            <w:tcW w:w="2541" w:type="dxa"/>
            <w:shd w:val="clear" w:color="auto" w:fill="auto"/>
            <w:vAlign w:val="bottom"/>
          </w:tcPr>
          <w:p w14:paraId="436B8A61" w14:textId="77777777" w:rsidR="007467BC" w:rsidRPr="00D17A9A" w:rsidRDefault="007467BC" w:rsidP="00D17A9A">
            <w:pPr>
              <w:suppressAutoHyphens w:val="0"/>
              <w:spacing w:before="40" w:after="40" w:line="220" w:lineRule="exact"/>
              <w:ind w:right="113"/>
              <w:jc w:val="right"/>
              <w:rPr>
                <w:sz w:val="18"/>
              </w:rPr>
            </w:pPr>
            <w:r w:rsidRPr="00D17A9A">
              <w:rPr>
                <w:sz w:val="18"/>
              </w:rPr>
              <w:t>91</w:t>
            </w:r>
          </w:p>
        </w:tc>
      </w:tr>
    </w:tbl>
    <w:p w14:paraId="512E091B" w14:textId="77777777" w:rsidR="007467BC" w:rsidRPr="009F47DE" w:rsidRDefault="00D17A9A" w:rsidP="00C47540">
      <w:pPr>
        <w:pStyle w:val="H23G"/>
      </w:pPr>
      <w:r>
        <w:tab/>
      </w:r>
      <w:r>
        <w:tab/>
      </w:r>
      <w:r w:rsidR="007467BC" w:rsidRPr="009F47DE">
        <w:t>Deportation of faile</w:t>
      </w:r>
      <w:r>
        <w:t>d asylum claimants 1 March 2014–</w:t>
      </w:r>
      <w:r w:rsidR="007467BC" w:rsidRPr="009F47DE">
        <w:t>2 August 2018</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55"/>
        <w:gridCol w:w="904"/>
        <w:gridCol w:w="904"/>
        <w:gridCol w:w="904"/>
        <w:gridCol w:w="904"/>
        <w:gridCol w:w="904"/>
        <w:gridCol w:w="875"/>
        <w:gridCol w:w="20"/>
      </w:tblGrid>
      <w:tr w:rsidR="007467BC" w:rsidRPr="00D17A9A" w14:paraId="7C3565DD" w14:textId="77777777" w:rsidTr="00D17A9A">
        <w:trPr>
          <w:tblHeader/>
        </w:trPr>
        <w:tc>
          <w:tcPr>
            <w:tcW w:w="1955" w:type="dxa"/>
            <w:tcBorders>
              <w:top w:val="single" w:sz="4" w:space="0" w:color="auto"/>
              <w:bottom w:val="single" w:sz="12" w:space="0" w:color="auto"/>
            </w:tcBorders>
            <w:shd w:val="clear" w:color="auto" w:fill="auto"/>
            <w:vAlign w:val="bottom"/>
            <w:hideMark/>
          </w:tcPr>
          <w:p w14:paraId="6E203895" w14:textId="77777777" w:rsidR="007467BC" w:rsidRPr="00D17A9A" w:rsidRDefault="007467BC" w:rsidP="00D17A9A">
            <w:pPr>
              <w:spacing w:before="80" w:after="80" w:line="200" w:lineRule="exact"/>
              <w:ind w:right="113"/>
              <w:rPr>
                <w:i/>
                <w:sz w:val="16"/>
              </w:rPr>
            </w:pPr>
          </w:p>
        </w:tc>
        <w:tc>
          <w:tcPr>
            <w:tcW w:w="904"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65279BEC" w14:textId="77777777" w:rsidR="007467BC" w:rsidRPr="00D17A9A" w:rsidRDefault="007467BC" w:rsidP="00D17A9A">
            <w:pPr>
              <w:spacing w:before="80" w:after="80" w:line="200" w:lineRule="exact"/>
              <w:ind w:right="113"/>
              <w:jc w:val="right"/>
              <w:rPr>
                <w:i/>
                <w:sz w:val="16"/>
              </w:rPr>
            </w:pPr>
            <w:r w:rsidRPr="00D17A9A">
              <w:rPr>
                <w:i/>
                <w:sz w:val="16"/>
              </w:rPr>
              <w:t>2014/15</w:t>
            </w:r>
          </w:p>
        </w:tc>
        <w:tc>
          <w:tcPr>
            <w:tcW w:w="904"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3B9586E0" w14:textId="77777777" w:rsidR="007467BC" w:rsidRPr="00D17A9A" w:rsidRDefault="007467BC" w:rsidP="00D17A9A">
            <w:pPr>
              <w:spacing w:before="80" w:after="80" w:line="200" w:lineRule="exact"/>
              <w:ind w:right="113"/>
              <w:jc w:val="right"/>
              <w:rPr>
                <w:i/>
                <w:sz w:val="16"/>
              </w:rPr>
            </w:pPr>
            <w:r w:rsidRPr="00D17A9A">
              <w:rPr>
                <w:i/>
                <w:sz w:val="16"/>
              </w:rPr>
              <w:t>2015/16</w:t>
            </w:r>
          </w:p>
        </w:tc>
        <w:tc>
          <w:tcPr>
            <w:tcW w:w="904"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7264068E" w14:textId="77777777" w:rsidR="007467BC" w:rsidRPr="00D17A9A" w:rsidRDefault="007467BC" w:rsidP="00D17A9A">
            <w:pPr>
              <w:spacing w:before="80" w:after="80" w:line="200" w:lineRule="exact"/>
              <w:ind w:right="113"/>
              <w:jc w:val="right"/>
              <w:rPr>
                <w:i/>
                <w:sz w:val="16"/>
              </w:rPr>
            </w:pPr>
            <w:r w:rsidRPr="00D17A9A">
              <w:rPr>
                <w:i/>
                <w:sz w:val="16"/>
              </w:rPr>
              <w:t>2016/17</w:t>
            </w:r>
          </w:p>
        </w:tc>
        <w:tc>
          <w:tcPr>
            <w:tcW w:w="904"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025C64DC" w14:textId="77777777" w:rsidR="007467BC" w:rsidRPr="00D17A9A" w:rsidRDefault="007467BC" w:rsidP="00D17A9A">
            <w:pPr>
              <w:spacing w:before="80" w:after="80" w:line="200" w:lineRule="exact"/>
              <w:ind w:right="113"/>
              <w:jc w:val="right"/>
              <w:rPr>
                <w:i/>
                <w:sz w:val="16"/>
              </w:rPr>
            </w:pPr>
            <w:r w:rsidRPr="00D17A9A">
              <w:rPr>
                <w:i/>
                <w:sz w:val="16"/>
              </w:rPr>
              <w:t>2017/18</w:t>
            </w:r>
          </w:p>
        </w:tc>
        <w:tc>
          <w:tcPr>
            <w:tcW w:w="904"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2D95F55C" w14:textId="77777777" w:rsidR="007467BC" w:rsidRPr="00D17A9A" w:rsidRDefault="007467BC" w:rsidP="00D17A9A">
            <w:pPr>
              <w:spacing w:before="80" w:after="80" w:line="200" w:lineRule="exact"/>
              <w:ind w:right="113"/>
              <w:jc w:val="right"/>
              <w:rPr>
                <w:i/>
                <w:sz w:val="16"/>
              </w:rPr>
            </w:pPr>
            <w:r w:rsidRPr="00D17A9A">
              <w:rPr>
                <w:i/>
                <w:sz w:val="16"/>
              </w:rPr>
              <w:t>2018/19</w:t>
            </w:r>
          </w:p>
        </w:tc>
        <w:tc>
          <w:tcPr>
            <w:tcW w:w="875"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6CF28F0E" w14:textId="77777777" w:rsidR="007467BC" w:rsidRPr="00D17A9A" w:rsidRDefault="007467BC" w:rsidP="00D17A9A">
            <w:pPr>
              <w:spacing w:before="80" w:after="80" w:line="200" w:lineRule="exact"/>
              <w:ind w:right="113"/>
              <w:jc w:val="right"/>
              <w:rPr>
                <w:i/>
                <w:sz w:val="16"/>
              </w:rPr>
            </w:pPr>
            <w:r w:rsidRPr="00D17A9A">
              <w:rPr>
                <w:i/>
                <w:sz w:val="16"/>
              </w:rPr>
              <w:t>Totals</w:t>
            </w:r>
          </w:p>
        </w:tc>
        <w:tc>
          <w:tcPr>
            <w:tcW w:w="20" w:type="dxa"/>
            <w:tcBorders>
              <w:top w:val="single" w:sz="4" w:space="0" w:color="auto"/>
              <w:bottom w:val="single" w:sz="12" w:space="0" w:color="auto"/>
            </w:tcBorders>
            <w:shd w:val="clear" w:color="auto" w:fill="auto"/>
            <w:vAlign w:val="bottom"/>
            <w:hideMark/>
          </w:tcPr>
          <w:p w14:paraId="30670B9D" w14:textId="77777777" w:rsidR="007467BC" w:rsidRPr="00D17A9A" w:rsidRDefault="007467BC" w:rsidP="00D17A9A">
            <w:pPr>
              <w:spacing w:before="80" w:after="80" w:line="200" w:lineRule="exact"/>
              <w:ind w:right="113"/>
              <w:jc w:val="right"/>
              <w:rPr>
                <w:i/>
                <w:sz w:val="16"/>
              </w:rPr>
            </w:pPr>
          </w:p>
        </w:tc>
      </w:tr>
      <w:tr w:rsidR="007467BC" w:rsidRPr="00D17A9A" w14:paraId="369024AC" w14:textId="77777777" w:rsidTr="00D17A9A">
        <w:tc>
          <w:tcPr>
            <w:tcW w:w="1955" w:type="dxa"/>
            <w:tcBorders>
              <w:top w:val="single" w:sz="12" w:space="0" w:color="auto"/>
            </w:tcBorders>
            <w:shd w:val="clear" w:color="auto" w:fill="auto"/>
            <w:noWrap/>
            <w:tcMar>
              <w:top w:w="0" w:type="dxa"/>
              <w:left w:w="108" w:type="dxa"/>
              <w:bottom w:w="0" w:type="dxa"/>
              <w:right w:w="108" w:type="dxa"/>
            </w:tcMar>
            <w:hideMark/>
          </w:tcPr>
          <w:p w14:paraId="2791DBB4" w14:textId="77777777" w:rsidR="007467BC" w:rsidRPr="00D17A9A" w:rsidRDefault="007467BC" w:rsidP="00D17A9A">
            <w:pPr>
              <w:spacing w:before="40" w:after="40" w:line="220" w:lineRule="exact"/>
              <w:ind w:right="113"/>
              <w:rPr>
                <w:sz w:val="18"/>
              </w:rPr>
            </w:pPr>
            <w:r w:rsidRPr="00D17A9A">
              <w:rPr>
                <w:sz w:val="18"/>
              </w:rPr>
              <w:t>Adults:</w:t>
            </w:r>
          </w:p>
        </w:tc>
        <w:tc>
          <w:tcPr>
            <w:tcW w:w="904" w:type="dxa"/>
            <w:tcBorders>
              <w:top w:val="single" w:sz="12" w:space="0" w:color="auto"/>
            </w:tcBorders>
            <w:shd w:val="clear" w:color="auto" w:fill="auto"/>
            <w:noWrap/>
            <w:tcMar>
              <w:top w:w="0" w:type="dxa"/>
              <w:left w:w="108" w:type="dxa"/>
              <w:bottom w:w="0" w:type="dxa"/>
              <w:right w:w="108" w:type="dxa"/>
            </w:tcMar>
            <w:vAlign w:val="bottom"/>
            <w:hideMark/>
          </w:tcPr>
          <w:p w14:paraId="21A64B27" w14:textId="77777777" w:rsidR="007467BC" w:rsidRPr="00D17A9A" w:rsidRDefault="007467BC" w:rsidP="00D17A9A">
            <w:pPr>
              <w:spacing w:before="40" w:after="40" w:line="220" w:lineRule="exact"/>
              <w:ind w:right="113"/>
              <w:jc w:val="right"/>
              <w:rPr>
                <w:sz w:val="18"/>
              </w:rPr>
            </w:pPr>
            <w:r w:rsidRPr="00D17A9A">
              <w:rPr>
                <w:sz w:val="18"/>
              </w:rPr>
              <w:t>27</w:t>
            </w:r>
          </w:p>
        </w:tc>
        <w:tc>
          <w:tcPr>
            <w:tcW w:w="904" w:type="dxa"/>
            <w:tcBorders>
              <w:top w:val="single" w:sz="12" w:space="0" w:color="auto"/>
            </w:tcBorders>
            <w:shd w:val="clear" w:color="auto" w:fill="auto"/>
            <w:noWrap/>
            <w:tcMar>
              <w:top w:w="0" w:type="dxa"/>
              <w:left w:w="108" w:type="dxa"/>
              <w:bottom w:w="0" w:type="dxa"/>
              <w:right w:w="108" w:type="dxa"/>
            </w:tcMar>
            <w:vAlign w:val="bottom"/>
            <w:hideMark/>
          </w:tcPr>
          <w:p w14:paraId="039DEAF1" w14:textId="77777777" w:rsidR="007467BC" w:rsidRPr="00D17A9A" w:rsidRDefault="007467BC" w:rsidP="00D17A9A">
            <w:pPr>
              <w:spacing w:before="40" w:after="40" w:line="220" w:lineRule="exact"/>
              <w:ind w:right="113"/>
              <w:jc w:val="right"/>
              <w:rPr>
                <w:sz w:val="18"/>
              </w:rPr>
            </w:pPr>
            <w:r w:rsidRPr="00D17A9A">
              <w:rPr>
                <w:sz w:val="18"/>
              </w:rPr>
              <w:t>36</w:t>
            </w:r>
          </w:p>
        </w:tc>
        <w:tc>
          <w:tcPr>
            <w:tcW w:w="904" w:type="dxa"/>
            <w:tcBorders>
              <w:top w:val="single" w:sz="12" w:space="0" w:color="auto"/>
            </w:tcBorders>
            <w:shd w:val="clear" w:color="auto" w:fill="auto"/>
            <w:noWrap/>
            <w:tcMar>
              <w:top w:w="0" w:type="dxa"/>
              <w:left w:w="108" w:type="dxa"/>
              <w:bottom w:w="0" w:type="dxa"/>
              <w:right w:w="108" w:type="dxa"/>
            </w:tcMar>
            <w:vAlign w:val="bottom"/>
            <w:hideMark/>
          </w:tcPr>
          <w:p w14:paraId="5C4AD5DF" w14:textId="77777777" w:rsidR="007467BC" w:rsidRPr="00D17A9A" w:rsidRDefault="007467BC" w:rsidP="00D17A9A">
            <w:pPr>
              <w:spacing w:before="40" w:after="40" w:line="220" w:lineRule="exact"/>
              <w:ind w:right="113"/>
              <w:jc w:val="right"/>
              <w:rPr>
                <w:sz w:val="18"/>
              </w:rPr>
            </w:pPr>
            <w:r w:rsidRPr="00D17A9A">
              <w:rPr>
                <w:sz w:val="18"/>
              </w:rPr>
              <w:t>33</w:t>
            </w:r>
          </w:p>
        </w:tc>
        <w:tc>
          <w:tcPr>
            <w:tcW w:w="904" w:type="dxa"/>
            <w:tcBorders>
              <w:top w:val="single" w:sz="12" w:space="0" w:color="auto"/>
            </w:tcBorders>
            <w:shd w:val="clear" w:color="auto" w:fill="auto"/>
            <w:noWrap/>
            <w:tcMar>
              <w:top w:w="0" w:type="dxa"/>
              <w:left w:w="108" w:type="dxa"/>
              <w:bottom w:w="0" w:type="dxa"/>
              <w:right w:w="108" w:type="dxa"/>
            </w:tcMar>
            <w:vAlign w:val="bottom"/>
            <w:hideMark/>
          </w:tcPr>
          <w:p w14:paraId="3DFBC04D" w14:textId="77777777" w:rsidR="007467BC" w:rsidRPr="00D17A9A" w:rsidRDefault="007467BC" w:rsidP="00D17A9A">
            <w:pPr>
              <w:spacing w:before="40" w:after="40" w:line="220" w:lineRule="exact"/>
              <w:ind w:right="113"/>
              <w:jc w:val="right"/>
              <w:rPr>
                <w:sz w:val="18"/>
              </w:rPr>
            </w:pPr>
            <w:r w:rsidRPr="00D17A9A">
              <w:rPr>
                <w:sz w:val="18"/>
              </w:rPr>
              <w:t>35</w:t>
            </w:r>
          </w:p>
        </w:tc>
        <w:tc>
          <w:tcPr>
            <w:tcW w:w="904" w:type="dxa"/>
            <w:tcBorders>
              <w:top w:val="single" w:sz="12" w:space="0" w:color="auto"/>
            </w:tcBorders>
            <w:shd w:val="clear" w:color="auto" w:fill="auto"/>
            <w:noWrap/>
            <w:tcMar>
              <w:top w:w="0" w:type="dxa"/>
              <w:left w:w="108" w:type="dxa"/>
              <w:bottom w:w="0" w:type="dxa"/>
              <w:right w:w="108" w:type="dxa"/>
            </w:tcMar>
            <w:vAlign w:val="bottom"/>
            <w:hideMark/>
          </w:tcPr>
          <w:p w14:paraId="7E0D2036" w14:textId="77777777" w:rsidR="007467BC" w:rsidRPr="00D17A9A" w:rsidRDefault="007467BC" w:rsidP="00D17A9A">
            <w:pPr>
              <w:spacing w:before="40" w:after="40" w:line="220" w:lineRule="exact"/>
              <w:ind w:right="113"/>
              <w:jc w:val="right"/>
              <w:rPr>
                <w:sz w:val="18"/>
              </w:rPr>
            </w:pPr>
            <w:r w:rsidRPr="00D17A9A">
              <w:rPr>
                <w:sz w:val="18"/>
              </w:rPr>
              <w:t>5</w:t>
            </w:r>
          </w:p>
        </w:tc>
        <w:tc>
          <w:tcPr>
            <w:tcW w:w="875" w:type="dxa"/>
            <w:tcBorders>
              <w:top w:val="single" w:sz="12" w:space="0" w:color="auto"/>
            </w:tcBorders>
            <w:shd w:val="clear" w:color="auto" w:fill="auto"/>
            <w:noWrap/>
            <w:tcMar>
              <w:top w:w="0" w:type="dxa"/>
              <w:left w:w="108" w:type="dxa"/>
              <w:bottom w:w="0" w:type="dxa"/>
              <w:right w:w="108" w:type="dxa"/>
            </w:tcMar>
            <w:vAlign w:val="bottom"/>
            <w:hideMark/>
          </w:tcPr>
          <w:p w14:paraId="5899BA71" w14:textId="77777777" w:rsidR="007467BC" w:rsidRPr="00D17A9A" w:rsidRDefault="007467BC" w:rsidP="00D17A9A">
            <w:pPr>
              <w:spacing w:before="40" w:after="40" w:line="220" w:lineRule="exact"/>
              <w:ind w:right="113"/>
              <w:jc w:val="right"/>
              <w:rPr>
                <w:sz w:val="18"/>
              </w:rPr>
            </w:pPr>
            <w:r w:rsidRPr="00D17A9A">
              <w:rPr>
                <w:sz w:val="18"/>
              </w:rPr>
              <w:t>136</w:t>
            </w:r>
          </w:p>
        </w:tc>
        <w:tc>
          <w:tcPr>
            <w:tcW w:w="20" w:type="dxa"/>
            <w:tcBorders>
              <w:top w:val="single" w:sz="12" w:space="0" w:color="auto"/>
            </w:tcBorders>
            <w:shd w:val="clear" w:color="auto" w:fill="auto"/>
            <w:vAlign w:val="bottom"/>
            <w:hideMark/>
          </w:tcPr>
          <w:p w14:paraId="1C926096" w14:textId="77777777" w:rsidR="007467BC" w:rsidRPr="00D17A9A" w:rsidRDefault="007467BC" w:rsidP="00D17A9A">
            <w:pPr>
              <w:spacing w:before="40" w:after="40" w:line="220" w:lineRule="exact"/>
              <w:ind w:right="113"/>
              <w:jc w:val="right"/>
              <w:rPr>
                <w:sz w:val="18"/>
              </w:rPr>
            </w:pPr>
          </w:p>
        </w:tc>
      </w:tr>
      <w:tr w:rsidR="007467BC" w:rsidRPr="00D17A9A" w14:paraId="281D69C3" w14:textId="77777777" w:rsidTr="00373839">
        <w:tc>
          <w:tcPr>
            <w:tcW w:w="1955" w:type="dxa"/>
            <w:tcBorders>
              <w:bottom w:val="nil"/>
            </w:tcBorders>
            <w:shd w:val="clear" w:color="auto" w:fill="auto"/>
            <w:noWrap/>
            <w:tcMar>
              <w:top w:w="0" w:type="dxa"/>
              <w:left w:w="108" w:type="dxa"/>
              <w:bottom w:w="0" w:type="dxa"/>
              <w:right w:w="108" w:type="dxa"/>
            </w:tcMar>
            <w:hideMark/>
          </w:tcPr>
          <w:p w14:paraId="52DBAD94" w14:textId="77777777" w:rsidR="007467BC" w:rsidRPr="00D17A9A" w:rsidRDefault="007467BC" w:rsidP="00D17A9A">
            <w:pPr>
              <w:spacing w:before="40" w:after="40" w:line="220" w:lineRule="exact"/>
              <w:ind w:right="113"/>
              <w:rPr>
                <w:sz w:val="18"/>
              </w:rPr>
            </w:pPr>
            <w:r w:rsidRPr="00D17A9A">
              <w:rPr>
                <w:sz w:val="18"/>
              </w:rPr>
              <w:t>Male</w:t>
            </w:r>
          </w:p>
        </w:tc>
        <w:tc>
          <w:tcPr>
            <w:tcW w:w="904" w:type="dxa"/>
            <w:tcBorders>
              <w:bottom w:val="nil"/>
            </w:tcBorders>
            <w:shd w:val="clear" w:color="auto" w:fill="auto"/>
            <w:noWrap/>
            <w:tcMar>
              <w:top w:w="0" w:type="dxa"/>
              <w:left w:w="108" w:type="dxa"/>
              <w:bottom w:w="0" w:type="dxa"/>
              <w:right w:w="108" w:type="dxa"/>
            </w:tcMar>
            <w:vAlign w:val="bottom"/>
            <w:hideMark/>
          </w:tcPr>
          <w:p w14:paraId="509EF176" w14:textId="77777777" w:rsidR="007467BC" w:rsidRPr="00D17A9A" w:rsidRDefault="007467BC" w:rsidP="00D17A9A">
            <w:pPr>
              <w:spacing w:before="40" w:after="40" w:line="220" w:lineRule="exact"/>
              <w:ind w:right="113"/>
              <w:jc w:val="right"/>
              <w:rPr>
                <w:sz w:val="18"/>
              </w:rPr>
            </w:pPr>
            <w:r w:rsidRPr="00D17A9A">
              <w:rPr>
                <w:sz w:val="18"/>
              </w:rPr>
              <w:t>24</w:t>
            </w:r>
          </w:p>
        </w:tc>
        <w:tc>
          <w:tcPr>
            <w:tcW w:w="904" w:type="dxa"/>
            <w:tcBorders>
              <w:bottom w:val="nil"/>
            </w:tcBorders>
            <w:shd w:val="clear" w:color="auto" w:fill="auto"/>
            <w:noWrap/>
            <w:tcMar>
              <w:top w:w="0" w:type="dxa"/>
              <w:left w:w="108" w:type="dxa"/>
              <w:bottom w:w="0" w:type="dxa"/>
              <w:right w:w="108" w:type="dxa"/>
            </w:tcMar>
            <w:vAlign w:val="bottom"/>
            <w:hideMark/>
          </w:tcPr>
          <w:p w14:paraId="7CA22EE1" w14:textId="77777777" w:rsidR="007467BC" w:rsidRPr="00D17A9A" w:rsidRDefault="007467BC" w:rsidP="00D17A9A">
            <w:pPr>
              <w:spacing w:before="40" w:after="40" w:line="220" w:lineRule="exact"/>
              <w:ind w:right="113"/>
              <w:jc w:val="right"/>
              <w:rPr>
                <w:sz w:val="18"/>
              </w:rPr>
            </w:pPr>
            <w:r w:rsidRPr="00D17A9A">
              <w:rPr>
                <w:sz w:val="18"/>
              </w:rPr>
              <w:t>25</w:t>
            </w:r>
          </w:p>
        </w:tc>
        <w:tc>
          <w:tcPr>
            <w:tcW w:w="904" w:type="dxa"/>
            <w:tcBorders>
              <w:bottom w:val="nil"/>
            </w:tcBorders>
            <w:shd w:val="clear" w:color="auto" w:fill="auto"/>
            <w:noWrap/>
            <w:tcMar>
              <w:top w:w="0" w:type="dxa"/>
              <w:left w:w="108" w:type="dxa"/>
              <w:bottom w:w="0" w:type="dxa"/>
              <w:right w:w="108" w:type="dxa"/>
            </w:tcMar>
            <w:vAlign w:val="bottom"/>
            <w:hideMark/>
          </w:tcPr>
          <w:p w14:paraId="74ED66F8" w14:textId="77777777" w:rsidR="007467BC" w:rsidRPr="00D17A9A" w:rsidRDefault="007467BC" w:rsidP="00D17A9A">
            <w:pPr>
              <w:spacing w:before="40" w:after="40" w:line="220" w:lineRule="exact"/>
              <w:ind w:right="113"/>
              <w:jc w:val="right"/>
              <w:rPr>
                <w:sz w:val="18"/>
              </w:rPr>
            </w:pPr>
            <w:r w:rsidRPr="00D17A9A">
              <w:rPr>
                <w:sz w:val="18"/>
              </w:rPr>
              <w:t>31</w:t>
            </w:r>
          </w:p>
        </w:tc>
        <w:tc>
          <w:tcPr>
            <w:tcW w:w="904" w:type="dxa"/>
            <w:tcBorders>
              <w:bottom w:val="nil"/>
            </w:tcBorders>
            <w:shd w:val="clear" w:color="auto" w:fill="auto"/>
            <w:noWrap/>
            <w:tcMar>
              <w:top w:w="0" w:type="dxa"/>
              <w:left w:w="108" w:type="dxa"/>
              <w:bottom w:w="0" w:type="dxa"/>
              <w:right w:w="108" w:type="dxa"/>
            </w:tcMar>
            <w:vAlign w:val="bottom"/>
            <w:hideMark/>
          </w:tcPr>
          <w:p w14:paraId="52943466" w14:textId="77777777" w:rsidR="007467BC" w:rsidRPr="00D17A9A" w:rsidRDefault="007467BC" w:rsidP="00D17A9A">
            <w:pPr>
              <w:spacing w:before="40" w:after="40" w:line="220" w:lineRule="exact"/>
              <w:ind w:right="113"/>
              <w:jc w:val="right"/>
              <w:rPr>
                <w:sz w:val="18"/>
              </w:rPr>
            </w:pPr>
            <w:r w:rsidRPr="00D17A9A">
              <w:rPr>
                <w:sz w:val="18"/>
              </w:rPr>
              <w:t>26</w:t>
            </w:r>
          </w:p>
        </w:tc>
        <w:tc>
          <w:tcPr>
            <w:tcW w:w="904" w:type="dxa"/>
            <w:tcBorders>
              <w:bottom w:val="nil"/>
            </w:tcBorders>
            <w:shd w:val="clear" w:color="auto" w:fill="auto"/>
            <w:noWrap/>
            <w:tcMar>
              <w:top w:w="0" w:type="dxa"/>
              <w:left w:w="108" w:type="dxa"/>
              <w:bottom w:w="0" w:type="dxa"/>
              <w:right w:w="108" w:type="dxa"/>
            </w:tcMar>
            <w:vAlign w:val="bottom"/>
            <w:hideMark/>
          </w:tcPr>
          <w:p w14:paraId="1AAB1415" w14:textId="77777777" w:rsidR="007467BC" w:rsidRPr="00D17A9A" w:rsidRDefault="007467BC" w:rsidP="00D17A9A">
            <w:pPr>
              <w:spacing w:before="40" w:after="40" w:line="220" w:lineRule="exact"/>
              <w:ind w:right="113"/>
              <w:jc w:val="right"/>
              <w:rPr>
                <w:sz w:val="18"/>
              </w:rPr>
            </w:pPr>
            <w:r w:rsidRPr="00D17A9A">
              <w:rPr>
                <w:sz w:val="18"/>
              </w:rPr>
              <w:t>5</w:t>
            </w:r>
          </w:p>
        </w:tc>
        <w:tc>
          <w:tcPr>
            <w:tcW w:w="875" w:type="dxa"/>
            <w:tcBorders>
              <w:bottom w:val="nil"/>
            </w:tcBorders>
            <w:shd w:val="clear" w:color="auto" w:fill="auto"/>
            <w:noWrap/>
            <w:tcMar>
              <w:top w:w="0" w:type="dxa"/>
              <w:left w:w="108" w:type="dxa"/>
              <w:bottom w:w="0" w:type="dxa"/>
              <w:right w:w="108" w:type="dxa"/>
            </w:tcMar>
            <w:vAlign w:val="bottom"/>
            <w:hideMark/>
          </w:tcPr>
          <w:p w14:paraId="302E3A1A" w14:textId="77777777" w:rsidR="007467BC" w:rsidRPr="00D17A9A" w:rsidRDefault="007467BC" w:rsidP="00D17A9A">
            <w:pPr>
              <w:spacing w:before="40" w:after="40" w:line="220" w:lineRule="exact"/>
              <w:ind w:right="113"/>
              <w:jc w:val="right"/>
              <w:rPr>
                <w:sz w:val="18"/>
              </w:rPr>
            </w:pPr>
            <w:r w:rsidRPr="00D17A9A">
              <w:rPr>
                <w:sz w:val="18"/>
              </w:rPr>
              <w:t>111</w:t>
            </w:r>
          </w:p>
        </w:tc>
        <w:tc>
          <w:tcPr>
            <w:tcW w:w="20" w:type="dxa"/>
            <w:tcBorders>
              <w:bottom w:val="nil"/>
            </w:tcBorders>
            <w:shd w:val="clear" w:color="auto" w:fill="auto"/>
            <w:vAlign w:val="bottom"/>
            <w:hideMark/>
          </w:tcPr>
          <w:p w14:paraId="7877D46E" w14:textId="77777777" w:rsidR="007467BC" w:rsidRPr="00D17A9A" w:rsidRDefault="007467BC" w:rsidP="00D17A9A">
            <w:pPr>
              <w:spacing w:before="40" w:after="40" w:line="220" w:lineRule="exact"/>
              <w:ind w:right="113"/>
              <w:jc w:val="right"/>
              <w:rPr>
                <w:sz w:val="18"/>
              </w:rPr>
            </w:pPr>
          </w:p>
        </w:tc>
      </w:tr>
      <w:tr w:rsidR="007467BC" w:rsidRPr="00D17A9A" w14:paraId="62350709" w14:textId="77777777" w:rsidTr="00C47540">
        <w:tc>
          <w:tcPr>
            <w:tcW w:w="1955" w:type="dxa"/>
            <w:tcBorders>
              <w:top w:val="nil"/>
              <w:bottom w:val="nil"/>
            </w:tcBorders>
            <w:shd w:val="clear" w:color="auto" w:fill="auto"/>
            <w:noWrap/>
            <w:tcMar>
              <w:top w:w="0" w:type="dxa"/>
              <w:left w:w="108" w:type="dxa"/>
              <w:bottom w:w="0" w:type="dxa"/>
              <w:right w:w="108" w:type="dxa"/>
            </w:tcMar>
            <w:hideMark/>
          </w:tcPr>
          <w:p w14:paraId="0B6F239A" w14:textId="77777777" w:rsidR="007467BC" w:rsidRPr="00D17A9A" w:rsidRDefault="007467BC" w:rsidP="00D17A9A">
            <w:pPr>
              <w:spacing w:before="40" w:after="40" w:line="220" w:lineRule="exact"/>
              <w:ind w:right="113"/>
              <w:rPr>
                <w:sz w:val="18"/>
              </w:rPr>
            </w:pPr>
            <w:r w:rsidRPr="00D17A9A">
              <w:rPr>
                <w:sz w:val="18"/>
              </w:rPr>
              <w:t>Female</w:t>
            </w:r>
          </w:p>
        </w:tc>
        <w:tc>
          <w:tcPr>
            <w:tcW w:w="904" w:type="dxa"/>
            <w:tcBorders>
              <w:top w:val="nil"/>
              <w:bottom w:val="nil"/>
            </w:tcBorders>
            <w:shd w:val="clear" w:color="auto" w:fill="auto"/>
            <w:noWrap/>
            <w:tcMar>
              <w:top w:w="0" w:type="dxa"/>
              <w:left w:w="108" w:type="dxa"/>
              <w:bottom w:w="0" w:type="dxa"/>
              <w:right w:w="108" w:type="dxa"/>
            </w:tcMar>
            <w:vAlign w:val="bottom"/>
            <w:hideMark/>
          </w:tcPr>
          <w:p w14:paraId="41B5828B" w14:textId="77777777" w:rsidR="007467BC" w:rsidRPr="00D17A9A" w:rsidRDefault="007467BC" w:rsidP="00D17A9A">
            <w:pPr>
              <w:spacing w:before="40" w:after="40" w:line="220" w:lineRule="exact"/>
              <w:ind w:right="113"/>
              <w:jc w:val="right"/>
              <w:rPr>
                <w:sz w:val="18"/>
              </w:rPr>
            </w:pPr>
            <w:r w:rsidRPr="00D17A9A">
              <w:rPr>
                <w:sz w:val="18"/>
              </w:rPr>
              <w:t>3</w:t>
            </w:r>
          </w:p>
        </w:tc>
        <w:tc>
          <w:tcPr>
            <w:tcW w:w="904" w:type="dxa"/>
            <w:tcBorders>
              <w:top w:val="nil"/>
              <w:bottom w:val="nil"/>
            </w:tcBorders>
            <w:shd w:val="clear" w:color="auto" w:fill="auto"/>
            <w:noWrap/>
            <w:tcMar>
              <w:top w:w="0" w:type="dxa"/>
              <w:left w:w="108" w:type="dxa"/>
              <w:bottom w:w="0" w:type="dxa"/>
              <w:right w:w="108" w:type="dxa"/>
            </w:tcMar>
            <w:vAlign w:val="bottom"/>
            <w:hideMark/>
          </w:tcPr>
          <w:p w14:paraId="6B5DDFCA" w14:textId="77777777" w:rsidR="007467BC" w:rsidRPr="00D17A9A" w:rsidRDefault="007467BC" w:rsidP="00D17A9A">
            <w:pPr>
              <w:spacing w:before="40" w:after="40" w:line="220" w:lineRule="exact"/>
              <w:ind w:right="113"/>
              <w:jc w:val="right"/>
              <w:rPr>
                <w:sz w:val="18"/>
              </w:rPr>
            </w:pPr>
            <w:r w:rsidRPr="00D17A9A">
              <w:rPr>
                <w:sz w:val="18"/>
              </w:rPr>
              <w:t>10</w:t>
            </w:r>
          </w:p>
        </w:tc>
        <w:tc>
          <w:tcPr>
            <w:tcW w:w="904" w:type="dxa"/>
            <w:tcBorders>
              <w:top w:val="nil"/>
              <w:bottom w:val="nil"/>
            </w:tcBorders>
            <w:shd w:val="clear" w:color="auto" w:fill="auto"/>
            <w:noWrap/>
            <w:tcMar>
              <w:top w:w="0" w:type="dxa"/>
              <w:left w:w="108" w:type="dxa"/>
              <w:bottom w:w="0" w:type="dxa"/>
              <w:right w:w="108" w:type="dxa"/>
            </w:tcMar>
            <w:vAlign w:val="bottom"/>
            <w:hideMark/>
          </w:tcPr>
          <w:p w14:paraId="0B5F4BA9" w14:textId="77777777" w:rsidR="007467BC" w:rsidRPr="00D17A9A" w:rsidRDefault="007467BC" w:rsidP="00D17A9A">
            <w:pPr>
              <w:spacing w:before="40" w:after="40" w:line="220" w:lineRule="exact"/>
              <w:ind w:right="113"/>
              <w:jc w:val="right"/>
              <w:rPr>
                <w:sz w:val="18"/>
              </w:rPr>
            </w:pPr>
            <w:r w:rsidRPr="00D17A9A">
              <w:rPr>
                <w:sz w:val="18"/>
              </w:rPr>
              <w:t>1</w:t>
            </w:r>
          </w:p>
        </w:tc>
        <w:tc>
          <w:tcPr>
            <w:tcW w:w="904" w:type="dxa"/>
            <w:tcBorders>
              <w:top w:val="nil"/>
              <w:bottom w:val="nil"/>
            </w:tcBorders>
            <w:shd w:val="clear" w:color="auto" w:fill="auto"/>
            <w:noWrap/>
            <w:tcMar>
              <w:top w:w="0" w:type="dxa"/>
              <w:left w:w="108" w:type="dxa"/>
              <w:bottom w:w="0" w:type="dxa"/>
              <w:right w:w="108" w:type="dxa"/>
            </w:tcMar>
            <w:vAlign w:val="bottom"/>
            <w:hideMark/>
          </w:tcPr>
          <w:p w14:paraId="61E64EDC" w14:textId="77777777" w:rsidR="007467BC" w:rsidRPr="00D17A9A" w:rsidRDefault="007467BC" w:rsidP="00D17A9A">
            <w:pPr>
              <w:spacing w:before="40" w:after="40" w:line="220" w:lineRule="exact"/>
              <w:ind w:right="113"/>
              <w:jc w:val="right"/>
              <w:rPr>
                <w:sz w:val="18"/>
              </w:rPr>
            </w:pPr>
            <w:r w:rsidRPr="00D17A9A">
              <w:rPr>
                <w:sz w:val="18"/>
              </w:rPr>
              <w:t>9</w:t>
            </w:r>
          </w:p>
        </w:tc>
        <w:tc>
          <w:tcPr>
            <w:tcW w:w="904" w:type="dxa"/>
            <w:tcBorders>
              <w:top w:val="nil"/>
              <w:bottom w:val="nil"/>
            </w:tcBorders>
            <w:shd w:val="clear" w:color="auto" w:fill="auto"/>
            <w:noWrap/>
            <w:tcMar>
              <w:top w:w="0" w:type="dxa"/>
              <w:left w:w="108" w:type="dxa"/>
              <w:bottom w:w="0" w:type="dxa"/>
              <w:right w:w="108" w:type="dxa"/>
            </w:tcMar>
            <w:vAlign w:val="bottom"/>
            <w:hideMark/>
          </w:tcPr>
          <w:p w14:paraId="5B6C3E2A" w14:textId="77777777" w:rsidR="007467BC" w:rsidRPr="00D17A9A" w:rsidRDefault="007467BC" w:rsidP="00D17A9A">
            <w:pPr>
              <w:spacing w:before="40" w:after="40" w:line="220" w:lineRule="exact"/>
              <w:ind w:right="113"/>
              <w:jc w:val="right"/>
              <w:rPr>
                <w:sz w:val="18"/>
              </w:rPr>
            </w:pPr>
            <w:r w:rsidRPr="00D17A9A">
              <w:rPr>
                <w:sz w:val="18"/>
              </w:rPr>
              <w:t>0</w:t>
            </w:r>
          </w:p>
        </w:tc>
        <w:tc>
          <w:tcPr>
            <w:tcW w:w="875" w:type="dxa"/>
            <w:tcBorders>
              <w:top w:val="nil"/>
              <w:bottom w:val="nil"/>
            </w:tcBorders>
            <w:shd w:val="clear" w:color="auto" w:fill="auto"/>
            <w:noWrap/>
            <w:tcMar>
              <w:top w:w="0" w:type="dxa"/>
              <w:left w:w="108" w:type="dxa"/>
              <w:bottom w:w="0" w:type="dxa"/>
              <w:right w:w="108" w:type="dxa"/>
            </w:tcMar>
            <w:vAlign w:val="bottom"/>
            <w:hideMark/>
          </w:tcPr>
          <w:p w14:paraId="6299AED7" w14:textId="77777777" w:rsidR="007467BC" w:rsidRPr="00D17A9A" w:rsidRDefault="007467BC" w:rsidP="00D17A9A">
            <w:pPr>
              <w:spacing w:before="40" w:after="40" w:line="220" w:lineRule="exact"/>
              <w:ind w:right="113"/>
              <w:jc w:val="right"/>
              <w:rPr>
                <w:sz w:val="18"/>
              </w:rPr>
            </w:pPr>
            <w:r w:rsidRPr="00D17A9A">
              <w:rPr>
                <w:sz w:val="18"/>
              </w:rPr>
              <w:t>23</w:t>
            </w:r>
          </w:p>
        </w:tc>
        <w:tc>
          <w:tcPr>
            <w:tcW w:w="20" w:type="dxa"/>
            <w:tcBorders>
              <w:top w:val="nil"/>
              <w:bottom w:val="nil"/>
            </w:tcBorders>
            <w:shd w:val="clear" w:color="auto" w:fill="auto"/>
            <w:vAlign w:val="bottom"/>
            <w:hideMark/>
          </w:tcPr>
          <w:p w14:paraId="3CD5694A" w14:textId="77777777" w:rsidR="007467BC" w:rsidRPr="00D17A9A" w:rsidRDefault="007467BC" w:rsidP="00D17A9A">
            <w:pPr>
              <w:spacing w:before="40" w:after="40" w:line="220" w:lineRule="exact"/>
              <w:ind w:right="113"/>
              <w:jc w:val="right"/>
              <w:rPr>
                <w:sz w:val="18"/>
              </w:rPr>
            </w:pPr>
          </w:p>
        </w:tc>
      </w:tr>
      <w:tr w:rsidR="007467BC" w:rsidRPr="00D17A9A" w14:paraId="5BCB3742" w14:textId="77777777" w:rsidTr="00C47540">
        <w:tc>
          <w:tcPr>
            <w:tcW w:w="1955" w:type="dxa"/>
            <w:tcBorders>
              <w:top w:val="nil"/>
              <w:bottom w:val="nil"/>
            </w:tcBorders>
            <w:shd w:val="clear" w:color="auto" w:fill="auto"/>
            <w:noWrap/>
            <w:tcMar>
              <w:top w:w="0" w:type="dxa"/>
              <w:left w:w="108" w:type="dxa"/>
              <w:bottom w:w="0" w:type="dxa"/>
              <w:right w:w="108" w:type="dxa"/>
            </w:tcMar>
            <w:hideMark/>
          </w:tcPr>
          <w:p w14:paraId="275BC53B" w14:textId="77777777" w:rsidR="007467BC" w:rsidRPr="00D17A9A" w:rsidRDefault="007467BC" w:rsidP="00D17A9A">
            <w:pPr>
              <w:spacing w:before="40" w:after="40" w:line="220" w:lineRule="exact"/>
              <w:ind w:right="113"/>
              <w:rPr>
                <w:sz w:val="18"/>
              </w:rPr>
            </w:pPr>
            <w:r w:rsidRPr="00D17A9A">
              <w:rPr>
                <w:sz w:val="18"/>
              </w:rPr>
              <w:t>Not recorded</w:t>
            </w:r>
          </w:p>
        </w:tc>
        <w:tc>
          <w:tcPr>
            <w:tcW w:w="904" w:type="dxa"/>
            <w:tcBorders>
              <w:top w:val="nil"/>
              <w:bottom w:val="nil"/>
            </w:tcBorders>
            <w:shd w:val="clear" w:color="auto" w:fill="auto"/>
            <w:noWrap/>
            <w:tcMar>
              <w:top w:w="0" w:type="dxa"/>
              <w:left w:w="108" w:type="dxa"/>
              <w:bottom w:w="0" w:type="dxa"/>
              <w:right w:w="108" w:type="dxa"/>
            </w:tcMar>
            <w:vAlign w:val="bottom"/>
            <w:hideMark/>
          </w:tcPr>
          <w:p w14:paraId="06AA1D90" w14:textId="77777777" w:rsidR="007467BC" w:rsidRPr="00D17A9A" w:rsidRDefault="007467BC" w:rsidP="00D17A9A">
            <w:pPr>
              <w:spacing w:before="40" w:after="40" w:line="220" w:lineRule="exact"/>
              <w:ind w:right="113"/>
              <w:jc w:val="right"/>
              <w:rPr>
                <w:sz w:val="18"/>
              </w:rPr>
            </w:pPr>
            <w:r w:rsidRPr="00D17A9A">
              <w:rPr>
                <w:sz w:val="18"/>
              </w:rPr>
              <w:t>0</w:t>
            </w:r>
          </w:p>
        </w:tc>
        <w:tc>
          <w:tcPr>
            <w:tcW w:w="904" w:type="dxa"/>
            <w:tcBorders>
              <w:top w:val="nil"/>
              <w:bottom w:val="nil"/>
            </w:tcBorders>
            <w:shd w:val="clear" w:color="auto" w:fill="auto"/>
            <w:noWrap/>
            <w:tcMar>
              <w:top w:w="0" w:type="dxa"/>
              <w:left w:w="108" w:type="dxa"/>
              <w:bottom w:w="0" w:type="dxa"/>
              <w:right w:w="108" w:type="dxa"/>
            </w:tcMar>
            <w:vAlign w:val="bottom"/>
            <w:hideMark/>
          </w:tcPr>
          <w:p w14:paraId="473CC879" w14:textId="77777777" w:rsidR="007467BC" w:rsidRPr="00D17A9A" w:rsidRDefault="007467BC" w:rsidP="00D17A9A">
            <w:pPr>
              <w:spacing w:before="40" w:after="40" w:line="220" w:lineRule="exact"/>
              <w:ind w:right="113"/>
              <w:jc w:val="right"/>
              <w:rPr>
                <w:sz w:val="18"/>
              </w:rPr>
            </w:pPr>
            <w:r w:rsidRPr="00D17A9A">
              <w:rPr>
                <w:sz w:val="18"/>
              </w:rPr>
              <w:t>1</w:t>
            </w:r>
          </w:p>
        </w:tc>
        <w:tc>
          <w:tcPr>
            <w:tcW w:w="904" w:type="dxa"/>
            <w:tcBorders>
              <w:top w:val="nil"/>
              <w:bottom w:val="nil"/>
            </w:tcBorders>
            <w:shd w:val="clear" w:color="auto" w:fill="auto"/>
            <w:noWrap/>
            <w:tcMar>
              <w:top w:w="0" w:type="dxa"/>
              <w:left w:w="108" w:type="dxa"/>
              <w:bottom w:w="0" w:type="dxa"/>
              <w:right w:w="108" w:type="dxa"/>
            </w:tcMar>
            <w:vAlign w:val="bottom"/>
            <w:hideMark/>
          </w:tcPr>
          <w:p w14:paraId="01E3956A" w14:textId="77777777" w:rsidR="007467BC" w:rsidRPr="00D17A9A" w:rsidRDefault="007467BC" w:rsidP="00D17A9A">
            <w:pPr>
              <w:spacing w:before="40" w:after="40" w:line="220" w:lineRule="exact"/>
              <w:ind w:right="113"/>
              <w:jc w:val="right"/>
              <w:rPr>
                <w:sz w:val="18"/>
              </w:rPr>
            </w:pPr>
            <w:r w:rsidRPr="00D17A9A">
              <w:rPr>
                <w:sz w:val="18"/>
              </w:rPr>
              <w:t>1</w:t>
            </w:r>
          </w:p>
        </w:tc>
        <w:tc>
          <w:tcPr>
            <w:tcW w:w="904" w:type="dxa"/>
            <w:tcBorders>
              <w:top w:val="nil"/>
              <w:bottom w:val="nil"/>
            </w:tcBorders>
            <w:shd w:val="clear" w:color="auto" w:fill="auto"/>
            <w:noWrap/>
            <w:tcMar>
              <w:top w:w="0" w:type="dxa"/>
              <w:left w:w="108" w:type="dxa"/>
              <w:bottom w:w="0" w:type="dxa"/>
              <w:right w:w="108" w:type="dxa"/>
            </w:tcMar>
            <w:vAlign w:val="bottom"/>
            <w:hideMark/>
          </w:tcPr>
          <w:p w14:paraId="12E7B39D" w14:textId="77777777" w:rsidR="007467BC" w:rsidRPr="00D17A9A" w:rsidRDefault="007467BC" w:rsidP="00D17A9A">
            <w:pPr>
              <w:spacing w:before="40" w:after="40" w:line="220" w:lineRule="exact"/>
              <w:ind w:right="113"/>
              <w:jc w:val="right"/>
              <w:rPr>
                <w:sz w:val="18"/>
              </w:rPr>
            </w:pPr>
            <w:r w:rsidRPr="00D17A9A">
              <w:rPr>
                <w:sz w:val="18"/>
              </w:rPr>
              <w:t>0</w:t>
            </w:r>
          </w:p>
        </w:tc>
        <w:tc>
          <w:tcPr>
            <w:tcW w:w="904" w:type="dxa"/>
            <w:tcBorders>
              <w:top w:val="nil"/>
              <w:bottom w:val="nil"/>
            </w:tcBorders>
            <w:shd w:val="clear" w:color="auto" w:fill="auto"/>
            <w:noWrap/>
            <w:tcMar>
              <w:top w:w="0" w:type="dxa"/>
              <w:left w:w="108" w:type="dxa"/>
              <w:bottom w:w="0" w:type="dxa"/>
              <w:right w:w="108" w:type="dxa"/>
            </w:tcMar>
            <w:vAlign w:val="bottom"/>
            <w:hideMark/>
          </w:tcPr>
          <w:p w14:paraId="5DE2590A" w14:textId="77777777" w:rsidR="007467BC" w:rsidRPr="00D17A9A" w:rsidRDefault="007467BC" w:rsidP="00D17A9A">
            <w:pPr>
              <w:spacing w:before="40" w:after="40" w:line="220" w:lineRule="exact"/>
              <w:ind w:right="113"/>
              <w:jc w:val="right"/>
              <w:rPr>
                <w:sz w:val="18"/>
              </w:rPr>
            </w:pPr>
            <w:r w:rsidRPr="00D17A9A">
              <w:rPr>
                <w:sz w:val="18"/>
              </w:rPr>
              <w:t>0</w:t>
            </w:r>
          </w:p>
        </w:tc>
        <w:tc>
          <w:tcPr>
            <w:tcW w:w="875" w:type="dxa"/>
            <w:tcBorders>
              <w:top w:val="nil"/>
              <w:bottom w:val="nil"/>
            </w:tcBorders>
            <w:shd w:val="clear" w:color="auto" w:fill="auto"/>
            <w:noWrap/>
            <w:tcMar>
              <w:top w:w="0" w:type="dxa"/>
              <w:left w:w="108" w:type="dxa"/>
              <w:bottom w:w="0" w:type="dxa"/>
              <w:right w:w="108" w:type="dxa"/>
            </w:tcMar>
            <w:vAlign w:val="bottom"/>
            <w:hideMark/>
          </w:tcPr>
          <w:p w14:paraId="4F7EBEA8" w14:textId="77777777" w:rsidR="007467BC" w:rsidRPr="00D17A9A" w:rsidRDefault="007467BC" w:rsidP="00D17A9A">
            <w:pPr>
              <w:spacing w:before="40" w:after="40" w:line="220" w:lineRule="exact"/>
              <w:ind w:right="113"/>
              <w:jc w:val="right"/>
              <w:rPr>
                <w:sz w:val="18"/>
              </w:rPr>
            </w:pPr>
            <w:r w:rsidRPr="00D17A9A">
              <w:rPr>
                <w:sz w:val="18"/>
              </w:rPr>
              <w:t>2</w:t>
            </w:r>
          </w:p>
        </w:tc>
        <w:tc>
          <w:tcPr>
            <w:tcW w:w="20" w:type="dxa"/>
            <w:tcBorders>
              <w:top w:val="nil"/>
              <w:bottom w:val="nil"/>
            </w:tcBorders>
            <w:shd w:val="clear" w:color="auto" w:fill="auto"/>
            <w:vAlign w:val="bottom"/>
            <w:hideMark/>
          </w:tcPr>
          <w:p w14:paraId="4C650DB2" w14:textId="77777777" w:rsidR="007467BC" w:rsidRPr="00D17A9A" w:rsidRDefault="007467BC" w:rsidP="00D17A9A">
            <w:pPr>
              <w:spacing w:before="40" w:after="40" w:line="220" w:lineRule="exact"/>
              <w:ind w:right="113"/>
              <w:jc w:val="right"/>
              <w:rPr>
                <w:sz w:val="18"/>
              </w:rPr>
            </w:pPr>
          </w:p>
        </w:tc>
      </w:tr>
      <w:tr w:rsidR="007467BC" w:rsidRPr="00D17A9A" w14:paraId="6AB6982E" w14:textId="77777777" w:rsidTr="00C47540">
        <w:tc>
          <w:tcPr>
            <w:tcW w:w="1955" w:type="dxa"/>
            <w:tcBorders>
              <w:top w:val="nil"/>
            </w:tcBorders>
            <w:shd w:val="clear" w:color="auto" w:fill="auto"/>
            <w:noWrap/>
            <w:tcMar>
              <w:top w:w="0" w:type="dxa"/>
              <w:left w:w="108" w:type="dxa"/>
              <w:bottom w:w="0" w:type="dxa"/>
              <w:right w:w="108" w:type="dxa"/>
            </w:tcMar>
            <w:hideMark/>
          </w:tcPr>
          <w:p w14:paraId="1E13D7C3" w14:textId="77777777" w:rsidR="007467BC" w:rsidRPr="00D17A9A" w:rsidRDefault="007467BC" w:rsidP="00D17A9A">
            <w:pPr>
              <w:spacing w:before="40" w:after="40" w:line="220" w:lineRule="exact"/>
              <w:ind w:right="113"/>
              <w:rPr>
                <w:sz w:val="18"/>
              </w:rPr>
            </w:pPr>
            <w:r w:rsidRPr="00D17A9A">
              <w:rPr>
                <w:sz w:val="18"/>
              </w:rPr>
              <w:t>Minors:</w:t>
            </w:r>
          </w:p>
        </w:tc>
        <w:tc>
          <w:tcPr>
            <w:tcW w:w="904" w:type="dxa"/>
            <w:tcBorders>
              <w:top w:val="nil"/>
            </w:tcBorders>
            <w:shd w:val="clear" w:color="auto" w:fill="auto"/>
            <w:noWrap/>
            <w:tcMar>
              <w:top w:w="0" w:type="dxa"/>
              <w:left w:w="108" w:type="dxa"/>
              <w:bottom w:w="0" w:type="dxa"/>
              <w:right w:w="108" w:type="dxa"/>
            </w:tcMar>
            <w:vAlign w:val="bottom"/>
            <w:hideMark/>
          </w:tcPr>
          <w:p w14:paraId="7A49262F" w14:textId="77777777" w:rsidR="007467BC" w:rsidRPr="00D17A9A" w:rsidRDefault="007467BC" w:rsidP="00D17A9A">
            <w:pPr>
              <w:spacing w:before="40" w:after="40" w:line="220" w:lineRule="exact"/>
              <w:ind w:right="113"/>
              <w:jc w:val="right"/>
              <w:rPr>
                <w:sz w:val="18"/>
              </w:rPr>
            </w:pPr>
            <w:r w:rsidRPr="00D17A9A">
              <w:rPr>
                <w:sz w:val="18"/>
              </w:rPr>
              <w:t>2</w:t>
            </w:r>
          </w:p>
        </w:tc>
        <w:tc>
          <w:tcPr>
            <w:tcW w:w="904" w:type="dxa"/>
            <w:tcBorders>
              <w:top w:val="nil"/>
            </w:tcBorders>
            <w:shd w:val="clear" w:color="auto" w:fill="auto"/>
            <w:noWrap/>
            <w:tcMar>
              <w:top w:w="0" w:type="dxa"/>
              <w:left w:w="108" w:type="dxa"/>
              <w:bottom w:w="0" w:type="dxa"/>
              <w:right w:w="108" w:type="dxa"/>
            </w:tcMar>
            <w:vAlign w:val="bottom"/>
            <w:hideMark/>
          </w:tcPr>
          <w:p w14:paraId="634ACAD0" w14:textId="77777777" w:rsidR="007467BC" w:rsidRPr="00D17A9A" w:rsidRDefault="007467BC" w:rsidP="00D17A9A">
            <w:pPr>
              <w:spacing w:before="40" w:after="40" w:line="220" w:lineRule="exact"/>
              <w:ind w:right="113"/>
              <w:jc w:val="right"/>
              <w:rPr>
                <w:sz w:val="18"/>
              </w:rPr>
            </w:pPr>
            <w:r w:rsidRPr="00D17A9A">
              <w:rPr>
                <w:sz w:val="18"/>
              </w:rPr>
              <w:t>8</w:t>
            </w:r>
          </w:p>
        </w:tc>
        <w:tc>
          <w:tcPr>
            <w:tcW w:w="904" w:type="dxa"/>
            <w:tcBorders>
              <w:top w:val="nil"/>
            </w:tcBorders>
            <w:shd w:val="clear" w:color="auto" w:fill="auto"/>
            <w:noWrap/>
            <w:tcMar>
              <w:top w:w="0" w:type="dxa"/>
              <w:left w:w="108" w:type="dxa"/>
              <w:bottom w:w="0" w:type="dxa"/>
              <w:right w:w="108" w:type="dxa"/>
            </w:tcMar>
            <w:vAlign w:val="bottom"/>
            <w:hideMark/>
          </w:tcPr>
          <w:p w14:paraId="47538393" w14:textId="77777777" w:rsidR="007467BC" w:rsidRPr="00D17A9A" w:rsidRDefault="007467BC" w:rsidP="00D17A9A">
            <w:pPr>
              <w:spacing w:before="40" w:after="40" w:line="220" w:lineRule="exact"/>
              <w:ind w:right="113"/>
              <w:jc w:val="right"/>
              <w:rPr>
                <w:sz w:val="18"/>
              </w:rPr>
            </w:pPr>
            <w:r w:rsidRPr="00D17A9A">
              <w:rPr>
                <w:sz w:val="18"/>
              </w:rPr>
              <w:t>0</w:t>
            </w:r>
          </w:p>
        </w:tc>
        <w:tc>
          <w:tcPr>
            <w:tcW w:w="904" w:type="dxa"/>
            <w:tcBorders>
              <w:top w:val="nil"/>
            </w:tcBorders>
            <w:shd w:val="clear" w:color="auto" w:fill="auto"/>
            <w:noWrap/>
            <w:tcMar>
              <w:top w:w="0" w:type="dxa"/>
              <w:left w:w="108" w:type="dxa"/>
              <w:bottom w:w="0" w:type="dxa"/>
              <w:right w:w="108" w:type="dxa"/>
            </w:tcMar>
            <w:vAlign w:val="bottom"/>
            <w:hideMark/>
          </w:tcPr>
          <w:p w14:paraId="69EB7B76" w14:textId="77777777" w:rsidR="007467BC" w:rsidRPr="00D17A9A" w:rsidRDefault="007467BC" w:rsidP="00D17A9A">
            <w:pPr>
              <w:spacing w:before="40" w:after="40" w:line="220" w:lineRule="exact"/>
              <w:ind w:right="113"/>
              <w:jc w:val="right"/>
              <w:rPr>
                <w:sz w:val="18"/>
              </w:rPr>
            </w:pPr>
            <w:r w:rsidRPr="00D17A9A">
              <w:rPr>
                <w:sz w:val="18"/>
              </w:rPr>
              <w:t>0</w:t>
            </w:r>
          </w:p>
        </w:tc>
        <w:tc>
          <w:tcPr>
            <w:tcW w:w="904" w:type="dxa"/>
            <w:tcBorders>
              <w:top w:val="nil"/>
            </w:tcBorders>
            <w:shd w:val="clear" w:color="auto" w:fill="auto"/>
            <w:noWrap/>
            <w:tcMar>
              <w:top w:w="0" w:type="dxa"/>
              <w:left w:w="108" w:type="dxa"/>
              <w:bottom w:w="0" w:type="dxa"/>
              <w:right w:w="108" w:type="dxa"/>
            </w:tcMar>
            <w:vAlign w:val="bottom"/>
            <w:hideMark/>
          </w:tcPr>
          <w:p w14:paraId="09EC4EA3" w14:textId="77777777" w:rsidR="007467BC" w:rsidRPr="00D17A9A" w:rsidRDefault="007467BC" w:rsidP="00D17A9A">
            <w:pPr>
              <w:spacing w:before="40" w:after="40" w:line="220" w:lineRule="exact"/>
              <w:ind w:right="113"/>
              <w:jc w:val="right"/>
              <w:rPr>
                <w:sz w:val="18"/>
              </w:rPr>
            </w:pPr>
            <w:r w:rsidRPr="00D17A9A">
              <w:rPr>
                <w:sz w:val="18"/>
              </w:rPr>
              <w:t>0</w:t>
            </w:r>
          </w:p>
        </w:tc>
        <w:tc>
          <w:tcPr>
            <w:tcW w:w="875" w:type="dxa"/>
            <w:tcBorders>
              <w:top w:val="nil"/>
            </w:tcBorders>
            <w:shd w:val="clear" w:color="auto" w:fill="auto"/>
            <w:noWrap/>
            <w:tcMar>
              <w:top w:w="0" w:type="dxa"/>
              <w:left w:w="108" w:type="dxa"/>
              <w:bottom w:w="0" w:type="dxa"/>
              <w:right w:w="108" w:type="dxa"/>
            </w:tcMar>
            <w:vAlign w:val="bottom"/>
            <w:hideMark/>
          </w:tcPr>
          <w:p w14:paraId="499184DA" w14:textId="77777777" w:rsidR="007467BC" w:rsidRPr="00D17A9A" w:rsidRDefault="007467BC" w:rsidP="00D17A9A">
            <w:pPr>
              <w:spacing w:before="40" w:after="40" w:line="220" w:lineRule="exact"/>
              <w:ind w:right="113"/>
              <w:jc w:val="right"/>
              <w:rPr>
                <w:sz w:val="18"/>
              </w:rPr>
            </w:pPr>
            <w:r w:rsidRPr="00D17A9A">
              <w:rPr>
                <w:sz w:val="18"/>
              </w:rPr>
              <w:t>10</w:t>
            </w:r>
          </w:p>
        </w:tc>
        <w:tc>
          <w:tcPr>
            <w:tcW w:w="20" w:type="dxa"/>
            <w:tcBorders>
              <w:top w:val="nil"/>
            </w:tcBorders>
            <w:shd w:val="clear" w:color="auto" w:fill="auto"/>
            <w:vAlign w:val="bottom"/>
            <w:hideMark/>
          </w:tcPr>
          <w:p w14:paraId="6EA27D87" w14:textId="77777777" w:rsidR="007467BC" w:rsidRPr="00D17A9A" w:rsidRDefault="007467BC" w:rsidP="00D17A9A">
            <w:pPr>
              <w:spacing w:before="40" w:after="40" w:line="220" w:lineRule="exact"/>
              <w:ind w:right="113"/>
              <w:jc w:val="right"/>
              <w:rPr>
                <w:sz w:val="18"/>
              </w:rPr>
            </w:pPr>
          </w:p>
        </w:tc>
      </w:tr>
      <w:tr w:rsidR="007467BC" w:rsidRPr="00D17A9A" w14:paraId="196EA2F4" w14:textId="77777777" w:rsidTr="00D17A9A">
        <w:tc>
          <w:tcPr>
            <w:tcW w:w="1955" w:type="dxa"/>
            <w:shd w:val="clear" w:color="auto" w:fill="auto"/>
            <w:noWrap/>
            <w:tcMar>
              <w:top w:w="0" w:type="dxa"/>
              <w:left w:w="108" w:type="dxa"/>
              <w:bottom w:w="0" w:type="dxa"/>
              <w:right w:w="108" w:type="dxa"/>
            </w:tcMar>
            <w:hideMark/>
          </w:tcPr>
          <w:p w14:paraId="79F90B87" w14:textId="77777777" w:rsidR="007467BC" w:rsidRPr="00D17A9A" w:rsidRDefault="007467BC" w:rsidP="00D17A9A">
            <w:pPr>
              <w:spacing w:before="40" w:after="40" w:line="220" w:lineRule="exact"/>
              <w:ind w:right="113"/>
              <w:rPr>
                <w:sz w:val="18"/>
              </w:rPr>
            </w:pPr>
            <w:r w:rsidRPr="00D17A9A">
              <w:rPr>
                <w:sz w:val="18"/>
              </w:rPr>
              <w:t>Female</w:t>
            </w:r>
          </w:p>
        </w:tc>
        <w:tc>
          <w:tcPr>
            <w:tcW w:w="904" w:type="dxa"/>
            <w:shd w:val="clear" w:color="auto" w:fill="auto"/>
            <w:noWrap/>
            <w:tcMar>
              <w:top w:w="0" w:type="dxa"/>
              <w:left w:w="108" w:type="dxa"/>
              <w:bottom w:w="0" w:type="dxa"/>
              <w:right w:w="108" w:type="dxa"/>
            </w:tcMar>
            <w:vAlign w:val="bottom"/>
            <w:hideMark/>
          </w:tcPr>
          <w:p w14:paraId="623C2CAE" w14:textId="77777777" w:rsidR="007467BC" w:rsidRPr="00D17A9A" w:rsidRDefault="007467BC" w:rsidP="00D17A9A">
            <w:pPr>
              <w:spacing w:before="40" w:after="40" w:line="220" w:lineRule="exact"/>
              <w:ind w:right="113"/>
              <w:jc w:val="right"/>
              <w:rPr>
                <w:sz w:val="18"/>
              </w:rPr>
            </w:pPr>
            <w:r w:rsidRPr="00D17A9A">
              <w:rPr>
                <w:sz w:val="18"/>
              </w:rPr>
              <w:t>0</w:t>
            </w:r>
          </w:p>
        </w:tc>
        <w:tc>
          <w:tcPr>
            <w:tcW w:w="904" w:type="dxa"/>
            <w:shd w:val="clear" w:color="auto" w:fill="auto"/>
            <w:noWrap/>
            <w:tcMar>
              <w:top w:w="0" w:type="dxa"/>
              <w:left w:w="108" w:type="dxa"/>
              <w:bottom w:w="0" w:type="dxa"/>
              <w:right w:w="108" w:type="dxa"/>
            </w:tcMar>
            <w:vAlign w:val="bottom"/>
            <w:hideMark/>
          </w:tcPr>
          <w:p w14:paraId="398B0C1E" w14:textId="77777777" w:rsidR="007467BC" w:rsidRPr="00D17A9A" w:rsidRDefault="007467BC" w:rsidP="00D17A9A">
            <w:pPr>
              <w:spacing w:before="40" w:after="40" w:line="220" w:lineRule="exact"/>
              <w:ind w:right="113"/>
              <w:jc w:val="right"/>
              <w:rPr>
                <w:sz w:val="18"/>
              </w:rPr>
            </w:pPr>
            <w:r w:rsidRPr="00D17A9A">
              <w:rPr>
                <w:sz w:val="18"/>
              </w:rPr>
              <w:t>6</w:t>
            </w:r>
          </w:p>
        </w:tc>
        <w:tc>
          <w:tcPr>
            <w:tcW w:w="904" w:type="dxa"/>
            <w:shd w:val="clear" w:color="auto" w:fill="auto"/>
            <w:noWrap/>
            <w:tcMar>
              <w:top w:w="0" w:type="dxa"/>
              <w:left w:w="108" w:type="dxa"/>
              <w:bottom w:w="0" w:type="dxa"/>
              <w:right w:w="108" w:type="dxa"/>
            </w:tcMar>
            <w:vAlign w:val="bottom"/>
            <w:hideMark/>
          </w:tcPr>
          <w:p w14:paraId="265CACDF" w14:textId="77777777" w:rsidR="007467BC" w:rsidRPr="00D17A9A" w:rsidRDefault="007467BC" w:rsidP="00D17A9A">
            <w:pPr>
              <w:spacing w:before="40" w:after="40" w:line="220" w:lineRule="exact"/>
              <w:ind w:right="113"/>
              <w:jc w:val="right"/>
              <w:rPr>
                <w:sz w:val="18"/>
              </w:rPr>
            </w:pPr>
            <w:r w:rsidRPr="00D17A9A">
              <w:rPr>
                <w:sz w:val="18"/>
              </w:rPr>
              <w:t>0</w:t>
            </w:r>
          </w:p>
        </w:tc>
        <w:tc>
          <w:tcPr>
            <w:tcW w:w="904" w:type="dxa"/>
            <w:shd w:val="clear" w:color="auto" w:fill="auto"/>
            <w:noWrap/>
            <w:tcMar>
              <w:top w:w="0" w:type="dxa"/>
              <w:left w:w="108" w:type="dxa"/>
              <w:bottom w:w="0" w:type="dxa"/>
              <w:right w:w="108" w:type="dxa"/>
            </w:tcMar>
            <w:vAlign w:val="bottom"/>
            <w:hideMark/>
          </w:tcPr>
          <w:p w14:paraId="4C60B5E9" w14:textId="77777777" w:rsidR="007467BC" w:rsidRPr="00D17A9A" w:rsidRDefault="007467BC" w:rsidP="00D17A9A">
            <w:pPr>
              <w:spacing w:before="40" w:after="40" w:line="220" w:lineRule="exact"/>
              <w:ind w:right="113"/>
              <w:jc w:val="right"/>
              <w:rPr>
                <w:sz w:val="18"/>
              </w:rPr>
            </w:pPr>
            <w:r w:rsidRPr="00D17A9A">
              <w:rPr>
                <w:sz w:val="18"/>
              </w:rPr>
              <w:t>0</w:t>
            </w:r>
          </w:p>
        </w:tc>
        <w:tc>
          <w:tcPr>
            <w:tcW w:w="904" w:type="dxa"/>
            <w:shd w:val="clear" w:color="auto" w:fill="auto"/>
            <w:noWrap/>
            <w:tcMar>
              <w:top w:w="0" w:type="dxa"/>
              <w:left w:w="108" w:type="dxa"/>
              <w:bottom w:w="0" w:type="dxa"/>
              <w:right w:w="108" w:type="dxa"/>
            </w:tcMar>
            <w:vAlign w:val="bottom"/>
            <w:hideMark/>
          </w:tcPr>
          <w:p w14:paraId="352F8FC0" w14:textId="77777777" w:rsidR="007467BC" w:rsidRPr="00D17A9A" w:rsidRDefault="007467BC" w:rsidP="00D17A9A">
            <w:pPr>
              <w:spacing w:before="40" w:after="40" w:line="220" w:lineRule="exact"/>
              <w:ind w:right="113"/>
              <w:jc w:val="right"/>
              <w:rPr>
                <w:sz w:val="18"/>
              </w:rPr>
            </w:pPr>
            <w:r w:rsidRPr="00D17A9A">
              <w:rPr>
                <w:sz w:val="18"/>
              </w:rPr>
              <w:t>0</w:t>
            </w:r>
          </w:p>
        </w:tc>
        <w:tc>
          <w:tcPr>
            <w:tcW w:w="875" w:type="dxa"/>
            <w:shd w:val="clear" w:color="auto" w:fill="auto"/>
            <w:noWrap/>
            <w:tcMar>
              <w:top w:w="0" w:type="dxa"/>
              <w:left w:w="108" w:type="dxa"/>
              <w:bottom w:w="0" w:type="dxa"/>
              <w:right w:w="108" w:type="dxa"/>
            </w:tcMar>
            <w:vAlign w:val="bottom"/>
            <w:hideMark/>
          </w:tcPr>
          <w:p w14:paraId="7CAA85FF" w14:textId="77777777" w:rsidR="007467BC" w:rsidRPr="00D17A9A" w:rsidRDefault="007467BC" w:rsidP="00D17A9A">
            <w:pPr>
              <w:spacing w:before="40" w:after="40" w:line="220" w:lineRule="exact"/>
              <w:ind w:right="113"/>
              <w:jc w:val="right"/>
              <w:rPr>
                <w:sz w:val="18"/>
              </w:rPr>
            </w:pPr>
            <w:r w:rsidRPr="00D17A9A">
              <w:rPr>
                <w:sz w:val="18"/>
              </w:rPr>
              <w:t>6</w:t>
            </w:r>
          </w:p>
        </w:tc>
        <w:tc>
          <w:tcPr>
            <w:tcW w:w="20" w:type="dxa"/>
            <w:shd w:val="clear" w:color="auto" w:fill="auto"/>
            <w:vAlign w:val="bottom"/>
            <w:hideMark/>
          </w:tcPr>
          <w:p w14:paraId="34E39241" w14:textId="77777777" w:rsidR="007467BC" w:rsidRPr="00D17A9A" w:rsidRDefault="007467BC" w:rsidP="00D17A9A">
            <w:pPr>
              <w:spacing w:before="40" w:after="40" w:line="220" w:lineRule="exact"/>
              <w:ind w:right="113"/>
              <w:jc w:val="right"/>
              <w:rPr>
                <w:sz w:val="18"/>
              </w:rPr>
            </w:pPr>
          </w:p>
        </w:tc>
      </w:tr>
      <w:tr w:rsidR="007467BC" w:rsidRPr="00D17A9A" w14:paraId="734FEAFE" w14:textId="77777777" w:rsidTr="00E51A46">
        <w:tc>
          <w:tcPr>
            <w:tcW w:w="1955" w:type="dxa"/>
            <w:tcBorders>
              <w:bottom w:val="single" w:sz="4" w:space="0" w:color="auto"/>
            </w:tcBorders>
            <w:shd w:val="clear" w:color="auto" w:fill="auto"/>
            <w:noWrap/>
            <w:tcMar>
              <w:top w:w="0" w:type="dxa"/>
              <w:left w:w="108" w:type="dxa"/>
              <w:bottom w:w="0" w:type="dxa"/>
              <w:right w:w="108" w:type="dxa"/>
            </w:tcMar>
            <w:hideMark/>
          </w:tcPr>
          <w:p w14:paraId="446E2E3A" w14:textId="77777777" w:rsidR="007467BC" w:rsidRPr="00D17A9A" w:rsidRDefault="007467BC" w:rsidP="00D17A9A">
            <w:pPr>
              <w:spacing w:before="40" w:after="40" w:line="220" w:lineRule="exact"/>
              <w:ind w:right="113"/>
              <w:rPr>
                <w:sz w:val="18"/>
              </w:rPr>
            </w:pPr>
            <w:r w:rsidRPr="00D17A9A">
              <w:rPr>
                <w:sz w:val="18"/>
              </w:rPr>
              <w:t>Male</w:t>
            </w:r>
          </w:p>
        </w:tc>
        <w:tc>
          <w:tcPr>
            <w:tcW w:w="904" w:type="dxa"/>
            <w:tcBorders>
              <w:bottom w:val="single" w:sz="4" w:space="0" w:color="auto"/>
            </w:tcBorders>
            <w:shd w:val="clear" w:color="auto" w:fill="auto"/>
            <w:noWrap/>
            <w:tcMar>
              <w:top w:w="0" w:type="dxa"/>
              <w:left w:w="108" w:type="dxa"/>
              <w:bottom w:w="0" w:type="dxa"/>
              <w:right w:w="108" w:type="dxa"/>
            </w:tcMar>
            <w:vAlign w:val="bottom"/>
            <w:hideMark/>
          </w:tcPr>
          <w:p w14:paraId="51F03AC4" w14:textId="77777777" w:rsidR="007467BC" w:rsidRPr="00D17A9A" w:rsidRDefault="007467BC" w:rsidP="00D17A9A">
            <w:pPr>
              <w:spacing w:before="40" w:after="40" w:line="220" w:lineRule="exact"/>
              <w:ind w:right="113"/>
              <w:jc w:val="right"/>
              <w:rPr>
                <w:sz w:val="18"/>
              </w:rPr>
            </w:pPr>
            <w:r w:rsidRPr="00D17A9A">
              <w:rPr>
                <w:sz w:val="18"/>
              </w:rPr>
              <w:t>2</w:t>
            </w:r>
          </w:p>
        </w:tc>
        <w:tc>
          <w:tcPr>
            <w:tcW w:w="904" w:type="dxa"/>
            <w:tcBorders>
              <w:bottom w:val="single" w:sz="4" w:space="0" w:color="auto"/>
            </w:tcBorders>
            <w:shd w:val="clear" w:color="auto" w:fill="auto"/>
            <w:noWrap/>
            <w:tcMar>
              <w:top w:w="0" w:type="dxa"/>
              <w:left w:w="108" w:type="dxa"/>
              <w:bottom w:w="0" w:type="dxa"/>
              <w:right w:w="108" w:type="dxa"/>
            </w:tcMar>
            <w:vAlign w:val="bottom"/>
            <w:hideMark/>
          </w:tcPr>
          <w:p w14:paraId="080B46ED" w14:textId="77777777" w:rsidR="007467BC" w:rsidRPr="00D17A9A" w:rsidRDefault="007467BC" w:rsidP="00D17A9A">
            <w:pPr>
              <w:spacing w:before="40" w:after="40" w:line="220" w:lineRule="exact"/>
              <w:ind w:right="113"/>
              <w:jc w:val="right"/>
              <w:rPr>
                <w:sz w:val="18"/>
              </w:rPr>
            </w:pPr>
            <w:r w:rsidRPr="00D17A9A">
              <w:rPr>
                <w:sz w:val="18"/>
              </w:rPr>
              <w:t>2</w:t>
            </w:r>
          </w:p>
        </w:tc>
        <w:tc>
          <w:tcPr>
            <w:tcW w:w="904" w:type="dxa"/>
            <w:tcBorders>
              <w:bottom w:val="single" w:sz="4" w:space="0" w:color="auto"/>
            </w:tcBorders>
            <w:shd w:val="clear" w:color="auto" w:fill="auto"/>
            <w:noWrap/>
            <w:tcMar>
              <w:top w:w="0" w:type="dxa"/>
              <w:left w:w="108" w:type="dxa"/>
              <w:bottom w:w="0" w:type="dxa"/>
              <w:right w:w="108" w:type="dxa"/>
            </w:tcMar>
            <w:vAlign w:val="bottom"/>
            <w:hideMark/>
          </w:tcPr>
          <w:p w14:paraId="33AC9DC8" w14:textId="77777777" w:rsidR="007467BC" w:rsidRPr="00D17A9A" w:rsidRDefault="007467BC" w:rsidP="00D17A9A">
            <w:pPr>
              <w:spacing w:before="40" w:after="40" w:line="220" w:lineRule="exact"/>
              <w:ind w:right="113"/>
              <w:jc w:val="right"/>
              <w:rPr>
                <w:sz w:val="18"/>
              </w:rPr>
            </w:pPr>
            <w:r w:rsidRPr="00D17A9A">
              <w:rPr>
                <w:sz w:val="18"/>
              </w:rPr>
              <w:t>0</w:t>
            </w:r>
          </w:p>
        </w:tc>
        <w:tc>
          <w:tcPr>
            <w:tcW w:w="904" w:type="dxa"/>
            <w:tcBorders>
              <w:bottom w:val="single" w:sz="4" w:space="0" w:color="auto"/>
            </w:tcBorders>
            <w:shd w:val="clear" w:color="auto" w:fill="auto"/>
            <w:noWrap/>
            <w:tcMar>
              <w:top w:w="0" w:type="dxa"/>
              <w:left w:w="108" w:type="dxa"/>
              <w:bottom w:w="0" w:type="dxa"/>
              <w:right w:w="108" w:type="dxa"/>
            </w:tcMar>
            <w:vAlign w:val="bottom"/>
            <w:hideMark/>
          </w:tcPr>
          <w:p w14:paraId="002DD787" w14:textId="77777777" w:rsidR="007467BC" w:rsidRPr="00D17A9A" w:rsidRDefault="007467BC" w:rsidP="00D17A9A">
            <w:pPr>
              <w:spacing w:before="40" w:after="40" w:line="220" w:lineRule="exact"/>
              <w:ind w:right="113"/>
              <w:jc w:val="right"/>
              <w:rPr>
                <w:sz w:val="18"/>
              </w:rPr>
            </w:pPr>
            <w:r w:rsidRPr="00D17A9A">
              <w:rPr>
                <w:sz w:val="18"/>
              </w:rPr>
              <w:t>0</w:t>
            </w:r>
          </w:p>
        </w:tc>
        <w:tc>
          <w:tcPr>
            <w:tcW w:w="904" w:type="dxa"/>
            <w:tcBorders>
              <w:bottom w:val="single" w:sz="4" w:space="0" w:color="auto"/>
            </w:tcBorders>
            <w:shd w:val="clear" w:color="auto" w:fill="auto"/>
            <w:noWrap/>
            <w:tcMar>
              <w:top w:w="0" w:type="dxa"/>
              <w:left w:w="108" w:type="dxa"/>
              <w:bottom w:w="0" w:type="dxa"/>
              <w:right w:w="108" w:type="dxa"/>
            </w:tcMar>
            <w:vAlign w:val="bottom"/>
            <w:hideMark/>
          </w:tcPr>
          <w:p w14:paraId="79B20FA9" w14:textId="77777777" w:rsidR="007467BC" w:rsidRPr="00D17A9A" w:rsidRDefault="007467BC" w:rsidP="00D17A9A">
            <w:pPr>
              <w:spacing w:before="40" w:after="40" w:line="220" w:lineRule="exact"/>
              <w:ind w:right="113"/>
              <w:jc w:val="right"/>
              <w:rPr>
                <w:sz w:val="18"/>
              </w:rPr>
            </w:pPr>
            <w:r w:rsidRPr="00D17A9A">
              <w:rPr>
                <w:sz w:val="18"/>
              </w:rPr>
              <w:t>0</w:t>
            </w:r>
          </w:p>
        </w:tc>
        <w:tc>
          <w:tcPr>
            <w:tcW w:w="875" w:type="dxa"/>
            <w:tcBorders>
              <w:bottom w:val="single" w:sz="4" w:space="0" w:color="auto"/>
            </w:tcBorders>
            <w:shd w:val="clear" w:color="auto" w:fill="auto"/>
            <w:noWrap/>
            <w:tcMar>
              <w:top w:w="0" w:type="dxa"/>
              <w:left w:w="108" w:type="dxa"/>
              <w:bottom w:w="0" w:type="dxa"/>
              <w:right w:w="108" w:type="dxa"/>
            </w:tcMar>
            <w:vAlign w:val="bottom"/>
            <w:hideMark/>
          </w:tcPr>
          <w:p w14:paraId="3F0FBA63" w14:textId="77777777" w:rsidR="007467BC" w:rsidRPr="00D17A9A" w:rsidRDefault="007467BC" w:rsidP="00D17A9A">
            <w:pPr>
              <w:spacing w:before="40" w:after="40" w:line="220" w:lineRule="exact"/>
              <w:ind w:right="113"/>
              <w:jc w:val="right"/>
              <w:rPr>
                <w:sz w:val="18"/>
              </w:rPr>
            </w:pPr>
            <w:r w:rsidRPr="00D17A9A">
              <w:rPr>
                <w:sz w:val="18"/>
              </w:rPr>
              <w:t>4</w:t>
            </w:r>
          </w:p>
        </w:tc>
        <w:tc>
          <w:tcPr>
            <w:tcW w:w="20" w:type="dxa"/>
            <w:shd w:val="clear" w:color="auto" w:fill="auto"/>
            <w:vAlign w:val="bottom"/>
            <w:hideMark/>
          </w:tcPr>
          <w:p w14:paraId="596E30B8" w14:textId="77777777" w:rsidR="007467BC" w:rsidRPr="00D17A9A" w:rsidRDefault="007467BC" w:rsidP="00D17A9A">
            <w:pPr>
              <w:spacing w:before="40" w:after="40" w:line="220" w:lineRule="exact"/>
              <w:ind w:right="113"/>
              <w:jc w:val="right"/>
              <w:rPr>
                <w:sz w:val="18"/>
              </w:rPr>
            </w:pPr>
          </w:p>
        </w:tc>
      </w:tr>
      <w:tr w:rsidR="007467BC" w:rsidRPr="00D17A9A" w14:paraId="68F739D9" w14:textId="77777777" w:rsidTr="00E51A46">
        <w:tc>
          <w:tcPr>
            <w:tcW w:w="1955" w:type="dxa"/>
            <w:tcBorders>
              <w:top w:val="single" w:sz="4" w:space="0" w:color="auto"/>
              <w:bottom w:val="single" w:sz="12" w:space="0" w:color="auto"/>
            </w:tcBorders>
            <w:shd w:val="clear" w:color="auto" w:fill="auto"/>
            <w:noWrap/>
            <w:tcMar>
              <w:top w:w="0" w:type="dxa"/>
              <w:left w:w="108" w:type="dxa"/>
              <w:bottom w:w="0" w:type="dxa"/>
              <w:right w:w="108" w:type="dxa"/>
            </w:tcMar>
            <w:hideMark/>
          </w:tcPr>
          <w:p w14:paraId="5BF6FE8B" w14:textId="77777777" w:rsidR="007467BC" w:rsidRPr="00E51A46" w:rsidRDefault="007467BC" w:rsidP="00E51A46">
            <w:pPr>
              <w:spacing w:before="80" w:after="80" w:line="220" w:lineRule="exact"/>
              <w:ind w:left="284"/>
              <w:rPr>
                <w:b/>
                <w:sz w:val="18"/>
              </w:rPr>
            </w:pPr>
            <w:r w:rsidRPr="00E51A46">
              <w:rPr>
                <w:b/>
                <w:sz w:val="18"/>
              </w:rPr>
              <w:t>Totals</w:t>
            </w:r>
          </w:p>
        </w:tc>
        <w:tc>
          <w:tcPr>
            <w:tcW w:w="904"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2D900678" w14:textId="77777777" w:rsidR="007467BC" w:rsidRPr="00E51A46" w:rsidRDefault="007467BC" w:rsidP="00E51A46">
            <w:pPr>
              <w:spacing w:before="80" w:after="80" w:line="220" w:lineRule="exact"/>
              <w:ind w:right="113"/>
              <w:jc w:val="right"/>
              <w:rPr>
                <w:b/>
                <w:sz w:val="18"/>
              </w:rPr>
            </w:pPr>
            <w:r w:rsidRPr="00E51A46">
              <w:rPr>
                <w:b/>
                <w:sz w:val="18"/>
              </w:rPr>
              <w:t>29</w:t>
            </w:r>
          </w:p>
        </w:tc>
        <w:tc>
          <w:tcPr>
            <w:tcW w:w="904"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0954F99F" w14:textId="77777777" w:rsidR="007467BC" w:rsidRPr="00E51A46" w:rsidRDefault="007467BC" w:rsidP="00E51A46">
            <w:pPr>
              <w:spacing w:before="80" w:after="80" w:line="220" w:lineRule="exact"/>
              <w:ind w:right="113"/>
              <w:jc w:val="right"/>
              <w:rPr>
                <w:b/>
                <w:sz w:val="18"/>
              </w:rPr>
            </w:pPr>
            <w:r w:rsidRPr="00E51A46">
              <w:rPr>
                <w:b/>
                <w:sz w:val="18"/>
              </w:rPr>
              <w:t>44</w:t>
            </w:r>
          </w:p>
        </w:tc>
        <w:tc>
          <w:tcPr>
            <w:tcW w:w="904"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1BF8FBF1" w14:textId="77777777" w:rsidR="007467BC" w:rsidRPr="00E51A46" w:rsidRDefault="007467BC" w:rsidP="00E51A46">
            <w:pPr>
              <w:spacing w:before="80" w:after="80" w:line="220" w:lineRule="exact"/>
              <w:ind w:right="113"/>
              <w:jc w:val="right"/>
              <w:rPr>
                <w:b/>
                <w:sz w:val="18"/>
              </w:rPr>
            </w:pPr>
            <w:r w:rsidRPr="00E51A46">
              <w:rPr>
                <w:b/>
                <w:sz w:val="18"/>
              </w:rPr>
              <w:t>33</w:t>
            </w:r>
          </w:p>
        </w:tc>
        <w:tc>
          <w:tcPr>
            <w:tcW w:w="904"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39E6025A" w14:textId="77777777" w:rsidR="007467BC" w:rsidRPr="00E51A46" w:rsidRDefault="007467BC" w:rsidP="00E51A46">
            <w:pPr>
              <w:spacing w:before="80" w:after="80" w:line="220" w:lineRule="exact"/>
              <w:ind w:right="113"/>
              <w:jc w:val="right"/>
              <w:rPr>
                <w:b/>
                <w:sz w:val="18"/>
              </w:rPr>
            </w:pPr>
            <w:r w:rsidRPr="00E51A46">
              <w:rPr>
                <w:b/>
                <w:sz w:val="18"/>
              </w:rPr>
              <w:t>35</w:t>
            </w:r>
          </w:p>
        </w:tc>
        <w:tc>
          <w:tcPr>
            <w:tcW w:w="904"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47F4FA35" w14:textId="77777777" w:rsidR="007467BC" w:rsidRPr="00E51A46" w:rsidRDefault="007467BC" w:rsidP="00E51A46">
            <w:pPr>
              <w:spacing w:before="80" w:after="80" w:line="220" w:lineRule="exact"/>
              <w:ind w:right="113"/>
              <w:jc w:val="right"/>
              <w:rPr>
                <w:b/>
                <w:sz w:val="18"/>
              </w:rPr>
            </w:pPr>
            <w:r w:rsidRPr="00E51A46">
              <w:rPr>
                <w:b/>
                <w:sz w:val="18"/>
              </w:rPr>
              <w:t>5</w:t>
            </w:r>
          </w:p>
        </w:tc>
        <w:tc>
          <w:tcPr>
            <w:tcW w:w="875" w:type="dxa"/>
            <w:tcBorders>
              <w:top w:val="single" w:sz="4" w:space="0" w:color="auto"/>
              <w:bottom w:val="single" w:sz="12" w:space="0" w:color="auto"/>
            </w:tcBorders>
            <w:shd w:val="clear" w:color="auto" w:fill="auto"/>
            <w:noWrap/>
            <w:tcMar>
              <w:top w:w="0" w:type="dxa"/>
              <w:left w:w="108" w:type="dxa"/>
              <w:bottom w:w="0" w:type="dxa"/>
              <w:right w:w="108" w:type="dxa"/>
            </w:tcMar>
            <w:vAlign w:val="bottom"/>
            <w:hideMark/>
          </w:tcPr>
          <w:p w14:paraId="1C2F8FFC" w14:textId="77777777" w:rsidR="007467BC" w:rsidRPr="00E51A46" w:rsidRDefault="007467BC" w:rsidP="00E51A46">
            <w:pPr>
              <w:spacing w:before="80" w:after="80" w:line="220" w:lineRule="exact"/>
              <w:ind w:right="113"/>
              <w:jc w:val="right"/>
              <w:rPr>
                <w:b/>
                <w:sz w:val="18"/>
              </w:rPr>
            </w:pPr>
            <w:r w:rsidRPr="00E51A46">
              <w:rPr>
                <w:b/>
                <w:sz w:val="18"/>
              </w:rPr>
              <w:t>146</w:t>
            </w:r>
          </w:p>
        </w:tc>
        <w:tc>
          <w:tcPr>
            <w:tcW w:w="20" w:type="dxa"/>
            <w:shd w:val="clear" w:color="auto" w:fill="auto"/>
            <w:vAlign w:val="bottom"/>
            <w:hideMark/>
          </w:tcPr>
          <w:p w14:paraId="67B36A05" w14:textId="77777777" w:rsidR="007467BC" w:rsidRPr="00D17A9A" w:rsidRDefault="007467BC" w:rsidP="00D17A9A">
            <w:pPr>
              <w:spacing w:before="40" w:after="40" w:line="220" w:lineRule="exact"/>
              <w:ind w:right="113"/>
              <w:jc w:val="right"/>
              <w:rPr>
                <w:sz w:val="18"/>
              </w:rPr>
            </w:pPr>
          </w:p>
        </w:tc>
      </w:tr>
    </w:tbl>
    <w:p w14:paraId="6F733995" w14:textId="77777777" w:rsidR="007467BC" w:rsidRPr="009F47DE" w:rsidRDefault="007467BC" w:rsidP="00490A7A">
      <w:pPr>
        <w:pStyle w:val="H23G"/>
      </w:pPr>
      <w:bookmarkStart w:id="25" w:name="_Hlk526161645"/>
      <w:bookmarkEnd w:id="24"/>
      <w:r w:rsidRPr="009F47DE">
        <w:tab/>
      </w:r>
      <w:r w:rsidRPr="009F47DE">
        <w:tab/>
        <w:t>Consideration of torture in extradition and return</w:t>
      </w:r>
    </w:p>
    <w:p w14:paraId="3274FDB8" w14:textId="77777777" w:rsidR="007467BC" w:rsidRPr="009F47DE" w:rsidRDefault="007467BC" w:rsidP="008836B8">
      <w:pPr>
        <w:pStyle w:val="SingleTxtG"/>
      </w:pPr>
      <w:r w:rsidRPr="009F47DE">
        <w:t>75.</w:t>
      </w:r>
      <w:r w:rsidRPr="009F47DE">
        <w:tab/>
        <w:t xml:space="preserve">Surrender cannot be ordered if there are substantial grounds that the person is in danger of being subject to torture in the requesting country. If surrender is ordered, the </w:t>
      </w:r>
      <w:r w:rsidRPr="009F47DE">
        <w:lastRenderedPageBreak/>
        <w:t>person may apply for judicial review in the courts. The review decision may also be appealed. In practice, no steps will be taken to give effect to a decision to surrender:</w:t>
      </w:r>
    </w:p>
    <w:p w14:paraId="4D364799" w14:textId="77777777" w:rsidR="007467BC" w:rsidRPr="009F47DE" w:rsidRDefault="007467BC" w:rsidP="00490A7A">
      <w:pPr>
        <w:pStyle w:val="Bullet1G"/>
      </w:pPr>
      <w:r w:rsidRPr="009F47DE">
        <w:t>If the person indicates they will seek judicial review (if application is filed promptly); and</w:t>
      </w:r>
    </w:p>
    <w:p w14:paraId="3665848F" w14:textId="77777777" w:rsidR="007467BC" w:rsidRPr="009F47DE" w:rsidRDefault="007467BC" w:rsidP="00490A7A">
      <w:pPr>
        <w:pStyle w:val="Bullet1G"/>
      </w:pPr>
      <w:r w:rsidRPr="009F47DE">
        <w:t>While any proceedings (including appeals) are continuing.</w:t>
      </w:r>
    </w:p>
    <w:p w14:paraId="6F9B42D4" w14:textId="77777777" w:rsidR="007467BC" w:rsidRPr="009F47DE" w:rsidRDefault="007467BC" w:rsidP="00490A7A">
      <w:pPr>
        <w:pStyle w:val="H23G"/>
      </w:pPr>
      <w:r w:rsidRPr="009F47DE">
        <w:tab/>
      </w:r>
      <w:r w:rsidRPr="009F47DE">
        <w:tab/>
        <w:t xml:space="preserve">Mr. </w:t>
      </w:r>
      <w:proofErr w:type="spellStart"/>
      <w:r w:rsidRPr="009F47DE">
        <w:t>Clicman</w:t>
      </w:r>
      <w:proofErr w:type="spellEnd"/>
      <w:r w:rsidRPr="009F47DE">
        <w:t xml:space="preserve"> </w:t>
      </w:r>
      <w:proofErr w:type="spellStart"/>
      <w:r w:rsidRPr="009F47DE">
        <w:t>Soosaipillai</w:t>
      </w:r>
      <w:proofErr w:type="spellEnd"/>
    </w:p>
    <w:p w14:paraId="325FB9E6" w14:textId="77777777" w:rsidR="007467BC" w:rsidRPr="009F47DE" w:rsidRDefault="007467BC" w:rsidP="007467BC">
      <w:pPr>
        <w:pStyle w:val="SingleTxtG"/>
      </w:pPr>
      <w:r w:rsidRPr="009F47DE">
        <w:t>76.</w:t>
      </w:r>
      <w:r w:rsidRPr="009F47DE">
        <w:tab/>
        <w:t>In 2001, Mr</w:t>
      </w:r>
      <w:r w:rsidR="004E5AB8">
        <w:t>.</w:t>
      </w:r>
      <w:r w:rsidRPr="009F47DE">
        <w:t xml:space="preserve"> </w:t>
      </w:r>
      <w:proofErr w:type="spellStart"/>
      <w:r w:rsidRPr="009F47DE">
        <w:t>Soosaipillai</w:t>
      </w:r>
      <w:proofErr w:type="spellEnd"/>
      <w:r w:rsidRPr="009F47DE">
        <w:t xml:space="preserve"> was recognised as a refugee from Sri Lanka. In 2015, the Minister of Justice ordered that he be surrendered to Switzerland to face trial for murder. Before making the decision on surrender, New Zealand made enquiries of Switzerland regarding refoulment. As a result, the Minister was satisfied that Mr</w:t>
      </w:r>
      <w:r w:rsidR="004E5AB8">
        <w:t>.</w:t>
      </w:r>
      <w:r w:rsidRPr="009F47DE">
        <w:t xml:space="preserve"> </w:t>
      </w:r>
      <w:proofErr w:type="spellStart"/>
      <w:r w:rsidRPr="009F47DE">
        <w:t>Soosaipillai</w:t>
      </w:r>
      <w:proofErr w:type="spellEnd"/>
      <w:r w:rsidRPr="009F47DE">
        <w:t xml:space="preserve"> would not be refouled to Sri Lanka if surrendered. Mr</w:t>
      </w:r>
      <w:r w:rsidR="004E5AB8">
        <w:t>.</w:t>
      </w:r>
      <w:r w:rsidRPr="009F47DE">
        <w:t xml:space="preserve"> </w:t>
      </w:r>
      <w:proofErr w:type="spellStart"/>
      <w:r w:rsidRPr="009F47DE">
        <w:t>Soosaipillai</w:t>
      </w:r>
      <w:proofErr w:type="spellEnd"/>
      <w:r w:rsidRPr="009F47DE">
        <w:t xml:space="preserve"> did not seek judicial review.</w:t>
      </w:r>
    </w:p>
    <w:p w14:paraId="1D6B8233" w14:textId="77777777" w:rsidR="007467BC" w:rsidRPr="009F47DE" w:rsidRDefault="007467BC" w:rsidP="00490A7A">
      <w:pPr>
        <w:pStyle w:val="H23G"/>
      </w:pPr>
      <w:r w:rsidRPr="009F47DE">
        <w:tab/>
      </w:r>
      <w:r w:rsidRPr="009F47DE">
        <w:tab/>
        <w:t xml:space="preserve">Mr. </w:t>
      </w:r>
      <w:proofErr w:type="spellStart"/>
      <w:r w:rsidRPr="009F47DE">
        <w:t>Maythem</w:t>
      </w:r>
      <w:proofErr w:type="spellEnd"/>
      <w:r w:rsidRPr="009F47DE">
        <w:t xml:space="preserve"> Radhi</w:t>
      </w:r>
    </w:p>
    <w:p w14:paraId="406EA99B" w14:textId="77777777" w:rsidR="007467BC" w:rsidRPr="009F47DE" w:rsidRDefault="007467BC" w:rsidP="007467BC">
      <w:pPr>
        <w:pStyle w:val="SingleTxtG"/>
      </w:pPr>
      <w:r w:rsidRPr="009F47DE">
        <w:t>77.</w:t>
      </w:r>
      <w:r w:rsidRPr="009F47DE">
        <w:tab/>
        <w:t xml:space="preserve">Australia has requested extradition of </w:t>
      </w:r>
      <w:proofErr w:type="spellStart"/>
      <w:r w:rsidRPr="009F47DE">
        <w:t>Maythem</w:t>
      </w:r>
      <w:proofErr w:type="spellEnd"/>
      <w:r w:rsidRPr="009F47DE">
        <w:t xml:space="preserve"> Radhi, a refugee from Iraq, to face trial for people smuggling. In August 2019, the Minister of Justice ordered his surrender and it is unknown whether Mr</w:t>
      </w:r>
      <w:r w:rsidR="004E5AB8">
        <w:t>.</w:t>
      </w:r>
      <w:r w:rsidRPr="009F47DE">
        <w:t xml:space="preserve"> Radhi will seek judicial review of this decision.</w:t>
      </w:r>
    </w:p>
    <w:p w14:paraId="706D794B" w14:textId="77777777" w:rsidR="007467BC" w:rsidRPr="009F47DE" w:rsidRDefault="007467BC" w:rsidP="00561E27">
      <w:pPr>
        <w:pStyle w:val="H1G"/>
      </w:pPr>
      <w:r w:rsidRPr="009F47DE">
        <w:tab/>
      </w:r>
      <w:r w:rsidRPr="009F47DE">
        <w:tab/>
        <w:t>Reply to paragraph 9 of the list of issues</w:t>
      </w:r>
    </w:p>
    <w:p w14:paraId="32D33838" w14:textId="77777777" w:rsidR="007467BC" w:rsidRPr="009F47DE" w:rsidRDefault="007467BC" w:rsidP="00561E27">
      <w:pPr>
        <w:pStyle w:val="H23G"/>
      </w:pPr>
      <w:r w:rsidRPr="009F47DE">
        <w:tab/>
      </w:r>
      <w:r w:rsidRPr="009F47DE">
        <w:tab/>
        <w:t xml:space="preserve">Diplomatic assurances </w:t>
      </w:r>
    </w:p>
    <w:p w14:paraId="6C208D7D" w14:textId="77777777" w:rsidR="007467BC" w:rsidRPr="009F47DE" w:rsidRDefault="007467BC" w:rsidP="007467BC">
      <w:pPr>
        <w:pStyle w:val="SingleTxtG"/>
      </w:pPr>
      <w:r w:rsidRPr="009F47DE">
        <w:t>78.</w:t>
      </w:r>
      <w:r w:rsidRPr="009F47DE">
        <w:tab/>
        <w:t>During the reporting period, New Zealand carried out one extradition (</w:t>
      </w:r>
      <w:proofErr w:type="spellStart"/>
      <w:r w:rsidRPr="009F47DE">
        <w:t>Sungkwan</w:t>
      </w:r>
      <w:proofErr w:type="spellEnd"/>
      <w:r w:rsidRPr="009F47DE">
        <w:t xml:space="preserve"> Kim) </w:t>
      </w:r>
      <w:proofErr w:type="gramStart"/>
      <w:r w:rsidRPr="009F47DE">
        <w:t>on the basis of</w:t>
      </w:r>
      <w:proofErr w:type="gramEnd"/>
      <w:r w:rsidRPr="009F47DE">
        <w:t xml:space="preserve"> an assurance not to impose or carry out the death penalty. In January 2018, Mr</w:t>
      </w:r>
      <w:r w:rsidR="004E5AB8">
        <w:t>.</w:t>
      </w:r>
      <w:r w:rsidRPr="009F47DE">
        <w:t xml:space="preserve"> Kim was surrendered to the Republic of Korea to face trial for murder.</w:t>
      </w:r>
    </w:p>
    <w:p w14:paraId="37E0E9C0" w14:textId="77777777" w:rsidR="007467BC" w:rsidRPr="009F47DE" w:rsidRDefault="007467BC" w:rsidP="008836B8">
      <w:pPr>
        <w:pStyle w:val="SingleTxtG"/>
      </w:pPr>
      <w:r w:rsidRPr="009F47DE">
        <w:t>79.</w:t>
      </w:r>
      <w:r w:rsidRPr="009F47DE">
        <w:tab/>
        <w:t>The People</w:t>
      </w:r>
      <w:r w:rsidR="00562737">
        <w:t>’</w:t>
      </w:r>
      <w:r w:rsidRPr="009F47DE">
        <w:t>s Republic of China (PRC) requested extradition of Kyung Yup Kim (who is not a New Zealand citizen) to</w:t>
      </w:r>
      <w:r w:rsidRPr="009F47DE" w:rsidDel="0059114A">
        <w:t xml:space="preserve"> </w:t>
      </w:r>
      <w:r w:rsidRPr="009F47DE">
        <w:t>face trial for murder. In 2015, New Zealand negotiated comprehensive assurances regarding torture and fair trial, including New Zealand Government monitoring rights. The PRC had already provided a death penalty assurance. The Minister of Justice ordered Mr</w:t>
      </w:r>
      <w:r w:rsidR="004E5AB8">
        <w:t>.</w:t>
      </w:r>
      <w:r w:rsidRPr="009F47DE">
        <w:t xml:space="preserve"> Kim</w:t>
      </w:r>
      <w:r w:rsidR="00562737">
        <w:t>’</w:t>
      </w:r>
      <w:r w:rsidRPr="009F47DE">
        <w:t>s surrender. On 11 June 2019, the Court of Appeal quashed the Minister</w:t>
      </w:r>
      <w:r w:rsidR="00562737">
        <w:t>’</w:t>
      </w:r>
      <w:r w:rsidRPr="009F47DE">
        <w:t>s decision to surrender and ordered the Minister to reconsider. The Crown has sought leave of the Supreme Court to appeal the decision.</w:t>
      </w:r>
    </w:p>
    <w:p w14:paraId="4A742F9C" w14:textId="77777777" w:rsidR="007467BC" w:rsidRPr="009F47DE" w:rsidRDefault="007467BC" w:rsidP="007467BC">
      <w:pPr>
        <w:pStyle w:val="SingleTxtG"/>
      </w:pPr>
      <w:r w:rsidRPr="009F47DE">
        <w:t>80.</w:t>
      </w:r>
      <w:r w:rsidRPr="009F47DE">
        <w:tab/>
        <w:t>Apart from the extradition of Mr</w:t>
      </w:r>
      <w:r w:rsidR="004E5AB8">
        <w:t>.</w:t>
      </w:r>
      <w:r w:rsidRPr="009F47DE">
        <w:t xml:space="preserve"> Kim to the Republic of Korea, New Zealand has not carried out any refoulements, extraditions or expulsions based on diplomatic assurances, nor has any State offered such assurances. New Zealand has not been required to offer assurances. </w:t>
      </w:r>
    </w:p>
    <w:p w14:paraId="66534ABD" w14:textId="77777777" w:rsidR="007467BC" w:rsidRPr="009F47DE" w:rsidRDefault="007467BC" w:rsidP="00561E27">
      <w:pPr>
        <w:pStyle w:val="H1G"/>
      </w:pPr>
      <w:r w:rsidRPr="009F47DE">
        <w:tab/>
      </w:r>
      <w:r w:rsidRPr="009F47DE">
        <w:tab/>
        <w:t>Reply to paragraph 10 of the list of issues</w:t>
      </w:r>
    </w:p>
    <w:p w14:paraId="2467110C" w14:textId="77777777" w:rsidR="007467BC" w:rsidRPr="009F47DE" w:rsidRDefault="007467BC" w:rsidP="00561E27">
      <w:pPr>
        <w:pStyle w:val="H23G"/>
      </w:pPr>
      <w:r w:rsidRPr="009F47DE">
        <w:tab/>
      </w:r>
      <w:r w:rsidRPr="009F47DE">
        <w:tab/>
        <w:t>Statelessness</w:t>
      </w:r>
    </w:p>
    <w:bookmarkEnd w:id="25"/>
    <w:p w14:paraId="2105D1C7" w14:textId="77777777" w:rsidR="007467BC" w:rsidRPr="009F47DE" w:rsidRDefault="007467BC" w:rsidP="007467BC">
      <w:pPr>
        <w:pStyle w:val="SingleTxtG"/>
      </w:pPr>
      <w:r w:rsidRPr="009F47DE">
        <w:t>81.</w:t>
      </w:r>
      <w:r w:rsidRPr="009F47DE">
        <w:tab/>
        <w:t>In the reporting period, citizenship was granted three times to avoid statelessness. Any individual may contact the Department of Internal Affairs (DIA) to request consideration under the Citizenship Act 1977.</w:t>
      </w:r>
      <w:r w:rsidRPr="009F47DE" w:rsidDel="006964A5">
        <w:t xml:space="preserve"> </w:t>
      </w:r>
      <w:r w:rsidRPr="009F47DE">
        <w:t>There is no specific standard of proof prescribed in the Act. In practice, DIA accepts evidence proving the applicant</w:t>
      </w:r>
      <w:r w:rsidR="00562737">
        <w:t>’</w:t>
      </w:r>
      <w:r w:rsidRPr="009F47DE">
        <w:t>s claim on the balance of probabilities, for example, written confirmation they have no claim to citizenship from the authorities of the countries where the applicant might have a claim.</w:t>
      </w:r>
    </w:p>
    <w:p w14:paraId="774D7FA7" w14:textId="77777777" w:rsidR="007467BC" w:rsidRPr="009F47DE" w:rsidRDefault="007467BC" w:rsidP="00562737">
      <w:pPr>
        <w:pStyle w:val="H1G"/>
      </w:pPr>
      <w:bookmarkStart w:id="26" w:name="_Toc20139397"/>
      <w:r w:rsidRPr="009F47DE">
        <w:tab/>
      </w:r>
      <w:r w:rsidRPr="009F47DE">
        <w:tab/>
        <w:t>Articles 5</w:t>
      </w:r>
      <w:r w:rsidR="00562737">
        <w:t>–</w:t>
      </w:r>
      <w:r w:rsidRPr="009F47DE">
        <w:t>9</w:t>
      </w:r>
      <w:bookmarkEnd w:id="26"/>
    </w:p>
    <w:p w14:paraId="73272AFE" w14:textId="77777777" w:rsidR="007467BC" w:rsidRPr="009F47DE" w:rsidRDefault="007467BC" w:rsidP="00561E27">
      <w:pPr>
        <w:pStyle w:val="H1G"/>
      </w:pPr>
      <w:r w:rsidRPr="009F47DE">
        <w:tab/>
      </w:r>
      <w:r w:rsidRPr="009F47DE">
        <w:tab/>
        <w:t>Reply to paragraph 11 of the list of issues</w:t>
      </w:r>
    </w:p>
    <w:p w14:paraId="40A93FE5" w14:textId="77777777" w:rsidR="007467BC" w:rsidRPr="009F47DE" w:rsidRDefault="007467BC" w:rsidP="00561E27">
      <w:pPr>
        <w:pStyle w:val="H23G"/>
      </w:pPr>
      <w:r w:rsidRPr="009F47DE">
        <w:tab/>
      </w:r>
      <w:r w:rsidRPr="009F47DE">
        <w:tab/>
        <w:t>Jurisdiction</w:t>
      </w:r>
    </w:p>
    <w:p w14:paraId="38050424" w14:textId="77777777" w:rsidR="007467BC" w:rsidRPr="009F47DE" w:rsidRDefault="007467BC" w:rsidP="007467BC">
      <w:pPr>
        <w:pStyle w:val="SingleTxtG"/>
      </w:pPr>
      <w:r w:rsidRPr="009F47DE">
        <w:t>82.</w:t>
      </w:r>
      <w:r w:rsidRPr="009F47DE">
        <w:tab/>
        <w:t>There were no legislative changes in the reporting period. New Zealand has had no prosecutions for torture, crimes against humanity or war crimes.</w:t>
      </w:r>
    </w:p>
    <w:p w14:paraId="337CABA6" w14:textId="77777777" w:rsidR="007467BC" w:rsidRPr="009F47DE" w:rsidRDefault="007467BC" w:rsidP="00561E27">
      <w:pPr>
        <w:pStyle w:val="H1G"/>
      </w:pPr>
      <w:r w:rsidRPr="009F47DE">
        <w:lastRenderedPageBreak/>
        <w:tab/>
      </w:r>
      <w:r w:rsidRPr="009F47DE">
        <w:tab/>
        <w:t>Reply to paragraph 12 of the list of issues</w:t>
      </w:r>
    </w:p>
    <w:p w14:paraId="50D1DF96" w14:textId="77777777" w:rsidR="007467BC" w:rsidRPr="009F47DE" w:rsidRDefault="007467BC" w:rsidP="00561E27">
      <w:pPr>
        <w:pStyle w:val="H23G"/>
      </w:pPr>
      <w:r w:rsidRPr="009F47DE">
        <w:tab/>
      </w:r>
      <w:r w:rsidRPr="009F47DE">
        <w:tab/>
        <w:t>Extradition treaties</w:t>
      </w:r>
    </w:p>
    <w:p w14:paraId="1E7B66FE" w14:textId="77777777" w:rsidR="007467BC" w:rsidRPr="009F47DE" w:rsidRDefault="007467BC" w:rsidP="007467BC">
      <w:pPr>
        <w:pStyle w:val="SingleTxtG"/>
      </w:pPr>
      <w:r w:rsidRPr="009F47DE">
        <w:t>83.</w:t>
      </w:r>
      <w:r w:rsidRPr="009F47DE">
        <w:tab/>
        <w:t>New</w:t>
      </w:r>
      <w:r w:rsidR="0009789F">
        <w:t xml:space="preserve"> </w:t>
      </w:r>
      <w:r w:rsidRPr="009F47DE">
        <w:t>Zealand has not signed any extradition treaties since 2014. The Extradition Act 1999 allows New</w:t>
      </w:r>
      <w:r w:rsidR="0009789F">
        <w:t xml:space="preserve"> </w:t>
      </w:r>
      <w:r w:rsidRPr="009F47DE">
        <w:t>Zealand to make and receive extradition requests in the absence of a treaty. The definition of an extradition offence includes any offence punishable under the law of New</w:t>
      </w:r>
      <w:r w:rsidR="0009789F">
        <w:t xml:space="preserve"> </w:t>
      </w:r>
      <w:r w:rsidRPr="009F47DE">
        <w:t>Zealand and the extraditing country for which the maximum penalty is imprisonment for 12 months or more. The offences in Article 4 of the Convention would meet this threshold under New Zealand law.</w:t>
      </w:r>
      <w:r w:rsidRPr="009F47DE" w:rsidDel="0059114A">
        <w:t xml:space="preserve"> </w:t>
      </w:r>
    </w:p>
    <w:p w14:paraId="7F2AEE85" w14:textId="77777777" w:rsidR="007467BC" w:rsidRPr="009F47DE" w:rsidRDefault="007467BC" w:rsidP="00561E27">
      <w:pPr>
        <w:pStyle w:val="H1G"/>
      </w:pPr>
      <w:r w:rsidRPr="009F47DE">
        <w:tab/>
      </w:r>
      <w:r w:rsidRPr="009F47DE">
        <w:tab/>
        <w:t>Reply to paragraph 13 of the list of issues</w:t>
      </w:r>
    </w:p>
    <w:p w14:paraId="2D0D52C3" w14:textId="77777777" w:rsidR="007467BC" w:rsidRPr="009F47DE" w:rsidRDefault="007467BC" w:rsidP="00561E27">
      <w:pPr>
        <w:pStyle w:val="H23G"/>
      </w:pPr>
      <w:r w:rsidRPr="009F47DE">
        <w:tab/>
      </w:r>
      <w:r w:rsidRPr="009F47DE">
        <w:tab/>
        <w:t>Mutual judicial assistance</w:t>
      </w:r>
    </w:p>
    <w:p w14:paraId="732CD2C9" w14:textId="77777777" w:rsidR="007467BC" w:rsidRPr="009F47DE" w:rsidRDefault="007467BC" w:rsidP="008836B8">
      <w:pPr>
        <w:pStyle w:val="SingleTxtG"/>
      </w:pPr>
      <w:r w:rsidRPr="009F47DE">
        <w:t>84.</w:t>
      </w:r>
      <w:r w:rsidRPr="009F47DE">
        <w:tab/>
        <w:t>Under the Mutual Assistance in Criminal Matters Act 1992, New Zealand can provide mutual assistance to any country on an ad hoc basis, where the requirements in the Act are met.</w:t>
      </w:r>
      <w:r w:rsidR="0009789F">
        <w:t xml:space="preserve"> </w:t>
      </w:r>
      <w:r w:rsidRPr="009F47DE">
        <w:t>New Zealand has entered into mutual assistance agreements with China, South Korea and Hong Kong. New Zealand has not been requested to provide mutual assistance by any country in connection with prosecutions concerning charges of torture.</w:t>
      </w:r>
    </w:p>
    <w:p w14:paraId="199F61F5" w14:textId="77777777" w:rsidR="007467BC" w:rsidRPr="009F47DE" w:rsidRDefault="007467BC" w:rsidP="00794DDD">
      <w:pPr>
        <w:pStyle w:val="H1G"/>
      </w:pPr>
      <w:bookmarkStart w:id="27" w:name="_Toc20139398"/>
      <w:r w:rsidRPr="009F47DE">
        <w:tab/>
      </w:r>
      <w:r w:rsidRPr="009F47DE">
        <w:tab/>
        <w:t>Article 10</w:t>
      </w:r>
      <w:bookmarkStart w:id="28" w:name="_Hlk525561156"/>
      <w:bookmarkEnd w:id="27"/>
    </w:p>
    <w:p w14:paraId="127DAE14" w14:textId="77777777" w:rsidR="007467BC" w:rsidRPr="009F47DE" w:rsidRDefault="007467BC" w:rsidP="00794DDD">
      <w:pPr>
        <w:pStyle w:val="H1G"/>
      </w:pPr>
      <w:r w:rsidRPr="009F47DE">
        <w:tab/>
      </w:r>
      <w:r w:rsidRPr="009F47DE">
        <w:tab/>
        <w:t>Reply to paragraph 14 of the list of issues</w:t>
      </w:r>
    </w:p>
    <w:p w14:paraId="7A8BDFF9" w14:textId="77777777" w:rsidR="007467BC" w:rsidRPr="009F47DE" w:rsidRDefault="007467BC" w:rsidP="00794DDD">
      <w:pPr>
        <w:pStyle w:val="H23G"/>
      </w:pPr>
      <w:r w:rsidRPr="009F47DE">
        <w:tab/>
      </w:r>
      <w:r w:rsidRPr="009F47DE">
        <w:tab/>
        <w:t>Training of enforcement personnel</w:t>
      </w:r>
    </w:p>
    <w:p w14:paraId="631C41D3" w14:textId="77777777" w:rsidR="007467BC" w:rsidRPr="009F47DE" w:rsidRDefault="007467BC" w:rsidP="00794DDD">
      <w:pPr>
        <w:pStyle w:val="H23G"/>
      </w:pPr>
      <w:r w:rsidRPr="009F47DE">
        <w:tab/>
      </w:r>
      <w:r w:rsidRPr="009F47DE">
        <w:tab/>
        <w:t>Corrections officers (prisons)</w:t>
      </w:r>
    </w:p>
    <w:bookmarkEnd w:id="28"/>
    <w:p w14:paraId="4E162AEC" w14:textId="77777777" w:rsidR="007467BC" w:rsidRPr="009F47DE" w:rsidRDefault="007467BC" w:rsidP="007467BC">
      <w:pPr>
        <w:pStyle w:val="SingleTxtG"/>
      </w:pPr>
      <w:r w:rsidRPr="009F47DE">
        <w:t>85.</w:t>
      </w:r>
      <w:r w:rsidRPr="009F47DE">
        <w:tab/>
      </w:r>
      <w:proofErr w:type="gramStart"/>
      <w:r w:rsidRPr="009F47DE">
        <w:t>The Initial Training Course for Corrections Officers,</w:t>
      </w:r>
      <w:proofErr w:type="gramEnd"/>
      <w:r w:rsidRPr="009F47DE">
        <w:t xml:space="preserve"> includes the Convention against Torture. All new custodial staff participate in the </w:t>
      </w:r>
      <w:r w:rsidR="00562737">
        <w:t>‘</w:t>
      </w:r>
      <w:r w:rsidRPr="009F47DE">
        <w:t>Our Way and Human Rights</w:t>
      </w:r>
      <w:r w:rsidR="00562737">
        <w:t>’</w:t>
      </w:r>
      <w:r w:rsidRPr="009F47DE">
        <w:t xml:space="preserve"> learning programme, to reinforce their understanding of human rights. Following the programme, participants are asked questions about prisoners</w:t>
      </w:r>
      <w:r w:rsidR="00562737">
        <w:t>’</w:t>
      </w:r>
      <w:r w:rsidRPr="009F47DE">
        <w:t xml:space="preserve"> rights, including ways to protect rights and prevent violations. </w:t>
      </w:r>
    </w:p>
    <w:p w14:paraId="43796F75" w14:textId="77777777" w:rsidR="007467BC" w:rsidRPr="009F47DE" w:rsidRDefault="007467BC" w:rsidP="00794DDD">
      <w:pPr>
        <w:pStyle w:val="H23G"/>
      </w:pPr>
      <w:r w:rsidRPr="009F47DE">
        <w:tab/>
      </w:r>
      <w:r w:rsidRPr="009F47DE">
        <w:tab/>
        <w:t>Immigration officers</w:t>
      </w:r>
    </w:p>
    <w:p w14:paraId="24B5BF89" w14:textId="77777777" w:rsidR="007467BC" w:rsidRPr="009F47DE" w:rsidRDefault="007467BC" w:rsidP="007467BC">
      <w:pPr>
        <w:pStyle w:val="SingleTxtG"/>
      </w:pPr>
      <w:r w:rsidRPr="009F47DE">
        <w:t>86.</w:t>
      </w:r>
      <w:r w:rsidRPr="009F47DE">
        <w:tab/>
        <w:t>Officers who exercise enforcement powers such as detention, searching and deportation, receive training on NZBORA and international conventions. Training includes cultural awareness, interviewing, searching, detention, and use of force.</w:t>
      </w:r>
      <w:r w:rsidRPr="009F47DE" w:rsidDel="00EB3DD2">
        <w:t xml:space="preserve"> </w:t>
      </w:r>
      <w:r w:rsidRPr="009F47DE">
        <w:t>Code of Conduct training emphasises the implications of breaches such as discrimination or causing distress. Use of force incidents are documented and training records are available for audit and complaint management.</w:t>
      </w:r>
      <w:bookmarkStart w:id="29" w:name="_Hlk525821383"/>
      <w:r w:rsidRPr="009F47DE">
        <w:t xml:space="preserve"> Officers are encouraged to report breaches and MBIE also has a complaints process for members of the public. </w:t>
      </w:r>
    </w:p>
    <w:p w14:paraId="6B81B10D" w14:textId="77777777" w:rsidR="007467BC" w:rsidRPr="009F47DE" w:rsidRDefault="007467BC" w:rsidP="007467BC">
      <w:pPr>
        <w:pStyle w:val="SingleTxtG"/>
      </w:pPr>
      <w:r w:rsidRPr="009F47DE">
        <w:t>87.</w:t>
      </w:r>
      <w:r w:rsidRPr="009F47DE">
        <w:tab/>
        <w:t>Persons-in-Charge of MRRC receive training on detention rules and regulations.</w:t>
      </w:r>
    </w:p>
    <w:p w14:paraId="69722818" w14:textId="77777777" w:rsidR="007467BC" w:rsidRPr="009F47DE" w:rsidRDefault="007467BC" w:rsidP="00794DDD">
      <w:pPr>
        <w:pStyle w:val="H23G"/>
      </w:pPr>
      <w:r w:rsidRPr="009F47DE">
        <w:tab/>
      </w:r>
      <w:r w:rsidRPr="009F47DE">
        <w:tab/>
      </w:r>
      <w:proofErr w:type="spellStart"/>
      <w:r w:rsidRPr="009F47DE">
        <w:t>Oranga</w:t>
      </w:r>
      <w:proofErr w:type="spellEnd"/>
      <w:r w:rsidRPr="009F47DE">
        <w:t xml:space="preserve"> Tamariki facilities</w:t>
      </w:r>
    </w:p>
    <w:p w14:paraId="5B7921F8" w14:textId="77777777" w:rsidR="007467BC" w:rsidRPr="009F47DE" w:rsidRDefault="007467BC" w:rsidP="007467BC">
      <w:pPr>
        <w:pStyle w:val="SingleTxtG"/>
      </w:pPr>
      <w:r w:rsidRPr="009F47DE">
        <w:t>88.</w:t>
      </w:r>
      <w:r w:rsidRPr="009F47DE">
        <w:tab/>
        <w:t>New Induction training (</w:t>
      </w:r>
      <w:proofErr w:type="spellStart"/>
      <w:r w:rsidRPr="009F47DE">
        <w:t>Te</w:t>
      </w:r>
      <w:proofErr w:type="spellEnd"/>
      <w:r w:rsidRPr="009F47DE">
        <w:t xml:space="preserve"> </w:t>
      </w:r>
      <w:proofErr w:type="spellStart"/>
      <w:r w:rsidRPr="009F47DE">
        <w:t>Waharoa</w:t>
      </w:r>
      <w:proofErr w:type="spellEnd"/>
      <w:r w:rsidRPr="009F47DE">
        <w:t xml:space="preserve">) for </w:t>
      </w:r>
      <w:proofErr w:type="spellStart"/>
      <w:r w:rsidRPr="009F47DE">
        <w:t>Oranga</w:t>
      </w:r>
      <w:proofErr w:type="spellEnd"/>
      <w:r w:rsidRPr="009F47DE">
        <w:t xml:space="preserve"> Tamariki staff working in secure residences emphasises their obligations under the Convention on the Rights of the Child, respect for dignity, and consequences of inappropriate behaviour</w:t>
      </w:r>
      <w:bookmarkStart w:id="30" w:name="_Hlk525810614"/>
      <w:bookmarkEnd w:id="29"/>
      <w:r w:rsidRPr="009F47DE">
        <w:t xml:space="preserve">. Staff are trained in a programme that emphasises de-escalation before restraint. </w:t>
      </w:r>
    </w:p>
    <w:p w14:paraId="51190D98" w14:textId="77777777" w:rsidR="007467BC" w:rsidRPr="009F47DE" w:rsidRDefault="007467BC" w:rsidP="007467BC">
      <w:pPr>
        <w:pStyle w:val="SingleTxtG"/>
      </w:pPr>
      <w:r w:rsidRPr="009F47DE">
        <w:t>89.</w:t>
      </w:r>
      <w:r w:rsidRPr="009F47DE">
        <w:tab/>
        <w:t xml:space="preserve">Rates of incidents requiring use of force or secure care have reduced. It is expected that numbers will decrease following the substantial change programme (described under issue 20), which introduces </w:t>
      </w:r>
      <w:proofErr w:type="spellStart"/>
      <w:r w:rsidRPr="009F47DE">
        <w:t>Te</w:t>
      </w:r>
      <w:proofErr w:type="spellEnd"/>
      <w:r w:rsidRPr="009F47DE">
        <w:t xml:space="preserve"> </w:t>
      </w:r>
      <w:proofErr w:type="spellStart"/>
      <w:r w:rsidRPr="009F47DE">
        <w:t>Waharoa</w:t>
      </w:r>
      <w:proofErr w:type="spellEnd"/>
      <w:r w:rsidRPr="009F47DE">
        <w:t xml:space="preserve"> and a Māori-focused restorative practice approach. Therapeutic techniques have also been introduced, including the use of sensory spaces in care and protection residences.</w:t>
      </w:r>
    </w:p>
    <w:p w14:paraId="492B6CA4" w14:textId="77777777" w:rsidR="007467BC" w:rsidRPr="009F47DE" w:rsidRDefault="007467BC" w:rsidP="00794DDD">
      <w:pPr>
        <w:pStyle w:val="H23G"/>
      </w:pPr>
      <w:r w:rsidRPr="009F47DE">
        <w:lastRenderedPageBreak/>
        <w:tab/>
      </w:r>
      <w:r w:rsidRPr="009F47DE">
        <w:tab/>
        <w:t>Police</w:t>
      </w:r>
    </w:p>
    <w:p w14:paraId="21F3A30D" w14:textId="77777777" w:rsidR="007467BC" w:rsidRPr="009F47DE" w:rsidRDefault="007467BC" w:rsidP="008836B8">
      <w:pPr>
        <w:pStyle w:val="SingleTxtG"/>
      </w:pPr>
      <w:r w:rsidRPr="009F47DE">
        <w:t>90.</w:t>
      </w:r>
      <w:r w:rsidRPr="009F47DE">
        <w:tab/>
        <w:t>Police officers receive training as recruits and throughout their career. They must maintain up-to-date knowledge of legislation, including NZBORA, the Human Rights Act, and Crimes of Torture Act. Failure to meet obligations under these Acts may result in misconduct proceedings and, in cases of torture, criminal prosecution.</w:t>
      </w:r>
      <w:bookmarkStart w:id="31" w:name="_Hlk525292286"/>
      <w:bookmarkEnd w:id="30"/>
      <w:r w:rsidRPr="009F47DE">
        <w:t xml:space="preserve"> Obligations to prisoners are reinforced through Custodial Management Health Risk awareness protocols and Custodial Management Suicide awareness training that all officers must complete. Courses are assessed using role-play scenarios focused on knowledge and competencies. </w:t>
      </w:r>
    </w:p>
    <w:p w14:paraId="1AC2EA8A" w14:textId="77777777" w:rsidR="007467BC" w:rsidRPr="009F47DE" w:rsidRDefault="007467BC" w:rsidP="00794DDD">
      <w:pPr>
        <w:pStyle w:val="H1G"/>
      </w:pPr>
      <w:r w:rsidRPr="009F47DE">
        <w:tab/>
      </w:r>
      <w:r w:rsidRPr="009F47DE">
        <w:tab/>
        <w:t>Reply to paragraph 15 of the list of issues</w:t>
      </w:r>
    </w:p>
    <w:p w14:paraId="42AC682E" w14:textId="77777777" w:rsidR="007467BC" w:rsidRPr="009F47DE" w:rsidRDefault="007467BC" w:rsidP="00794DDD">
      <w:pPr>
        <w:pStyle w:val="H23G"/>
      </w:pPr>
      <w:r w:rsidRPr="009F47DE">
        <w:tab/>
      </w:r>
      <w:r w:rsidRPr="009F47DE">
        <w:tab/>
        <w:t>Less-than-lethal devices</w:t>
      </w:r>
    </w:p>
    <w:p w14:paraId="6B258174" w14:textId="77777777" w:rsidR="007467BC" w:rsidRPr="009F47DE" w:rsidRDefault="007467BC" w:rsidP="00794DDD">
      <w:pPr>
        <w:pStyle w:val="H23G"/>
      </w:pPr>
      <w:r w:rsidRPr="009F47DE">
        <w:tab/>
      </w:r>
      <w:r w:rsidRPr="009F47DE">
        <w:tab/>
        <w:t>Police taser use</w:t>
      </w:r>
    </w:p>
    <w:p w14:paraId="18E429B1" w14:textId="77777777" w:rsidR="007467BC" w:rsidRPr="009F47DE" w:rsidRDefault="007467BC" w:rsidP="007467BC">
      <w:pPr>
        <w:pStyle w:val="SingleTxtG"/>
      </w:pPr>
      <w:bookmarkStart w:id="32" w:name="_Hlk532203232"/>
      <w:r w:rsidRPr="009F47DE">
        <w:t>91.</w:t>
      </w:r>
      <w:r w:rsidRPr="009F47DE">
        <w:tab/>
        <w:t xml:space="preserve">In 2015, Police decided to arm most frontline officers with tasers. Police do not routinely carry firearms and tasers are a tactical option to ensure safety of the public and Police. Other tactical options include communication, empty-hand-techniques, handcuffs, pepper-spray and firearms (in limited situations). </w:t>
      </w:r>
      <w:bookmarkEnd w:id="32"/>
      <w:r w:rsidRPr="009F47DE">
        <w:t xml:space="preserve">The Police Taser Policy is in an overarching Use of Force Policy, which is consistently revised. </w:t>
      </w:r>
    </w:p>
    <w:p w14:paraId="04202A2B" w14:textId="77777777" w:rsidR="007467BC" w:rsidRPr="009F47DE" w:rsidRDefault="007467BC" w:rsidP="004B18CD">
      <w:pPr>
        <w:pStyle w:val="H4G"/>
      </w:pPr>
      <w:r w:rsidRPr="009F47DE">
        <w:tab/>
      </w:r>
      <w:r w:rsidRPr="009F47DE">
        <w:tab/>
        <w:t>Training</w:t>
      </w:r>
    </w:p>
    <w:p w14:paraId="60FE764E" w14:textId="77777777" w:rsidR="007467BC" w:rsidRPr="009F47DE" w:rsidRDefault="007467BC" w:rsidP="007467BC">
      <w:pPr>
        <w:pStyle w:val="SingleTxtG"/>
      </w:pPr>
      <w:r w:rsidRPr="009F47DE">
        <w:t>92.</w:t>
      </w:r>
      <w:r w:rsidRPr="009F47DE">
        <w:tab/>
        <w:t>All Constables undergo 16 weeks of initial training and annual refresher training to ensure they can safely use tasers and other tactical options.</w:t>
      </w:r>
    </w:p>
    <w:p w14:paraId="1D0D8181" w14:textId="77777777" w:rsidR="007467BC" w:rsidRPr="009F47DE" w:rsidRDefault="007467BC" w:rsidP="007467BC">
      <w:pPr>
        <w:pStyle w:val="SingleTxtG"/>
      </w:pPr>
      <w:r w:rsidRPr="009F47DE">
        <w:t>93.</w:t>
      </w:r>
      <w:r w:rsidRPr="009F47DE">
        <w:tab/>
        <w:t>Level one responders are trained in all tactical options, including tasers. They undergo comprehensive taser training to achieve certification, which includes online learning modules, videos, and practical training. The initial programme includes design, use, restrictions, storage and recording requirements, deployment and post-deployment procedures, such as rights caution and aftercare. Annual refresher training includes lessons learned from previous operating.</w:t>
      </w:r>
    </w:p>
    <w:p w14:paraId="2A2DEC4F" w14:textId="77777777" w:rsidR="007467BC" w:rsidRPr="009F47DE" w:rsidRDefault="007467BC" w:rsidP="00932D74">
      <w:pPr>
        <w:pStyle w:val="H4G"/>
      </w:pPr>
      <w:r w:rsidRPr="009F47DE">
        <w:tab/>
      </w:r>
      <w:r w:rsidRPr="009F47DE">
        <w:tab/>
        <w:t>Use and complaints</w:t>
      </w:r>
    </w:p>
    <w:p w14:paraId="3ECF6040" w14:textId="77777777" w:rsidR="007467BC" w:rsidRPr="009F47DE" w:rsidRDefault="007467BC" w:rsidP="007467BC">
      <w:pPr>
        <w:pStyle w:val="SingleTxtG"/>
      </w:pPr>
      <w:r w:rsidRPr="009F47DE">
        <w:t>94.</w:t>
      </w:r>
      <w:r w:rsidRPr="009F47DE">
        <w:tab/>
        <w:t>Police publishes annual reports on tactical options use. The 2018 report shows use of force is rare (0.1% of 3.7 million formally recorded interactions with the public). A taser was used at 25% of use-of-force events. Options more commonly used are empty-hand tactics (45%), restraint (42%) and pepper-spray (29%).</w:t>
      </w:r>
    </w:p>
    <w:p w14:paraId="34AC5104" w14:textId="77777777" w:rsidR="007467BC" w:rsidRPr="00F90841" w:rsidRDefault="00306153" w:rsidP="004F1DCF">
      <w:pPr>
        <w:pStyle w:val="H23G"/>
      </w:pPr>
      <w:r>
        <w:tab/>
      </w:r>
      <w:r>
        <w:tab/>
      </w:r>
      <w:r w:rsidR="007467BC" w:rsidRPr="00F90841">
        <w:t xml:space="preserve">Taser use and outcomes of referrals to Police Professional Conduct (PPC) for investigation </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17"/>
        <w:gridCol w:w="1134"/>
        <w:gridCol w:w="1276"/>
        <w:gridCol w:w="1417"/>
        <w:gridCol w:w="1134"/>
        <w:gridCol w:w="993"/>
        <w:gridCol w:w="850"/>
        <w:gridCol w:w="884"/>
      </w:tblGrid>
      <w:tr w:rsidR="005B6E5C" w:rsidRPr="00F90841" w14:paraId="472F0B56" w14:textId="77777777" w:rsidTr="00C46FB7">
        <w:trPr>
          <w:tblHeader/>
        </w:trPr>
        <w:tc>
          <w:tcPr>
            <w:tcW w:w="817" w:type="dxa"/>
            <w:tcBorders>
              <w:top w:val="single" w:sz="4" w:space="0" w:color="auto"/>
              <w:bottom w:val="single" w:sz="12" w:space="0" w:color="auto"/>
            </w:tcBorders>
            <w:shd w:val="clear" w:color="auto" w:fill="auto"/>
            <w:noWrap/>
            <w:tcMar>
              <w:top w:w="28" w:type="dxa"/>
              <w:left w:w="108" w:type="dxa"/>
              <w:bottom w:w="0" w:type="dxa"/>
              <w:right w:w="108" w:type="dxa"/>
            </w:tcMar>
            <w:vAlign w:val="bottom"/>
            <w:hideMark/>
          </w:tcPr>
          <w:p w14:paraId="51ACD128" w14:textId="77777777" w:rsidR="007467BC" w:rsidRPr="00F90841" w:rsidRDefault="007467BC" w:rsidP="005B6E5C">
            <w:pPr>
              <w:pStyle w:val="NormalG"/>
              <w:spacing w:before="80" w:after="80" w:line="200" w:lineRule="exact"/>
              <w:ind w:right="113"/>
              <w:rPr>
                <w:i/>
                <w:sz w:val="16"/>
                <w:lang w:val="en-GB"/>
              </w:rPr>
            </w:pPr>
          </w:p>
        </w:tc>
        <w:tc>
          <w:tcPr>
            <w:tcW w:w="1134" w:type="dxa"/>
            <w:tcBorders>
              <w:top w:val="single" w:sz="4" w:space="0" w:color="auto"/>
              <w:bottom w:val="single" w:sz="12" w:space="0" w:color="auto"/>
            </w:tcBorders>
            <w:shd w:val="clear" w:color="auto" w:fill="auto"/>
            <w:tcMar>
              <w:top w:w="28" w:type="dxa"/>
              <w:left w:w="108" w:type="dxa"/>
              <w:bottom w:w="0" w:type="dxa"/>
              <w:right w:w="108" w:type="dxa"/>
            </w:tcMar>
            <w:vAlign w:val="bottom"/>
            <w:hideMark/>
          </w:tcPr>
          <w:p w14:paraId="6DE0C90A" w14:textId="77777777" w:rsidR="007467BC" w:rsidRPr="00F90841" w:rsidRDefault="007467BC" w:rsidP="005B6E5C">
            <w:pPr>
              <w:pStyle w:val="NormalG"/>
              <w:spacing w:before="80" w:after="80" w:line="200" w:lineRule="exact"/>
              <w:ind w:right="113"/>
              <w:jc w:val="right"/>
              <w:rPr>
                <w:i/>
                <w:sz w:val="16"/>
                <w:lang w:val="en-GB"/>
              </w:rPr>
            </w:pPr>
            <w:r w:rsidRPr="00F90841">
              <w:rPr>
                <w:i/>
                <w:sz w:val="16"/>
                <w:lang w:val="en-GB"/>
              </w:rPr>
              <w:t>Use-of-force events</w:t>
            </w:r>
          </w:p>
        </w:tc>
        <w:tc>
          <w:tcPr>
            <w:tcW w:w="1276" w:type="dxa"/>
            <w:tcBorders>
              <w:top w:val="single" w:sz="4" w:space="0" w:color="auto"/>
              <w:bottom w:val="single" w:sz="12" w:space="0" w:color="auto"/>
            </w:tcBorders>
            <w:shd w:val="clear" w:color="auto" w:fill="auto"/>
            <w:tcMar>
              <w:top w:w="28" w:type="dxa"/>
              <w:left w:w="108" w:type="dxa"/>
              <w:bottom w:w="0" w:type="dxa"/>
              <w:right w:w="108" w:type="dxa"/>
            </w:tcMar>
            <w:vAlign w:val="bottom"/>
            <w:hideMark/>
          </w:tcPr>
          <w:p w14:paraId="638D78D8" w14:textId="77777777" w:rsidR="007467BC" w:rsidRPr="00F90841" w:rsidRDefault="007467BC" w:rsidP="005B6E5C">
            <w:pPr>
              <w:pStyle w:val="NormalG"/>
              <w:spacing w:before="80" w:after="80" w:line="200" w:lineRule="exact"/>
              <w:ind w:right="113"/>
              <w:jc w:val="right"/>
              <w:rPr>
                <w:i/>
                <w:sz w:val="16"/>
                <w:lang w:val="en-GB"/>
              </w:rPr>
            </w:pPr>
            <w:r w:rsidRPr="00F90841">
              <w:rPr>
                <w:i/>
                <w:sz w:val="16"/>
                <w:lang w:val="en-GB"/>
              </w:rPr>
              <w:t>T</w:t>
            </w:r>
            <w:r w:rsidR="00507CF5" w:rsidRPr="00F90841">
              <w:rPr>
                <w:i/>
                <w:sz w:val="16"/>
                <w:lang w:val="en-GB"/>
              </w:rPr>
              <w:t>aser</w:t>
            </w:r>
            <w:r w:rsidRPr="00F90841">
              <w:rPr>
                <w:i/>
                <w:sz w:val="16"/>
                <w:lang w:val="en-GB"/>
              </w:rPr>
              <w:t xml:space="preserve"> </w:t>
            </w:r>
            <w:r w:rsidR="00C46FB7">
              <w:rPr>
                <w:i/>
                <w:sz w:val="16"/>
                <w:lang w:val="en-GB"/>
              </w:rPr>
              <w:br/>
            </w:r>
            <w:r w:rsidRPr="00F90841">
              <w:rPr>
                <w:i/>
                <w:sz w:val="16"/>
                <w:lang w:val="en-GB"/>
              </w:rPr>
              <w:t>show events</w:t>
            </w:r>
          </w:p>
        </w:tc>
        <w:tc>
          <w:tcPr>
            <w:tcW w:w="1417" w:type="dxa"/>
            <w:tcBorders>
              <w:top w:val="single" w:sz="4" w:space="0" w:color="auto"/>
              <w:bottom w:val="single" w:sz="12" w:space="0" w:color="auto"/>
            </w:tcBorders>
            <w:shd w:val="clear" w:color="auto" w:fill="auto"/>
            <w:tcMar>
              <w:top w:w="28" w:type="dxa"/>
              <w:left w:w="108" w:type="dxa"/>
              <w:bottom w:w="0" w:type="dxa"/>
              <w:right w:w="108" w:type="dxa"/>
            </w:tcMar>
            <w:vAlign w:val="bottom"/>
            <w:hideMark/>
          </w:tcPr>
          <w:p w14:paraId="4561EC2E" w14:textId="77777777" w:rsidR="007467BC" w:rsidRPr="00F90841" w:rsidRDefault="007467BC" w:rsidP="005B6E5C">
            <w:pPr>
              <w:pStyle w:val="NormalG"/>
              <w:spacing w:before="80" w:after="80" w:line="200" w:lineRule="exact"/>
              <w:ind w:right="113"/>
              <w:jc w:val="right"/>
              <w:rPr>
                <w:i/>
                <w:sz w:val="16"/>
                <w:lang w:val="en-GB"/>
              </w:rPr>
            </w:pPr>
            <w:r w:rsidRPr="00F90841">
              <w:rPr>
                <w:i/>
                <w:sz w:val="16"/>
                <w:lang w:val="en-GB"/>
              </w:rPr>
              <w:t>T</w:t>
            </w:r>
            <w:r w:rsidR="00507CF5" w:rsidRPr="00F90841">
              <w:rPr>
                <w:i/>
                <w:sz w:val="16"/>
                <w:lang w:val="en-GB"/>
              </w:rPr>
              <w:t>aser</w:t>
            </w:r>
            <w:r w:rsidRPr="00F90841">
              <w:rPr>
                <w:i/>
                <w:sz w:val="16"/>
                <w:lang w:val="en-GB"/>
              </w:rPr>
              <w:t xml:space="preserve"> </w:t>
            </w:r>
            <w:r w:rsidR="00C46FB7">
              <w:rPr>
                <w:i/>
                <w:sz w:val="16"/>
                <w:lang w:val="en-GB"/>
              </w:rPr>
              <w:br/>
            </w:r>
            <w:r w:rsidRPr="00F90841">
              <w:rPr>
                <w:i/>
                <w:sz w:val="16"/>
                <w:lang w:val="en-GB"/>
              </w:rPr>
              <w:t>discharge events</w:t>
            </w:r>
          </w:p>
        </w:tc>
        <w:tc>
          <w:tcPr>
            <w:tcW w:w="1134" w:type="dxa"/>
            <w:tcBorders>
              <w:top w:val="single" w:sz="4" w:space="0" w:color="auto"/>
              <w:bottom w:val="single" w:sz="12" w:space="0" w:color="auto"/>
            </w:tcBorders>
            <w:shd w:val="clear" w:color="auto" w:fill="auto"/>
            <w:tcMar>
              <w:top w:w="28" w:type="dxa"/>
            </w:tcMar>
            <w:vAlign w:val="bottom"/>
          </w:tcPr>
          <w:p w14:paraId="58AE8843" w14:textId="77777777" w:rsidR="007467BC" w:rsidRPr="00F90841" w:rsidRDefault="007467BC" w:rsidP="005B6E5C">
            <w:pPr>
              <w:pStyle w:val="NormalG"/>
              <w:spacing w:before="80" w:after="80" w:line="200" w:lineRule="exact"/>
              <w:ind w:right="113"/>
              <w:jc w:val="right"/>
              <w:rPr>
                <w:i/>
                <w:sz w:val="16"/>
                <w:lang w:val="en-GB"/>
              </w:rPr>
            </w:pPr>
            <w:r w:rsidRPr="00F90841">
              <w:rPr>
                <w:i/>
                <w:sz w:val="16"/>
                <w:lang w:val="en-GB"/>
              </w:rPr>
              <w:t>PPC Referrals</w:t>
            </w:r>
          </w:p>
        </w:tc>
        <w:tc>
          <w:tcPr>
            <w:tcW w:w="993" w:type="dxa"/>
            <w:tcBorders>
              <w:top w:val="single" w:sz="4" w:space="0" w:color="auto"/>
              <w:bottom w:val="single" w:sz="12" w:space="0" w:color="auto"/>
            </w:tcBorders>
            <w:shd w:val="clear" w:color="auto" w:fill="auto"/>
            <w:tcMar>
              <w:top w:w="28" w:type="dxa"/>
            </w:tcMar>
            <w:vAlign w:val="bottom"/>
          </w:tcPr>
          <w:p w14:paraId="3AAE4D3A" w14:textId="77777777" w:rsidR="007467BC" w:rsidRPr="00F90841" w:rsidRDefault="007467BC" w:rsidP="005B6E5C">
            <w:pPr>
              <w:pStyle w:val="NormalG"/>
              <w:spacing w:before="80" w:after="80" w:line="200" w:lineRule="exact"/>
              <w:ind w:right="113"/>
              <w:jc w:val="right"/>
              <w:rPr>
                <w:i/>
                <w:sz w:val="16"/>
                <w:lang w:val="en-GB"/>
              </w:rPr>
            </w:pPr>
            <w:r w:rsidRPr="00F90841">
              <w:rPr>
                <w:i/>
                <w:sz w:val="16"/>
                <w:lang w:val="en-GB"/>
              </w:rPr>
              <w:t>Not</w:t>
            </w:r>
            <w:r w:rsidR="005B6E5C" w:rsidRPr="00F90841">
              <w:rPr>
                <w:i/>
                <w:sz w:val="16"/>
                <w:lang w:val="en-GB"/>
              </w:rPr>
              <w:t xml:space="preserve"> </w:t>
            </w:r>
            <w:r w:rsidRPr="00F90841">
              <w:rPr>
                <w:i/>
                <w:sz w:val="16"/>
                <w:lang w:val="en-GB"/>
              </w:rPr>
              <w:t>upheld</w:t>
            </w:r>
          </w:p>
        </w:tc>
        <w:tc>
          <w:tcPr>
            <w:tcW w:w="850" w:type="dxa"/>
            <w:tcBorders>
              <w:top w:val="single" w:sz="4" w:space="0" w:color="auto"/>
              <w:bottom w:val="single" w:sz="12" w:space="0" w:color="auto"/>
            </w:tcBorders>
            <w:shd w:val="clear" w:color="auto" w:fill="auto"/>
            <w:tcMar>
              <w:top w:w="28" w:type="dxa"/>
            </w:tcMar>
            <w:vAlign w:val="bottom"/>
          </w:tcPr>
          <w:p w14:paraId="4BD59092" w14:textId="77777777" w:rsidR="007467BC" w:rsidRPr="00F90841" w:rsidRDefault="007467BC" w:rsidP="005B6E5C">
            <w:pPr>
              <w:pStyle w:val="NormalG"/>
              <w:spacing w:before="80" w:after="80" w:line="200" w:lineRule="exact"/>
              <w:ind w:right="113"/>
              <w:jc w:val="right"/>
              <w:rPr>
                <w:i/>
                <w:sz w:val="16"/>
                <w:lang w:val="en-GB"/>
              </w:rPr>
            </w:pPr>
            <w:r w:rsidRPr="00F90841">
              <w:rPr>
                <w:i/>
                <w:sz w:val="16"/>
                <w:lang w:val="en-GB"/>
              </w:rPr>
              <w:t>Upheld</w:t>
            </w:r>
          </w:p>
        </w:tc>
        <w:tc>
          <w:tcPr>
            <w:tcW w:w="884" w:type="dxa"/>
            <w:tcBorders>
              <w:top w:val="single" w:sz="4" w:space="0" w:color="auto"/>
              <w:bottom w:val="single" w:sz="12" w:space="0" w:color="auto"/>
            </w:tcBorders>
            <w:shd w:val="clear" w:color="auto" w:fill="auto"/>
            <w:tcMar>
              <w:top w:w="28" w:type="dxa"/>
            </w:tcMar>
            <w:vAlign w:val="bottom"/>
          </w:tcPr>
          <w:p w14:paraId="5B181D75" w14:textId="77777777" w:rsidR="007467BC" w:rsidRPr="00F90841" w:rsidRDefault="007467BC" w:rsidP="005B6E5C">
            <w:pPr>
              <w:pStyle w:val="NormalG"/>
              <w:spacing w:before="80" w:after="80" w:line="200" w:lineRule="exact"/>
              <w:ind w:right="113"/>
              <w:jc w:val="right"/>
              <w:rPr>
                <w:i/>
                <w:sz w:val="16"/>
                <w:lang w:val="en-GB"/>
              </w:rPr>
            </w:pPr>
            <w:r w:rsidRPr="00F90841">
              <w:rPr>
                <w:i/>
                <w:sz w:val="16"/>
                <w:lang w:val="en-GB"/>
              </w:rPr>
              <w:t>Ongoing</w:t>
            </w:r>
          </w:p>
        </w:tc>
      </w:tr>
      <w:tr w:rsidR="005B6E5C" w:rsidRPr="00F90841" w14:paraId="5F6E1C54" w14:textId="77777777" w:rsidTr="00C46FB7">
        <w:tc>
          <w:tcPr>
            <w:tcW w:w="817" w:type="dxa"/>
            <w:tcBorders>
              <w:top w:val="single" w:sz="12" w:space="0" w:color="auto"/>
              <w:bottom w:val="nil"/>
            </w:tcBorders>
            <w:shd w:val="clear" w:color="auto" w:fill="auto"/>
            <w:noWrap/>
            <w:tcMar>
              <w:top w:w="28" w:type="dxa"/>
              <w:left w:w="108" w:type="dxa"/>
              <w:bottom w:w="0" w:type="dxa"/>
              <w:right w:w="108" w:type="dxa"/>
            </w:tcMar>
            <w:hideMark/>
          </w:tcPr>
          <w:p w14:paraId="72D2C96A" w14:textId="77777777" w:rsidR="007467BC" w:rsidRPr="00F90841" w:rsidRDefault="007467BC" w:rsidP="005B6E5C">
            <w:pPr>
              <w:pStyle w:val="NormalG"/>
              <w:spacing w:before="40" w:after="40" w:line="220" w:lineRule="exact"/>
              <w:ind w:right="113"/>
              <w:rPr>
                <w:sz w:val="18"/>
                <w:lang w:val="en-GB"/>
              </w:rPr>
            </w:pPr>
            <w:r w:rsidRPr="00F90841">
              <w:rPr>
                <w:sz w:val="18"/>
                <w:lang w:val="en-GB"/>
              </w:rPr>
              <w:t>2014</w:t>
            </w:r>
          </w:p>
        </w:tc>
        <w:tc>
          <w:tcPr>
            <w:tcW w:w="1134" w:type="dxa"/>
            <w:tcBorders>
              <w:top w:val="single" w:sz="12" w:space="0" w:color="auto"/>
              <w:bottom w:val="nil"/>
            </w:tcBorders>
            <w:shd w:val="clear" w:color="auto" w:fill="auto"/>
            <w:noWrap/>
            <w:tcMar>
              <w:top w:w="28" w:type="dxa"/>
              <w:left w:w="108" w:type="dxa"/>
              <w:bottom w:w="0" w:type="dxa"/>
              <w:right w:w="108" w:type="dxa"/>
            </w:tcMar>
            <w:vAlign w:val="bottom"/>
            <w:hideMark/>
          </w:tcPr>
          <w:p w14:paraId="1B85EC49"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4</w:t>
            </w:r>
            <w:r w:rsidR="005B6E5C" w:rsidRPr="00F90841">
              <w:rPr>
                <w:sz w:val="18"/>
                <w:lang w:val="en-GB"/>
              </w:rPr>
              <w:t xml:space="preserve"> </w:t>
            </w:r>
            <w:r w:rsidRPr="00F90841">
              <w:rPr>
                <w:sz w:val="18"/>
                <w:lang w:val="en-GB"/>
              </w:rPr>
              <w:t>823</w:t>
            </w:r>
          </w:p>
        </w:tc>
        <w:tc>
          <w:tcPr>
            <w:tcW w:w="1276" w:type="dxa"/>
            <w:tcBorders>
              <w:top w:val="single" w:sz="12" w:space="0" w:color="auto"/>
              <w:bottom w:val="nil"/>
            </w:tcBorders>
            <w:shd w:val="clear" w:color="auto" w:fill="auto"/>
            <w:noWrap/>
            <w:tcMar>
              <w:top w:w="28" w:type="dxa"/>
              <w:left w:w="108" w:type="dxa"/>
              <w:bottom w:w="0" w:type="dxa"/>
              <w:right w:w="108" w:type="dxa"/>
            </w:tcMar>
            <w:vAlign w:val="bottom"/>
            <w:hideMark/>
          </w:tcPr>
          <w:p w14:paraId="7BC65AE6"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895</w:t>
            </w:r>
          </w:p>
        </w:tc>
        <w:tc>
          <w:tcPr>
            <w:tcW w:w="1417" w:type="dxa"/>
            <w:tcBorders>
              <w:top w:val="single" w:sz="12" w:space="0" w:color="auto"/>
              <w:bottom w:val="nil"/>
            </w:tcBorders>
            <w:shd w:val="clear" w:color="auto" w:fill="auto"/>
            <w:noWrap/>
            <w:tcMar>
              <w:top w:w="28" w:type="dxa"/>
              <w:left w:w="108" w:type="dxa"/>
              <w:bottom w:w="0" w:type="dxa"/>
              <w:right w:w="108" w:type="dxa"/>
            </w:tcMar>
            <w:vAlign w:val="bottom"/>
            <w:hideMark/>
          </w:tcPr>
          <w:p w14:paraId="039A141B"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119</w:t>
            </w:r>
          </w:p>
        </w:tc>
        <w:tc>
          <w:tcPr>
            <w:tcW w:w="1134" w:type="dxa"/>
            <w:tcBorders>
              <w:top w:val="single" w:sz="12" w:space="0" w:color="auto"/>
              <w:bottom w:val="nil"/>
            </w:tcBorders>
            <w:shd w:val="clear" w:color="auto" w:fill="auto"/>
            <w:tcMar>
              <w:top w:w="28" w:type="dxa"/>
            </w:tcMar>
            <w:vAlign w:val="bottom"/>
          </w:tcPr>
          <w:p w14:paraId="49020EAC"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15</w:t>
            </w:r>
          </w:p>
        </w:tc>
        <w:tc>
          <w:tcPr>
            <w:tcW w:w="993" w:type="dxa"/>
            <w:tcBorders>
              <w:top w:val="single" w:sz="12" w:space="0" w:color="auto"/>
              <w:bottom w:val="nil"/>
            </w:tcBorders>
            <w:shd w:val="clear" w:color="auto" w:fill="auto"/>
            <w:tcMar>
              <w:top w:w="28" w:type="dxa"/>
            </w:tcMar>
            <w:vAlign w:val="bottom"/>
          </w:tcPr>
          <w:p w14:paraId="6EF9C588"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10</w:t>
            </w:r>
          </w:p>
        </w:tc>
        <w:tc>
          <w:tcPr>
            <w:tcW w:w="850" w:type="dxa"/>
            <w:tcBorders>
              <w:top w:val="single" w:sz="12" w:space="0" w:color="auto"/>
              <w:bottom w:val="nil"/>
            </w:tcBorders>
            <w:shd w:val="clear" w:color="auto" w:fill="auto"/>
            <w:tcMar>
              <w:top w:w="28" w:type="dxa"/>
            </w:tcMar>
            <w:vAlign w:val="bottom"/>
          </w:tcPr>
          <w:p w14:paraId="7F1BE591"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5</w:t>
            </w:r>
          </w:p>
        </w:tc>
        <w:tc>
          <w:tcPr>
            <w:tcW w:w="884" w:type="dxa"/>
            <w:tcBorders>
              <w:top w:val="single" w:sz="12" w:space="0" w:color="auto"/>
              <w:bottom w:val="nil"/>
            </w:tcBorders>
            <w:shd w:val="clear" w:color="auto" w:fill="auto"/>
            <w:tcMar>
              <w:top w:w="28" w:type="dxa"/>
            </w:tcMar>
            <w:vAlign w:val="bottom"/>
          </w:tcPr>
          <w:p w14:paraId="6C42F2EB"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0</w:t>
            </w:r>
          </w:p>
        </w:tc>
      </w:tr>
      <w:tr w:rsidR="00306153" w:rsidRPr="00F90841" w14:paraId="4FA7FE1F" w14:textId="77777777" w:rsidTr="004F1DCF">
        <w:tc>
          <w:tcPr>
            <w:tcW w:w="817" w:type="dxa"/>
            <w:tcBorders>
              <w:top w:val="nil"/>
              <w:bottom w:val="nil"/>
            </w:tcBorders>
            <w:shd w:val="clear" w:color="auto" w:fill="auto"/>
            <w:noWrap/>
            <w:tcMar>
              <w:top w:w="28" w:type="dxa"/>
              <w:left w:w="108" w:type="dxa"/>
              <w:bottom w:w="0" w:type="dxa"/>
              <w:right w:w="108" w:type="dxa"/>
            </w:tcMar>
            <w:hideMark/>
          </w:tcPr>
          <w:p w14:paraId="1E419F34" w14:textId="77777777" w:rsidR="007467BC" w:rsidRPr="00F90841" w:rsidRDefault="007467BC" w:rsidP="005B6E5C">
            <w:pPr>
              <w:pStyle w:val="NormalG"/>
              <w:spacing w:before="40" w:after="40" w:line="220" w:lineRule="exact"/>
              <w:ind w:right="113"/>
              <w:rPr>
                <w:sz w:val="18"/>
                <w:lang w:val="en-GB"/>
              </w:rPr>
            </w:pPr>
            <w:r w:rsidRPr="00F90841">
              <w:rPr>
                <w:sz w:val="18"/>
                <w:lang w:val="en-GB"/>
              </w:rPr>
              <w:t>2015</w:t>
            </w:r>
          </w:p>
        </w:tc>
        <w:tc>
          <w:tcPr>
            <w:tcW w:w="1134" w:type="dxa"/>
            <w:tcBorders>
              <w:top w:val="nil"/>
              <w:bottom w:val="nil"/>
            </w:tcBorders>
            <w:shd w:val="clear" w:color="auto" w:fill="auto"/>
            <w:noWrap/>
            <w:tcMar>
              <w:top w:w="28" w:type="dxa"/>
              <w:left w:w="108" w:type="dxa"/>
              <w:bottom w:w="0" w:type="dxa"/>
              <w:right w:w="108" w:type="dxa"/>
            </w:tcMar>
            <w:vAlign w:val="bottom"/>
            <w:hideMark/>
          </w:tcPr>
          <w:p w14:paraId="56855BD1"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4</w:t>
            </w:r>
            <w:r w:rsidR="005B6E5C" w:rsidRPr="00F90841">
              <w:rPr>
                <w:sz w:val="18"/>
                <w:lang w:val="en-GB"/>
              </w:rPr>
              <w:t xml:space="preserve"> </w:t>
            </w:r>
            <w:r w:rsidRPr="00F90841">
              <w:rPr>
                <w:sz w:val="18"/>
                <w:lang w:val="en-GB"/>
              </w:rPr>
              <w:t>914</w:t>
            </w:r>
          </w:p>
        </w:tc>
        <w:tc>
          <w:tcPr>
            <w:tcW w:w="1276" w:type="dxa"/>
            <w:tcBorders>
              <w:top w:val="nil"/>
              <w:bottom w:val="nil"/>
            </w:tcBorders>
            <w:shd w:val="clear" w:color="auto" w:fill="auto"/>
            <w:noWrap/>
            <w:tcMar>
              <w:top w:w="28" w:type="dxa"/>
              <w:left w:w="108" w:type="dxa"/>
              <w:bottom w:w="0" w:type="dxa"/>
              <w:right w:w="108" w:type="dxa"/>
            </w:tcMar>
            <w:vAlign w:val="bottom"/>
            <w:hideMark/>
          </w:tcPr>
          <w:p w14:paraId="5520372B"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872</w:t>
            </w:r>
          </w:p>
        </w:tc>
        <w:tc>
          <w:tcPr>
            <w:tcW w:w="1417" w:type="dxa"/>
            <w:tcBorders>
              <w:top w:val="nil"/>
              <w:bottom w:val="nil"/>
            </w:tcBorders>
            <w:shd w:val="clear" w:color="auto" w:fill="auto"/>
            <w:noWrap/>
            <w:tcMar>
              <w:top w:w="28" w:type="dxa"/>
              <w:left w:w="108" w:type="dxa"/>
              <w:bottom w:w="0" w:type="dxa"/>
              <w:right w:w="108" w:type="dxa"/>
            </w:tcMar>
            <w:vAlign w:val="bottom"/>
            <w:hideMark/>
          </w:tcPr>
          <w:p w14:paraId="4FF14915"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126</w:t>
            </w:r>
          </w:p>
        </w:tc>
        <w:tc>
          <w:tcPr>
            <w:tcW w:w="1134" w:type="dxa"/>
            <w:tcBorders>
              <w:top w:val="nil"/>
              <w:bottom w:val="nil"/>
            </w:tcBorders>
            <w:shd w:val="clear" w:color="auto" w:fill="auto"/>
            <w:tcMar>
              <w:top w:w="28" w:type="dxa"/>
            </w:tcMar>
            <w:vAlign w:val="bottom"/>
          </w:tcPr>
          <w:p w14:paraId="768D8A02"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23</w:t>
            </w:r>
          </w:p>
        </w:tc>
        <w:tc>
          <w:tcPr>
            <w:tcW w:w="993" w:type="dxa"/>
            <w:tcBorders>
              <w:top w:val="nil"/>
              <w:bottom w:val="nil"/>
            </w:tcBorders>
            <w:shd w:val="clear" w:color="auto" w:fill="auto"/>
            <w:tcMar>
              <w:top w:w="28" w:type="dxa"/>
            </w:tcMar>
            <w:vAlign w:val="bottom"/>
          </w:tcPr>
          <w:p w14:paraId="2EF477B2"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7</w:t>
            </w:r>
          </w:p>
        </w:tc>
        <w:tc>
          <w:tcPr>
            <w:tcW w:w="850" w:type="dxa"/>
            <w:tcBorders>
              <w:top w:val="nil"/>
              <w:bottom w:val="nil"/>
            </w:tcBorders>
            <w:shd w:val="clear" w:color="auto" w:fill="auto"/>
            <w:tcMar>
              <w:top w:w="28" w:type="dxa"/>
            </w:tcMar>
            <w:vAlign w:val="bottom"/>
          </w:tcPr>
          <w:p w14:paraId="73A0C300"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7</w:t>
            </w:r>
          </w:p>
        </w:tc>
        <w:tc>
          <w:tcPr>
            <w:tcW w:w="884" w:type="dxa"/>
            <w:tcBorders>
              <w:top w:val="nil"/>
              <w:bottom w:val="nil"/>
            </w:tcBorders>
            <w:shd w:val="clear" w:color="auto" w:fill="auto"/>
            <w:tcMar>
              <w:top w:w="28" w:type="dxa"/>
            </w:tcMar>
            <w:vAlign w:val="bottom"/>
          </w:tcPr>
          <w:p w14:paraId="7965C0F2"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0</w:t>
            </w:r>
          </w:p>
        </w:tc>
      </w:tr>
      <w:tr w:rsidR="00306153" w:rsidRPr="00F90841" w14:paraId="213AA766" w14:textId="77777777" w:rsidTr="004F1DCF">
        <w:tc>
          <w:tcPr>
            <w:tcW w:w="817" w:type="dxa"/>
            <w:tcBorders>
              <w:top w:val="nil"/>
              <w:bottom w:val="nil"/>
            </w:tcBorders>
            <w:shd w:val="clear" w:color="auto" w:fill="auto"/>
            <w:noWrap/>
            <w:tcMar>
              <w:top w:w="28" w:type="dxa"/>
              <w:left w:w="108" w:type="dxa"/>
              <w:bottom w:w="0" w:type="dxa"/>
              <w:right w:w="108" w:type="dxa"/>
            </w:tcMar>
            <w:hideMark/>
          </w:tcPr>
          <w:p w14:paraId="7ACCCEFD" w14:textId="77777777" w:rsidR="007467BC" w:rsidRPr="00F90841" w:rsidRDefault="007467BC" w:rsidP="005B6E5C">
            <w:pPr>
              <w:pStyle w:val="NormalG"/>
              <w:spacing w:before="40" w:after="40" w:line="220" w:lineRule="exact"/>
              <w:ind w:right="113"/>
              <w:rPr>
                <w:sz w:val="18"/>
                <w:lang w:val="en-GB"/>
              </w:rPr>
            </w:pPr>
            <w:r w:rsidRPr="00F90841">
              <w:rPr>
                <w:sz w:val="18"/>
                <w:lang w:val="en-GB"/>
              </w:rPr>
              <w:t>2016</w:t>
            </w:r>
          </w:p>
        </w:tc>
        <w:tc>
          <w:tcPr>
            <w:tcW w:w="1134" w:type="dxa"/>
            <w:tcBorders>
              <w:top w:val="nil"/>
              <w:bottom w:val="nil"/>
            </w:tcBorders>
            <w:shd w:val="clear" w:color="auto" w:fill="auto"/>
            <w:noWrap/>
            <w:tcMar>
              <w:top w:w="28" w:type="dxa"/>
              <w:left w:w="108" w:type="dxa"/>
              <w:bottom w:w="0" w:type="dxa"/>
              <w:right w:w="108" w:type="dxa"/>
            </w:tcMar>
            <w:vAlign w:val="bottom"/>
            <w:hideMark/>
          </w:tcPr>
          <w:p w14:paraId="1E2DB70C"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5</w:t>
            </w:r>
            <w:r w:rsidR="005B6E5C" w:rsidRPr="00F90841">
              <w:rPr>
                <w:sz w:val="18"/>
                <w:lang w:val="en-GB"/>
              </w:rPr>
              <w:t xml:space="preserve"> </w:t>
            </w:r>
            <w:r w:rsidRPr="00F90841">
              <w:rPr>
                <w:sz w:val="18"/>
                <w:lang w:val="en-GB"/>
              </w:rPr>
              <w:t>055</w:t>
            </w:r>
          </w:p>
        </w:tc>
        <w:tc>
          <w:tcPr>
            <w:tcW w:w="1276" w:type="dxa"/>
            <w:tcBorders>
              <w:top w:val="nil"/>
              <w:bottom w:val="nil"/>
            </w:tcBorders>
            <w:shd w:val="clear" w:color="auto" w:fill="auto"/>
            <w:noWrap/>
            <w:tcMar>
              <w:top w:w="28" w:type="dxa"/>
              <w:left w:w="108" w:type="dxa"/>
              <w:bottom w:w="0" w:type="dxa"/>
              <w:right w:w="108" w:type="dxa"/>
            </w:tcMar>
            <w:vAlign w:val="bottom"/>
            <w:hideMark/>
          </w:tcPr>
          <w:p w14:paraId="5AD41A01"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1100</w:t>
            </w:r>
          </w:p>
        </w:tc>
        <w:tc>
          <w:tcPr>
            <w:tcW w:w="1417" w:type="dxa"/>
            <w:tcBorders>
              <w:top w:val="nil"/>
              <w:bottom w:val="nil"/>
            </w:tcBorders>
            <w:shd w:val="clear" w:color="auto" w:fill="auto"/>
            <w:noWrap/>
            <w:tcMar>
              <w:top w:w="28" w:type="dxa"/>
              <w:left w:w="108" w:type="dxa"/>
              <w:bottom w:w="0" w:type="dxa"/>
              <w:right w:w="108" w:type="dxa"/>
            </w:tcMar>
            <w:vAlign w:val="bottom"/>
            <w:hideMark/>
          </w:tcPr>
          <w:p w14:paraId="15F67F9E"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190</w:t>
            </w:r>
          </w:p>
        </w:tc>
        <w:tc>
          <w:tcPr>
            <w:tcW w:w="1134" w:type="dxa"/>
            <w:tcBorders>
              <w:top w:val="nil"/>
              <w:bottom w:val="nil"/>
            </w:tcBorders>
            <w:shd w:val="clear" w:color="auto" w:fill="auto"/>
            <w:tcMar>
              <w:top w:w="28" w:type="dxa"/>
            </w:tcMar>
            <w:vAlign w:val="bottom"/>
          </w:tcPr>
          <w:p w14:paraId="2C8A8F6A"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26</w:t>
            </w:r>
          </w:p>
        </w:tc>
        <w:tc>
          <w:tcPr>
            <w:tcW w:w="993" w:type="dxa"/>
            <w:tcBorders>
              <w:top w:val="nil"/>
              <w:bottom w:val="nil"/>
            </w:tcBorders>
            <w:shd w:val="clear" w:color="auto" w:fill="auto"/>
            <w:tcMar>
              <w:top w:w="28" w:type="dxa"/>
            </w:tcMar>
            <w:vAlign w:val="bottom"/>
          </w:tcPr>
          <w:p w14:paraId="5AACA621"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8</w:t>
            </w:r>
          </w:p>
        </w:tc>
        <w:tc>
          <w:tcPr>
            <w:tcW w:w="850" w:type="dxa"/>
            <w:tcBorders>
              <w:top w:val="nil"/>
              <w:bottom w:val="nil"/>
            </w:tcBorders>
            <w:shd w:val="clear" w:color="auto" w:fill="auto"/>
            <w:tcMar>
              <w:top w:w="28" w:type="dxa"/>
            </w:tcMar>
            <w:vAlign w:val="bottom"/>
          </w:tcPr>
          <w:p w14:paraId="2C6E2AEA"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8</w:t>
            </w:r>
          </w:p>
        </w:tc>
        <w:tc>
          <w:tcPr>
            <w:tcW w:w="884" w:type="dxa"/>
            <w:tcBorders>
              <w:top w:val="nil"/>
              <w:bottom w:val="nil"/>
            </w:tcBorders>
            <w:shd w:val="clear" w:color="auto" w:fill="auto"/>
            <w:tcMar>
              <w:top w:w="28" w:type="dxa"/>
            </w:tcMar>
            <w:vAlign w:val="bottom"/>
          </w:tcPr>
          <w:p w14:paraId="19710E34"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w:t>
            </w:r>
          </w:p>
        </w:tc>
      </w:tr>
      <w:tr w:rsidR="00306153" w:rsidRPr="00F90841" w14:paraId="586F7754" w14:textId="77777777" w:rsidTr="004F1DCF">
        <w:tc>
          <w:tcPr>
            <w:tcW w:w="817" w:type="dxa"/>
            <w:tcBorders>
              <w:top w:val="nil"/>
            </w:tcBorders>
            <w:shd w:val="clear" w:color="auto" w:fill="auto"/>
            <w:noWrap/>
            <w:tcMar>
              <w:top w:w="28" w:type="dxa"/>
              <w:left w:w="108" w:type="dxa"/>
              <w:bottom w:w="0" w:type="dxa"/>
              <w:right w:w="108" w:type="dxa"/>
            </w:tcMar>
            <w:hideMark/>
          </w:tcPr>
          <w:p w14:paraId="6234CAF8" w14:textId="77777777" w:rsidR="007467BC" w:rsidRPr="00F90841" w:rsidRDefault="007467BC" w:rsidP="005B6E5C">
            <w:pPr>
              <w:pStyle w:val="NormalG"/>
              <w:spacing w:before="40" w:after="40" w:line="220" w:lineRule="exact"/>
              <w:ind w:right="113"/>
              <w:rPr>
                <w:sz w:val="18"/>
                <w:lang w:val="en-GB"/>
              </w:rPr>
            </w:pPr>
            <w:r w:rsidRPr="00F90841">
              <w:rPr>
                <w:sz w:val="18"/>
                <w:lang w:val="en-GB"/>
              </w:rPr>
              <w:t>2017</w:t>
            </w:r>
          </w:p>
        </w:tc>
        <w:tc>
          <w:tcPr>
            <w:tcW w:w="1134" w:type="dxa"/>
            <w:tcBorders>
              <w:top w:val="nil"/>
            </w:tcBorders>
            <w:shd w:val="clear" w:color="auto" w:fill="auto"/>
            <w:noWrap/>
            <w:tcMar>
              <w:top w:w="28" w:type="dxa"/>
              <w:left w:w="108" w:type="dxa"/>
              <w:bottom w:w="0" w:type="dxa"/>
              <w:right w:w="108" w:type="dxa"/>
            </w:tcMar>
            <w:vAlign w:val="bottom"/>
            <w:hideMark/>
          </w:tcPr>
          <w:p w14:paraId="1E5B80E9"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4</w:t>
            </w:r>
            <w:r w:rsidR="005B6E5C" w:rsidRPr="00F90841">
              <w:rPr>
                <w:sz w:val="18"/>
                <w:lang w:val="en-GB"/>
              </w:rPr>
              <w:t xml:space="preserve"> </w:t>
            </w:r>
            <w:r w:rsidRPr="00F90841">
              <w:rPr>
                <w:sz w:val="18"/>
                <w:lang w:val="en-GB"/>
              </w:rPr>
              <w:t>536</w:t>
            </w:r>
          </w:p>
        </w:tc>
        <w:tc>
          <w:tcPr>
            <w:tcW w:w="1276" w:type="dxa"/>
            <w:tcBorders>
              <w:top w:val="nil"/>
            </w:tcBorders>
            <w:shd w:val="clear" w:color="auto" w:fill="auto"/>
            <w:noWrap/>
            <w:tcMar>
              <w:top w:w="28" w:type="dxa"/>
              <w:left w:w="108" w:type="dxa"/>
              <w:bottom w:w="0" w:type="dxa"/>
              <w:right w:w="108" w:type="dxa"/>
            </w:tcMar>
            <w:vAlign w:val="bottom"/>
            <w:hideMark/>
          </w:tcPr>
          <w:p w14:paraId="376D24F1"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1003</w:t>
            </w:r>
          </w:p>
        </w:tc>
        <w:tc>
          <w:tcPr>
            <w:tcW w:w="1417" w:type="dxa"/>
            <w:tcBorders>
              <w:top w:val="nil"/>
            </w:tcBorders>
            <w:shd w:val="clear" w:color="auto" w:fill="auto"/>
            <w:noWrap/>
            <w:tcMar>
              <w:top w:w="28" w:type="dxa"/>
              <w:left w:w="108" w:type="dxa"/>
              <w:bottom w:w="0" w:type="dxa"/>
              <w:right w:w="108" w:type="dxa"/>
            </w:tcMar>
            <w:vAlign w:val="bottom"/>
            <w:hideMark/>
          </w:tcPr>
          <w:p w14:paraId="712EF12A"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186</w:t>
            </w:r>
          </w:p>
        </w:tc>
        <w:tc>
          <w:tcPr>
            <w:tcW w:w="1134" w:type="dxa"/>
            <w:tcBorders>
              <w:top w:val="nil"/>
            </w:tcBorders>
            <w:shd w:val="clear" w:color="auto" w:fill="auto"/>
            <w:tcMar>
              <w:top w:w="28" w:type="dxa"/>
            </w:tcMar>
            <w:vAlign w:val="bottom"/>
          </w:tcPr>
          <w:p w14:paraId="30E6BA44"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13</w:t>
            </w:r>
          </w:p>
        </w:tc>
        <w:tc>
          <w:tcPr>
            <w:tcW w:w="993" w:type="dxa"/>
            <w:tcBorders>
              <w:top w:val="nil"/>
            </w:tcBorders>
            <w:shd w:val="clear" w:color="auto" w:fill="auto"/>
            <w:tcMar>
              <w:top w:w="28" w:type="dxa"/>
            </w:tcMar>
            <w:vAlign w:val="bottom"/>
          </w:tcPr>
          <w:p w14:paraId="1E848CA9"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3</w:t>
            </w:r>
          </w:p>
        </w:tc>
        <w:tc>
          <w:tcPr>
            <w:tcW w:w="850" w:type="dxa"/>
            <w:tcBorders>
              <w:top w:val="nil"/>
            </w:tcBorders>
            <w:shd w:val="clear" w:color="auto" w:fill="auto"/>
            <w:tcMar>
              <w:top w:w="28" w:type="dxa"/>
            </w:tcMar>
            <w:vAlign w:val="bottom"/>
          </w:tcPr>
          <w:p w14:paraId="5E14ED95"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3</w:t>
            </w:r>
          </w:p>
        </w:tc>
        <w:tc>
          <w:tcPr>
            <w:tcW w:w="884" w:type="dxa"/>
            <w:tcBorders>
              <w:top w:val="nil"/>
            </w:tcBorders>
            <w:shd w:val="clear" w:color="auto" w:fill="auto"/>
            <w:tcMar>
              <w:top w:w="28" w:type="dxa"/>
            </w:tcMar>
            <w:vAlign w:val="bottom"/>
          </w:tcPr>
          <w:p w14:paraId="63EB6430"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2</w:t>
            </w:r>
          </w:p>
        </w:tc>
      </w:tr>
      <w:tr w:rsidR="005B6E5C" w:rsidRPr="00F90841" w14:paraId="4FFA66F3" w14:textId="77777777" w:rsidTr="00C46FB7">
        <w:tc>
          <w:tcPr>
            <w:tcW w:w="817" w:type="dxa"/>
            <w:shd w:val="clear" w:color="auto" w:fill="auto"/>
            <w:noWrap/>
            <w:tcMar>
              <w:top w:w="28" w:type="dxa"/>
              <w:left w:w="108" w:type="dxa"/>
              <w:bottom w:w="0" w:type="dxa"/>
              <w:right w:w="108" w:type="dxa"/>
            </w:tcMar>
          </w:tcPr>
          <w:p w14:paraId="4741AEF3" w14:textId="77777777" w:rsidR="007467BC" w:rsidRPr="00F90841" w:rsidRDefault="007467BC" w:rsidP="005B6E5C">
            <w:pPr>
              <w:pStyle w:val="NormalG"/>
              <w:spacing w:before="40" w:after="40" w:line="220" w:lineRule="exact"/>
              <w:ind w:right="113"/>
              <w:rPr>
                <w:sz w:val="18"/>
                <w:lang w:val="en-GB"/>
              </w:rPr>
            </w:pPr>
            <w:r w:rsidRPr="00F90841">
              <w:rPr>
                <w:sz w:val="18"/>
                <w:lang w:val="en-GB"/>
              </w:rPr>
              <w:t>2018</w:t>
            </w:r>
          </w:p>
        </w:tc>
        <w:tc>
          <w:tcPr>
            <w:tcW w:w="1134" w:type="dxa"/>
            <w:shd w:val="clear" w:color="auto" w:fill="auto"/>
            <w:noWrap/>
            <w:tcMar>
              <w:top w:w="28" w:type="dxa"/>
              <w:left w:w="108" w:type="dxa"/>
              <w:bottom w:w="0" w:type="dxa"/>
              <w:right w:w="108" w:type="dxa"/>
            </w:tcMar>
            <w:vAlign w:val="bottom"/>
          </w:tcPr>
          <w:p w14:paraId="3DE18D86"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4</w:t>
            </w:r>
            <w:r w:rsidR="005B6E5C" w:rsidRPr="00F90841">
              <w:rPr>
                <w:sz w:val="18"/>
                <w:lang w:val="en-GB"/>
              </w:rPr>
              <w:t xml:space="preserve"> </w:t>
            </w:r>
            <w:r w:rsidRPr="00F90841">
              <w:rPr>
                <w:sz w:val="18"/>
                <w:lang w:val="en-GB"/>
              </w:rPr>
              <w:t>398</w:t>
            </w:r>
          </w:p>
        </w:tc>
        <w:tc>
          <w:tcPr>
            <w:tcW w:w="1276" w:type="dxa"/>
            <w:shd w:val="clear" w:color="auto" w:fill="auto"/>
            <w:noWrap/>
            <w:tcMar>
              <w:top w:w="28" w:type="dxa"/>
              <w:left w:w="108" w:type="dxa"/>
              <w:bottom w:w="0" w:type="dxa"/>
              <w:right w:w="108" w:type="dxa"/>
            </w:tcMar>
            <w:vAlign w:val="bottom"/>
          </w:tcPr>
          <w:p w14:paraId="10FF2114"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865</w:t>
            </w:r>
          </w:p>
        </w:tc>
        <w:tc>
          <w:tcPr>
            <w:tcW w:w="1417" w:type="dxa"/>
            <w:shd w:val="clear" w:color="auto" w:fill="auto"/>
            <w:noWrap/>
            <w:tcMar>
              <w:top w:w="28" w:type="dxa"/>
              <w:left w:w="108" w:type="dxa"/>
              <w:bottom w:w="0" w:type="dxa"/>
              <w:right w:w="108" w:type="dxa"/>
            </w:tcMar>
            <w:vAlign w:val="bottom"/>
          </w:tcPr>
          <w:p w14:paraId="26A4B61D" w14:textId="77777777" w:rsidR="007467BC" w:rsidRPr="00F90841" w:rsidRDefault="007467BC" w:rsidP="005B6E5C">
            <w:pPr>
              <w:spacing w:before="40" w:after="40" w:line="220" w:lineRule="exact"/>
              <w:ind w:right="113"/>
              <w:jc w:val="right"/>
              <w:rPr>
                <w:sz w:val="18"/>
              </w:rPr>
            </w:pPr>
            <w:r w:rsidRPr="00F90841">
              <w:rPr>
                <w:sz w:val="18"/>
              </w:rPr>
              <w:t>210</w:t>
            </w:r>
          </w:p>
        </w:tc>
        <w:tc>
          <w:tcPr>
            <w:tcW w:w="1134" w:type="dxa"/>
            <w:shd w:val="clear" w:color="auto" w:fill="auto"/>
            <w:tcMar>
              <w:top w:w="28" w:type="dxa"/>
            </w:tcMar>
            <w:vAlign w:val="bottom"/>
          </w:tcPr>
          <w:p w14:paraId="17EB32B5"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16</w:t>
            </w:r>
          </w:p>
        </w:tc>
        <w:tc>
          <w:tcPr>
            <w:tcW w:w="993" w:type="dxa"/>
            <w:shd w:val="clear" w:color="auto" w:fill="auto"/>
            <w:tcMar>
              <w:top w:w="28" w:type="dxa"/>
            </w:tcMar>
            <w:vAlign w:val="bottom"/>
          </w:tcPr>
          <w:p w14:paraId="3504F7C3"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9</w:t>
            </w:r>
          </w:p>
        </w:tc>
        <w:tc>
          <w:tcPr>
            <w:tcW w:w="850" w:type="dxa"/>
            <w:shd w:val="clear" w:color="auto" w:fill="auto"/>
            <w:tcMar>
              <w:top w:w="28" w:type="dxa"/>
            </w:tcMar>
            <w:vAlign w:val="bottom"/>
          </w:tcPr>
          <w:p w14:paraId="1AA1BB8C"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0</w:t>
            </w:r>
          </w:p>
        </w:tc>
        <w:tc>
          <w:tcPr>
            <w:tcW w:w="884" w:type="dxa"/>
            <w:shd w:val="clear" w:color="auto" w:fill="auto"/>
            <w:tcMar>
              <w:top w:w="28" w:type="dxa"/>
            </w:tcMar>
            <w:vAlign w:val="bottom"/>
          </w:tcPr>
          <w:p w14:paraId="49A4BD2E" w14:textId="77777777" w:rsidR="007467BC" w:rsidRPr="00F90841" w:rsidRDefault="007467BC" w:rsidP="005B6E5C">
            <w:pPr>
              <w:pStyle w:val="NormalG"/>
              <w:spacing w:before="40" w:after="40" w:line="220" w:lineRule="exact"/>
              <w:ind w:right="113"/>
              <w:jc w:val="right"/>
              <w:rPr>
                <w:sz w:val="18"/>
                <w:lang w:val="en-GB"/>
              </w:rPr>
            </w:pPr>
            <w:r w:rsidRPr="00F90841">
              <w:rPr>
                <w:sz w:val="18"/>
                <w:lang w:val="en-GB"/>
              </w:rPr>
              <w:t>7</w:t>
            </w:r>
          </w:p>
        </w:tc>
      </w:tr>
    </w:tbl>
    <w:p w14:paraId="544C5EEE" w14:textId="77777777" w:rsidR="007467BC" w:rsidRPr="00F90841" w:rsidRDefault="007467BC" w:rsidP="00306153">
      <w:pPr>
        <w:spacing w:before="120" w:line="240" w:lineRule="atLeast"/>
        <w:ind w:left="1134" w:right="1134" w:firstLine="170"/>
        <w:rPr>
          <w:sz w:val="18"/>
        </w:rPr>
      </w:pPr>
      <w:r w:rsidRPr="00F90841">
        <w:rPr>
          <w:sz w:val="18"/>
        </w:rPr>
        <w:t>Detailed outcomes in Appendix 2</w:t>
      </w:r>
    </w:p>
    <w:p w14:paraId="10E2A475" w14:textId="77777777" w:rsidR="007467BC" w:rsidRPr="00F90841" w:rsidRDefault="007467BC" w:rsidP="00306153">
      <w:pPr>
        <w:pStyle w:val="SingleTxtG"/>
        <w:spacing w:before="240"/>
      </w:pPr>
      <w:r w:rsidRPr="00F90841">
        <w:t>95.</w:t>
      </w:r>
      <w:r w:rsidRPr="00F90841">
        <w:tab/>
        <w:t>Every Tactical Options Report and available taser footage is reviewed by a supervisor and commissioned officer. All uses involving discharge or contact stun are subject to the Police Taser Assurance Forum</w:t>
      </w:r>
      <w:r w:rsidR="00562737" w:rsidRPr="00F90841">
        <w:t>’</w:t>
      </w:r>
      <w:r w:rsidRPr="00F90841">
        <w:t>s review. It scrutinises reports, discharge footage, firing logs, and audit trails. The Forum focuses on reporting accuracy, adherence to policy, training, best practice, and lessons learned. It can prepare a report outlining findings or recommendations.</w:t>
      </w:r>
    </w:p>
    <w:p w14:paraId="61CBE7BB" w14:textId="77777777" w:rsidR="007467BC" w:rsidRPr="00F90841" w:rsidRDefault="007467BC" w:rsidP="007467BC">
      <w:pPr>
        <w:pStyle w:val="SingleTxtG"/>
      </w:pPr>
      <w:r w:rsidRPr="00F90841">
        <w:lastRenderedPageBreak/>
        <w:t>96.</w:t>
      </w:r>
      <w:r w:rsidRPr="00F90841">
        <w:tab/>
        <w:t>IPCA investigates complaints, monitors and reviews Police use of force, and makes recommendations.</w:t>
      </w:r>
      <w:r w:rsidRPr="00F90841" w:rsidDel="005910F7">
        <w:t xml:space="preserve"> </w:t>
      </w:r>
      <w:r w:rsidRPr="00F90841">
        <w:t>A supervisor can recommend notifying IPCA (required by legislation for some event types).</w:t>
      </w:r>
      <w:r w:rsidRPr="00F90841" w:rsidDel="005910F7">
        <w:t xml:space="preserve"> </w:t>
      </w:r>
      <w:r w:rsidRPr="00F90841">
        <w:t>In 2018, 16 out of 415 use of force complaints received and notified to IPCA related to tasers.</w:t>
      </w:r>
    </w:p>
    <w:p w14:paraId="6685D8DB" w14:textId="77777777" w:rsidR="007467BC" w:rsidRPr="00F90841" w:rsidRDefault="007467BC" w:rsidP="00306153">
      <w:pPr>
        <w:pStyle w:val="H23G"/>
      </w:pPr>
      <w:r w:rsidRPr="00F90841">
        <w:tab/>
      </w:r>
      <w:r w:rsidRPr="00F90841">
        <w:tab/>
        <w:t>Use of pepper-spray in prisons</w:t>
      </w:r>
    </w:p>
    <w:p w14:paraId="37DD474A" w14:textId="77777777" w:rsidR="007467BC" w:rsidRPr="00F90841" w:rsidRDefault="007467BC" w:rsidP="007467BC">
      <w:pPr>
        <w:pStyle w:val="SingleTxtG"/>
      </w:pPr>
      <w:r w:rsidRPr="00F90841">
        <w:t>97.</w:t>
      </w:r>
      <w:r w:rsidRPr="00F90841">
        <w:tab/>
        <w:t>The Corrections Amendment Regulations 2017 enable prison directors to issue pepper-spray to trained officers. Corrections officers must undergo a four-hour training, annual refresher training, and re-certification course, as part of their Tactical Options training.</w:t>
      </w:r>
      <w:r w:rsidRPr="00F90841" w:rsidDel="005910F7">
        <w:t xml:space="preserve"> </w:t>
      </w:r>
      <w:r w:rsidRPr="00F90841">
        <w:t>They must be trained in first aid, control and restraint, and the use of On-Body-Cameras. Cameras must be activated at the earliest practicable time when pepper-spray is drawn. The initial training covers:</w:t>
      </w:r>
    </w:p>
    <w:p w14:paraId="3F04B3C8" w14:textId="77777777" w:rsidR="007467BC" w:rsidRPr="00F90841" w:rsidRDefault="007467BC" w:rsidP="00306153">
      <w:pPr>
        <w:pStyle w:val="Bullet1G"/>
      </w:pPr>
      <w:r w:rsidRPr="00F90841">
        <w:t>Techniques for use and distance control;</w:t>
      </w:r>
    </w:p>
    <w:p w14:paraId="3271C797" w14:textId="77777777" w:rsidR="007467BC" w:rsidRPr="00F90841" w:rsidRDefault="007467BC" w:rsidP="00306153">
      <w:pPr>
        <w:pStyle w:val="Bullet1G"/>
      </w:pPr>
      <w:r w:rsidRPr="00F90841">
        <w:t>Situational awareness and threat assessment;</w:t>
      </w:r>
    </w:p>
    <w:p w14:paraId="5202ADB7" w14:textId="77777777" w:rsidR="007467BC" w:rsidRPr="00F90841" w:rsidRDefault="007467BC" w:rsidP="00306153">
      <w:pPr>
        <w:pStyle w:val="Bullet1G"/>
      </w:pPr>
      <w:r w:rsidRPr="00F90841">
        <w:t>Aftercare and reassurance;</w:t>
      </w:r>
    </w:p>
    <w:p w14:paraId="4BCF38B8" w14:textId="77777777" w:rsidR="007467BC" w:rsidRPr="00F90841" w:rsidRDefault="007467BC" w:rsidP="00306153">
      <w:pPr>
        <w:pStyle w:val="Bullet1G"/>
      </w:pPr>
      <w:r w:rsidRPr="00F90841">
        <w:t>Equipment retention and self-protection.</w:t>
      </w:r>
    </w:p>
    <w:p w14:paraId="67BFD29E" w14:textId="77777777" w:rsidR="007467BC" w:rsidRPr="00F90841" w:rsidRDefault="007467BC" w:rsidP="007467BC">
      <w:pPr>
        <w:pStyle w:val="SingleTxtG"/>
      </w:pPr>
      <w:r w:rsidRPr="00F90841">
        <w:t>98.</w:t>
      </w:r>
      <w:r w:rsidRPr="00F90841">
        <w:tab/>
        <w:t>De-escalation techniques are included in the Tactical Options training. The manager, prison director and Incident Line must be notified if pepper-spray was drawn. All incidents involving use are subject to review.</w:t>
      </w:r>
    </w:p>
    <w:p w14:paraId="44FFE731" w14:textId="77777777" w:rsidR="007467BC" w:rsidRPr="00F90841" w:rsidRDefault="007467BC" w:rsidP="007467BC">
      <w:pPr>
        <w:pStyle w:val="SingleTxtG"/>
      </w:pPr>
      <w:r w:rsidRPr="00F90841">
        <w:t>99.</w:t>
      </w:r>
      <w:r w:rsidRPr="00F90841">
        <w:tab/>
        <w:t>From its introduction in July 2017, to 30 June 2019, there were 744 incidents (in 18 prisons), of which:</w:t>
      </w:r>
    </w:p>
    <w:p w14:paraId="28551CF1" w14:textId="77777777" w:rsidR="007467BC" w:rsidRPr="00F90841" w:rsidRDefault="007467BC" w:rsidP="00306153">
      <w:pPr>
        <w:pStyle w:val="Bullet1G"/>
      </w:pPr>
      <w:r w:rsidRPr="00F90841">
        <w:t>68% involved drawing;</w:t>
      </w:r>
    </w:p>
    <w:p w14:paraId="644410BB" w14:textId="77777777" w:rsidR="007467BC" w:rsidRPr="00F90841" w:rsidRDefault="007467BC" w:rsidP="00306153">
      <w:pPr>
        <w:pStyle w:val="Bullet1G"/>
      </w:pPr>
      <w:r w:rsidRPr="00F90841">
        <w:t>32% involved use.</w:t>
      </w:r>
    </w:p>
    <w:p w14:paraId="2242C534" w14:textId="77777777" w:rsidR="007467BC" w:rsidRPr="00F90841" w:rsidRDefault="007467BC" w:rsidP="007467BC">
      <w:pPr>
        <w:pStyle w:val="SingleTxtG"/>
      </w:pPr>
      <w:r w:rsidRPr="00F90841">
        <w:t>100.</w:t>
      </w:r>
      <w:r w:rsidRPr="00F90841">
        <w:tab/>
        <w:t xml:space="preserve">As of 30 June 2019, there have been five complaints. </w:t>
      </w:r>
    </w:p>
    <w:p w14:paraId="76942B9C" w14:textId="77777777" w:rsidR="007467BC" w:rsidRPr="00F90841" w:rsidRDefault="007467BC" w:rsidP="00306153">
      <w:pPr>
        <w:pStyle w:val="H1G"/>
      </w:pPr>
      <w:r w:rsidRPr="00F90841">
        <w:tab/>
      </w:r>
      <w:r w:rsidRPr="00F90841">
        <w:tab/>
        <w:t>Reply to paragraph 16 of the list of issues</w:t>
      </w:r>
    </w:p>
    <w:p w14:paraId="2D5A0A11" w14:textId="77777777" w:rsidR="007467BC" w:rsidRPr="00F90841" w:rsidRDefault="007467BC" w:rsidP="00306153">
      <w:pPr>
        <w:pStyle w:val="H23G"/>
      </w:pPr>
      <w:r w:rsidRPr="00F90841">
        <w:tab/>
      </w:r>
      <w:r w:rsidRPr="00F90841">
        <w:tab/>
        <w:t>Training to identify and deal with torture victims</w:t>
      </w:r>
    </w:p>
    <w:p w14:paraId="7240F488" w14:textId="77777777" w:rsidR="007467BC" w:rsidRPr="00F90841" w:rsidRDefault="007467BC" w:rsidP="00306153">
      <w:pPr>
        <w:pStyle w:val="H23G"/>
      </w:pPr>
      <w:r w:rsidRPr="00F90841">
        <w:tab/>
      </w:r>
      <w:r w:rsidRPr="00F90841">
        <w:tab/>
        <w:t>Judges</w:t>
      </w:r>
    </w:p>
    <w:p w14:paraId="40F1F4C0" w14:textId="77777777" w:rsidR="007467BC" w:rsidRPr="00F90841" w:rsidRDefault="007467BC" w:rsidP="007467BC">
      <w:pPr>
        <w:pStyle w:val="SingleTxtG"/>
      </w:pPr>
      <w:r w:rsidRPr="00F90841">
        <w:t>101.</w:t>
      </w:r>
      <w:r w:rsidRPr="00F90841">
        <w:tab/>
        <w:t>To ensure independence of the Judiciary, training and resources are provided by the Institute of Judicial Studies, the professional development arm of the Judiciary. The Institute</w:t>
      </w:r>
      <w:r w:rsidR="00562737" w:rsidRPr="00F90841">
        <w:t>’</w:t>
      </w:r>
      <w:r w:rsidRPr="00F90841">
        <w:t>s curriculum includes domestic human rights legislation and international human rights instruments. Members of the Immigration and Protection Tribunal are trained in the Refugee Convention and other relevant conventions.</w:t>
      </w:r>
    </w:p>
    <w:p w14:paraId="1D474098" w14:textId="77777777" w:rsidR="007467BC" w:rsidRPr="00F90841" w:rsidRDefault="007467BC" w:rsidP="00D92FBF">
      <w:pPr>
        <w:pStyle w:val="H23G"/>
      </w:pPr>
      <w:r w:rsidRPr="00F90841">
        <w:tab/>
      </w:r>
      <w:r w:rsidRPr="00F90841">
        <w:tab/>
        <w:t>Prosecutors</w:t>
      </w:r>
    </w:p>
    <w:p w14:paraId="5185CEB3" w14:textId="77777777" w:rsidR="007467BC" w:rsidRPr="00F90841" w:rsidRDefault="007467BC" w:rsidP="007467BC">
      <w:pPr>
        <w:pStyle w:val="SingleTxtG"/>
      </w:pPr>
      <w:r w:rsidRPr="00F90841">
        <w:t>102.</w:t>
      </w:r>
      <w:r w:rsidRPr="00F90841">
        <w:tab/>
        <w:t>Crown prosecutors do not receive specific training regarding the Convention or detecting torture. Similarly, the Police Prosecution Service does not deliver any training programmes for Police prosecutors on detecting and documenting torture. However, training does include the Crimes of Torture Act.</w:t>
      </w:r>
    </w:p>
    <w:p w14:paraId="15578DCF" w14:textId="77777777" w:rsidR="007467BC" w:rsidRPr="00F90841" w:rsidRDefault="007467BC" w:rsidP="00E8257B">
      <w:pPr>
        <w:pStyle w:val="H23G"/>
      </w:pPr>
      <w:r w:rsidRPr="00F90841">
        <w:tab/>
      </w:r>
      <w:r w:rsidRPr="00F90841">
        <w:tab/>
        <w:t>Refugee personnel</w:t>
      </w:r>
    </w:p>
    <w:p w14:paraId="5AE7FD70" w14:textId="77777777" w:rsidR="007467BC" w:rsidRPr="00F90841" w:rsidRDefault="007467BC" w:rsidP="007467BC">
      <w:pPr>
        <w:pStyle w:val="SingleTxtG"/>
      </w:pPr>
      <w:r w:rsidRPr="00F90841">
        <w:t>103.</w:t>
      </w:r>
      <w:r w:rsidRPr="00F90841">
        <w:tab/>
        <w:t>Health providers at MRRC prepare Istanbul Protocol reports.</w:t>
      </w:r>
      <w:r w:rsidRPr="00F90841" w:rsidDel="00525AC3">
        <w:t xml:space="preserve"> </w:t>
      </w:r>
      <w:r w:rsidRPr="00F90841">
        <w:t>A handbook helps health professionals provide services to refugees. It includes information on torture and trauma experiences, and how experiences may affect consultation. The handbook provides advice on responding to disclosures of torture, and how to explore whether individuals wish to be referred to counselling. It references the Istanbul Protocol and refers health professionals to the OHCHR website. Immigration officers receive training about the handling of sensitive claims, including victims of trauma. UNHCR</w:t>
      </w:r>
      <w:r w:rsidR="00562737" w:rsidRPr="00F90841">
        <w:t>’</w:t>
      </w:r>
      <w:r w:rsidRPr="00F90841">
        <w:t>s office in Canberra has provided training on mental health issues.</w:t>
      </w:r>
    </w:p>
    <w:p w14:paraId="10F29738" w14:textId="77777777" w:rsidR="007467BC" w:rsidRPr="00F90841" w:rsidRDefault="007467BC" w:rsidP="007467BC">
      <w:pPr>
        <w:pStyle w:val="SingleTxtG"/>
      </w:pPr>
      <w:r w:rsidRPr="00F90841">
        <w:t>104.</w:t>
      </w:r>
      <w:r w:rsidRPr="00F90841">
        <w:tab/>
        <w:t xml:space="preserve">The Ministry of Health-funded Cultural and Linguistic Diversity eCALD.com-programme offers training and resources for health professionals working with refugee and </w:t>
      </w:r>
      <w:r w:rsidRPr="00F90841">
        <w:lastRenderedPageBreak/>
        <w:t>migrant communities, including a resource on medically assessing refugees who may be victims of torture. The courses use cross-cultural models to enhance engagement, trust and culturally appropriate approaches. It includes the impact of torture on health, how to manage history-taking, and how trauma may impact consultations.</w:t>
      </w:r>
    </w:p>
    <w:p w14:paraId="459FF78A" w14:textId="77777777" w:rsidR="007467BC" w:rsidRPr="00F90841" w:rsidRDefault="007467BC" w:rsidP="00E8257B">
      <w:pPr>
        <w:pStyle w:val="H23G"/>
      </w:pPr>
      <w:r w:rsidRPr="00F90841">
        <w:tab/>
      </w:r>
      <w:r w:rsidRPr="00F90841">
        <w:tab/>
        <w:t>Mental health and disability services personnel</w:t>
      </w:r>
    </w:p>
    <w:p w14:paraId="24E84BD1" w14:textId="77777777" w:rsidR="007467BC" w:rsidRPr="00F90841" w:rsidRDefault="007467BC" w:rsidP="007467BC">
      <w:pPr>
        <w:pStyle w:val="SingleTxtG"/>
      </w:pPr>
      <w:r w:rsidRPr="00F90841">
        <w:t>105.</w:t>
      </w:r>
      <w:r w:rsidRPr="00F90841">
        <w:tab/>
        <w:t>Guidelines for the Mental Health Act are available to clinicians and administrators. Mandatory training includes restraint use, standards, reporting, monitoring, and review.</w:t>
      </w:r>
      <w:r w:rsidRPr="00F90841" w:rsidDel="007B6D65">
        <w:t xml:space="preserve"> </w:t>
      </w:r>
      <w:r w:rsidRPr="00F90841">
        <w:t>Similar guidelines are available for the Intellectual Disability (Compulsory Care and Rehabilitation) Act and the Substance Addiction (Compulsory Assessment and Treatment) Act. The Mental Health Act guidelines are being reviewed.</w:t>
      </w:r>
    </w:p>
    <w:p w14:paraId="7EB14CDD" w14:textId="77777777" w:rsidR="007467BC" w:rsidRPr="00F90841" w:rsidRDefault="007467BC" w:rsidP="007467BC">
      <w:pPr>
        <w:pStyle w:val="SingleTxtG"/>
      </w:pPr>
      <w:r w:rsidRPr="00F90841">
        <w:t>106.</w:t>
      </w:r>
      <w:r w:rsidRPr="00F90841">
        <w:tab/>
        <w:t xml:space="preserve">The current workforces are under considerable pressure and the Ombudsman has observed issues around recruitment and retention of staff in mental health facilities, and the impact this has on the effectiveness of training and availability of therapeutic interventions. In 2019, the Government accepted a recommendation in </w:t>
      </w:r>
      <w:r w:rsidRPr="00F90841">
        <w:rPr>
          <w:i/>
          <w:iCs/>
        </w:rPr>
        <w:t xml:space="preserve">He Ara </w:t>
      </w:r>
      <w:proofErr w:type="spellStart"/>
      <w:r w:rsidRPr="00F90841">
        <w:rPr>
          <w:i/>
          <w:iCs/>
        </w:rPr>
        <w:t>Oranga</w:t>
      </w:r>
      <w:proofErr w:type="spellEnd"/>
      <w:r w:rsidRPr="00F90841">
        <w:t xml:space="preserve"> to review and establish workforce development and worker wellbeing priorities. The longer-term response to </w:t>
      </w:r>
      <w:proofErr w:type="spellStart"/>
      <w:r w:rsidRPr="00F90841">
        <w:rPr>
          <w:i/>
          <w:iCs/>
        </w:rPr>
        <w:t>He</w:t>
      </w:r>
      <w:proofErr w:type="spellEnd"/>
      <w:r w:rsidRPr="00F90841">
        <w:rPr>
          <w:i/>
          <w:iCs/>
        </w:rPr>
        <w:t xml:space="preserve"> Ara </w:t>
      </w:r>
      <w:proofErr w:type="spellStart"/>
      <w:r w:rsidRPr="00F90841">
        <w:rPr>
          <w:i/>
          <w:iCs/>
        </w:rPr>
        <w:t>Oranga</w:t>
      </w:r>
      <w:proofErr w:type="spellEnd"/>
      <w:r w:rsidRPr="00F90841">
        <w:t xml:space="preserve"> will include pathway development and structural support to continue to increase capacity and capability. </w:t>
      </w:r>
    </w:p>
    <w:p w14:paraId="72DEC679" w14:textId="77777777" w:rsidR="007467BC" w:rsidRPr="00F90841" w:rsidRDefault="007467BC" w:rsidP="00E8257B">
      <w:pPr>
        <w:pStyle w:val="H1G"/>
      </w:pPr>
      <w:bookmarkStart w:id="33" w:name="_Toc20139399"/>
      <w:r w:rsidRPr="00F90841">
        <w:tab/>
      </w:r>
      <w:r w:rsidRPr="00F90841">
        <w:tab/>
        <w:t>Article 11</w:t>
      </w:r>
      <w:bookmarkEnd w:id="33"/>
      <w:r w:rsidRPr="00F90841">
        <w:t xml:space="preserve"> </w:t>
      </w:r>
    </w:p>
    <w:p w14:paraId="67710A76" w14:textId="77777777" w:rsidR="007467BC" w:rsidRPr="00F90841" w:rsidRDefault="007467BC" w:rsidP="00E8257B">
      <w:pPr>
        <w:pStyle w:val="H1G"/>
      </w:pPr>
      <w:r w:rsidRPr="00F90841">
        <w:tab/>
      </w:r>
      <w:r w:rsidRPr="00F90841">
        <w:tab/>
        <w:t>Reply to paragraph 17 of the list of issues</w:t>
      </w:r>
    </w:p>
    <w:p w14:paraId="76AB5078" w14:textId="77777777" w:rsidR="007467BC" w:rsidRPr="00F90841" w:rsidRDefault="007467BC" w:rsidP="00E8257B">
      <w:pPr>
        <w:pStyle w:val="H23G"/>
      </w:pPr>
      <w:bookmarkStart w:id="34" w:name="_Hlk517097096"/>
      <w:r w:rsidRPr="00F90841">
        <w:tab/>
      </w:r>
      <w:r w:rsidRPr="00F90841">
        <w:tab/>
        <w:t>Interrogation and custody rules</w:t>
      </w:r>
      <w:bookmarkEnd w:id="34"/>
    </w:p>
    <w:p w14:paraId="253AF23F" w14:textId="77777777" w:rsidR="007467BC" w:rsidRPr="00F90841" w:rsidRDefault="007467BC" w:rsidP="00E8257B">
      <w:pPr>
        <w:pStyle w:val="H23G"/>
      </w:pPr>
      <w:r w:rsidRPr="00F90841">
        <w:tab/>
      </w:r>
      <w:r w:rsidRPr="00F90841">
        <w:tab/>
        <w:t xml:space="preserve">Prisons </w:t>
      </w:r>
    </w:p>
    <w:p w14:paraId="616C2F08" w14:textId="77777777" w:rsidR="007467BC" w:rsidRPr="00F90841" w:rsidRDefault="007467BC" w:rsidP="007467BC">
      <w:pPr>
        <w:pStyle w:val="SingleTxtG"/>
      </w:pPr>
      <w:r w:rsidRPr="00F90841">
        <w:t>107.</w:t>
      </w:r>
      <w:r w:rsidRPr="00F90841">
        <w:tab/>
        <w:t>Instructions regarding the operation of prisons are in the Prison Operations Manual and Custodial Practice Manual. Instructions are reviewed when required.</w:t>
      </w:r>
      <w:bookmarkStart w:id="35" w:name="_Hlk525561439"/>
      <w:bookmarkStart w:id="36" w:name="_Hlk529891718"/>
      <w:bookmarkEnd w:id="31"/>
      <w:r w:rsidRPr="00F90841">
        <w:t xml:space="preserve"> </w:t>
      </w:r>
      <w:bookmarkStart w:id="37" w:name="_Ref183157"/>
      <w:bookmarkStart w:id="38" w:name="_Hlk529953321"/>
      <w:r w:rsidRPr="00F90841">
        <w:t>The Corrections Act does not provide for powers of interrogation and interrogation tactics are never used.</w:t>
      </w:r>
      <w:bookmarkEnd w:id="37"/>
    </w:p>
    <w:p w14:paraId="0E551F13" w14:textId="77777777" w:rsidR="007467BC" w:rsidRPr="00F90841" w:rsidRDefault="007467BC" w:rsidP="007467BC">
      <w:pPr>
        <w:pStyle w:val="SingleTxtG"/>
      </w:pPr>
      <w:r w:rsidRPr="00F90841">
        <w:t>108.</w:t>
      </w:r>
      <w:r w:rsidRPr="00F90841">
        <w:tab/>
        <w:t xml:space="preserve">A new shift pattern for staff is being developed, which intends to increase unlock hours for prisoners and recognises the importance of aligning meal times to standardised hours. The recently opened redevelopment of Auckland Prison also allows for more unlock time through modernised infrastructure and provides more space for programmes. </w:t>
      </w:r>
    </w:p>
    <w:p w14:paraId="7295D538" w14:textId="77777777" w:rsidR="007467BC" w:rsidRPr="00F90841" w:rsidRDefault="007467BC" w:rsidP="007467BC">
      <w:pPr>
        <w:pStyle w:val="SingleTxtG"/>
      </w:pPr>
      <w:r w:rsidRPr="00F90841">
        <w:t>109.</w:t>
      </w:r>
      <w:r w:rsidRPr="00F90841">
        <w:tab/>
        <w:t xml:space="preserve">Privately managed prisons must comply with the same laws relating to prisoner welfare, management, and human rights standards. Safeguards to ensure this are in place, including a full-time monitor, and extensive reporting obligations. </w:t>
      </w:r>
    </w:p>
    <w:p w14:paraId="7921C3D2" w14:textId="77777777" w:rsidR="007467BC" w:rsidRPr="00F90841" w:rsidRDefault="007467BC" w:rsidP="007467BC">
      <w:pPr>
        <w:pStyle w:val="SingleTxtG"/>
      </w:pPr>
      <w:r w:rsidRPr="00F90841">
        <w:t>110.</w:t>
      </w:r>
      <w:r w:rsidRPr="00F90841">
        <w:tab/>
        <w:t>The Ombudsman has raised concerns that there are variable conditions faced by prisoners with disabilities, who are transgender, and foreign nationals with English as a second language. Corrections is working to address these issues, including by: scoping issues faced by prisoners with sensory disabilities, implementing transgender policies, and working towards translating more information.</w:t>
      </w:r>
    </w:p>
    <w:bookmarkEnd w:id="38"/>
    <w:p w14:paraId="1F624082" w14:textId="77777777" w:rsidR="007467BC" w:rsidRPr="00F90841" w:rsidRDefault="007467BC" w:rsidP="00E8257B">
      <w:pPr>
        <w:pStyle w:val="H4G"/>
      </w:pPr>
      <w:r w:rsidRPr="00F90841">
        <w:tab/>
      </w:r>
      <w:r w:rsidRPr="00F90841">
        <w:tab/>
        <w:t>Public Protection Orders (PPOs)</w:t>
      </w:r>
    </w:p>
    <w:p w14:paraId="17518063" w14:textId="77777777" w:rsidR="007467BC" w:rsidRPr="00F90841" w:rsidRDefault="007467BC" w:rsidP="007467BC">
      <w:pPr>
        <w:pStyle w:val="SingleTxtG"/>
      </w:pPr>
      <w:r w:rsidRPr="00F90841">
        <w:t>111.</w:t>
      </w:r>
      <w:r w:rsidRPr="00F90841">
        <w:tab/>
        <w:t xml:space="preserve">The High Court can impose PPOs if a person who has completed a prison sentence continues to pose a very high risk of imminent and serious sexual or violent offending. These orders are served at a civil residence. Residents are entitled to as much autonomy and quality of life as possible, while ensuring orderly functioning and safety within the residence. Orders are reviewed annually by a panel appointed by the Minister of Justice and every five years by the High Court. As at 30 August 2019, two people were subject to PPOs. </w:t>
      </w:r>
    </w:p>
    <w:p w14:paraId="2CB7228B" w14:textId="77777777" w:rsidR="007467BC" w:rsidRPr="00F90841" w:rsidRDefault="007467BC" w:rsidP="00614548">
      <w:pPr>
        <w:pStyle w:val="H23G"/>
      </w:pPr>
      <w:r w:rsidRPr="00F90841">
        <w:tab/>
      </w:r>
      <w:r w:rsidRPr="00F90841">
        <w:tab/>
        <w:t>Police</w:t>
      </w:r>
    </w:p>
    <w:p w14:paraId="08B4FA67" w14:textId="77777777" w:rsidR="007467BC" w:rsidRPr="00F90841" w:rsidRDefault="007467BC" w:rsidP="007467BC">
      <w:pPr>
        <w:pStyle w:val="SingleTxtG"/>
      </w:pPr>
      <w:bookmarkStart w:id="39" w:name="_Hlk525293005"/>
      <w:bookmarkEnd w:id="35"/>
      <w:r w:rsidRPr="00F90841">
        <w:t>112.</w:t>
      </w:r>
      <w:r w:rsidRPr="00F90841">
        <w:tab/>
        <w:t>Police operate under legislation and judicial guides for interviewing individuals in custody. NZBORA and the Chief Justice</w:t>
      </w:r>
      <w:r w:rsidR="00562737" w:rsidRPr="00F90841">
        <w:t>’</w:t>
      </w:r>
      <w:r w:rsidRPr="00F90841">
        <w:t xml:space="preserve">s Practice Note on Police Questioning, specify the rights of individuals while being questioned by Police. The Practice Note favours video recording of all statements. Police Instructions cover interviewing, custodial management, and give effect to legal requirements. The Instructions are regularly reviewed and contain </w:t>
      </w:r>
      <w:r w:rsidRPr="00F90841">
        <w:lastRenderedPageBreak/>
        <w:t>information on dealing with persons with different needs, such as witnesses requiring special consideration, children or prisoners. Failure to follow the Instructions may result in misconduct proceedings.</w:t>
      </w:r>
      <w:r w:rsidRPr="00F90841" w:rsidDel="0017600F">
        <w:t xml:space="preserve"> </w:t>
      </w:r>
      <w:bookmarkEnd w:id="39"/>
      <w:r w:rsidRPr="00F90841">
        <w:t>Staff are also subject to a Code of Conduct.</w:t>
      </w:r>
    </w:p>
    <w:p w14:paraId="21F6F4F9" w14:textId="77777777" w:rsidR="007467BC" w:rsidRPr="00F90841" w:rsidRDefault="007467BC" w:rsidP="007467BC">
      <w:pPr>
        <w:pStyle w:val="SingleTxtG"/>
      </w:pPr>
      <w:r w:rsidRPr="00F90841">
        <w:t>113.</w:t>
      </w:r>
      <w:r w:rsidRPr="00F90841">
        <w:tab/>
        <w:t xml:space="preserve">There are legal protections for people questioned by Police in NZBORA and the Evidence Act. When interviewing young people, Police must comply with requirements in the </w:t>
      </w:r>
      <w:proofErr w:type="spellStart"/>
      <w:r w:rsidRPr="00F90841">
        <w:t>Oranga</w:t>
      </w:r>
      <w:proofErr w:type="spellEnd"/>
      <w:r w:rsidRPr="00F90841">
        <w:t xml:space="preserve"> Tamariki Act. This includes informing parents before commencing the interview and conducting interviews in the presence of an adult nominated by the young person or a lawyer.</w:t>
      </w:r>
    </w:p>
    <w:p w14:paraId="1A20A6BD" w14:textId="77777777" w:rsidR="007467BC" w:rsidRPr="00F90841" w:rsidRDefault="007467BC" w:rsidP="00614548">
      <w:pPr>
        <w:pStyle w:val="H1G"/>
      </w:pPr>
      <w:r w:rsidRPr="00F90841">
        <w:tab/>
      </w:r>
      <w:r w:rsidRPr="00F90841">
        <w:tab/>
        <w:t>Reply to paragraph 18 of the list of issues</w:t>
      </w:r>
    </w:p>
    <w:bookmarkEnd w:id="36"/>
    <w:p w14:paraId="71A94F90" w14:textId="77777777" w:rsidR="007467BC" w:rsidRPr="00F90841" w:rsidRDefault="007467BC" w:rsidP="00614548">
      <w:pPr>
        <w:pStyle w:val="H23G"/>
      </w:pPr>
      <w:r w:rsidRPr="00F90841">
        <w:tab/>
      </w:r>
      <w:r w:rsidRPr="00F90841">
        <w:tab/>
        <w:t>Places of detention</w:t>
      </w:r>
    </w:p>
    <w:p w14:paraId="075E3C48" w14:textId="77777777" w:rsidR="007467BC" w:rsidRPr="00F90841" w:rsidRDefault="007467BC" w:rsidP="00614548">
      <w:pPr>
        <w:pStyle w:val="H23G"/>
      </w:pPr>
      <w:r w:rsidRPr="00F90841">
        <w:tab/>
      </w:r>
      <w:r w:rsidRPr="00F90841">
        <w:tab/>
        <w:t>Prisons</w:t>
      </w:r>
    </w:p>
    <w:p w14:paraId="453B3819" w14:textId="77777777" w:rsidR="007467BC" w:rsidRPr="00F90841" w:rsidRDefault="007467BC" w:rsidP="00614548">
      <w:pPr>
        <w:pStyle w:val="H4G"/>
      </w:pPr>
      <w:r w:rsidRPr="00F90841">
        <w:tab/>
      </w:r>
      <w:r w:rsidRPr="00F90841">
        <w:tab/>
        <w:t>Current situation</w:t>
      </w:r>
    </w:p>
    <w:p w14:paraId="0BE3FBCA" w14:textId="77777777" w:rsidR="007467BC" w:rsidRPr="00F90841" w:rsidRDefault="007467BC" w:rsidP="008836B8">
      <w:pPr>
        <w:pStyle w:val="SingleTxtG"/>
      </w:pPr>
      <w:r w:rsidRPr="00F90841">
        <w:t>114.</w:t>
      </w:r>
      <w:r w:rsidRPr="00F90841">
        <w:tab/>
        <w:t>Between 2014 and 2018, the prison population increased by over 2,000, peaking at 10,820 in March 2018. The female prison population increased from 533 to a peak of over 800.</w:t>
      </w:r>
      <w:r w:rsidRPr="00F90841" w:rsidDel="007A3B4E">
        <w:t xml:space="preserve"> </w:t>
      </w:r>
      <w:r w:rsidRPr="00F90841">
        <w:t>Reasons for the increase are complex and include a higher proportion of repeat offenders and increases in violent offending, along with recent changes to bail laws. Since March 2018, the prison population has declined. As at 31 December 2018, there were 9,785 prisoners, 678 of which were female.</w:t>
      </w:r>
    </w:p>
    <w:p w14:paraId="443F2CA7" w14:textId="77777777" w:rsidR="007467BC" w:rsidRPr="00F90841" w:rsidRDefault="007467BC" w:rsidP="007467BC">
      <w:pPr>
        <w:pStyle w:val="SingleTxtG"/>
      </w:pPr>
      <w:r w:rsidRPr="00F90841">
        <w:t>115.</w:t>
      </w:r>
      <w:r w:rsidRPr="00F90841">
        <w:tab/>
        <w:t>Corrections is working to reduce the need to move prisoners out of region. This work includes identifying opportunities to reconfigure the prison network to ensure beds are ava</w:t>
      </w:r>
      <w:r w:rsidR="00D94CF2" w:rsidRPr="00F90841">
        <w:t>ilable in the right locations.</w:t>
      </w:r>
    </w:p>
    <w:p w14:paraId="46A0EC51" w14:textId="77777777" w:rsidR="007467BC" w:rsidRPr="00F90841" w:rsidRDefault="00614548" w:rsidP="004F1DCF">
      <w:pPr>
        <w:pStyle w:val="H23G"/>
      </w:pPr>
      <w:r w:rsidRPr="00F90841">
        <w:tab/>
      </w:r>
      <w:r w:rsidRPr="00F90841">
        <w:tab/>
      </w:r>
      <w:r w:rsidR="007467BC" w:rsidRPr="00F90841">
        <w:t>Prison occupancy</w:t>
      </w:r>
      <w:r w:rsidR="007467BC" w:rsidRPr="00F90841">
        <w:rPr>
          <w:rStyle w:val="FootnoteReference"/>
          <w:b w:val="0"/>
          <w:bCs/>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81"/>
        <w:gridCol w:w="1806"/>
        <w:gridCol w:w="1888"/>
        <w:gridCol w:w="1995"/>
      </w:tblGrid>
      <w:tr w:rsidR="007467BC" w:rsidRPr="00F90841" w14:paraId="70DF968F" w14:textId="77777777" w:rsidTr="00614548">
        <w:trPr>
          <w:tblHeader/>
        </w:trPr>
        <w:tc>
          <w:tcPr>
            <w:tcW w:w="2195" w:type="dxa"/>
            <w:tcBorders>
              <w:top w:val="single" w:sz="4" w:space="0" w:color="auto"/>
              <w:bottom w:val="single" w:sz="12" w:space="0" w:color="auto"/>
            </w:tcBorders>
            <w:shd w:val="clear" w:color="auto" w:fill="auto"/>
            <w:noWrap/>
            <w:vAlign w:val="bottom"/>
            <w:hideMark/>
          </w:tcPr>
          <w:p w14:paraId="2696BD9D" w14:textId="77777777" w:rsidR="007467BC" w:rsidRPr="00F90841" w:rsidRDefault="007467BC" w:rsidP="00D94CF2">
            <w:pPr>
              <w:keepNext/>
              <w:keepLines/>
              <w:spacing w:before="80" w:after="80" w:line="200" w:lineRule="exact"/>
              <w:ind w:right="113"/>
              <w:rPr>
                <w:i/>
                <w:sz w:val="16"/>
              </w:rPr>
            </w:pPr>
            <w:r w:rsidRPr="00F90841">
              <w:rPr>
                <w:i/>
                <w:sz w:val="16"/>
              </w:rPr>
              <w:t>As at 30/9</w:t>
            </w:r>
          </w:p>
        </w:tc>
        <w:tc>
          <w:tcPr>
            <w:tcW w:w="2359" w:type="dxa"/>
            <w:tcBorders>
              <w:top w:val="single" w:sz="4" w:space="0" w:color="auto"/>
              <w:bottom w:val="single" w:sz="12" w:space="0" w:color="auto"/>
            </w:tcBorders>
            <w:shd w:val="clear" w:color="auto" w:fill="auto"/>
            <w:noWrap/>
            <w:vAlign w:val="bottom"/>
            <w:hideMark/>
          </w:tcPr>
          <w:p w14:paraId="7FF4EFDF" w14:textId="77777777" w:rsidR="007467BC" w:rsidRPr="00F90841" w:rsidRDefault="007467BC" w:rsidP="00D94CF2">
            <w:pPr>
              <w:keepNext/>
              <w:keepLines/>
              <w:spacing w:before="80" w:after="80" w:line="200" w:lineRule="exact"/>
              <w:ind w:right="113"/>
              <w:jc w:val="right"/>
              <w:rPr>
                <w:i/>
                <w:sz w:val="16"/>
              </w:rPr>
            </w:pPr>
            <w:r w:rsidRPr="00F90841">
              <w:rPr>
                <w:i/>
                <w:sz w:val="16"/>
              </w:rPr>
              <w:t>Muster</w:t>
            </w:r>
          </w:p>
        </w:tc>
        <w:tc>
          <w:tcPr>
            <w:tcW w:w="2467" w:type="dxa"/>
            <w:tcBorders>
              <w:top w:val="single" w:sz="4" w:space="0" w:color="auto"/>
              <w:bottom w:val="single" w:sz="12" w:space="0" w:color="auto"/>
            </w:tcBorders>
            <w:shd w:val="clear" w:color="auto" w:fill="auto"/>
            <w:noWrap/>
            <w:vAlign w:val="bottom"/>
            <w:hideMark/>
          </w:tcPr>
          <w:p w14:paraId="72A334EC" w14:textId="77777777" w:rsidR="007467BC" w:rsidRPr="00F90841" w:rsidRDefault="007467BC" w:rsidP="00D94CF2">
            <w:pPr>
              <w:keepNext/>
              <w:keepLines/>
              <w:spacing w:before="80" w:after="80" w:line="200" w:lineRule="exact"/>
              <w:ind w:right="113"/>
              <w:jc w:val="right"/>
              <w:rPr>
                <w:i/>
                <w:sz w:val="16"/>
              </w:rPr>
            </w:pPr>
            <w:r w:rsidRPr="00F90841">
              <w:rPr>
                <w:i/>
                <w:sz w:val="16"/>
              </w:rPr>
              <w:t>Capacity</w:t>
            </w:r>
          </w:p>
        </w:tc>
        <w:tc>
          <w:tcPr>
            <w:tcW w:w="2607" w:type="dxa"/>
            <w:tcBorders>
              <w:top w:val="single" w:sz="4" w:space="0" w:color="auto"/>
              <w:bottom w:val="single" w:sz="12" w:space="0" w:color="auto"/>
            </w:tcBorders>
            <w:shd w:val="clear" w:color="auto" w:fill="auto"/>
            <w:noWrap/>
            <w:vAlign w:val="bottom"/>
            <w:hideMark/>
          </w:tcPr>
          <w:p w14:paraId="7A3225C3" w14:textId="77777777" w:rsidR="007467BC" w:rsidRPr="00F90841" w:rsidRDefault="007467BC" w:rsidP="00D94CF2">
            <w:pPr>
              <w:keepNext/>
              <w:keepLines/>
              <w:spacing w:before="80" w:after="80" w:line="200" w:lineRule="exact"/>
              <w:ind w:right="113"/>
              <w:jc w:val="right"/>
              <w:rPr>
                <w:i/>
                <w:sz w:val="16"/>
              </w:rPr>
            </w:pPr>
            <w:r w:rsidRPr="00F90841">
              <w:rPr>
                <w:i/>
                <w:sz w:val="16"/>
              </w:rPr>
              <w:t>Occupancy Rate</w:t>
            </w:r>
          </w:p>
        </w:tc>
      </w:tr>
      <w:tr w:rsidR="007467BC" w:rsidRPr="00F90841" w14:paraId="7DD7A915" w14:textId="77777777" w:rsidTr="00614548">
        <w:tc>
          <w:tcPr>
            <w:tcW w:w="2195" w:type="dxa"/>
            <w:tcBorders>
              <w:top w:val="single" w:sz="12" w:space="0" w:color="auto"/>
            </w:tcBorders>
            <w:shd w:val="clear" w:color="auto" w:fill="auto"/>
            <w:noWrap/>
          </w:tcPr>
          <w:p w14:paraId="4C9FDB5E" w14:textId="77777777" w:rsidR="007467BC" w:rsidRPr="00F90841" w:rsidRDefault="007467BC" w:rsidP="00D94CF2">
            <w:pPr>
              <w:keepNext/>
              <w:keepLines/>
              <w:spacing w:before="40" w:after="40" w:line="220" w:lineRule="exact"/>
              <w:ind w:right="113"/>
              <w:rPr>
                <w:sz w:val="18"/>
              </w:rPr>
            </w:pPr>
            <w:r w:rsidRPr="00F90841">
              <w:rPr>
                <w:sz w:val="18"/>
              </w:rPr>
              <w:t>2014</w:t>
            </w:r>
          </w:p>
        </w:tc>
        <w:tc>
          <w:tcPr>
            <w:tcW w:w="2359" w:type="dxa"/>
            <w:tcBorders>
              <w:top w:val="single" w:sz="12" w:space="0" w:color="auto"/>
            </w:tcBorders>
            <w:shd w:val="clear" w:color="auto" w:fill="auto"/>
            <w:noWrap/>
            <w:vAlign w:val="bottom"/>
          </w:tcPr>
          <w:p w14:paraId="2BAF82E3" w14:textId="77777777" w:rsidR="007467BC" w:rsidRPr="00F90841" w:rsidRDefault="007467BC" w:rsidP="00D94CF2">
            <w:pPr>
              <w:keepNext/>
              <w:keepLines/>
              <w:spacing w:before="40" w:after="40" w:line="220" w:lineRule="exact"/>
              <w:ind w:right="113"/>
              <w:jc w:val="right"/>
              <w:rPr>
                <w:sz w:val="18"/>
              </w:rPr>
            </w:pPr>
            <w:r w:rsidRPr="00F90841">
              <w:rPr>
                <w:sz w:val="18"/>
              </w:rPr>
              <w:t>8</w:t>
            </w:r>
            <w:r w:rsidR="004F1DCF">
              <w:rPr>
                <w:sz w:val="18"/>
              </w:rPr>
              <w:t xml:space="preserve"> </w:t>
            </w:r>
            <w:r w:rsidRPr="00F90841">
              <w:rPr>
                <w:sz w:val="18"/>
              </w:rPr>
              <w:t>703</w:t>
            </w:r>
          </w:p>
        </w:tc>
        <w:tc>
          <w:tcPr>
            <w:tcW w:w="2467" w:type="dxa"/>
            <w:tcBorders>
              <w:top w:val="single" w:sz="12" w:space="0" w:color="auto"/>
            </w:tcBorders>
            <w:shd w:val="clear" w:color="auto" w:fill="auto"/>
            <w:noWrap/>
            <w:vAlign w:val="bottom"/>
          </w:tcPr>
          <w:p w14:paraId="073CFADC" w14:textId="77777777" w:rsidR="007467BC" w:rsidRPr="00F90841" w:rsidRDefault="007467BC" w:rsidP="00D94CF2">
            <w:pPr>
              <w:keepNext/>
              <w:keepLines/>
              <w:spacing w:before="40" w:after="40" w:line="220" w:lineRule="exact"/>
              <w:ind w:right="113"/>
              <w:jc w:val="right"/>
              <w:rPr>
                <w:sz w:val="18"/>
              </w:rPr>
            </w:pPr>
            <w:r w:rsidRPr="00F90841">
              <w:rPr>
                <w:sz w:val="18"/>
              </w:rPr>
              <w:t>*</w:t>
            </w:r>
          </w:p>
        </w:tc>
        <w:tc>
          <w:tcPr>
            <w:tcW w:w="2607" w:type="dxa"/>
            <w:tcBorders>
              <w:top w:val="single" w:sz="12" w:space="0" w:color="auto"/>
            </w:tcBorders>
            <w:shd w:val="clear" w:color="auto" w:fill="auto"/>
            <w:noWrap/>
            <w:vAlign w:val="bottom"/>
          </w:tcPr>
          <w:p w14:paraId="49708CD5" w14:textId="77777777" w:rsidR="007467BC" w:rsidRPr="00F90841" w:rsidRDefault="007467BC" w:rsidP="00D94CF2">
            <w:pPr>
              <w:keepNext/>
              <w:keepLines/>
              <w:spacing w:before="40" w:after="40" w:line="220" w:lineRule="exact"/>
              <w:ind w:right="113"/>
              <w:jc w:val="right"/>
              <w:rPr>
                <w:sz w:val="18"/>
              </w:rPr>
            </w:pPr>
            <w:r w:rsidRPr="00F90841">
              <w:rPr>
                <w:sz w:val="18"/>
              </w:rPr>
              <w:t>*</w:t>
            </w:r>
          </w:p>
        </w:tc>
      </w:tr>
      <w:tr w:rsidR="007467BC" w:rsidRPr="00F90841" w14:paraId="39B4D6F8" w14:textId="77777777" w:rsidTr="00614548">
        <w:tc>
          <w:tcPr>
            <w:tcW w:w="2195" w:type="dxa"/>
            <w:shd w:val="clear" w:color="auto" w:fill="auto"/>
            <w:noWrap/>
            <w:hideMark/>
          </w:tcPr>
          <w:p w14:paraId="557E856F" w14:textId="77777777" w:rsidR="007467BC" w:rsidRPr="00F90841" w:rsidRDefault="007467BC" w:rsidP="00D94CF2">
            <w:pPr>
              <w:keepNext/>
              <w:keepLines/>
              <w:spacing w:before="40" w:after="40" w:line="220" w:lineRule="exact"/>
              <w:ind w:right="113"/>
              <w:rPr>
                <w:sz w:val="18"/>
              </w:rPr>
            </w:pPr>
            <w:r w:rsidRPr="00F90841">
              <w:rPr>
                <w:sz w:val="18"/>
              </w:rPr>
              <w:t>2015</w:t>
            </w:r>
          </w:p>
        </w:tc>
        <w:tc>
          <w:tcPr>
            <w:tcW w:w="2359" w:type="dxa"/>
            <w:shd w:val="clear" w:color="auto" w:fill="auto"/>
            <w:noWrap/>
            <w:vAlign w:val="bottom"/>
            <w:hideMark/>
          </w:tcPr>
          <w:p w14:paraId="71D1E86F" w14:textId="77777777" w:rsidR="007467BC" w:rsidRPr="00F90841" w:rsidRDefault="007467BC" w:rsidP="00D94CF2">
            <w:pPr>
              <w:keepNext/>
              <w:keepLines/>
              <w:spacing w:before="40" w:after="40" w:line="220" w:lineRule="exact"/>
              <w:ind w:right="113"/>
              <w:jc w:val="right"/>
              <w:rPr>
                <w:sz w:val="18"/>
              </w:rPr>
            </w:pPr>
            <w:r w:rsidRPr="00F90841">
              <w:rPr>
                <w:sz w:val="18"/>
              </w:rPr>
              <w:t>9</w:t>
            </w:r>
            <w:r w:rsidR="004F1DCF">
              <w:rPr>
                <w:sz w:val="18"/>
              </w:rPr>
              <w:t xml:space="preserve"> </w:t>
            </w:r>
            <w:r w:rsidRPr="00F90841">
              <w:rPr>
                <w:sz w:val="18"/>
              </w:rPr>
              <w:t>061</w:t>
            </w:r>
          </w:p>
        </w:tc>
        <w:tc>
          <w:tcPr>
            <w:tcW w:w="2467" w:type="dxa"/>
            <w:shd w:val="clear" w:color="auto" w:fill="auto"/>
            <w:noWrap/>
            <w:vAlign w:val="bottom"/>
            <w:hideMark/>
          </w:tcPr>
          <w:p w14:paraId="1CCEE6DC" w14:textId="77777777" w:rsidR="007467BC" w:rsidRPr="00F90841" w:rsidRDefault="007467BC" w:rsidP="00D94CF2">
            <w:pPr>
              <w:keepNext/>
              <w:keepLines/>
              <w:spacing w:before="40" w:after="40" w:line="220" w:lineRule="exact"/>
              <w:ind w:right="113"/>
              <w:jc w:val="right"/>
              <w:rPr>
                <w:sz w:val="18"/>
              </w:rPr>
            </w:pPr>
            <w:r w:rsidRPr="00F90841">
              <w:rPr>
                <w:sz w:val="18"/>
              </w:rPr>
              <w:t>*</w:t>
            </w:r>
          </w:p>
        </w:tc>
        <w:tc>
          <w:tcPr>
            <w:tcW w:w="2607" w:type="dxa"/>
            <w:shd w:val="clear" w:color="auto" w:fill="auto"/>
            <w:noWrap/>
            <w:vAlign w:val="bottom"/>
            <w:hideMark/>
          </w:tcPr>
          <w:p w14:paraId="487B3534" w14:textId="77777777" w:rsidR="007467BC" w:rsidRPr="00F90841" w:rsidRDefault="007467BC" w:rsidP="00D94CF2">
            <w:pPr>
              <w:keepNext/>
              <w:keepLines/>
              <w:spacing w:before="40" w:after="40" w:line="220" w:lineRule="exact"/>
              <w:ind w:right="113"/>
              <w:jc w:val="right"/>
              <w:rPr>
                <w:sz w:val="18"/>
              </w:rPr>
            </w:pPr>
            <w:r w:rsidRPr="00F90841">
              <w:rPr>
                <w:sz w:val="18"/>
              </w:rPr>
              <w:t>*</w:t>
            </w:r>
          </w:p>
        </w:tc>
      </w:tr>
      <w:tr w:rsidR="007467BC" w:rsidRPr="00F90841" w14:paraId="0BF27A8F" w14:textId="77777777" w:rsidTr="00614548">
        <w:tc>
          <w:tcPr>
            <w:tcW w:w="2195" w:type="dxa"/>
            <w:shd w:val="clear" w:color="auto" w:fill="auto"/>
            <w:noWrap/>
            <w:hideMark/>
          </w:tcPr>
          <w:p w14:paraId="69A7C215" w14:textId="77777777" w:rsidR="007467BC" w:rsidRPr="00F90841" w:rsidRDefault="007467BC" w:rsidP="00614548">
            <w:pPr>
              <w:spacing w:before="40" w:after="40" w:line="220" w:lineRule="exact"/>
              <w:ind w:right="113"/>
              <w:rPr>
                <w:sz w:val="18"/>
              </w:rPr>
            </w:pPr>
            <w:r w:rsidRPr="00F90841">
              <w:rPr>
                <w:sz w:val="18"/>
              </w:rPr>
              <w:t>2016</w:t>
            </w:r>
          </w:p>
        </w:tc>
        <w:tc>
          <w:tcPr>
            <w:tcW w:w="2359" w:type="dxa"/>
            <w:shd w:val="clear" w:color="auto" w:fill="auto"/>
            <w:noWrap/>
            <w:vAlign w:val="bottom"/>
            <w:hideMark/>
          </w:tcPr>
          <w:p w14:paraId="63CD7F3C" w14:textId="77777777" w:rsidR="007467BC" w:rsidRPr="00F90841" w:rsidRDefault="007467BC" w:rsidP="00614548">
            <w:pPr>
              <w:spacing w:before="40" w:after="40" w:line="220" w:lineRule="exact"/>
              <w:ind w:right="113"/>
              <w:jc w:val="right"/>
              <w:rPr>
                <w:sz w:val="18"/>
              </w:rPr>
            </w:pPr>
            <w:r w:rsidRPr="00F90841">
              <w:rPr>
                <w:sz w:val="18"/>
              </w:rPr>
              <w:t>9</w:t>
            </w:r>
            <w:r w:rsidR="004F1DCF">
              <w:rPr>
                <w:sz w:val="18"/>
              </w:rPr>
              <w:t xml:space="preserve"> </w:t>
            </w:r>
            <w:r w:rsidRPr="00F90841">
              <w:rPr>
                <w:sz w:val="18"/>
              </w:rPr>
              <w:t>810</w:t>
            </w:r>
          </w:p>
        </w:tc>
        <w:tc>
          <w:tcPr>
            <w:tcW w:w="2467" w:type="dxa"/>
            <w:shd w:val="clear" w:color="auto" w:fill="auto"/>
            <w:noWrap/>
            <w:vAlign w:val="bottom"/>
            <w:hideMark/>
          </w:tcPr>
          <w:p w14:paraId="5D97184E" w14:textId="77777777" w:rsidR="007467BC" w:rsidRPr="00F90841" w:rsidRDefault="007467BC" w:rsidP="00614548">
            <w:pPr>
              <w:spacing w:before="40" w:after="40" w:line="220" w:lineRule="exact"/>
              <w:ind w:right="113"/>
              <w:jc w:val="right"/>
              <w:rPr>
                <w:sz w:val="18"/>
              </w:rPr>
            </w:pPr>
            <w:r w:rsidRPr="00F90841">
              <w:rPr>
                <w:sz w:val="18"/>
              </w:rPr>
              <w:t>10</w:t>
            </w:r>
            <w:r w:rsidR="00D94CF2" w:rsidRPr="00F90841">
              <w:rPr>
                <w:sz w:val="18"/>
              </w:rPr>
              <w:t xml:space="preserve"> </w:t>
            </w:r>
            <w:r w:rsidRPr="00F90841">
              <w:rPr>
                <w:sz w:val="18"/>
              </w:rPr>
              <w:t>240</w:t>
            </w:r>
          </w:p>
        </w:tc>
        <w:tc>
          <w:tcPr>
            <w:tcW w:w="2607" w:type="dxa"/>
            <w:shd w:val="clear" w:color="auto" w:fill="auto"/>
            <w:noWrap/>
            <w:vAlign w:val="bottom"/>
            <w:hideMark/>
          </w:tcPr>
          <w:p w14:paraId="088C5DAD" w14:textId="77777777" w:rsidR="007467BC" w:rsidRPr="00F90841" w:rsidRDefault="007467BC" w:rsidP="00614548">
            <w:pPr>
              <w:spacing w:before="40" w:after="40" w:line="220" w:lineRule="exact"/>
              <w:ind w:right="113"/>
              <w:jc w:val="right"/>
              <w:rPr>
                <w:sz w:val="18"/>
              </w:rPr>
            </w:pPr>
            <w:r w:rsidRPr="00F90841">
              <w:rPr>
                <w:sz w:val="18"/>
              </w:rPr>
              <w:t>96%</w:t>
            </w:r>
          </w:p>
        </w:tc>
      </w:tr>
      <w:tr w:rsidR="007467BC" w:rsidRPr="00F90841" w14:paraId="15B3D117" w14:textId="77777777" w:rsidTr="00614548">
        <w:tc>
          <w:tcPr>
            <w:tcW w:w="2195" w:type="dxa"/>
            <w:shd w:val="clear" w:color="auto" w:fill="auto"/>
            <w:noWrap/>
            <w:hideMark/>
          </w:tcPr>
          <w:p w14:paraId="70548914" w14:textId="77777777" w:rsidR="007467BC" w:rsidRPr="00F90841" w:rsidRDefault="007467BC" w:rsidP="00614548">
            <w:pPr>
              <w:spacing w:before="40" w:after="40" w:line="220" w:lineRule="exact"/>
              <w:ind w:right="113"/>
              <w:rPr>
                <w:sz w:val="18"/>
              </w:rPr>
            </w:pPr>
            <w:r w:rsidRPr="00F90841">
              <w:rPr>
                <w:sz w:val="18"/>
              </w:rPr>
              <w:t>2017</w:t>
            </w:r>
          </w:p>
        </w:tc>
        <w:tc>
          <w:tcPr>
            <w:tcW w:w="2359" w:type="dxa"/>
            <w:shd w:val="clear" w:color="auto" w:fill="auto"/>
            <w:noWrap/>
            <w:vAlign w:val="bottom"/>
            <w:hideMark/>
          </w:tcPr>
          <w:p w14:paraId="761BA8E4" w14:textId="77777777" w:rsidR="007467BC" w:rsidRPr="00F90841" w:rsidRDefault="007467BC" w:rsidP="00614548">
            <w:pPr>
              <w:spacing w:before="40" w:after="40" w:line="220" w:lineRule="exact"/>
              <w:ind w:right="113"/>
              <w:jc w:val="right"/>
              <w:rPr>
                <w:sz w:val="18"/>
              </w:rPr>
            </w:pPr>
            <w:r w:rsidRPr="00F90841">
              <w:rPr>
                <w:sz w:val="18"/>
              </w:rPr>
              <w:t>10</w:t>
            </w:r>
            <w:r w:rsidR="00D94CF2" w:rsidRPr="00F90841">
              <w:rPr>
                <w:sz w:val="18"/>
              </w:rPr>
              <w:t xml:space="preserve"> </w:t>
            </w:r>
            <w:r w:rsidRPr="00F90841">
              <w:rPr>
                <w:sz w:val="18"/>
              </w:rPr>
              <w:t>470</w:t>
            </w:r>
          </w:p>
        </w:tc>
        <w:tc>
          <w:tcPr>
            <w:tcW w:w="2467" w:type="dxa"/>
            <w:shd w:val="clear" w:color="auto" w:fill="auto"/>
            <w:noWrap/>
            <w:vAlign w:val="bottom"/>
            <w:hideMark/>
          </w:tcPr>
          <w:p w14:paraId="1E2B30EF" w14:textId="77777777" w:rsidR="007467BC" w:rsidRPr="00F90841" w:rsidRDefault="007467BC" w:rsidP="00614548">
            <w:pPr>
              <w:spacing w:before="40" w:after="40" w:line="220" w:lineRule="exact"/>
              <w:ind w:right="113"/>
              <w:jc w:val="right"/>
              <w:rPr>
                <w:sz w:val="18"/>
              </w:rPr>
            </w:pPr>
            <w:r w:rsidRPr="00F90841">
              <w:rPr>
                <w:sz w:val="18"/>
              </w:rPr>
              <w:t>10</w:t>
            </w:r>
            <w:r w:rsidR="00D94CF2" w:rsidRPr="00F90841">
              <w:rPr>
                <w:sz w:val="18"/>
              </w:rPr>
              <w:t xml:space="preserve"> </w:t>
            </w:r>
            <w:r w:rsidRPr="00F90841">
              <w:rPr>
                <w:sz w:val="18"/>
              </w:rPr>
              <w:t>728</w:t>
            </w:r>
          </w:p>
        </w:tc>
        <w:tc>
          <w:tcPr>
            <w:tcW w:w="2607" w:type="dxa"/>
            <w:shd w:val="clear" w:color="auto" w:fill="auto"/>
            <w:noWrap/>
            <w:vAlign w:val="bottom"/>
            <w:hideMark/>
          </w:tcPr>
          <w:p w14:paraId="7A010F45" w14:textId="77777777" w:rsidR="007467BC" w:rsidRPr="00F90841" w:rsidRDefault="007467BC" w:rsidP="00614548">
            <w:pPr>
              <w:spacing w:before="40" w:after="40" w:line="220" w:lineRule="exact"/>
              <w:ind w:right="113"/>
              <w:jc w:val="right"/>
              <w:rPr>
                <w:sz w:val="18"/>
              </w:rPr>
            </w:pPr>
            <w:r w:rsidRPr="00F90841">
              <w:rPr>
                <w:sz w:val="18"/>
              </w:rPr>
              <w:t>98%</w:t>
            </w:r>
          </w:p>
        </w:tc>
      </w:tr>
      <w:tr w:rsidR="007467BC" w:rsidRPr="00F90841" w14:paraId="46DA5A1C" w14:textId="77777777" w:rsidTr="00614548">
        <w:tc>
          <w:tcPr>
            <w:tcW w:w="2195" w:type="dxa"/>
            <w:shd w:val="clear" w:color="auto" w:fill="auto"/>
            <w:noWrap/>
            <w:hideMark/>
          </w:tcPr>
          <w:p w14:paraId="2E691F1F" w14:textId="77777777" w:rsidR="007467BC" w:rsidRPr="00F90841" w:rsidRDefault="007467BC" w:rsidP="00614548">
            <w:pPr>
              <w:spacing w:before="40" w:after="40" w:line="220" w:lineRule="exact"/>
              <w:ind w:right="113"/>
              <w:rPr>
                <w:sz w:val="18"/>
              </w:rPr>
            </w:pPr>
            <w:r w:rsidRPr="00F90841">
              <w:rPr>
                <w:sz w:val="18"/>
              </w:rPr>
              <w:t>2018</w:t>
            </w:r>
          </w:p>
        </w:tc>
        <w:tc>
          <w:tcPr>
            <w:tcW w:w="2359" w:type="dxa"/>
            <w:shd w:val="clear" w:color="auto" w:fill="auto"/>
            <w:noWrap/>
            <w:vAlign w:val="bottom"/>
            <w:hideMark/>
          </w:tcPr>
          <w:p w14:paraId="11DBB1D8" w14:textId="77777777" w:rsidR="007467BC" w:rsidRPr="00F90841" w:rsidRDefault="007467BC" w:rsidP="00614548">
            <w:pPr>
              <w:spacing w:before="40" w:after="40" w:line="220" w:lineRule="exact"/>
              <w:ind w:right="113"/>
              <w:jc w:val="right"/>
              <w:rPr>
                <w:sz w:val="18"/>
              </w:rPr>
            </w:pPr>
            <w:r w:rsidRPr="00F90841">
              <w:rPr>
                <w:sz w:val="18"/>
              </w:rPr>
              <w:t>10</w:t>
            </w:r>
            <w:r w:rsidR="00D94CF2" w:rsidRPr="00F90841">
              <w:rPr>
                <w:sz w:val="18"/>
              </w:rPr>
              <w:t xml:space="preserve"> </w:t>
            </w:r>
            <w:r w:rsidRPr="00F90841">
              <w:rPr>
                <w:sz w:val="18"/>
              </w:rPr>
              <w:t>052</w:t>
            </w:r>
          </w:p>
        </w:tc>
        <w:tc>
          <w:tcPr>
            <w:tcW w:w="2467" w:type="dxa"/>
            <w:shd w:val="clear" w:color="auto" w:fill="auto"/>
            <w:noWrap/>
            <w:vAlign w:val="bottom"/>
            <w:hideMark/>
          </w:tcPr>
          <w:p w14:paraId="34426D2F" w14:textId="77777777" w:rsidR="007467BC" w:rsidRPr="00F90841" w:rsidRDefault="007467BC" w:rsidP="00614548">
            <w:pPr>
              <w:spacing w:before="40" w:after="40" w:line="220" w:lineRule="exact"/>
              <w:ind w:right="113"/>
              <w:jc w:val="right"/>
              <w:rPr>
                <w:sz w:val="18"/>
              </w:rPr>
            </w:pPr>
            <w:r w:rsidRPr="00F90841">
              <w:rPr>
                <w:sz w:val="18"/>
              </w:rPr>
              <w:t>10</w:t>
            </w:r>
            <w:r w:rsidR="00D94CF2" w:rsidRPr="00F90841">
              <w:rPr>
                <w:sz w:val="18"/>
              </w:rPr>
              <w:t xml:space="preserve"> </w:t>
            </w:r>
            <w:r w:rsidRPr="00F90841">
              <w:rPr>
                <w:sz w:val="18"/>
              </w:rPr>
              <w:t>652</w:t>
            </w:r>
          </w:p>
        </w:tc>
        <w:tc>
          <w:tcPr>
            <w:tcW w:w="2607" w:type="dxa"/>
            <w:shd w:val="clear" w:color="auto" w:fill="auto"/>
            <w:noWrap/>
            <w:vAlign w:val="bottom"/>
            <w:hideMark/>
          </w:tcPr>
          <w:p w14:paraId="73636303" w14:textId="77777777" w:rsidR="007467BC" w:rsidRPr="00F90841" w:rsidRDefault="007467BC" w:rsidP="00614548">
            <w:pPr>
              <w:spacing w:before="40" w:after="40" w:line="220" w:lineRule="exact"/>
              <w:ind w:right="113"/>
              <w:jc w:val="right"/>
              <w:rPr>
                <w:sz w:val="18"/>
              </w:rPr>
            </w:pPr>
            <w:r w:rsidRPr="00F90841">
              <w:rPr>
                <w:sz w:val="18"/>
              </w:rPr>
              <w:t>94%</w:t>
            </w:r>
          </w:p>
        </w:tc>
      </w:tr>
    </w:tbl>
    <w:p w14:paraId="41BFACED" w14:textId="77777777" w:rsidR="007467BC" w:rsidRPr="00F90841" w:rsidRDefault="007467BC" w:rsidP="00D94CF2">
      <w:pPr>
        <w:spacing w:before="120" w:line="240" w:lineRule="atLeast"/>
        <w:ind w:left="1134" w:right="1134" w:firstLine="170"/>
        <w:rPr>
          <w:sz w:val="18"/>
        </w:rPr>
      </w:pPr>
      <w:r w:rsidRPr="00F90841">
        <w:t>*</w:t>
      </w:r>
      <w:r w:rsidR="00D94CF2" w:rsidRPr="00F90841">
        <w:rPr>
          <w:sz w:val="18"/>
        </w:rPr>
        <w:t xml:space="preserve">  </w:t>
      </w:r>
      <w:r w:rsidRPr="00F90841">
        <w:rPr>
          <w:sz w:val="18"/>
        </w:rPr>
        <w:t>Not available</w:t>
      </w:r>
    </w:p>
    <w:p w14:paraId="7159E83F" w14:textId="77777777" w:rsidR="007467BC" w:rsidRPr="00F90841" w:rsidRDefault="007467BC" w:rsidP="00D91269">
      <w:pPr>
        <w:pStyle w:val="H23G"/>
      </w:pPr>
      <w:r w:rsidRPr="00F90841">
        <w:tab/>
      </w:r>
      <w:r w:rsidRPr="00F90841">
        <w:tab/>
        <w:t xml:space="preserve">Percentage of remand prisoners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90"/>
        <w:gridCol w:w="3880"/>
      </w:tblGrid>
      <w:tr w:rsidR="007467BC" w:rsidRPr="00F90841" w14:paraId="15F4B3E4" w14:textId="77777777" w:rsidTr="00FD0033">
        <w:trPr>
          <w:tblHeader/>
        </w:trPr>
        <w:tc>
          <w:tcPr>
            <w:tcW w:w="3490" w:type="dxa"/>
            <w:tcBorders>
              <w:top w:val="single" w:sz="4" w:space="0" w:color="auto"/>
              <w:bottom w:val="single" w:sz="12" w:space="0" w:color="auto"/>
            </w:tcBorders>
            <w:shd w:val="clear" w:color="auto" w:fill="auto"/>
            <w:noWrap/>
            <w:vAlign w:val="bottom"/>
            <w:hideMark/>
          </w:tcPr>
          <w:p w14:paraId="212FA529" w14:textId="77777777" w:rsidR="007467BC" w:rsidRPr="00F90841" w:rsidRDefault="007467BC" w:rsidP="00FD0033">
            <w:pPr>
              <w:spacing w:before="80" w:after="80" w:line="200" w:lineRule="exact"/>
              <w:ind w:right="113"/>
              <w:rPr>
                <w:i/>
                <w:sz w:val="16"/>
              </w:rPr>
            </w:pPr>
            <w:r w:rsidRPr="00F90841">
              <w:rPr>
                <w:i/>
                <w:sz w:val="16"/>
              </w:rPr>
              <w:t>As at 30/9</w:t>
            </w:r>
          </w:p>
        </w:tc>
        <w:tc>
          <w:tcPr>
            <w:tcW w:w="3880" w:type="dxa"/>
            <w:tcBorders>
              <w:top w:val="single" w:sz="4" w:space="0" w:color="auto"/>
              <w:bottom w:val="single" w:sz="12" w:space="0" w:color="auto"/>
            </w:tcBorders>
            <w:shd w:val="clear" w:color="auto" w:fill="auto"/>
            <w:noWrap/>
            <w:vAlign w:val="bottom"/>
            <w:hideMark/>
          </w:tcPr>
          <w:p w14:paraId="3BDFDB81" w14:textId="77777777" w:rsidR="007467BC" w:rsidRPr="00F90841" w:rsidRDefault="007467BC" w:rsidP="00FD0033">
            <w:pPr>
              <w:spacing w:before="80" w:after="80" w:line="200" w:lineRule="exact"/>
              <w:ind w:right="113"/>
              <w:jc w:val="right"/>
              <w:rPr>
                <w:i/>
                <w:sz w:val="16"/>
              </w:rPr>
            </w:pPr>
            <w:r w:rsidRPr="00F90841">
              <w:rPr>
                <w:i/>
                <w:sz w:val="16"/>
              </w:rPr>
              <w:t>Remand</w:t>
            </w:r>
          </w:p>
        </w:tc>
      </w:tr>
      <w:tr w:rsidR="007467BC" w:rsidRPr="00F90841" w14:paraId="1378858E" w14:textId="77777777" w:rsidTr="00FD0033">
        <w:tc>
          <w:tcPr>
            <w:tcW w:w="3490" w:type="dxa"/>
            <w:tcBorders>
              <w:top w:val="single" w:sz="12" w:space="0" w:color="auto"/>
            </w:tcBorders>
            <w:shd w:val="clear" w:color="auto" w:fill="auto"/>
            <w:noWrap/>
            <w:hideMark/>
          </w:tcPr>
          <w:p w14:paraId="67A5E501" w14:textId="77777777" w:rsidR="007467BC" w:rsidRPr="00F90841" w:rsidRDefault="007467BC" w:rsidP="00FD0033">
            <w:pPr>
              <w:spacing w:before="40" w:after="40" w:line="220" w:lineRule="exact"/>
              <w:ind w:right="113"/>
              <w:rPr>
                <w:sz w:val="18"/>
              </w:rPr>
            </w:pPr>
            <w:r w:rsidRPr="00F90841">
              <w:rPr>
                <w:sz w:val="18"/>
              </w:rPr>
              <w:t>2015</w:t>
            </w:r>
          </w:p>
        </w:tc>
        <w:tc>
          <w:tcPr>
            <w:tcW w:w="3880" w:type="dxa"/>
            <w:tcBorders>
              <w:top w:val="single" w:sz="12" w:space="0" w:color="auto"/>
            </w:tcBorders>
            <w:shd w:val="clear" w:color="auto" w:fill="auto"/>
            <w:noWrap/>
            <w:vAlign w:val="bottom"/>
            <w:hideMark/>
          </w:tcPr>
          <w:p w14:paraId="624F3386" w14:textId="77777777" w:rsidR="007467BC" w:rsidRPr="00F90841" w:rsidRDefault="007467BC" w:rsidP="00FD0033">
            <w:pPr>
              <w:spacing w:before="40" w:after="40" w:line="220" w:lineRule="exact"/>
              <w:ind w:right="113"/>
              <w:jc w:val="right"/>
              <w:rPr>
                <w:sz w:val="18"/>
              </w:rPr>
            </w:pPr>
            <w:r w:rsidRPr="00F90841">
              <w:rPr>
                <w:sz w:val="18"/>
              </w:rPr>
              <w:t>24%</w:t>
            </w:r>
          </w:p>
        </w:tc>
      </w:tr>
      <w:tr w:rsidR="007467BC" w:rsidRPr="00F90841" w14:paraId="2DC17A97" w14:textId="77777777" w:rsidTr="00FD0033">
        <w:tc>
          <w:tcPr>
            <w:tcW w:w="3490" w:type="dxa"/>
            <w:shd w:val="clear" w:color="auto" w:fill="auto"/>
            <w:noWrap/>
            <w:hideMark/>
          </w:tcPr>
          <w:p w14:paraId="11A86551" w14:textId="77777777" w:rsidR="007467BC" w:rsidRPr="00F90841" w:rsidRDefault="007467BC" w:rsidP="00FD0033">
            <w:pPr>
              <w:spacing w:before="40" w:after="40" w:line="220" w:lineRule="exact"/>
              <w:ind w:right="113"/>
              <w:rPr>
                <w:sz w:val="18"/>
              </w:rPr>
            </w:pPr>
            <w:r w:rsidRPr="00F90841">
              <w:rPr>
                <w:sz w:val="18"/>
              </w:rPr>
              <w:t>2016</w:t>
            </w:r>
          </w:p>
        </w:tc>
        <w:tc>
          <w:tcPr>
            <w:tcW w:w="3880" w:type="dxa"/>
            <w:shd w:val="clear" w:color="auto" w:fill="auto"/>
            <w:noWrap/>
            <w:vAlign w:val="bottom"/>
            <w:hideMark/>
          </w:tcPr>
          <w:p w14:paraId="044387E8" w14:textId="77777777" w:rsidR="007467BC" w:rsidRPr="00F90841" w:rsidRDefault="007467BC" w:rsidP="00FD0033">
            <w:pPr>
              <w:spacing w:before="40" w:after="40" w:line="220" w:lineRule="exact"/>
              <w:ind w:right="113"/>
              <w:jc w:val="right"/>
              <w:rPr>
                <w:sz w:val="18"/>
              </w:rPr>
            </w:pPr>
            <w:r w:rsidRPr="00F90841">
              <w:rPr>
                <w:sz w:val="18"/>
              </w:rPr>
              <w:t>28%</w:t>
            </w:r>
          </w:p>
        </w:tc>
      </w:tr>
      <w:tr w:rsidR="007467BC" w:rsidRPr="00F90841" w14:paraId="5F843349" w14:textId="77777777" w:rsidTr="00FD0033">
        <w:tc>
          <w:tcPr>
            <w:tcW w:w="3490" w:type="dxa"/>
            <w:shd w:val="clear" w:color="auto" w:fill="auto"/>
            <w:noWrap/>
            <w:hideMark/>
          </w:tcPr>
          <w:p w14:paraId="7288CC3E" w14:textId="77777777" w:rsidR="007467BC" w:rsidRPr="00F90841" w:rsidRDefault="007467BC" w:rsidP="00FD0033">
            <w:pPr>
              <w:spacing w:before="40" w:after="40" w:line="220" w:lineRule="exact"/>
              <w:ind w:right="113"/>
              <w:rPr>
                <w:sz w:val="18"/>
              </w:rPr>
            </w:pPr>
            <w:r w:rsidRPr="00F90841">
              <w:rPr>
                <w:sz w:val="18"/>
              </w:rPr>
              <w:t>2017</w:t>
            </w:r>
          </w:p>
        </w:tc>
        <w:tc>
          <w:tcPr>
            <w:tcW w:w="3880" w:type="dxa"/>
            <w:shd w:val="clear" w:color="auto" w:fill="auto"/>
            <w:noWrap/>
            <w:vAlign w:val="bottom"/>
            <w:hideMark/>
          </w:tcPr>
          <w:p w14:paraId="05105B1E" w14:textId="77777777" w:rsidR="007467BC" w:rsidRPr="00F90841" w:rsidRDefault="007467BC" w:rsidP="00FD0033">
            <w:pPr>
              <w:spacing w:before="40" w:after="40" w:line="220" w:lineRule="exact"/>
              <w:ind w:right="113"/>
              <w:jc w:val="right"/>
              <w:rPr>
                <w:sz w:val="18"/>
              </w:rPr>
            </w:pPr>
            <w:r w:rsidRPr="00F90841">
              <w:rPr>
                <w:sz w:val="18"/>
              </w:rPr>
              <w:t>29%</w:t>
            </w:r>
          </w:p>
        </w:tc>
      </w:tr>
      <w:tr w:rsidR="007467BC" w:rsidRPr="00F90841" w14:paraId="7CEA9C6D" w14:textId="77777777" w:rsidTr="00FD0033">
        <w:tc>
          <w:tcPr>
            <w:tcW w:w="3490" w:type="dxa"/>
            <w:shd w:val="clear" w:color="auto" w:fill="auto"/>
            <w:noWrap/>
            <w:hideMark/>
          </w:tcPr>
          <w:p w14:paraId="6DB069DC" w14:textId="77777777" w:rsidR="007467BC" w:rsidRPr="00F90841" w:rsidRDefault="007467BC" w:rsidP="00FD0033">
            <w:pPr>
              <w:spacing w:before="40" w:after="40" w:line="220" w:lineRule="exact"/>
              <w:ind w:right="113"/>
              <w:rPr>
                <w:sz w:val="18"/>
              </w:rPr>
            </w:pPr>
            <w:r w:rsidRPr="00F90841">
              <w:rPr>
                <w:sz w:val="18"/>
              </w:rPr>
              <w:t>2018</w:t>
            </w:r>
          </w:p>
        </w:tc>
        <w:tc>
          <w:tcPr>
            <w:tcW w:w="3880" w:type="dxa"/>
            <w:shd w:val="clear" w:color="auto" w:fill="auto"/>
            <w:noWrap/>
            <w:vAlign w:val="bottom"/>
            <w:hideMark/>
          </w:tcPr>
          <w:p w14:paraId="23D9FDCE" w14:textId="77777777" w:rsidR="007467BC" w:rsidRPr="00F90841" w:rsidRDefault="007467BC" w:rsidP="00FD0033">
            <w:pPr>
              <w:spacing w:before="40" w:after="40" w:line="220" w:lineRule="exact"/>
              <w:ind w:right="113"/>
              <w:jc w:val="right"/>
              <w:rPr>
                <w:sz w:val="18"/>
              </w:rPr>
            </w:pPr>
            <w:r w:rsidRPr="00F90841">
              <w:rPr>
                <w:sz w:val="18"/>
              </w:rPr>
              <w:t>29%</w:t>
            </w:r>
          </w:p>
        </w:tc>
      </w:tr>
    </w:tbl>
    <w:p w14:paraId="4F800492" w14:textId="77777777" w:rsidR="007467BC" w:rsidRPr="00F90841" w:rsidRDefault="007467BC" w:rsidP="00D91269">
      <w:pPr>
        <w:pStyle w:val="H23G"/>
      </w:pPr>
      <w:r w:rsidRPr="00F90841">
        <w:tab/>
      </w:r>
      <w:r w:rsidRPr="00F90841">
        <w:tab/>
        <w:t xml:space="preserve">Average time on remand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7"/>
        <w:gridCol w:w="3543"/>
      </w:tblGrid>
      <w:tr w:rsidR="007467BC" w:rsidRPr="00F90841" w14:paraId="77140441" w14:textId="77777777" w:rsidTr="00FD0033">
        <w:trPr>
          <w:tblHeader/>
        </w:trPr>
        <w:tc>
          <w:tcPr>
            <w:tcW w:w="3827" w:type="dxa"/>
            <w:tcBorders>
              <w:top w:val="single" w:sz="4" w:space="0" w:color="auto"/>
              <w:bottom w:val="single" w:sz="12" w:space="0" w:color="auto"/>
            </w:tcBorders>
            <w:shd w:val="clear" w:color="auto" w:fill="auto"/>
            <w:noWrap/>
            <w:vAlign w:val="bottom"/>
            <w:hideMark/>
          </w:tcPr>
          <w:p w14:paraId="7D3C425B" w14:textId="77777777" w:rsidR="007467BC" w:rsidRPr="00F90841" w:rsidRDefault="007467BC" w:rsidP="00FD0033">
            <w:pPr>
              <w:spacing w:before="80" w:after="80" w:line="200" w:lineRule="exact"/>
              <w:ind w:right="113"/>
              <w:rPr>
                <w:i/>
                <w:sz w:val="16"/>
              </w:rPr>
            </w:pPr>
            <w:r w:rsidRPr="00F90841">
              <w:rPr>
                <w:i/>
                <w:sz w:val="16"/>
              </w:rPr>
              <w:t xml:space="preserve"> </w:t>
            </w:r>
          </w:p>
        </w:tc>
        <w:tc>
          <w:tcPr>
            <w:tcW w:w="3543" w:type="dxa"/>
            <w:tcBorders>
              <w:top w:val="single" w:sz="4" w:space="0" w:color="auto"/>
              <w:bottom w:val="single" w:sz="12" w:space="0" w:color="auto"/>
            </w:tcBorders>
            <w:shd w:val="clear" w:color="auto" w:fill="auto"/>
            <w:noWrap/>
            <w:vAlign w:val="bottom"/>
            <w:hideMark/>
          </w:tcPr>
          <w:p w14:paraId="0BCA9DCA" w14:textId="77777777" w:rsidR="007467BC" w:rsidRPr="00F90841" w:rsidRDefault="007467BC" w:rsidP="00FD0033">
            <w:pPr>
              <w:spacing w:before="80" w:after="80" w:line="200" w:lineRule="exact"/>
              <w:ind w:right="113"/>
              <w:jc w:val="right"/>
              <w:rPr>
                <w:i/>
                <w:sz w:val="16"/>
              </w:rPr>
            </w:pPr>
            <w:r w:rsidRPr="00F90841">
              <w:rPr>
                <w:i/>
                <w:sz w:val="16"/>
              </w:rPr>
              <w:t>Days</w:t>
            </w:r>
          </w:p>
        </w:tc>
      </w:tr>
      <w:tr w:rsidR="007467BC" w:rsidRPr="00F90841" w14:paraId="0CE8EB21" w14:textId="77777777" w:rsidTr="00FD0033">
        <w:tc>
          <w:tcPr>
            <w:tcW w:w="3827" w:type="dxa"/>
            <w:tcBorders>
              <w:top w:val="single" w:sz="12" w:space="0" w:color="auto"/>
            </w:tcBorders>
            <w:shd w:val="clear" w:color="auto" w:fill="auto"/>
            <w:noWrap/>
            <w:hideMark/>
          </w:tcPr>
          <w:p w14:paraId="55F42274" w14:textId="77777777" w:rsidR="007467BC" w:rsidRPr="00F90841" w:rsidRDefault="007467BC" w:rsidP="00FD0033">
            <w:pPr>
              <w:spacing w:before="40" w:after="40" w:line="220" w:lineRule="exact"/>
              <w:ind w:right="113"/>
              <w:rPr>
                <w:sz w:val="18"/>
              </w:rPr>
            </w:pPr>
            <w:r w:rsidRPr="00F90841">
              <w:rPr>
                <w:sz w:val="18"/>
              </w:rPr>
              <w:t>2014/15</w:t>
            </w:r>
          </w:p>
        </w:tc>
        <w:tc>
          <w:tcPr>
            <w:tcW w:w="3543" w:type="dxa"/>
            <w:tcBorders>
              <w:top w:val="single" w:sz="12" w:space="0" w:color="auto"/>
            </w:tcBorders>
            <w:shd w:val="clear" w:color="auto" w:fill="auto"/>
            <w:noWrap/>
            <w:vAlign w:val="bottom"/>
            <w:hideMark/>
          </w:tcPr>
          <w:p w14:paraId="11DAAB43" w14:textId="77777777" w:rsidR="007467BC" w:rsidRPr="00F90841" w:rsidRDefault="007467BC" w:rsidP="00FD0033">
            <w:pPr>
              <w:spacing w:before="40" w:after="40" w:line="220" w:lineRule="exact"/>
              <w:ind w:right="113"/>
              <w:jc w:val="right"/>
              <w:rPr>
                <w:sz w:val="18"/>
              </w:rPr>
            </w:pPr>
            <w:r w:rsidRPr="00F90841">
              <w:rPr>
                <w:sz w:val="18"/>
              </w:rPr>
              <w:t>58</w:t>
            </w:r>
          </w:p>
        </w:tc>
      </w:tr>
      <w:tr w:rsidR="007467BC" w:rsidRPr="00F90841" w14:paraId="456FAA69" w14:textId="77777777" w:rsidTr="00FD0033">
        <w:tc>
          <w:tcPr>
            <w:tcW w:w="3827" w:type="dxa"/>
            <w:shd w:val="clear" w:color="auto" w:fill="auto"/>
            <w:noWrap/>
            <w:hideMark/>
          </w:tcPr>
          <w:p w14:paraId="5E9116E5" w14:textId="77777777" w:rsidR="007467BC" w:rsidRPr="00F90841" w:rsidRDefault="007467BC" w:rsidP="00FD0033">
            <w:pPr>
              <w:spacing w:before="40" w:after="40" w:line="220" w:lineRule="exact"/>
              <w:ind w:right="113"/>
              <w:rPr>
                <w:sz w:val="18"/>
              </w:rPr>
            </w:pPr>
            <w:r w:rsidRPr="00F90841">
              <w:rPr>
                <w:sz w:val="18"/>
              </w:rPr>
              <w:t>2015/16</w:t>
            </w:r>
          </w:p>
        </w:tc>
        <w:tc>
          <w:tcPr>
            <w:tcW w:w="3543" w:type="dxa"/>
            <w:shd w:val="clear" w:color="auto" w:fill="auto"/>
            <w:noWrap/>
            <w:vAlign w:val="bottom"/>
            <w:hideMark/>
          </w:tcPr>
          <w:p w14:paraId="7F283B16" w14:textId="77777777" w:rsidR="007467BC" w:rsidRPr="00F90841" w:rsidRDefault="007467BC" w:rsidP="00FD0033">
            <w:pPr>
              <w:spacing w:before="40" w:after="40" w:line="220" w:lineRule="exact"/>
              <w:ind w:right="113"/>
              <w:jc w:val="right"/>
              <w:rPr>
                <w:sz w:val="18"/>
              </w:rPr>
            </w:pPr>
            <w:r w:rsidRPr="00F90841">
              <w:rPr>
                <w:sz w:val="18"/>
              </w:rPr>
              <w:t>62</w:t>
            </w:r>
          </w:p>
        </w:tc>
      </w:tr>
      <w:tr w:rsidR="007467BC" w:rsidRPr="00F90841" w14:paraId="2951300D" w14:textId="77777777" w:rsidTr="00FD0033">
        <w:tc>
          <w:tcPr>
            <w:tcW w:w="3827" w:type="dxa"/>
            <w:shd w:val="clear" w:color="auto" w:fill="auto"/>
            <w:noWrap/>
            <w:hideMark/>
          </w:tcPr>
          <w:p w14:paraId="67E95BE1" w14:textId="77777777" w:rsidR="007467BC" w:rsidRPr="00F90841" w:rsidRDefault="007467BC" w:rsidP="00FD0033">
            <w:pPr>
              <w:spacing w:before="40" w:after="40" w:line="220" w:lineRule="exact"/>
              <w:ind w:right="113"/>
              <w:rPr>
                <w:sz w:val="18"/>
              </w:rPr>
            </w:pPr>
            <w:r w:rsidRPr="00F90841">
              <w:rPr>
                <w:sz w:val="18"/>
              </w:rPr>
              <w:t>2016/17</w:t>
            </w:r>
          </w:p>
        </w:tc>
        <w:tc>
          <w:tcPr>
            <w:tcW w:w="3543" w:type="dxa"/>
            <w:shd w:val="clear" w:color="auto" w:fill="auto"/>
            <w:noWrap/>
            <w:vAlign w:val="bottom"/>
            <w:hideMark/>
          </w:tcPr>
          <w:p w14:paraId="7E76A97E" w14:textId="77777777" w:rsidR="007467BC" w:rsidRPr="00F90841" w:rsidRDefault="007467BC" w:rsidP="00FD0033">
            <w:pPr>
              <w:spacing w:before="40" w:after="40" w:line="220" w:lineRule="exact"/>
              <w:ind w:right="113"/>
              <w:jc w:val="right"/>
              <w:rPr>
                <w:sz w:val="18"/>
              </w:rPr>
            </w:pPr>
            <w:r w:rsidRPr="00F90841">
              <w:rPr>
                <w:sz w:val="18"/>
              </w:rPr>
              <w:t>65</w:t>
            </w:r>
          </w:p>
        </w:tc>
      </w:tr>
      <w:tr w:rsidR="007467BC" w:rsidRPr="00F90841" w14:paraId="59537A53" w14:textId="77777777" w:rsidTr="00FD0033">
        <w:tc>
          <w:tcPr>
            <w:tcW w:w="3827" w:type="dxa"/>
            <w:shd w:val="clear" w:color="auto" w:fill="auto"/>
            <w:noWrap/>
            <w:hideMark/>
          </w:tcPr>
          <w:p w14:paraId="2AAD1E24" w14:textId="77777777" w:rsidR="007467BC" w:rsidRPr="00F90841" w:rsidRDefault="007467BC" w:rsidP="00FD0033">
            <w:pPr>
              <w:spacing w:before="40" w:after="40" w:line="220" w:lineRule="exact"/>
              <w:ind w:right="113"/>
              <w:rPr>
                <w:sz w:val="18"/>
              </w:rPr>
            </w:pPr>
            <w:r w:rsidRPr="00F90841">
              <w:rPr>
                <w:sz w:val="18"/>
              </w:rPr>
              <w:lastRenderedPageBreak/>
              <w:t>2017/18</w:t>
            </w:r>
          </w:p>
        </w:tc>
        <w:tc>
          <w:tcPr>
            <w:tcW w:w="3543" w:type="dxa"/>
            <w:shd w:val="clear" w:color="auto" w:fill="auto"/>
            <w:noWrap/>
            <w:vAlign w:val="bottom"/>
            <w:hideMark/>
          </w:tcPr>
          <w:p w14:paraId="4E6A267D" w14:textId="77777777" w:rsidR="007467BC" w:rsidRPr="00F90841" w:rsidRDefault="007467BC" w:rsidP="00FD0033">
            <w:pPr>
              <w:spacing w:before="40" w:after="40" w:line="220" w:lineRule="exact"/>
              <w:ind w:right="113"/>
              <w:jc w:val="right"/>
              <w:rPr>
                <w:sz w:val="18"/>
              </w:rPr>
            </w:pPr>
            <w:r w:rsidRPr="00F90841">
              <w:rPr>
                <w:sz w:val="18"/>
              </w:rPr>
              <w:t>70</w:t>
            </w:r>
          </w:p>
        </w:tc>
      </w:tr>
    </w:tbl>
    <w:p w14:paraId="7288B816" w14:textId="77777777" w:rsidR="007467BC" w:rsidRPr="00F90841" w:rsidRDefault="007467BC" w:rsidP="00FD0033">
      <w:pPr>
        <w:spacing w:before="120" w:line="240" w:lineRule="atLeast"/>
        <w:ind w:left="1134" w:right="1134" w:firstLine="170"/>
        <w:rPr>
          <w:sz w:val="18"/>
        </w:rPr>
      </w:pPr>
      <w:r w:rsidRPr="00F90841">
        <w:rPr>
          <w:sz w:val="18"/>
        </w:rPr>
        <w:t>Detailed data is available in Appendices 4</w:t>
      </w:r>
      <w:r w:rsidR="00FD0033" w:rsidRPr="00F90841">
        <w:rPr>
          <w:sz w:val="18"/>
        </w:rPr>
        <w:t>–</w:t>
      </w:r>
      <w:r w:rsidRPr="00F90841">
        <w:rPr>
          <w:sz w:val="18"/>
        </w:rPr>
        <w:t>5.</w:t>
      </w:r>
    </w:p>
    <w:p w14:paraId="020B2074" w14:textId="77777777" w:rsidR="007467BC" w:rsidRPr="00F90841" w:rsidRDefault="007467BC" w:rsidP="00FD0033">
      <w:pPr>
        <w:pStyle w:val="H4G"/>
      </w:pPr>
      <w:r w:rsidRPr="00F90841">
        <w:tab/>
      </w:r>
      <w:r w:rsidRPr="00F90841">
        <w:tab/>
        <w:t xml:space="preserve">Reform of the criminal justice system – </w:t>
      </w:r>
      <w:r w:rsidR="00562737" w:rsidRPr="00F90841">
        <w:t>‘</w:t>
      </w:r>
      <w:proofErr w:type="spellStart"/>
      <w:r w:rsidRPr="00F90841">
        <w:t>Hāpaitia</w:t>
      </w:r>
      <w:proofErr w:type="spellEnd"/>
      <w:r w:rsidRPr="00F90841">
        <w:t xml:space="preserve"> </w:t>
      </w:r>
      <w:proofErr w:type="spellStart"/>
      <w:r w:rsidRPr="00F90841">
        <w:t>te</w:t>
      </w:r>
      <w:proofErr w:type="spellEnd"/>
      <w:r w:rsidRPr="00F90841">
        <w:t xml:space="preserve"> </w:t>
      </w:r>
      <w:proofErr w:type="spellStart"/>
      <w:r w:rsidRPr="00F90841">
        <w:t>Oranga</w:t>
      </w:r>
      <w:proofErr w:type="spellEnd"/>
      <w:r w:rsidRPr="00F90841">
        <w:t xml:space="preserve"> </w:t>
      </w:r>
      <w:proofErr w:type="spellStart"/>
      <w:r w:rsidRPr="00F90841">
        <w:t>Tangata</w:t>
      </w:r>
      <w:proofErr w:type="spellEnd"/>
      <w:r w:rsidR="00562737" w:rsidRPr="00F90841">
        <w:t>’</w:t>
      </w:r>
    </w:p>
    <w:p w14:paraId="7FE8AA60" w14:textId="77777777" w:rsidR="007467BC" w:rsidRPr="00F90841" w:rsidRDefault="007467BC" w:rsidP="007467BC">
      <w:pPr>
        <w:pStyle w:val="SingleTxtG"/>
      </w:pPr>
      <w:r w:rsidRPr="00F90841">
        <w:t>116.</w:t>
      </w:r>
      <w:r w:rsidRPr="00F90841">
        <w:tab/>
        <w:t xml:space="preserve">The Government has been undertaking a criminal justice reform programme over the past year to review the system and develop proposals to address areas such as the disproportionate representation of Māori and reducing the prison population. An independent Advisory Group, </w:t>
      </w:r>
      <w:proofErr w:type="spellStart"/>
      <w:r w:rsidRPr="00F90841">
        <w:t>Te</w:t>
      </w:r>
      <w:proofErr w:type="spellEnd"/>
      <w:r w:rsidRPr="00F90841">
        <w:t xml:space="preserve"> </w:t>
      </w:r>
      <w:proofErr w:type="spellStart"/>
      <w:r w:rsidRPr="00F90841">
        <w:t>Uepū</w:t>
      </w:r>
      <w:proofErr w:type="spellEnd"/>
      <w:r w:rsidRPr="00F90841">
        <w:t xml:space="preserve"> </w:t>
      </w:r>
      <w:proofErr w:type="spellStart"/>
      <w:r w:rsidRPr="00F90841">
        <w:t>Hāpai</w:t>
      </w:r>
      <w:proofErr w:type="spellEnd"/>
      <w:r w:rsidRPr="00F90841">
        <w:t xml:space="preserve"> </w:t>
      </w:r>
      <w:proofErr w:type="spellStart"/>
      <w:r w:rsidRPr="00F90841">
        <w:t>i</w:t>
      </w:r>
      <w:proofErr w:type="spellEnd"/>
      <w:r w:rsidRPr="00F90841">
        <w:t xml:space="preserve"> </w:t>
      </w:r>
      <w:proofErr w:type="spellStart"/>
      <w:r w:rsidRPr="00F90841">
        <w:t>te</w:t>
      </w:r>
      <w:proofErr w:type="spellEnd"/>
      <w:r w:rsidRPr="00F90841">
        <w:t xml:space="preserve"> Ora, has been established to lead public discussion. </w:t>
      </w:r>
      <w:proofErr w:type="spellStart"/>
      <w:r w:rsidRPr="00F90841">
        <w:t>Te</w:t>
      </w:r>
      <w:proofErr w:type="spellEnd"/>
      <w:r w:rsidRPr="00F90841">
        <w:t xml:space="preserve"> </w:t>
      </w:r>
      <w:proofErr w:type="spellStart"/>
      <w:r w:rsidRPr="00F90841">
        <w:t>Uepū</w:t>
      </w:r>
      <w:proofErr w:type="spellEnd"/>
      <w:r w:rsidRPr="00F90841">
        <w:t xml:space="preserve"> submitted an initial report, </w:t>
      </w:r>
      <w:r w:rsidRPr="00C94EC2">
        <w:rPr>
          <w:i/>
          <w:iCs/>
        </w:rPr>
        <w:t xml:space="preserve">He Waka </w:t>
      </w:r>
      <w:proofErr w:type="spellStart"/>
      <w:r w:rsidRPr="00C94EC2">
        <w:rPr>
          <w:i/>
          <w:iCs/>
        </w:rPr>
        <w:t>Roimata</w:t>
      </w:r>
      <w:proofErr w:type="spellEnd"/>
      <w:r w:rsidRPr="00F90841">
        <w:t>, with its findings, and is currently developing options for the Government, which will inform decision-making. The final report with recommendations for changes to the system is expected later in 2019.</w:t>
      </w:r>
    </w:p>
    <w:p w14:paraId="1BDD1379" w14:textId="77777777" w:rsidR="007467BC" w:rsidRPr="00F90841" w:rsidRDefault="007467BC" w:rsidP="00FD0033">
      <w:pPr>
        <w:pStyle w:val="H4G"/>
      </w:pPr>
      <w:r w:rsidRPr="00F90841">
        <w:tab/>
      </w:r>
      <w:r w:rsidRPr="00F90841">
        <w:tab/>
        <w:t>Steps to reduce the prison population</w:t>
      </w:r>
    </w:p>
    <w:p w14:paraId="0B40D769" w14:textId="77777777" w:rsidR="007467BC" w:rsidRPr="00F90841" w:rsidRDefault="007467BC" w:rsidP="007467BC">
      <w:pPr>
        <w:pStyle w:val="SingleTxtG"/>
      </w:pPr>
      <w:r w:rsidRPr="00F90841">
        <w:t>117.</w:t>
      </w:r>
      <w:r w:rsidRPr="00F90841">
        <w:tab/>
        <w:t>The Government is working towards improving the availability of programmes for offenders. Additional rehabilitation and re-integration programmes in prisons and the community have been made available since the previous report, including:</w:t>
      </w:r>
    </w:p>
    <w:p w14:paraId="51949170" w14:textId="77777777" w:rsidR="007467BC" w:rsidRPr="00F90841" w:rsidRDefault="007467BC" w:rsidP="00FD0033">
      <w:pPr>
        <w:pStyle w:val="Bullet1G"/>
      </w:pPr>
      <w:r w:rsidRPr="00F90841">
        <w:t>Aftercare Worker Service, which supports graduates of the intensive alcohol and other drug (AOD) treatment programme (1,156 for 2018/19)</w:t>
      </w:r>
    </w:p>
    <w:p w14:paraId="4B9C5BAA" w14:textId="77777777" w:rsidR="007467BC" w:rsidRPr="00F90841" w:rsidRDefault="007467BC" w:rsidP="00FD0033">
      <w:pPr>
        <w:pStyle w:val="Bullet1G"/>
      </w:pPr>
      <w:r w:rsidRPr="00F90841">
        <w:t>13 additional residential beds in AOD community treatment facilities for individuals on community-based sentences (38 places for 2018/19)</w:t>
      </w:r>
    </w:p>
    <w:p w14:paraId="48756AC4" w14:textId="77777777" w:rsidR="007467BC" w:rsidRPr="00F90841" w:rsidRDefault="00562737" w:rsidP="00FD0033">
      <w:pPr>
        <w:pStyle w:val="Bullet1G"/>
      </w:pPr>
      <w:r w:rsidRPr="00F90841">
        <w:t>‘</w:t>
      </w:r>
      <w:proofErr w:type="spellStart"/>
      <w:r w:rsidR="007467BC" w:rsidRPr="00F90841">
        <w:t>Whare</w:t>
      </w:r>
      <w:proofErr w:type="spellEnd"/>
      <w:r w:rsidRPr="00F90841">
        <w:t>’</w:t>
      </w:r>
      <w:r w:rsidR="007467BC" w:rsidRPr="00F90841">
        <w:t>, a cross-agency, culturally responsive programme supporting, in prison and community, men under 25 convicted of acquisitive offences, like theft (targets for 2019/20 are 120 in prison and 64 in the community)</w:t>
      </w:r>
    </w:p>
    <w:p w14:paraId="5B8DAB28" w14:textId="77777777" w:rsidR="007467BC" w:rsidRPr="00F90841" w:rsidRDefault="00562737" w:rsidP="00B32E94">
      <w:pPr>
        <w:pStyle w:val="Bullet1G"/>
      </w:pPr>
      <w:r w:rsidRPr="00F90841">
        <w:t>‘</w:t>
      </w:r>
      <w:r w:rsidR="007467BC" w:rsidRPr="00F90841">
        <w:t>Kia Rite</w:t>
      </w:r>
      <w:r w:rsidRPr="00F90841">
        <w:t>’</w:t>
      </w:r>
      <w:r w:rsidR="007467BC" w:rsidRPr="00F90841">
        <w:t>, an information and skills training programme for women in the early stages of their incarceration period and is designed to be responsive to Māori women (300 in 2018/19).</w:t>
      </w:r>
    </w:p>
    <w:p w14:paraId="64EC0215" w14:textId="77777777" w:rsidR="007467BC" w:rsidRPr="00F90841" w:rsidRDefault="00562737" w:rsidP="00B32E94">
      <w:pPr>
        <w:pStyle w:val="Bullet1G"/>
      </w:pPr>
      <w:r w:rsidRPr="00F90841">
        <w:t>‘</w:t>
      </w:r>
      <w:r w:rsidR="007467BC" w:rsidRPr="00F90841">
        <w:t>Head start</w:t>
      </w:r>
      <w:r w:rsidRPr="00F90841">
        <w:t>’</w:t>
      </w:r>
      <w:r w:rsidR="007467BC" w:rsidRPr="00F90841">
        <w:t xml:space="preserve"> a non-offence focused information and skills training programme to help men develop coping skills and enhance wellbeing (target for 2019/20 is 366)</w:t>
      </w:r>
    </w:p>
    <w:p w14:paraId="4D18D6B1" w14:textId="77777777" w:rsidR="007467BC" w:rsidRPr="00F90841" w:rsidRDefault="007467BC" w:rsidP="00B32E94">
      <w:pPr>
        <w:pStyle w:val="Bullet1G"/>
      </w:pPr>
      <w:r w:rsidRPr="00F90841">
        <w:t xml:space="preserve">Five new high intensity rehabilitation programmes for high-risk men, women, and youth. </w:t>
      </w:r>
    </w:p>
    <w:p w14:paraId="4CF10FD4" w14:textId="77777777" w:rsidR="007467BC" w:rsidRPr="00F90841" w:rsidRDefault="007467BC" w:rsidP="007467BC">
      <w:pPr>
        <w:pStyle w:val="SingleTxtG"/>
      </w:pPr>
      <w:r w:rsidRPr="00F90841">
        <w:t>118.</w:t>
      </w:r>
      <w:r w:rsidRPr="00F90841">
        <w:tab/>
        <w:t>Although group programmes are sometimes not available to individuals in segregation, as they are delivered in mainstream environments, individuals may still be able to access group programmes with approval from the prison director and treatment provider.</w:t>
      </w:r>
    </w:p>
    <w:p w14:paraId="56F91573" w14:textId="77777777" w:rsidR="007467BC" w:rsidRPr="00F90841" w:rsidRDefault="007467BC" w:rsidP="007467BC">
      <w:pPr>
        <w:pStyle w:val="SingleTxtG"/>
      </w:pPr>
      <w:r w:rsidRPr="00F90841">
        <w:t>119.</w:t>
      </w:r>
      <w:r w:rsidRPr="00F90841">
        <w:tab/>
        <w:t xml:space="preserve">In 2017/18, the Government introduced the High Impact Innovation Programme, a cross-agency response to the rising prison population. </w:t>
      </w:r>
      <w:bookmarkStart w:id="40" w:name="_Hlk16510085"/>
      <w:r w:rsidRPr="00F90841">
        <w:t xml:space="preserve">This has helped reduce the number of days that people spent in prison, by 75,000 days in total. </w:t>
      </w:r>
      <w:bookmarkEnd w:id="40"/>
      <w:r w:rsidRPr="00F90841">
        <w:t>Initiatives include:</w:t>
      </w:r>
    </w:p>
    <w:p w14:paraId="2CB8CA06" w14:textId="77777777" w:rsidR="007467BC" w:rsidRPr="00F90841" w:rsidRDefault="007467BC" w:rsidP="00B32E94">
      <w:pPr>
        <w:pStyle w:val="Bullet1G"/>
      </w:pPr>
      <w:r w:rsidRPr="00F90841">
        <w:t>An electronically-monitored bail initiative;</w:t>
      </w:r>
    </w:p>
    <w:p w14:paraId="482B1B93" w14:textId="77777777" w:rsidR="007467BC" w:rsidRPr="00F90841" w:rsidRDefault="007467BC" w:rsidP="00B32E94">
      <w:pPr>
        <w:pStyle w:val="Bullet1G"/>
      </w:pPr>
      <w:r w:rsidRPr="00F90841">
        <w:t>Enhanced bail support services;</w:t>
      </w:r>
    </w:p>
    <w:p w14:paraId="38CDB69C" w14:textId="77777777" w:rsidR="007467BC" w:rsidRPr="00F90841" w:rsidRDefault="007467BC" w:rsidP="00B32E94">
      <w:pPr>
        <w:pStyle w:val="Bullet1G"/>
      </w:pPr>
      <w:r w:rsidRPr="00F90841">
        <w:t>Reducing remand times through triaging cases;</w:t>
      </w:r>
    </w:p>
    <w:p w14:paraId="46E36134" w14:textId="77777777" w:rsidR="007467BC" w:rsidRPr="00F90841" w:rsidRDefault="007467BC" w:rsidP="00B32E94">
      <w:pPr>
        <w:pStyle w:val="Bullet1G"/>
      </w:pPr>
      <w:r w:rsidRPr="00F90841">
        <w:t>Finding appropriate accommodation for people eligible for home detention;</w:t>
      </w:r>
    </w:p>
    <w:p w14:paraId="1C14DC43" w14:textId="77777777" w:rsidR="007467BC" w:rsidRPr="00F90841" w:rsidRDefault="007467BC" w:rsidP="007709A6">
      <w:pPr>
        <w:pStyle w:val="Bullet1G"/>
      </w:pPr>
      <w:r w:rsidRPr="00F90841">
        <w:t>More community reintegration and rehabilitation programmes to help prisoners gain parole.</w:t>
      </w:r>
    </w:p>
    <w:p w14:paraId="6752BE0B" w14:textId="77777777" w:rsidR="007467BC" w:rsidRPr="00F90841" w:rsidRDefault="007467BC" w:rsidP="007467BC">
      <w:pPr>
        <w:pStyle w:val="SingleTxtG"/>
      </w:pPr>
      <w:r w:rsidRPr="00F90841">
        <w:t>120.</w:t>
      </w:r>
      <w:r w:rsidRPr="00F90841">
        <w:tab/>
        <w:t>In 2018, the Government provided $57.6m for additional supported accommodation for people on bail and parole. Approximately 1,100 supported accommodation places are now available annually, compared to 368 places in 2015.</w:t>
      </w:r>
    </w:p>
    <w:p w14:paraId="6C51A5AD" w14:textId="77777777" w:rsidR="007467BC" w:rsidRPr="00F90841" w:rsidRDefault="007467BC" w:rsidP="007709A6">
      <w:pPr>
        <w:pStyle w:val="H4G"/>
      </w:pPr>
      <w:r w:rsidRPr="00F90841">
        <w:tab/>
      </w:r>
      <w:r w:rsidRPr="00F90841">
        <w:tab/>
        <w:t>Steps to reduce the disproportionate representation of Māori in prison</w:t>
      </w:r>
    </w:p>
    <w:p w14:paraId="134DDD74" w14:textId="77777777" w:rsidR="007467BC" w:rsidRPr="00F90841" w:rsidRDefault="007467BC" w:rsidP="00DE706A">
      <w:pPr>
        <w:pStyle w:val="SingleTxtG"/>
      </w:pPr>
      <w:r w:rsidRPr="00F90841">
        <w:t>121.</w:t>
      </w:r>
      <w:r w:rsidRPr="00F90841">
        <w:tab/>
        <w:t>Māori continue to be disproportionately represented in prison. Māori comprise over 50% of prisoners, but only 15% of the population. This pattern is more pronounced in female and youth (18</w:t>
      </w:r>
      <w:r w:rsidR="00DE706A" w:rsidRPr="00F90841">
        <w:t>–</w:t>
      </w:r>
      <w:r w:rsidRPr="00F90841">
        <w:t xml:space="preserve">25 years) prison populations </w:t>
      </w:r>
      <w:r w:rsidR="00DE706A" w:rsidRPr="00F90841">
        <w:t>–</w:t>
      </w:r>
      <w:r w:rsidRPr="00F90841">
        <w:t xml:space="preserve"> both approximately 60% Māori. </w:t>
      </w:r>
    </w:p>
    <w:p w14:paraId="2D356B81" w14:textId="77777777" w:rsidR="007467BC" w:rsidRPr="00F90841" w:rsidRDefault="007467BC" w:rsidP="007467BC">
      <w:pPr>
        <w:pStyle w:val="SingleTxtG"/>
      </w:pPr>
      <w:r w:rsidRPr="00F90841">
        <w:lastRenderedPageBreak/>
        <w:t>122.</w:t>
      </w:r>
      <w:r w:rsidRPr="00F90841">
        <w:tab/>
        <w:t xml:space="preserve">In 2017, the Waitangi Tribunal report, </w:t>
      </w:r>
      <w:proofErr w:type="spellStart"/>
      <w:r w:rsidRPr="00F90841">
        <w:t>Tū</w:t>
      </w:r>
      <w:proofErr w:type="spellEnd"/>
      <w:r w:rsidRPr="00F90841">
        <w:t xml:space="preserve"> </w:t>
      </w:r>
      <w:proofErr w:type="spellStart"/>
      <w:r w:rsidRPr="00F90841">
        <w:t>mai</w:t>
      </w:r>
      <w:proofErr w:type="spellEnd"/>
      <w:r w:rsidRPr="00F90841">
        <w:t xml:space="preserve"> </w:t>
      </w:r>
      <w:proofErr w:type="spellStart"/>
      <w:r w:rsidRPr="00F90841">
        <w:t>te</w:t>
      </w:r>
      <w:proofErr w:type="spellEnd"/>
      <w:r w:rsidRPr="00F90841">
        <w:t xml:space="preserve"> </w:t>
      </w:r>
      <w:proofErr w:type="spellStart"/>
      <w:r w:rsidRPr="00F90841">
        <w:t>Rangi</w:t>
      </w:r>
      <w:proofErr w:type="spellEnd"/>
      <w:r w:rsidRPr="00F90841">
        <w:t>! The Report on the Crown and Disproportionate Reoffending Rates, found the Government:</w:t>
      </w:r>
    </w:p>
    <w:p w14:paraId="756A0ED3" w14:textId="77777777" w:rsidR="007467BC" w:rsidRPr="00F90841" w:rsidRDefault="007467BC" w:rsidP="007709A6">
      <w:pPr>
        <w:pStyle w:val="Bullet1G"/>
      </w:pPr>
      <w:r w:rsidRPr="00F90841">
        <w:t>Has a duty under the Treaty of Waitangi to reduce inequities between Māori and non-</w:t>
      </w:r>
      <w:bookmarkStart w:id="41" w:name="_Hlk536103432"/>
      <w:r w:rsidRPr="00F90841">
        <w:t xml:space="preserve">Māori </w:t>
      </w:r>
      <w:bookmarkEnd w:id="41"/>
      <w:r w:rsidRPr="00F90841">
        <w:t>re-offending rates</w:t>
      </w:r>
    </w:p>
    <w:p w14:paraId="00C7A220" w14:textId="77777777" w:rsidR="007467BC" w:rsidRPr="00F90841" w:rsidRDefault="007467BC" w:rsidP="007709A6">
      <w:pPr>
        <w:pStyle w:val="Bullet1G"/>
      </w:pPr>
      <w:r w:rsidRPr="00F90841">
        <w:t>Was not sufficiently prioritising reduction of Māori re-offending and was in breach of the Treaty principle of active protection</w:t>
      </w:r>
    </w:p>
    <w:p w14:paraId="05A367A4" w14:textId="77777777" w:rsidR="007467BC" w:rsidRPr="00F90841" w:rsidRDefault="007467BC" w:rsidP="007709A6">
      <w:pPr>
        <w:pStyle w:val="Bullet1G"/>
      </w:pPr>
      <w:r w:rsidRPr="00F90841">
        <w:t xml:space="preserve">Had not breached the principle of partnership because of </w:t>
      </w:r>
      <w:r w:rsidR="00562737" w:rsidRPr="00F90841">
        <w:t>“</w:t>
      </w:r>
      <w:r w:rsidRPr="00F90841">
        <w:t>good faith attempts to engage with Māori</w:t>
      </w:r>
      <w:r w:rsidR="00562737" w:rsidRPr="00F90841">
        <w:t>”</w:t>
      </w:r>
      <w:r w:rsidRPr="00F90841">
        <w:t>, but risked breaching it if it did not fulfil its commitment to develop these partnerships.</w:t>
      </w:r>
    </w:p>
    <w:p w14:paraId="68CBB307" w14:textId="77777777" w:rsidR="007467BC" w:rsidRPr="00F90841" w:rsidRDefault="007467BC" w:rsidP="007467BC">
      <w:pPr>
        <w:pStyle w:val="SingleTxtG"/>
      </w:pPr>
      <w:r w:rsidRPr="00F90841">
        <w:t>123.</w:t>
      </w:r>
      <w:r w:rsidRPr="00F90841">
        <w:tab/>
        <w:t>Steps taken to implement recommendations from the report include:</w:t>
      </w:r>
    </w:p>
    <w:p w14:paraId="699FFE92" w14:textId="77777777" w:rsidR="007467BC" w:rsidRPr="00F90841" w:rsidRDefault="007467BC" w:rsidP="007709A6">
      <w:pPr>
        <w:pStyle w:val="Bullet1G"/>
      </w:pPr>
      <w:r w:rsidRPr="00F90841">
        <w:t>A dedicated Māori Services Team to improve engagement with Māori in prisons</w:t>
      </w:r>
    </w:p>
    <w:p w14:paraId="39F61EA0" w14:textId="77777777" w:rsidR="007467BC" w:rsidRPr="00F90841" w:rsidRDefault="007467BC" w:rsidP="007709A6">
      <w:pPr>
        <w:pStyle w:val="Bullet1G"/>
      </w:pPr>
      <w:r w:rsidRPr="00F90841">
        <w:t xml:space="preserve">Changing the </w:t>
      </w:r>
      <w:r w:rsidR="00562737" w:rsidRPr="00F90841">
        <w:t>‘</w:t>
      </w:r>
      <w:r w:rsidRPr="00F90841">
        <w:t>Māori Advisory Board</w:t>
      </w:r>
      <w:r w:rsidR="00562737" w:rsidRPr="00F90841">
        <w:t>’</w:t>
      </w:r>
      <w:r w:rsidRPr="00F90841">
        <w:t xml:space="preserve"> to the </w:t>
      </w:r>
      <w:r w:rsidR="00562737" w:rsidRPr="00F90841">
        <w:t>‘</w:t>
      </w:r>
      <w:r w:rsidRPr="00F90841">
        <w:t>Māori Leadership Board</w:t>
      </w:r>
      <w:r w:rsidR="00562737" w:rsidRPr="00F90841">
        <w:t>’</w:t>
      </w:r>
      <w:r w:rsidRPr="00F90841">
        <w:t xml:space="preserve"> and revising the terms of reference to have greater influence over decision-making and form a more balanced partnership arrangement</w:t>
      </w:r>
    </w:p>
    <w:p w14:paraId="3201B612" w14:textId="77777777" w:rsidR="007467BC" w:rsidRPr="00F90841" w:rsidRDefault="007467BC" w:rsidP="007709A6">
      <w:pPr>
        <w:pStyle w:val="Bullet1G"/>
      </w:pPr>
      <w:r w:rsidRPr="00F90841">
        <w:t xml:space="preserve">The </w:t>
      </w:r>
      <w:bookmarkStart w:id="42" w:name="_Hlk536104167"/>
      <w:r w:rsidRPr="00F90841">
        <w:t xml:space="preserve">Māori </w:t>
      </w:r>
      <w:bookmarkEnd w:id="42"/>
      <w:r w:rsidRPr="00F90841">
        <w:t>Leadership Board working with Corrections to develop a Māori strategy</w:t>
      </w:r>
    </w:p>
    <w:p w14:paraId="06B29122" w14:textId="77777777" w:rsidR="007467BC" w:rsidRPr="00F90841" w:rsidRDefault="007467BC" w:rsidP="007709A6">
      <w:pPr>
        <w:pStyle w:val="Bullet1G"/>
      </w:pPr>
      <w:r w:rsidRPr="00F90841">
        <w:t>Significant resourcing for Māori-specific programmes (listed in paragraph 125) and recruitment of staff with a specific Māori focus, including new leadership roles, a Māori Strategy and Partnerships Team, and a new Cultural Capability team, to supplement the existing Māori Services team</w:t>
      </w:r>
    </w:p>
    <w:p w14:paraId="0B76687F" w14:textId="77777777" w:rsidR="007467BC" w:rsidRPr="00F90841" w:rsidRDefault="007467BC" w:rsidP="007709A6">
      <w:pPr>
        <w:pStyle w:val="Bullet1G"/>
      </w:pPr>
      <w:r w:rsidRPr="00F90841">
        <w:t>Training on the Treaty of Waitangi and the Māori perspective to senior staff.</w:t>
      </w:r>
    </w:p>
    <w:p w14:paraId="58938AE1" w14:textId="77777777" w:rsidR="007467BC" w:rsidRPr="00F90841" w:rsidRDefault="007467BC" w:rsidP="007709A6">
      <w:pPr>
        <w:pStyle w:val="SingleTxtG"/>
        <w:keepNext/>
        <w:keepLines/>
      </w:pPr>
      <w:r w:rsidRPr="00F90841">
        <w:t>124.</w:t>
      </w:r>
      <w:r w:rsidRPr="00F90841">
        <w:tab/>
        <w:t>Specific partnership projects include:</w:t>
      </w:r>
    </w:p>
    <w:p w14:paraId="2F43C32A" w14:textId="77777777" w:rsidR="007467BC" w:rsidRPr="00F90841" w:rsidRDefault="007467BC" w:rsidP="007709A6">
      <w:pPr>
        <w:pStyle w:val="Bullet1G"/>
      </w:pPr>
      <w:r w:rsidRPr="00F90841">
        <w:t xml:space="preserve">The 2017 Corrections and </w:t>
      </w:r>
      <w:bookmarkStart w:id="43" w:name="_Hlk19264401"/>
      <w:proofErr w:type="spellStart"/>
      <w:r w:rsidRPr="00F90841">
        <w:t>Kīngitanga</w:t>
      </w:r>
      <w:bookmarkEnd w:id="43"/>
      <w:proofErr w:type="spellEnd"/>
      <w:r w:rsidRPr="00F90841">
        <w:rPr>
          <w:rStyle w:val="FootnoteReference"/>
        </w:rPr>
        <w:footnoteReference w:id="6"/>
      </w:r>
      <w:r w:rsidRPr="00F90841">
        <w:t xml:space="preserve"> agreement to collaborate to improve the health and wellbeing of </w:t>
      </w:r>
      <w:bookmarkStart w:id="44" w:name="_Hlk536104723"/>
      <w:r w:rsidRPr="00F90841">
        <w:t xml:space="preserve">Māori </w:t>
      </w:r>
      <w:bookmarkEnd w:id="44"/>
      <w:r w:rsidRPr="00F90841">
        <w:t>in custody, rehabilitation and reintegration, and Māori re-offending rates. A women</w:t>
      </w:r>
      <w:r w:rsidR="00562737" w:rsidRPr="00F90841">
        <w:t>’</w:t>
      </w:r>
      <w:r w:rsidRPr="00F90841">
        <w:t>s resettlement centre, is planned on land provided by Māori in conjunction with social and housing services</w:t>
      </w:r>
    </w:p>
    <w:p w14:paraId="55A2EB89" w14:textId="77777777" w:rsidR="007467BC" w:rsidRPr="00F90841" w:rsidRDefault="007467BC" w:rsidP="007709A6">
      <w:pPr>
        <w:pStyle w:val="Bullet1G"/>
      </w:pPr>
      <w:r w:rsidRPr="00F90841">
        <w:t xml:space="preserve">The 2018 agreement with </w:t>
      </w:r>
      <w:proofErr w:type="spellStart"/>
      <w:r w:rsidRPr="00F90841">
        <w:t>Ngāti</w:t>
      </w:r>
      <w:proofErr w:type="spellEnd"/>
      <w:r w:rsidRPr="00F90841">
        <w:t xml:space="preserve"> </w:t>
      </w:r>
      <w:proofErr w:type="spellStart"/>
      <w:r w:rsidRPr="00F90841">
        <w:t>Kahungunu</w:t>
      </w:r>
      <w:proofErr w:type="spellEnd"/>
      <w:r w:rsidRPr="00F90841">
        <w:t xml:space="preserve"> Iwi Incorporated designed to improve the wellbeing of Māori and their families, who have contact with the criminal justice system. Initial areas of focus are work and training; a community-based reintegration centre for women; and developing a comprehensive Māori reintegration/rehabilitation pathway. </w:t>
      </w:r>
    </w:p>
    <w:p w14:paraId="6632D955" w14:textId="77777777" w:rsidR="007467BC" w:rsidRPr="00F90841" w:rsidRDefault="007467BC" w:rsidP="007467BC">
      <w:pPr>
        <w:pStyle w:val="SingleTxtG"/>
      </w:pPr>
      <w:bookmarkStart w:id="45" w:name="_Ref536104406"/>
      <w:r w:rsidRPr="00F90841">
        <w:t>125.</w:t>
      </w:r>
      <w:r w:rsidRPr="00F90841">
        <w:tab/>
        <w:t xml:space="preserve">Corrections delivers programmes that are responsive to the needs of Māori. Tikanga concepts (Māori customs) are integrated into design and delivery, and facilitators have regular cultural supervision. Some programmes are also </w:t>
      </w:r>
      <w:proofErr w:type="spellStart"/>
      <w:r w:rsidRPr="00F90841">
        <w:t>kaupapa</w:t>
      </w:r>
      <w:proofErr w:type="spellEnd"/>
      <w:r w:rsidRPr="00F90841">
        <w:t xml:space="preserve"> Māori including:</w:t>
      </w:r>
      <w:bookmarkEnd w:id="45"/>
    </w:p>
    <w:p w14:paraId="47C887AB" w14:textId="77777777" w:rsidR="007467BC" w:rsidRPr="00F90841" w:rsidRDefault="00562737" w:rsidP="007709A6">
      <w:pPr>
        <w:pStyle w:val="Bullet1G"/>
      </w:pPr>
      <w:r w:rsidRPr="00F90841">
        <w:t>‘</w:t>
      </w:r>
      <w:r w:rsidR="007467BC" w:rsidRPr="00F90841">
        <w:t>Tikanga Māori,</w:t>
      </w:r>
      <w:r w:rsidRPr="00F90841">
        <w:t>’</w:t>
      </w:r>
      <w:r w:rsidR="007467BC" w:rsidRPr="00F90841">
        <w:t xml:space="preserve"> a motivational programme (1,040 places for 2018/19)</w:t>
      </w:r>
    </w:p>
    <w:p w14:paraId="73097346" w14:textId="77777777" w:rsidR="007467BC" w:rsidRPr="00F90841" w:rsidRDefault="00562737" w:rsidP="007709A6">
      <w:pPr>
        <w:pStyle w:val="Bullet1G"/>
      </w:pPr>
      <w:r w:rsidRPr="00F90841">
        <w:t>‘</w:t>
      </w:r>
      <w:r w:rsidR="007467BC" w:rsidRPr="00F90841">
        <w:t xml:space="preserve">Mauri </w:t>
      </w:r>
      <w:proofErr w:type="spellStart"/>
      <w:r w:rsidR="007467BC" w:rsidRPr="00F90841">
        <w:t>Tū</w:t>
      </w:r>
      <w:proofErr w:type="spellEnd"/>
      <w:r w:rsidR="007467BC" w:rsidRPr="00F90841">
        <w:t xml:space="preserve"> </w:t>
      </w:r>
      <w:proofErr w:type="spellStart"/>
      <w:r w:rsidR="007467BC" w:rsidRPr="00F90841">
        <w:t>Pae</w:t>
      </w:r>
      <w:proofErr w:type="spellEnd"/>
      <w:r w:rsidRPr="00F90841">
        <w:t>’</w:t>
      </w:r>
      <w:r w:rsidR="007467BC" w:rsidRPr="00F90841">
        <w:t xml:space="preserve">, an offence-focused programme to reduce reoffending (236 places yearly) </w:t>
      </w:r>
    </w:p>
    <w:p w14:paraId="4C98418F" w14:textId="77777777" w:rsidR="007467BC" w:rsidRPr="00F90841" w:rsidRDefault="00562737" w:rsidP="007709A6">
      <w:pPr>
        <w:pStyle w:val="Bullet1G"/>
      </w:pPr>
      <w:r w:rsidRPr="00F90841">
        <w:t>‘</w:t>
      </w:r>
      <w:proofErr w:type="spellStart"/>
      <w:r w:rsidR="007467BC" w:rsidRPr="00F90841">
        <w:t>Whare</w:t>
      </w:r>
      <w:proofErr w:type="spellEnd"/>
      <w:r w:rsidR="007467BC" w:rsidRPr="00F90841">
        <w:t xml:space="preserve"> </w:t>
      </w:r>
      <w:proofErr w:type="spellStart"/>
      <w:r w:rsidR="007467BC" w:rsidRPr="00F90841">
        <w:t>Oranga</w:t>
      </w:r>
      <w:proofErr w:type="spellEnd"/>
      <w:r w:rsidR="007467BC" w:rsidRPr="00F90841">
        <w:t xml:space="preserve"> Ake</w:t>
      </w:r>
      <w:r w:rsidRPr="00F90841">
        <w:t>’</w:t>
      </w:r>
      <w:r w:rsidR="007467BC" w:rsidRPr="00F90841">
        <w:t>, a re-integration programme housing minimum-security people nearing release outside prison i</w:t>
      </w:r>
      <w:r w:rsidRPr="00F90841">
        <w:t>n open self-care accommodation</w:t>
      </w:r>
    </w:p>
    <w:p w14:paraId="0817F1FB" w14:textId="77777777" w:rsidR="007467BC" w:rsidRPr="00F90841" w:rsidRDefault="00562737" w:rsidP="007709A6">
      <w:pPr>
        <w:pStyle w:val="Bullet1G"/>
      </w:pPr>
      <w:r w:rsidRPr="00F90841">
        <w:t>‘</w:t>
      </w:r>
      <w:proofErr w:type="spellStart"/>
      <w:r w:rsidR="007467BC" w:rsidRPr="00F90841">
        <w:t>Kowhiritanga</w:t>
      </w:r>
      <w:proofErr w:type="spellEnd"/>
      <w:r w:rsidRPr="00F90841">
        <w:t>’</w:t>
      </w:r>
      <w:r w:rsidR="007467BC" w:rsidRPr="00F90841">
        <w:t>, an offence focused rehabilitation programme delivered at all three women</w:t>
      </w:r>
      <w:r w:rsidRPr="00F90841">
        <w:t>’</w:t>
      </w:r>
      <w:r w:rsidR="007467BC" w:rsidRPr="00F90841">
        <w:t>s prisons, and in the community (163 in 2018/19)</w:t>
      </w:r>
    </w:p>
    <w:p w14:paraId="19AAD44C" w14:textId="77777777" w:rsidR="007467BC" w:rsidRPr="00F90841" w:rsidRDefault="007467BC" w:rsidP="007709A6">
      <w:pPr>
        <w:pStyle w:val="Bullet1G"/>
      </w:pPr>
      <w:r w:rsidRPr="00F90841">
        <w:t>Two intensive AOD treatment programmes for women and young people (122 yearly)</w:t>
      </w:r>
    </w:p>
    <w:p w14:paraId="499F1E3B" w14:textId="77777777" w:rsidR="007467BC" w:rsidRPr="00F90841" w:rsidRDefault="007467BC" w:rsidP="007709A6">
      <w:pPr>
        <w:pStyle w:val="Bullet1G"/>
      </w:pPr>
      <w:r w:rsidRPr="00F90841">
        <w:t xml:space="preserve">Corrections also contract several </w:t>
      </w:r>
      <w:proofErr w:type="spellStart"/>
      <w:r w:rsidRPr="00F90841">
        <w:t>kaupapa</w:t>
      </w:r>
      <w:proofErr w:type="spellEnd"/>
      <w:r w:rsidRPr="00F90841">
        <w:t xml:space="preserve"> Māori providers at Drug Treatment Units.</w:t>
      </w:r>
    </w:p>
    <w:p w14:paraId="7857A73B" w14:textId="77777777" w:rsidR="007467BC" w:rsidRPr="00F90841" w:rsidRDefault="007467BC" w:rsidP="007709A6">
      <w:pPr>
        <w:pStyle w:val="H4G"/>
      </w:pPr>
      <w:bookmarkStart w:id="46" w:name="_Hlk525562930"/>
      <w:r w:rsidRPr="00F90841">
        <w:lastRenderedPageBreak/>
        <w:tab/>
      </w:r>
      <w:r w:rsidRPr="00F90841">
        <w:tab/>
        <w:t>Alternatives to imprisonment</w:t>
      </w:r>
    </w:p>
    <w:p w14:paraId="55B76E8E" w14:textId="77777777" w:rsidR="007467BC" w:rsidRPr="00F90841" w:rsidRDefault="007467BC" w:rsidP="007467BC">
      <w:pPr>
        <w:pStyle w:val="SingleTxtG"/>
      </w:pPr>
      <w:r w:rsidRPr="00F90841">
        <w:t>126.</w:t>
      </w:r>
      <w:r w:rsidRPr="00F90841">
        <w:tab/>
        <w:t>Five community sentences are available as alternatives to imprisonment. Details were provided in detail in our previous report (paragraph 181). The court can also order the payment of reparation or a fine.</w:t>
      </w:r>
    </w:p>
    <w:p w14:paraId="79191B9E" w14:textId="77777777" w:rsidR="007467BC" w:rsidRPr="00F90841" w:rsidRDefault="007467BC" w:rsidP="008836B8">
      <w:pPr>
        <w:pStyle w:val="SingleTxtG"/>
      </w:pPr>
      <w:r w:rsidRPr="00F90841">
        <w:t>127.</w:t>
      </w:r>
      <w:r w:rsidRPr="00F90841">
        <w:tab/>
        <w:t xml:space="preserve">At any given time, most of the people in the justice system are managed in the community on one or more of these sentences. As at 31 December 2018, 30,158 were managed by Corrections in the community and 9,785 people were managed in prison. </w:t>
      </w:r>
    </w:p>
    <w:p w14:paraId="53457B07" w14:textId="77777777" w:rsidR="007467BC" w:rsidRPr="00F90841" w:rsidRDefault="007467BC" w:rsidP="00173842">
      <w:pPr>
        <w:pStyle w:val="H23G"/>
      </w:pPr>
      <w:r w:rsidRPr="00F90841">
        <w:tab/>
      </w:r>
      <w:r w:rsidRPr="00F90841">
        <w:tab/>
        <w:t>Types of sentences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849"/>
        <w:gridCol w:w="1135"/>
        <w:gridCol w:w="851"/>
        <w:gridCol w:w="992"/>
        <w:gridCol w:w="992"/>
        <w:gridCol w:w="992"/>
        <w:gridCol w:w="992"/>
        <w:gridCol w:w="851"/>
      </w:tblGrid>
      <w:tr w:rsidR="007467BC" w:rsidRPr="00F90841" w14:paraId="166F9FFB" w14:textId="77777777" w:rsidTr="00173842">
        <w:trPr>
          <w:tblHeader/>
        </w:trPr>
        <w:tc>
          <w:tcPr>
            <w:tcW w:w="500" w:type="pct"/>
            <w:tcBorders>
              <w:top w:val="single" w:sz="4" w:space="0" w:color="auto"/>
              <w:bottom w:val="single" w:sz="12" w:space="0" w:color="auto"/>
            </w:tcBorders>
            <w:shd w:val="clear" w:color="auto" w:fill="auto"/>
            <w:noWrap/>
            <w:vAlign w:val="bottom"/>
            <w:hideMark/>
          </w:tcPr>
          <w:p w14:paraId="2B8D947C" w14:textId="77777777" w:rsidR="007467BC" w:rsidRPr="00F90841" w:rsidRDefault="007467BC" w:rsidP="00BD000F">
            <w:pPr>
              <w:spacing w:before="80" w:after="80" w:line="200" w:lineRule="exact"/>
              <w:ind w:right="113"/>
              <w:rPr>
                <w:i/>
                <w:sz w:val="16"/>
              </w:rPr>
            </w:pPr>
            <w:r w:rsidRPr="00F90841">
              <w:rPr>
                <w:i/>
                <w:sz w:val="16"/>
              </w:rPr>
              <w:t>As at 30/9</w:t>
            </w:r>
          </w:p>
        </w:tc>
        <w:tc>
          <w:tcPr>
            <w:tcW w:w="499" w:type="pct"/>
            <w:tcBorders>
              <w:top w:val="single" w:sz="4" w:space="0" w:color="auto"/>
              <w:bottom w:val="single" w:sz="12" w:space="0" w:color="auto"/>
            </w:tcBorders>
            <w:shd w:val="clear" w:color="auto" w:fill="auto"/>
            <w:noWrap/>
            <w:vAlign w:val="bottom"/>
            <w:hideMark/>
          </w:tcPr>
          <w:p w14:paraId="718623D3" w14:textId="77777777" w:rsidR="007467BC" w:rsidRPr="00F90841" w:rsidRDefault="007467BC" w:rsidP="00BD000F">
            <w:pPr>
              <w:spacing w:before="80" w:after="80" w:line="200" w:lineRule="exact"/>
              <w:ind w:right="113"/>
              <w:jc w:val="right"/>
              <w:rPr>
                <w:i/>
                <w:sz w:val="16"/>
              </w:rPr>
            </w:pPr>
            <w:r w:rsidRPr="00F90841">
              <w:rPr>
                <w:i/>
                <w:sz w:val="16"/>
              </w:rPr>
              <w:t>Total Sentences</w:t>
            </w:r>
          </w:p>
        </w:tc>
        <w:tc>
          <w:tcPr>
            <w:tcW w:w="667" w:type="pct"/>
            <w:tcBorders>
              <w:top w:val="single" w:sz="4" w:space="0" w:color="auto"/>
              <w:bottom w:val="single" w:sz="12" w:space="0" w:color="auto"/>
            </w:tcBorders>
            <w:shd w:val="clear" w:color="auto" w:fill="auto"/>
            <w:noWrap/>
            <w:vAlign w:val="bottom"/>
            <w:hideMark/>
          </w:tcPr>
          <w:p w14:paraId="42193A22" w14:textId="77777777" w:rsidR="007467BC" w:rsidRPr="00F90841" w:rsidRDefault="007467BC" w:rsidP="00F406DB">
            <w:pPr>
              <w:spacing w:before="80" w:after="80" w:line="200" w:lineRule="exact"/>
              <w:ind w:right="113"/>
              <w:jc w:val="right"/>
              <w:rPr>
                <w:i/>
                <w:sz w:val="16"/>
              </w:rPr>
            </w:pPr>
            <w:r w:rsidRPr="00F90841">
              <w:rPr>
                <w:i/>
                <w:sz w:val="16"/>
              </w:rPr>
              <w:t>Total</w:t>
            </w:r>
            <w:r w:rsidR="00F406DB" w:rsidRPr="00F90841">
              <w:rPr>
                <w:i/>
                <w:sz w:val="16"/>
              </w:rPr>
              <w:br/>
            </w:r>
            <w:r w:rsidRPr="00F90841">
              <w:rPr>
                <w:i/>
                <w:sz w:val="16"/>
              </w:rPr>
              <w:t xml:space="preserve">non-custodial </w:t>
            </w:r>
          </w:p>
        </w:tc>
        <w:tc>
          <w:tcPr>
            <w:tcW w:w="500" w:type="pct"/>
            <w:tcBorders>
              <w:top w:val="single" w:sz="4" w:space="0" w:color="auto"/>
              <w:bottom w:val="single" w:sz="12" w:space="0" w:color="auto"/>
            </w:tcBorders>
            <w:shd w:val="clear" w:color="auto" w:fill="auto"/>
            <w:noWrap/>
            <w:vAlign w:val="bottom"/>
            <w:hideMark/>
          </w:tcPr>
          <w:p w14:paraId="5CD7F428" w14:textId="77777777" w:rsidR="007467BC" w:rsidRPr="00F90841" w:rsidRDefault="007467BC" w:rsidP="00BD000F">
            <w:pPr>
              <w:spacing w:before="80" w:after="80" w:line="200" w:lineRule="exact"/>
              <w:ind w:right="113"/>
              <w:jc w:val="right"/>
              <w:rPr>
                <w:i/>
                <w:sz w:val="16"/>
              </w:rPr>
            </w:pPr>
            <w:r w:rsidRPr="00F90841">
              <w:rPr>
                <w:i/>
                <w:sz w:val="16"/>
              </w:rPr>
              <w:t>Home Detention</w:t>
            </w:r>
          </w:p>
        </w:tc>
        <w:tc>
          <w:tcPr>
            <w:tcW w:w="583" w:type="pct"/>
            <w:tcBorders>
              <w:top w:val="single" w:sz="4" w:space="0" w:color="auto"/>
              <w:bottom w:val="single" w:sz="12" w:space="0" w:color="auto"/>
            </w:tcBorders>
            <w:shd w:val="clear" w:color="auto" w:fill="auto"/>
            <w:noWrap/>
            <w:vAlign w:val="bottom"/>
            <w:hideMark/>
          </w:tcPr>
          <w:p w14:paraId="63BE7926" w14:textId="77777777" w:rsidR="007467BC" w:rsidRPr="00F90841" w:rsidRDefault="007467BC" w:rsidP="00BD000F">
            <w:pPr>
              <w:spacing w:before="80" w:after="80" w:line="200" w:lineRule="exact"/>
              <w:ind w:right="113"/>
              <w:jc w:val="right"/>
              <w:rPr>
                <w:i/>
                <w:sz w:val="16"/>
              </w:rPr>
            </w:pPr>
            <w:r w:rsidRPr="00F90841">
              <w:rPr>
                <w:i/>
                <w:sz w:val="16"/>
              </w:rPr>
              <w:t>Community Detention</w:t>
            </w:r>
          </w:p>
        </w:tc>
        <w:tc>
          <w:tcPr>
            <w:tcW w:w="583" w:type="pct"/>
            <w:tcBorders>
              <w:top w:val="single" w:sz="4" w:space="0" w:color="auto"/>
              <w:bottom w:val="single" w:sz="12" w:space="0" w:color="auto"/>
            </w:tcBorders>
            <w:shd w:val="clear" w:color="auto" w:fill="auto"/>
            <w:noWrap/>
            <w:vAlign w:val="bottom"/>
            <w:hideMark/>
          </w:tcPr>
          <w:p w14:paraId="1D3A7FBF" w14:textId="77777777" w:rsidR="007467BC" w:rsidRPr="00F90841" w:rsidRDefault="007467BC" w:rsidP="00BD000F">
            <w:pPr>
              <w:spacing w:before="80" w:after="80" w:line="200" w:lineRule="exact"/>
              <w:ind w:right="113"/>
              <w:jc w:val="right"/>
              <w:rPr>
                <w:i/>
                <w:sz w:val="16"/>
              </w:rPr>
            </w:pPr>
            <w:r w:rsidRPr="00F90841">
              <w:rPr>
                <w:i/>
                <w:sz w:val="16"/>
              </w:rPr>
              <w:t>Intensive Supervision</w:t>
            </w:r>
          </w:p>
        </w:tc>
        <w:tc>
          <w:tcPr>
            <w:tcW w:w="583" w:type="pct"/>
            <w:tcBorders>
              <w:top w:val="single" w:sz="4" w:space="0" w:color="auto"/>
              <w:bottom w:val="single" w:sz="12" w:space="0" w:color="auto"/>
            </w:tcBorders>
            <w:shd w:val="clear" w:color="auto" w:fill="auto"/>
            <w:noWrap/>
            <w:vAlign w:val="bottom"/>
            <w:hideMark/>
          </w:tcPr>
          <w:p w14:paraId="68438D2A" w14:textId="77777777" w:rsidR="007467BC" w:rsidRPr="00F90841" w:rsidRDefault="007467BC" w:rsidP="00BD000F">
            <w:pPr>
              <w:spacing w:before="80" w:after="80" w:line="200" w:lineRule="exact"/>
              <w:ind w:right="113"/>
              <w:jc w:val="right"/>
              <w:rPr>
                <w:i/>
                <w:sz w:val="16"/>
              </w:rPr>
            </w:pPr>
            <w:r w:rsidRPr="00F90841">
              <w:rPr>
                <w:i/>
                <w:sz w:val="16"/>
              </w:rPr>
              <w:t>Supervision</w:t>
            </w:r>
          </w:p>
        </w:tc>
        <w:tc>
          <w:tcPr>
            <w:tcW w:w="583" w:type="pct"/>
            <w:tcBorders>
              <w:top w:val="single" w:sz="4" w:space="0" w:color="auto"/>
              <w:bottom w:val="single" w:sz="12" w:space="0" w:color="auto"/>
            </w:tcBorders>
            <w:shd w:val="clear" w:color="auto" w:fill="auto"/>
            <w:noWrap/>
            <w:vAlign w:val="bottom"/>
            <w:hideMark/>
          </w:tcPr>
          <w:p w14:paraId="028B68BE" w14:textId="77777777" w:rsidR="007467BC" w:rsidRPr="00F90841" w:rsidRDefault="007467BC" w:rsidP="00BD000F">
            <w:pPr>
              <w:spacing w:before="80" w:after="80" w:line="200" w:lineRule="exact"/>
              <w:ind w:right="113"/>
              <w:jc w:val="right"/>
              <w:rPr>
                <w:i/>
                <w:sz w:val="16"/>
              </w:rPr>
            </w:pPr>
            <w:r w:rsidRPr="00F90841">
              <w:rPr>
                <w:i/>
                <w:sz w:val="16"/>
              </w:rPr>
              <w:t>Community</w:t>
            </w:r>
            <w:r w:rsidR="00173842">
              <w:rPr>
                <w:i/>
                <w:sz w:val="16"/>
              </w:rPr>
              <w:t xml:space="preserve"> </w:t>
            </w:r>
            <w:r w:rsidRPr="00F90841">
              <w:rPr>
                <w:i/>
                <w:sz w:val="16"/>
              </w:rPr>
              <w:t>Work</w:t>
            </w:r>
          </w:p>
        </w:tc>
        <w:tc>
          <w:tcPr>
            <w:tcW w:w="500" w:type="pct"/>
            <w:tcBorders>
              <w:top w:val="single" w:sz="4" w:space="0" w:color="auto"/>
              <w:bottom w:val="single" w:sz="12" w:space="0" w:color="auto"/>
            </w:tcBorders>
            <w:shd w:val="clear" w:color="auto" w:fill="auto"/>
            <w:noWrap/>
            <w:vAlign w:val="bottom"/>
            <w:hideMark/>
          </w:tcPr>
          <w:p w14:paraId="393DE464" w14:textId="77777777" w:rsidR="007467BC" w:rsidRPr="00F90841" w:rsidRDefault="007467BC" w:rsidP="00BD000F">
            <w:pPr>
              <w:spacing w:before="80" w:after="80" w:line="200" w:lineRule="exact"/>
              <w:ind w:right="113"/>
              <w:jc w:val="right"/>
              <w:rPr>
                <w:i/>
                <w:sz w:val="16"/>
              </w:rPr>
            </w:pPr>
            <w:r w:rsidRPr="00F90841">
              <w:rPr>
                <w:i/>
                <w:sz w:val="16"/>
              </w:rPr>
              <w:t>Custodial</w:t>
            </w:r>
          </w:p>
        </w:tc>
      </w:tr>
      <w:tr w:rsidR="007467BC" w:rsidRPr="00F90841" w14:paraId="02CDD498" w14:textId="77777777" w:rsidTr="00173842">
        <w:tc>
          <w:tcPr>
            <w:tcW w:w="500" w:type="pct"/>
            <w:tcBorders>
              <w:top w:val="single" w:sz="12" w:space="0" w:color="auto"/>
            </w:tcBorders>
            <w:shd w:val="clear" w:color="auto" w:fill="auto"/>
            <w:noWrap/>
            <w:hideMark/>
          </w:tcPr>
          <w:p w14:paraId="53592DE2" w14:textId="77777777" w:rsidR="007467BC" w:rsidRPr="00F90841" w:rsidRDefault="007467BC" w:rsidP="00BD000F">
            <w:pPr>
              <w:spacing w:before="40" w:after="40" w:line="220" w:lineRule="exact"/>
              <w:ind w:right="113"/>
              <w:rPr>
                <w:sz w:val="18"/>
              </w:rPr>
            </w:pPr>
            <w:r w:rsidRPr="00F90841">
              <w:rPr>
                <w:sz w:val="18"/>
              </w:rPr>
              <w:t>2015</w:t>
            </w:r>
          </w:p>
        </w:tc>
        <w:tc>
          <w:tcPr>
            <w:tcW w:w="499" w:type="pct"/>
            <w:tcBorders>
              <w:top w:val="single" w:sz="12" w:space="0" w:color="auto"/>
            </w:tcBorders>
            <w:shd w:val="clear" w:color="auto" w:fill="auto"/>
            <w:noWrap/>
            <w:vAlign w:val="bottom"/>
            <w:hideMark/>
          </w:tcPr>
          <w:p w14:paraId="1F421ECE" w14:textId="77777777" w:rsidR="007467BC" w:rsidRPr="00F90841" w:rsidRDefault="007467BC" w:rsidP="00BD000F">
            <w:pPr>
              <w:spacing w:before="40" w:after="40" w:line="220" w:lineRule="exact"/>
              <w:ind w:right="113"/>
              <w:jc w:val="right"/>
              <w:rPr>
                <w:sz w:val="18"/>
              </w:rPr>
            </w:pPr>
            <w:r w:rsidRPr="00F90841">
              <w:rPr>
                <w:sz w:val="18"/>
              </w:rPr>
              <w:t>29</w:t>
            </w:r>
            <w:r w:rsidR="00BD000F" w:rsidRPr="00F90841">
              <w:rPr>
                <w:sz w:val="18"/>
              </w:rPr>
              <w:t xml:space="preserve"> </w:t>
            </w:r>
            <w:r w:rsidRPr="00F90841">
              <w:rPr>
                <w:sz w:val="18"/>
              </w:rPr>
              <w:t>115</w:t>
            </w:r>
          </w:p>
        </w:tc>
        <w:tc>
          <w:tcPr>
            <w:tcW w:w="667" w:type="pct"/>
            <w:tcBorders>
              <w:top w:val="single" w:sz="12" w:space="0" w:color="auto"/>
            </w:tcBorders>
            <w:shd w:val="clear" w:color="auto" w:fill="auto"/>
            <w:noWrap/>
            <w:vAlign w:val="bottom"/>
            <w:hideMark/>
          </w:tcPr>
          <w:p w14:paraId="46A4874C" w14:textId="77777777" w:rsidR="007467BC" w:rsidRPr="00F90841" w:rsidRDefault="007467BC" w:rsidP="00BD000F">
            <w:pPr>
              <w:spacing w:before="40" w:after="40" w:line="220" w:lineRule="exact"/>
              <w:ind w:right="113"/>
              <w:jc w:val="right"/>
              <w:rPr>
                <w:sz w:val="18"/>
              </w:rPr>
            </w:pPr>
            <w:r w:rsidRPr="00F90841">
              <w:rPr>
                <w:sz w:val="18"/>
              </w:rPr>
              <w:t>21</w:t>
            </w:r>
            <w:r w:rsidR="00BD000F" w:rsidRPr="00F90841">
              <w:rPr>
                <w:sz w:val="18"/>
              </w:rPr>
              <w:t xml:space="preserve"> </w:t>
            </w:r>
            <w:r w:rsidRPr="00F90841">
              <w:rPr>
                <w:sz w:val="18"/>
              </w:rPr>
              <w:t>867</w:t>
            </w:r>
          </w:p>
        </w:tc>
        <w:tc>
          <w:tcPr>
            <w:tcW w:w="500" w:type="pct"/>
            <w:tcBorders>
              <w:top w:val="single" w:sz="12" w:space="0" w:color="auto"/>
            </w:tcBorders>
            <w:shd w:val="clear" w:color="auto" w:fill="auto"/>
            <w:noWrap/>
            <w:vAlign w:val="bottom"/>
            <w:hideMark/>
          </w:tcPr>
          <w:p w14:paraId="30E74CDF" w14:textId="77777777" w:rsidR="007467BC" w:rsidRPr="00F90841" w:rsidRDefault="00F406DB" w:rsidP="00BD000F">
            <w:pPr>
              <w:spacing w:before="40" w:after="40" w:line="220" w:lineRule="exact"/>
              <w:ind w:right="113"/>
              <w:jc w:val="right"/>
              <w:rPr>
                <w:sz w:val="18"/>
              </w:rPr>
            </w:pPr>
            <w:r w:rsidRPr="00F90841">
              <w:rPr>
                <w:sz w:val="18"/>
              </w:rPr>
              <w:t xml:space="preserve">1 </w:t>
            </w:r>
            <w:r w:rsidR="007467BC" w:rsidRPr="00F90841">
              <w:rPr>
                <w:sz w:val="18"/>
              </w:rPr>
              <w:t>603</w:t>
            </w:r>
          </w:p>
        </w:tc>
        <w:tc>
          <w:tcPr>
            <w:tcW w:w="583" w:type="pct"/>
            <w:tcBorders>
              <w:top w:val="single" w:sz="12" w:space="0" w:color="auto"/>
            </w:tcBorders>
            <w:shd w:val="clear" w:color="auto" w:fill="auto"/>
            <w:noWrap/>
            <w:vAlign w:val="bottom"/>
            <w:hideMark/>
          </w:tcPr>
          <w:p w14:paraId="347CCDD2" w14:textId="77777777" w:rsidR="007467BC" w:rsidRPr="00F90841" w:rsidRDefault="007467BC" w:rsidP="00BD000F">
            <w:pPr>
              <w:spacing w:before="40" w:after="40" w:line="220" w:lineRule="exact"/>
              <w:ind w:right="113"/>
              <w:jc w:val="right"/>
              <w:rPr>
                <w:sz w:val="18"/>
              </w:rPr>
            </w:pPr>
            <w:r w:rsidRPr="00F90841">
              <w:rPr>
                <w:sz w:val="18"/>
              </w:rPr>
              <w:t>582</w:t>
            </w:r>
          </w:p>
        </w:tc>
        <w:tc>
          <w:tcPr>
            <w:tcW w:w="583" w:type="pct"/>
            <w:tcBorders>
              <w:top w:val="single" w:sz="12" w:space="0" w:color="auto"/>
            </w:tcBorders>
            <w:shd w:val="clear" w:color="auto" w:fill="auto"/>
            <w:noWrap/>
            <w:vAlign w:val="bottom"/>
            <w:hideMark/>
          </w:tcPr>
          <w:p w14:paraId="32F0BDB8" w14:textId="77777777" w:rsidR="007467BC" w:rsidRPr="00F90841" w:rsidRDefault="007467BC" w:rsidP="00F406DB">
            <w:pPr>
              <w:spacing w:before="40" w:after="40" w:line="220" w:lineRule="exact"/>
              <w:ind w:right="113"/>
              <w:jc w:val="right"/>
              <w:rPr>
                <w:sz w:val="18"/>
              </w:rPr>
            </w:pPr>
            <w:r w:rsidRPr="00F90841">
              <w:rPr>
                <w:sz w:val="18"/>
              </w:rPr>
              <w:t>2</w:t>
            </w:r>
            <w:r w:rsidR="00F406DB" w:rsidRPr="00F90841">
              <w:rPr>
                <w:sz w:val="18"/>
              </w:rPr>
              <w:t xml:space="preserve"> </w:t>
            </w:r>
            <w:r w:rsidRPr="00F90841">
              <w:rPr>
                <w:sz w:val="18"/>
              </w:rPr>
              <w:t>659</w:t>
            </w:r>
          </w:p>
        </w:tc>
        <w:tc>
          <w:tcPr>
            <w:tcW w:w="583" w:type="pct"/>
            <w:tcBorders>
              <w:top w:val="single" w:sz="12" w:space="0" w:color="auto"/>
            </w:tcBorders>
            <w:shd w:val="clear" w:color="auto" w:fill="auto"/>
            <w:noWrap/>
            <w:vAlign w:val="bottom"/>
            <w:hideMark/>
          </w:tcPr>
          <w:p w14:paraId="58AAF9CF" w14:textId="77777777" w:rsidR="007467BC" w:rsidRPr="00F90841" w:rsidRDefault="007467BC" w:rsidP="002D5C23">
            <w:pPr>
              <w:spacing w:before="40" w:after="40" w:line="220" w:lineRule="exact"/>
              <w:ind w:right="113"/>
              <w:jc w:val="right"/>
              <w:rPr>
                <w:sz w:val="18"/>
              </w:rPr>
            </w:pPr>
            <w:r w:rsidRPr="00F90841">
              <w:rPr>
                <w:sz w:val="18"/>
              </w:rPr>
              <w:t>7</w:t>
            </w:r>
            <w:r w:rsidR="002D5C23" w:rsidRPr="00F90841">
              <w:rPr>
                <w:sz w:val="18"/>
              </w:rPr>
              <w:t xml:space="preserve"> </w:t>
            </w:r>
            <w:r w:rsidRPr="00F90841">
              <w:rPr>
                <w:sz w:val="18"/>
              </w:rPr>
              <w:t>306</w:t>
            </w:r>
          </w:p>
        </w:tc>
        <w:tc>
          <w:tcPr>
            <w:tcW w:w="583" w:type="pct"/>
            <w:tcBorders>
              <w:top w:val="single" w:sz="12" w:space="0" w:color="auto"/>
            </w:tcBorders>
            <w:shd w:val="clear" w:color="auto" w:fill="auto"/>
            <w:noWrap/>
            <w:vAlign w:val="bottom"/>
            <w:hideMark/>
          </w:tcPr>
          <w:p w14:paraId="323E5C5B" w14:textId="77777777" w:rsidR="007467BC" w:rsidRPr="00F90841" w:rsidRDefault="007467BC" w:rsidP="002D5C23">
            <w:pPr>
              <w:spacing w:before="40" w:after="40" w:line="220" w:lineRule="exact"/>
              <w:ind w:right="113"/>
              <w:jc w:val="right"/>
              <w:rPr>
                <w:sz w:val="18"/>
              </w:rPr>
            </w:pPr>
            <w:r w:rsidRPr="00F90841">
              <w:rPr>
                <w:sz w:val="18"/>
              </w:rPr>
              <w:t>9</w:t>
            </w:r>
            <w:r w:rsidR="002D5C23" w:rsidRPr="00F90841">
              <w:rPr>
                <w:sz w:val="18"/>
              </w:rPr>
              <w:t xml:space="preserve"> </w:t>
            </w:r>
            <w:r w:rsidRPr="00F90841">
              <w:rPr>
                <w:sz w:val="18"/>
              </w:rPr>
              <w:t>717</w:t>
            </w:r>
          </w:p>
        </w:tc>
        <w:tc>
          <w:tcPr>
            <w:tcW w:w="500" w:type="pct"/>
            <w:tcBorders>
              <w:top w:val="single" w:sz="12" w:space="0" w:color="auto"/>
            </w:tcBorders>
            <w:shd w:val="clear" w:color="auto" w:fill="auto"/>
            <w:noWrap/>
            <w:vAlign w:val="bottom"/>
            <w:hideMark/>
          </w:tcPr>
          <w:p w14:paraId="1D69E6F4" w14:textId="77777777" w:rsidR="007467BC" w:rsidRPr="00F90841" w:rsidRDefault="007467BC" w:rsidP="002D5C23">
            <w:pPr>
              <w:spacing w:before="40" w:after="40" w:line="220" w:lineRule="exact"/>
              <w:ind w:right="113"/>
              <w:jc w:val="right"/>
              <w:rPr>
                <w:sz w:val="18"/>
              </w:rPr>
            </w:pPr>
            <w:r w:rsidRPr="00F90841">
              <w:rPr>
                <w:sz w:val="18"/>
              </w:rPr>
              <w:t>7</w:t>
            </w:r>
            <w:r w:rsidR="002D5C23" w:rsidRPr="00F90841">
              <w:rPr>
                <w:sz w:val="18"/>
              </w:rPr>
              <w:t xml:space="preserve"> </w:t>
            </w:r>
            <w:r w:rsidRPr="00F90841">
              <w:rPr>
                <w:sz w:val="18"/>
              </w:rPr>
              <w:t>248</w:t>
            </w:r>
          </w:p>
        </w:tc>
      </w:tr>
      <w:tr w:rsidR="007467BC" w:rsidRPr="00F90841" w14:paraId="26BBCBE3" w14:textId="77777777" w:rsidTr="00173842">
        <w:tc>
          <w:tcPr>
            <w:tcW w:w="500" w:type="pct"/>
            <w:shd w:val="clear" w:color="auto" w:fill="auto"/>
            <w:noWrap/>
            <w:hideMark/>
          </w:tcPr>
          <w:p w14:paraId="2D61764E" w14:textId="77777777" w:rsidR="007467BC" w:rsidRPr="00F90841" w:rsidRDefault="007467BC" w:rsidP="00BD000F">
            <w:pPr>
              <w:spacing w:before="40" w:after="40" w:line="220" w:lineRule="exact"/>
              <w:ind w:right="113"/>
              <w:rPr>
                <w:sz w:val="18"/>
              </w:rPr>
            </w:pPr>
            <w:r w:rsidRPr="00F90841">
              <w:rPr>
                <w:sz w:val="18"/>
              </w:rPr>
              <w:t>2016</w:t>
            </w:r>
          </w:p>
        </w:tc>
        <w:tc>
          <w:tcPr>
            <w:tcW w:w="499" w:type="pct"/>
            <w:shd w:val="clear" w:color="auto" w:fill="auto"/>
            <w:noWrap/>
            <w:vAlign w:val="bottom"/>
            <w:hideMark/>
          </w:tcPr>
          <w:p w14:paraId="0F0452D3" w14:textId="77777777" w:rsidR="007467BC" w:rsidRPr="00F90841" w:rsidRDefault="007467BC" w:rsidP="00BD000F">
            <w:pPr>
              <w:spacing w:before="40" w:after="40" w:line="220" w:lineRule="exact"/>
              <w:ind w:right="113"/>
              <w:jc w:val="right"/>
              <w:rPr>
                <w:sz w:val="18"/>
              </w:rPr>
            </w:pPr>
            <w:r w:rsidRPr="00F90841">
              <w:rPr>
                <w:sz w:val="18"/>
              </w:rPr>
              <w:t>29</w:t>
            </w:r>
            <w:r w:rsidR="00BD000F" w:rsidRPr="00F90841">
              <w:rPr>
                <w:sz w:val="18"/>
              </w:rPr>
              <w:t xml:space="preserve"> </w:t>
            </w:r>
            <w:r w:rsidRPr="00F90841">
              <w:rPr>
                <w:sz w:val="18"/>
              </w:rPr>
              <w:t>553</w:t>
            </w:r>
          </w:p>
        </w:tc>
        <w:tc>
          <w:tcPr>
            <w:tcW w:w="667" w:type="pct"/>
            <w:shd w:val="clear" w:color="auto" w:fill="auto"/>
            <w:noWrap/>
            <w:vAlign w:val="bottom"/>
            <w:hideMark/>
          </w:tcPr>
          <w:p w14:paraId="33EA33E2" w14:textId="77777777" w:rsidR="007467BC" w:rsidRPr="00F90841" w:rsidRDefault="007467BC" w:rsidP="00F406DB">
            <w:pPr>
              <w:spacing w:before="40" w:after="40" w:line="220" w:lineRule="exact"/>
              <w:ind w:right="113"/>
              <w:jc w:val="right"/>
              <w:rPr>
                <w:sz w:val="18"/>
              </w:rPr>
            </w:pPr>
            <w:r w:rsidRPr="00F90841">
              <w:rPr>
                <w:sz w:val="18"/>
              </w:rPr>
              <w:t>21</w:t>
            </w:r>
            <w:r w:rsidR="00F406DB" w:rsidRPr="00F90841">
              <w:rPr>
                <w:sz w:val="18"/>
              </w:rPr>
              <w:t xml:space="preserve"> </w:t>
            </w:r>
            <w:r w:rsidRPr="00F90841">
              <w:rPr>
                <w:sz w:val="18"/>
              </w:rPr>
              <w:t>930</w:t>
            </w:r>
          </w:p>
        </w:tc>
        <w:tc>
          <w:tcPr>
            <w:tcW w:w="500" w:type="pct"/>
            <w:shd w:val="clear" w:color="auto" w:fill="auto"/>
            <w:noWrap/>
            <w:vAlign w:val="bottom"/>
            <w:hideMark/>
          </w:tcPr>
          <w:p w14:paraId="3AD526AA" w14:textId="77777777" w:rsidR="007467BC" w:rsidRPr="00F90841" w:rsidRDefault="007467BC" w:rsidP="00F406DB">
            <w:pPr>
              <w:spacing w:before="40" w:after="40" w:line="220" w:lineRule="exact"/>
              <w:ind w:right="113"/>
              <w:jc w:val="right"/>
              <w:rPr>
                <w:sz w:val="18"/>
              </w:rPr>
            </w:pPr>
            <w:r w:rsidRPr="00F90841">
              <w:rPr>
                <w:sz w:val="18"/>
              </w:rPr>
              <w:t>1</w:t>
            </w:r>
            <w:r w:rsidR="00F406DB" w:rsidRPr="00F90841">
              <w:rPr>
                <w:sz w:val="18"/>
              </w:rPr>
              <w:t xml:space="preserve"> </w:t>
            </w:r>
            <w:r w:rsidRPr="00F90841">
              <w:rPr>
                <w:sz w:val="18"/>
              </w:rPr>
              <w:t>651</w:t>
            </w:r>
          </w:p>
        </w:tc>
        <w:tc>
          <w:tcPr>
            <w:tcW w:w="583" w:type="pct"/>
            <w:shd w:val="clear" w:color="auto" w:fill="auto"/>
            <w:noWrap/>
            <w:vAlign w:val="bottom"/>
            <w:hideMark/>
          </w:tcPr>
          <w:p w14:paraId="1E391F20" w14:textId="77777777" w:rsidR="007467BC" w:rsidRPr="00F90841" w:rsidRDefault="007467BC" w:rsidP="00BD000F">
            <w:pPr>
              <w:spacing w:before="40" w:after="40" w:line="220" w:lineRule="exact"/>
              <w:ind w:right="113"/>
              <w:jc w:val="right"/>
              <w:rPr>
                <w:sz w:val="18"/>
              </w:rPr>
            </w:pPr>
            <w:r w:rsidRPr="00F90841">
              <w:rPr>
                <w:sz w:val="18"/>
              </w:rPr>
              <w:t>492</w:t>
            </w:r>
          </w:p>
        </w:tc>
        <w:tc>
          <w:tcPr>
            <w:tcW w:w="583" w:type="pct"/>
            <w:shd w:val="clear" w:color="auto" w:fill="auto"/>
            <w:noWrap/>
            <w:vAlign w:val="bottom"/>
            <w:hideMark/>
          </w:tcPr>
          <w:p w14:paraId="106BE086" w14:textId="77777777" w:rsidR="007467BC" w:rsidRPr="00F90841" w:rsidRDefault="007467BC" w:rsidP="00F406DB">
            <w:pPr>
              <w:spacing w:before="40" w:after="40" w:line="220" w:lineRule="exact"/>
              <w:ind w:right="113"/>
              <w:jc w:val="right"/>
              <w:rPr>
                <w:sz w:val="18"/>
              </w:rPr>
            </w:pPr>
            <w:r w:rsidRPr="00F90841">
              <w:rPr>
                <w:sz w:val="18"/>
              </w:rPr>
              <w:t>2</w:t>
            </w:r>
            <w:r w:rsidR="00F406DB" w:rsidRPr="00F90841">
              <w:rPr>
                <w:sz w:val="18"/>
              </w:rPr>
              <w:t xml:space="preserve"> </w:t>
            </w:r>
            <w:r w:rsidRPr="00F90841">
              <w:rPr>
                <w:sz w:val="18"/>
              </w:rPr>
              <w:t>812</w:t>
            </w:r>
          </w:p>
        </w:tc>
        <w:tc>
          <w:tcPr>
            <w:tcW w:w="583" w:type="pct"/>
            <w:shd w:val="clear" w:color="auto" w:fill="auto"/>
            <w:noWrap/>
            <w:vAlign w:val="bottom"/>
            <w:hideMark/>
          </w:tcPr>
          <w:p w14:paraId="15913C9D" w14:textId="77777777" w:rsidR="007467BC" w:rsidRPr="00F90841" w:rsidRDefault="007467BC" w:rsidP="002D5C23">
            <w:pPr>
              <w:spacing w:before="40" w:after="40" w:line="220" w:lineRule="exact"/>
              <w:ind w:right="113"/>
              <w:jc w:val="right"/>
              <w:rPr>
                <w:sz w:val="18"/>
              </w:rPr>
            </w:pPr>
            <w:r w:rsidRPr="00F90841">
              <w:rPr>
                <w:sz w:val="18"/>
              </w:rPr>
              <w:t>7</w:t>
            </w:r>
            <w:r w:rsidR="002D5C23" w:rsidRPr="00F90841">
              <w:rPr>
                <w:sz w:val="18"/>
              </w:rPr>
              <w:t xml:space="preserve"> </w:t>
            </w:r>
            <w:r w:rsidRPr="00F90841">
              <w:rPr>
                <w:sz w:val="18"/>
              </w:rPr>
              <w:t>905</w:t>
            </w:r>
          </w:p>
        </w:tc>
        <w:tc>
          <w:tcPr>
            <w:tcW w:w="583" w:type="pct"/>
            <w:shd w:val="clear" w:color="auto" w:fill="auto"/>
            <w:noWrap/>
            <w:vAlign w:val="bottom"/>
            <w:hideMark/>
          </w:tcPr>
          <w:p w14:paraId="7FCF14E5" w14:textId="77777777" w:rsidR="007467BC" w:rsidRPr="00F90841" w:rsidRDefault="007467BC" w:rsidP="002D5C23">
            <w:pPr>
              <w:spacing w:before="40" w:after="40" w:line="220" w:lineRule="exact"/>
              <w:ind w:right="113"/>
              <w:jc w:val="right"/>
              <w:rPr>
                <w:sz w:val="18"/>
              </w:rPr>
            </w:pPr>
            <w:r w:rsidRPr="00F90841">
              <w:rPr>
                <w:sz w:val="18"/>
              </w:rPr>
              <w:t>9</w:t>
            </w:r>
            <w:r w:rsidR="002D5C23" w:rsidRPr="00F90841">
              <w:rPr>
                <w:sz w:val="18"/>
              </w:rPr>
              <w:t xml:space="preserve"> </w:t>
            </w:r>
            <w:r w:rsidRPr="00F90841">
              <w:rPr>
                <w:sz w:val="18"/>
              </w:rPr>
              <w:t>070</w:t>
            </w:r>
          </w:p>
        </w:tc>
        <w:tc>
          <w:tcPr>
            <w:tcW w:w="500" w:type="pct"/>
            <w:shd w:val="clear" w:color="auto" w:fill="auto"/>
            <w:noWrap/>
            <w:vAlign w:val="bottom"/>
            <w:hideMark/>
          </w:tcPr>
          <w:p w14:paraId="4661886E" w14:textId="77777777" w:rsidR="007467BC" w:rsidRPr="00F90841" w:rsidRDefault="007467BC" w:rsidP="002D5C23">
            <w:pPr>
              <w:spacing w:before="40" w:after="40" w:line="220" w:lineRule="exact"/>
              <w:ind w:right="113"/>
              <w:jc w:val="right"/>
              <w:rPr>
                <w:sz w:val="18"/>
              </w:rPr>
            </w:pPr>
            <w:r w:rsidRPr="00F90841">
              <w:rPr>
                <w:sz w:val="18"/>
              </w:rPr>
              <w:t>7</w:t>
            </w:r>
            <w:r w:rsidR="002D5C23" w:rsidRPr="00F90841">
              <w:rPr>
                <w:sz w:val="18"/>
              </w:rPr>
              <w:t xml:space="preserve"> </w:t>
            </w:r>
            <w:r w:rsidRPr="00F90841">
              <w:rPr>
                <w:sz w:val="18"/>
              </w:rPr>
              <w:t>623</w:t>
            </w:r>
          </w:p>
        </w:tc>
      </w:tr>
      <w:tr w:rsidR="007467BC" w:rsidRPr="00F90841" w14:paraId="087CC6D1" w14:textId="77777777" w:rsidTr="00173842">
        <w:tc>
          <w:tcPr>
            <w:tcW w:w="500" w:type="pct"/>
            <w:shd w:val="clear" w:color="auto" w:fill="auto"/>
            <w:noWrap/>
            <w:hideMark/>
          </w:tcPr>
          <w:p w14:paraId="0D899AD6" w14:textId="77777777" w:rsidR="007467BC" w:rsidRPr="00F90841" w:rsidRDefault="007467BC" w:rsidP="00BD000F">
            <w:pPr>
              <w:spacing w:before="40" w:after="40" w:line="220" w:lineRule="exact"/>
              <w:ind w:right="113"/>
              <w:rPr>
                <w:sz w:val="18"/>
              </w:rPr>
            </w:pPr>
            <w:r w:rsidRPr="00F90841">
              <w:rPr>
                <w:sz w:val="18"/>
              </w:rPr>
              <w:t>2017</w:t>
            </w:r>
          </w:p>
        </w:tc>
        <w:tc>
          <w:tcPr>
            <w:tcW w:w="499" w:type="pct"/>
            <w:shd w:val="clear" w:color="auto" w:fill="auto"/>
            <w:noWrap/>
            <w:vAlign w:val="bottom"/>
            <w:hideMark/>
          </w:tcPr>
          <w:p w14:paraId="7305AF46" w14:textId="77777777" w:rsidR="007467BC" w:rsidRPr="00F90841" w:rsidRDefault="007467BC" w:rsidP="00BD000F">
            <w:pPr>
              <w:spacing w:before="40" w:after="40" w:line="220" w:lineRule="exact"/>
              <w:ind w:right="113"/>
              <w:jc w:val="right"/>
              <w:rPr>
                <w:sz w:val="18"/>
              </w:rPr>
            </w:pPr>
            <w:r w:rsidRPr="00F90841">
              <w:rPr>
                <w:sz w:val="18"/>
              </w:rPr>
              <w:t>30</w:t>
            </w:r>
            <w:r w:rsidR="00BD000F" w:rsidRPr="00F90841">
              <w:rPr>
                <w:sz w:val="18"/>
              </w:rPr>
              <w:t xml:space="preserve"> </w:t>
            </w:r>
            <w:r w:rsidRPr="00F90841">
              <w:rPr>
                <w:sz w:val="18"/>
              </w:rPr>
              <w:t>199</w:t>
            </w:r>
          </w:p>
        </w:tc>
        <w:tc>
          <w:tcPr>
            <w:tcW w:w="667" w:type="pct"/>
            <w:shd w:val="clear" w:color="auto" w:fill="auto"/>
            <w:noWrap/>
            <w:vAlign w:val="bottom"/>
            <w:hideMark/>
          </w:tcPr>
          <w:p w14:paraId="3C21FEBA" w14:textId="77777777" w:rsidR="007467BC" w:rsidRPr="00F90841" w:rsidRDefault="00F406DB" w:rsidP="00BD000F">
            <w:pPr>
              <w:spacing w:before="40" w:after="40" w:line="220" w:lineRule="exact"/>
              <w:ind w:right="113"/>
              <w:jc w:val="right"/>
              <w:rPr>
                <w:sz w:val="18"/>
              </w:rPr>
            </w:pPr>
            <w:r w:rsidRPr="00F90841">
              <w:rPr>
                <w:sz w:val="18"/>
              </w:rPr>
              <w:t xml:space="preserve">22 </w:t>
            </w:r>
            <w:r w:rsidR="007467BC" w:rsidRPr="00F90841">
              <w:rPr>
                <w:sz w:val="18"/>
              </w:rPr>
              <w:t>249</w:t>
            </w:r>
          </w:p>
        </w:tc>
        <w:tc>
          <w:tcPr>
            <w:tcW w:w="500" w:type="pct"/>
            <w:shd w:val="clear" w:color="auto" w:fill="auto"/>
            <w:noWrap/>
            <w:vAlign w:val="bottom"/>
            <w:hideMark/>
          </w:tcPr>
          <w:p w14:paraId="7F35E76E" w14:textId="77777777" w:rsidR="007467BC" w:rsidRPr="00F90841" w:rsidRDefault="007467BC" w:rsidP="00F406DB">
            <w:pPr>
              <w:spacing w:before="40" w:after="40" w:line="220" w:lineRule="exact"/>
              <w:ind w:right="113"/>
              <w:jc w:val="right"/>
              <w:rPr>
                <w:sz w:val="18"/>
              </w:rPr>
            </w:pPr>
            <w:r w:rsidRPr="00F90841">
              <w:rPr>
                <w:sz w:val="18"/>
              </w:rPr>
              <w:t>1</w:t>
            </w:r>
            <w:r w:rsidR="00F406DB" w:rsidRPr="00F90841">
              <w:rPr>
                <w:sz w:val="18"/>
              </w:rPr>
              <w:t xml:space="preserve"> </w:t>
            </w:r>
            <w:r w:rsidRPr="00F90841">
              <w:rPr>
                <w:sz w:val="18"/>
              </w:rPr>
              <w:t>671</w:t>
            </w:r>
          </w:p>
        </w:tc>
        <w:tc>
          <w:tcPr>
            <w:tcW w:w="583" w:type="pct"/>
            <w:shd w:val="clear" w:color="auto" w:fill="auto"/>
            <w:noWrap/>
            <w:vAlign w:val="bottom"/>
            <w:hideMark/>
          </w:tcPr>
          <w:p w14:paraId="51FC5A33" w14:textId="77777777" w:rsidR="007467BC" w:rsidRPr="00F90841" w:rsidRDefault="007467BC" w:rsidP="00BD000F">
            <w:pPr>
              <w:spacing w:before="40" w:after="40" w:line="220" w:lineRule="exact"/>
              <w:ind w:right="113"/>
              <w:jc w:val="right"/>
              <w:rPr>
                <w:sz w:val="18"/>
              </w:rPr>
            </w:pPr>
            <w:r w:rsidRPr="00F90841">
              <w:rPr>
                <w:sz w:val="18"/>
              </w:rPr>
              <w:t>472</w:t>
            </w:r>
          </w:p>
        </w:tc>
        <w:tc>
          <w:tcPr>
            <w:tcW w:w="583" w:type="pct"/>
            <w:shd w:val="clear" w:color="auto" w:fill="auto"/>
            <w:noWrap/>
            <w:vAlign w:val="bottom"/>
            <w:hideMark/>
          </w:tcPr>
          <w:p w14:paraId="591D3E74" w14:textId="77777777" w:rsidR="007467BC" w:rsidRPr="00F90841" w:rsidRDefault="007467BC" w:rsidP="00F406DB">
            <w:pPr>
              <w:spacing w:before="40" w:after="40" w:line="220" w:lineRule="exact"/>
              <w:ind w:right="113"/>
              <w:jc w:val="right"/>
              <w:rPr>
                <w:sz w:val="18"/>
              </w:rPr>
            </w:pPr>
            <w:r w:rsidRPr="00F90841">
              <w:rPr>
                <w:sz w:val="18"/>
              </w:rPr>
              <w:t>3</w:t>
            </w:r>
            <w:r w:rsidR="00F406DB" w:rsidRPr="00F90841">
              <w:rPr>
                <w:sz w:val="18"/>
              </w:rPr>
              <w:t xml:space="preserve"> </w:t>
            </w:r>
            <w:r w:rsidRPr="00F90841">
              <w:rPr>
                <w:sz w:val="18"/>
              </w:rPr>
              <w:t>241</w:t>
            </w:r>
          </w:p>
        </w:tc>
        <w:tc>
          <w:tcPr>
            <w:tcW w:w="583" w:type="pct"/>
            <w:shd w:val="clear" w:color="auto" w:fill="auto"/>
            <w:noWrap/>
            <w:vAlign w:val="bottom"/>
            <w:hideMark/>
          </w:tcPr>
          <w:p w14:paraId="51F1BF82" w14:textId="77777777" w:rsidR="007467BC" w:rsidRPr="00F90841" w:rsidRDefault="007467BC" w:rsidP="002D5C23">
            <w:pPr>
              <w:spacing w:before="40" w:after="40" w:line="220" w:lineRule="exact"/>
              <w:ind w:right="113"/>
              <w:jc w:val="right"/>
              <w:rPr>
                <w:sz w:val="18"/>
              </w:rPr>
            </w:pPr>
            <w:r w:rsidRPr="00F90841">
              <w:rPr>
                <w:sz w:val="18"/>
              </w:rPr>
              <w:t>8</w:t>
            </w:r>
            <w:r w:rsidR="002D5C23" w:rsidRPr="00F90841">
              <w:rPr>
                <w:sz w:val="18"/>
              </w:rPr>
              <w:t xml:space="preserve"> </w:t>
            </w:r>
            <w:r w:rsidRPr="00F90841">
              <w:rPr>
                <w:sz w:val="18"/>
              </w:rPr>
              <w:t>101</w:t>
            </w:r>
          </w:p>
        </w:tc>
        <w:tc>
          <w:tcPr>
            <w:tcW w:w="583" w:type="pct"/>
            <w:shd w:val="clear" w:color="auto" w:fill="auto"/>
            <w:noWrap/>
            <w:vAlign w:val="bottom"/>
            <w:hideMark/>
          </w:tcPr>
          <w:p w14:paraId="424CB020" w14:textId="77777777" w:rsidR="007467BC" w:rsidRPr="00F90841" w:rsidRDefault="007467BC" w:rsidP="002D5C23">
            <w:pPr>
              <w:spacing w:before="40" w:after="40" w:line="220" w:lineRule="exact"/>
              <w:ind w:right="113"/>
              <w:jc w:val="right"/>
              <w:rPr>
                <w:sz w:val="18"/>
              </w:rPr>
            </w:pPr>
            <w:r w:rsidRPr="00F90841">
              <w:rPr>
                <w:sz w:val="18"/>
              </w:rPr>
              <w:t>8</w:t>
            </w:r>
            <w:r w:rsidR="002D5C23" w:rsidRPr="00F90841">
              <w:rPr>
                <w:sz w:val="18"/>
              </w:rPr>
              <w:t xml:space="preserve"> </w:t>
            </w:r>
            <w:r w:rsidRPr="00F90841">
              <w:rPr>
                <w:sz w:val="18"/>
              </w:rPr>
              <w:t>764</w:t>
            </w:r>
          </w:p>
        </w:tc>
        <w:tc>
          <w:tcPr>
            <w:tcW w:w="500" w:type="pct"/>
            <w:shd w:val="clear" w:color="auto" w:fill="auto"/>
            <w:noWrap/>
            <w:vAlign w:val="bottom"/>
            <w:hideMark/>
          </w:tcPr>
          <w:p w14:paraId="130D838F" w14:textId="77777777" w:rsidR="007467BC" w:rsidRPr="00F90841" w:rsidRDefault="007467BC" w:rsidP="00BD000F">
            <w:pPr>
              <w:spacing w:before="40" w:after="40" w:line="220" w:lineRule="exact"/>
              <w:ind w:right="113"/>
              <w:jc w:val="right"/>
              <w:rPr>
                <w:sz w:val="18"/>
              </w:rPr>
            </w:pPr>
            <w:r w:rsidRPr="00F90841">
              <w:rPr>
                <w:sz w:val="18"/>
              </w:rPr>
              <w:t>7</w:t>
            </w:r>
            <w:r w:rsidR="002D5C23" w:rsidRPr="00F90841">
              <w:rPr>
                <w:sz w:val="18"/>
              </w:rPr>
              <w:t xml:space="preserve"> </w:t>
            </w:r>
            <w:r w:rsidRPr="00F90841">
              <w:rPr>
                <w:sz w:val="18"/>
              </w:rPr>
              <w:t>950</w:t>
            </w:r>
          </w:p>
        </w:tc>
      </w:tr>
      <w:tr w:rsidR="007467BC" w:rsidRPr="00F90841" w14:paraId="605B819C" w14:textId="77777777" w:rsidTr="00173842">
        <w:tc>
          <w:tcPr>
            <w:tcW w:w="500" w:type="pct"/>
            <w:shd w:val="clear" w:color="auto" w:fill="auto"/>
            <w:noWrap/>
            <w:hideMark/>
          </w:tcPr>
          <w:p w14:paraId="35E3E671" w14:textId="77777777" w:rsidR="007467BC" w:rsidRPr="00F90841" w:rsidRDefault="007467BC" w:rsidP="00BD000F">
            <w:pPr>
              <w:spacing w:before="40" w:after="40" w:line="220" w:lineRule="exact"/>
              <w:ind w:right="113"/>
              <w:rPr>
                <w:sz w:val="18"/>
              </w:rPr>
            </w:pPr>
            <w:r w:rsidRPr="00F90841">
              <w:rPr>
                <w:sz w:val="18"/>
              </w:rPr>
              <w:t>2018</w:t>
            </w:r>
          </w:p>
        </w:tc>
        <w:tc>
          <w:tcPr>
            <w:tcW w:w="499" w:type="pct"/>
            <w:shd w:val="clear" w:color="auto" w:fill="auto"/>
            <w:noWrap/>
            <w:vAlign w:val="bottom"/>
            <w:hideMark/>
          </w:tcPr>
          <w:p w14:paraId="030C3E78" w14:textId="77777777" w:rsidR="007467BC" w:rsidRPr="00F90841" w:rsidRDefault="007467BC" w:rsidP="00BD000F">
            <w:pPr>
              <w:spacing w:before="40" w:after="40" w:line="220" w:lineRule="exact"/>
              <w:ind w:right="113"/>
              <w:jc w:val="right"/>
              <w:rPr>
                <w:sz w:val="18"/>
              </w:rPr>
            </w:pPr>
            <w:r w:rsidRPr="00F90841">
              <w:rPr>
                <w:sz w:val="18"/>
              </w:rPr>
              <w:t>29</w:t>
            </w:r>
            <w:r w:rsidR="00BD000F" w:rsidRPr="00F90841">
              <w:rPr>
                <w:sz w:val="18"/>
              </w:rPr>
              <w:t xml:space="preserve"> </w:t>
            </w:r>
            <w:r w:rsidRPr="00F90841">
              <w:rPr>
                <w:sz w:val="18"/>
              </w:rPr>
              <w:t>913</w:t>
            </w:r>
          </w:p>
        </w:tc>
        <w:tc>
          <w:tcPr>
            <w:tcW w:w="667" w:type="pct"/>
            <w:shd w:val="clear" w:color="auto" w:fill="auto"/>
            <w:noWrap/>
            <w:vAlign w:val="bottom"/>
            <w:hideMark/>
          </w:tcPr>
          <w:p w14:paraId="07C524AA" w14:textId="77777777" w:rsidR="007467BC" w:rsidRPr="00F90841" w:rsidRDefault="007467BC" w:rsidP="00F406DB">
            <w:pPr>
              <w:spacing w:before="40" w:after="40" w:line="220" w:lineRule="exact"/>
              <w:ind w:right="113"/>
              <w:jc w:val="right"/>
              <w:rPr>
                <w:sz w:val="18"/>
              </w:rPr>
            </w:pPr>
            <w:r w:rsidRPr="00F90841">
              <w:rPr>
                <w:sz w:val="18"/>
              </w:rPr>
              <w:t>22</w:t>
            </w:r>
            <w:r w:rsidR="00F406DB" w:rsidRPr="00F90841">
              <w:rPr>
                <w:sz w:val="18"/>
              </w:rPr>
              <w:t xml:space="preserve"> </w:t>
            </w:r>
            <w:r w:rsidRPr="00F90841">
              <w:rPr>
                <w:sz w:val="18"/>
              </w:rPr>
              <w:t>373</w:t>
            </w:r>
          </w:p>
        </w:tc>
        <w:tc>
          <w:tcPr>
            <w:tcW w:w="500" w:type="pct"/>
            <w:shd w:val="clear" w:color="auto" w:fill="auto"/>
            <w:noWrap/>
            <w:vAlign w:val="bottom"/>
            <w:hideMark/>
          </w:tcPr>
          <w:p w14:paraId="311C4189" w14:textId="77777777" w:rsidR="007467BC" w:rsidRPr="00F90841" w:rsidRDefault="007467BC" w:rsidP="00F406DB">
            <w:pPr>
              <w:spacing w:before="40" w:after="40" w:line="220" w:lineRule="exact"/>
              <w:ind w:right="113"/>
              <w:jc w:val="right"/>
              <w:rPr>
                <w:sz w:val="18"/>
              </w:rPr>
            </w:pPr>
            <w:r w:rsidRPr="00F90841">
              <w:rPr>
                <w:sz w:val="18"/>
              </w:rPr>
              <w:t>1</w:t>
            </w:r>
            <w:r w:rsidR="00F406DB" w:rsidRPr="00F90841">
              <w:rPr>
                <w:sz w:val="18"/>
              </w:rPr>
              <w:t xml:space="preserve"> </w:t>
            </w:r>
            <w:r w:rsidRPr="00F90841">
              <w:rPr>
                <w:sz w:val="18"/>
              </w:rPr>
              <w:t>717</w:t>
            </w:r>
          </w:p>
        </w:tc>
        <w:tc>
          <w:tcPr>
            <w:tcW w:w="583" w:type="pct"/>
            <w:shd w:val="clear" w:color="auto" w:fill="auto"/>
            <w:noWrap/>
            <w:vAlign w:val="bottom"/>
            <w:hideMark/>
          </w:tcPr>
          <w:p w14:paraId="240B02F2" w14:textId="77777777" w:rsidR="007467BC" w:rsidRPr="00F90841" w:rsidRDefault="007467BC" w:rsidP="00BD000F">
            <w:pPr>
              <w:spacing w:before="40" w:after="40" w:line="220" w:lineRule="exact"/>
              <w:ind w:right="113"/>
              <w:jc w:val="right"/>
              <w:rPr>
                <w:sz w:val="18"/>
              </w:rPr>
            </w:pPr>
            <w:r w:rsidRPr="00F90841">
              <w:rPr>
                <w:sz w:val="18"/>
              </w:rPr>
              <w:t>452</w:t>
            </w:r>
          </w:p>
        </w:tc>
        <w:tc>
          <w:tcPr>
            <w:tcW w:w="583" w:type="pct"/>
            <w:shd w:val="clear" w:color="auto" w:fill="auto"/>
            <w:noWrap/>
            <w:vAlign w:val="bottom"/>
            <w:hideMark/>
          </w:tcPr>
          <w:p w14:paraId="557CD4DE" w14:textId="77777777" w:rsidR="007467BC" w:rsidRPr="00F90841" w:rsidRDefault="007467BC" w:rsidP="002D5C23">
            <w:pPr>
              <w:spacing w:before="40" w:after="40" w:line="220" w:lineRule="exact"/>
              <w:ind w:right="113"/>
              <w:jc w:val="right"/>
              <w:rPr>
                <w:sz w:val="18"/>
              </w:rPr>
            </w:pPr>
            <w:r w:rsidRPr="00F90841">
              <w:rPr>
                <w:sz w:val="18"/>
              </w:rPr>
              <w:t>3</w:t>
            </w:r>
            <w:r w:rsidR="002D5C23" w:rsidRPr="00F90841">
              <w:rPr>
                <w:sz w:val="18"/>
              </w:rPr>
              <w:t xml:space="preserve"> </w:t>
            </w:r>
            <w:r w:rsidRPr="00F90841">
              <w:rPr>
                <w:sz w:val="18"/>
              </w:rPr>
              <w:t>832</w:t>
            </w:r>
          </w:p>
        </w:tc>
        <w:tc>
          <w:tcPr>
            <w:tcW w:w="583" w:type="pct"/>
            <w:shd w:val="clear" w:color="auto" w:fill="auto"/>
            <w:noWrap/>
            <w:vAlign w:val="bottom"/>
            <w:hideMark/>
          </w:tcPr>
          <w:p w14:paraId="30FF2DC4" w14:textId="77777777" w:rsidR="007467BC" w:rsidRPr="00F90841" w:rsidRDefault="007467BC" w:rsidP="002D5C23">
            <w:pPr>
              <w:spacing w:before="40" w:after="40" w:line="220" w:lineRule="exact"/>
              <w:ind w:right="113"/>
              <w:jc w:val="right"/>
              <w:rPr>
                <w:sz w:val="18"/>
              </w:rPr>
            </w:pPr>
            <w:r w:rsidRPr="00F90841">
              <w:rPr>
                <w:sz w:val="18"/>
              </w:rPr>
              <w:t>8</w:t>
            </w:r>
            <w:r w:rsidR="002D5C23" w:rsidRPr="00F90841">
              <w:rPr>
                <w:sz w:val="18"/>
              </w:rPr>
              <w:t xml:space="preserve"> </w:t>
            </w:r>
            <w:r w:rsidRPr="00F90841">
              <w:rPr>
                <w:sz w:val="18"/>
              </w:rPr>
              <w:t>030</w:t>
            </w:r>
          </w:p>
        </w:tc>
        <w:tc>
          <w:tcPr>
            <w:tcW w:w="583" w:type="pct"/>
            <w:shd w:val="clear" w:color="auto" w:fill="auto"/>
            <w:noWrap/>
            <w:vAlign w:val="bottom"/>
            <w:hideMark/>
          </w:tcPr>
          <w:p w14:paraId="488B8395" w14:textId="77777777" w:rsidR="007467BC" w:rsidRPr="00F90841" w:rsidRDefault="007467BC" w:rsidP="00BD000F">
            <w:pPr>
              <w:spacing w:before="40" w:after="40" w:line="220" w:lineRule="exact"/>
              <w:ind w:right="113"/>
              <w:jc w:val="right"/>
              <w:rPr>
                <w:sz w:val="18"/>
              </w:rPr>
            </w:pPr>
            <w:r w:rsidRPr="00F90841">
              <w:rPr>
                <w:sz w:val="18"/>
              </w:rPr>
              <w:t>8</w:t>
            </w:r>
            <w:r w:rsidR="002D5C23" w:rsidRPr="00F90841">
              <w:rPr>
                <w:sz w:val="18"/>
              </w:rPr>
              <w:t xml:space="preserve"> </w:t>
            </w:r>
            <w:r w:rsidRPr="00F90841">
              <w:rPr>
                <w:sz w:val="18"/>
              </w:rPr>
              <w:t>342</w:t>
            </w:r>
          </w:p>
        </w:tc>
        <w:tc>
          <w:tcPr>
            <w:tcW w:w="500" w:type="pct"/>
            <w:shd w:val="clear" w:color="auto" w:fill="auto"/>
            <w:noWrap/>
            <w:vAlign w:val="bottom"/>
            <w:hideMark/>
          </w:tcPr>
          <w:p w14:paraId="2B43BAA1" w14:textId="77777777" w:rsidR="007467BC" w:rsidRPr="00F90841" w:rsidRDefault="007467BC" w:rsidP="002D5C23">
            <w:pPr>
              <w:spacing w:before="40" w:after="40" w:line="220" w:lineRule="exact"/>
              <w:ind w:right="113"/>
              <w:jc w:val="right"/>
              <w:rPr>
                <w:sz w:val="18"/>
              </w:rPr>
            </w:pPr>
            <w:r w:rsidRPr="00F90841">
              <w:rPr>
                <w:sz w:val="18"/>
              </w:rPr>
              <w:t>7</w:t>
            </w:r>
            <w:r w:rsidR="002D5C23" w:rsidRPr="00F90841">
              <w:rPr>
                <w:sz w:val="18"/>
              </w:rPr>
              <w:t xml:space="preserve"> </w:t>
            </w:r>
            <w:r w:rsidRPr="00F90841">
              <w:rPr>
                <w:sz w:val="18"/>
              </w:rPr>
              <w:t>540</w:t>
            </w:r>
          </w:p>
        </w:tc>
      </w:tr>
    </w:tbl>
    <w:p w14:paraId="318836AF" w14:textId="77777777" w:rsidR="007467BC" w:rsidRPr="00F90841" w:rsidRDefault="007467BC" w:rsidP="002D5C23">
      <w:pPr>
        <w:spacing w:before="120" w:line="240" w:lineRule="atLeast"/>
        <w:ind w:left="1134" w:right="1134" w:firstLine="170"/>
        <w:rPr>
          <w:sz w:val="18"/>
        </w:rPr>
      </w:pPr>
      <w:r w:rsidRPr="00F90841">
        <w:rPr>
          <w:sz w:val="18"/>
        </w:rPr>
        <w:t>Numbers reflect the primary sentences of persons, not total sentences</w:t>
      </w:r>
      <w:r w:rsidR="002D5C23" w:rsidRPr="00F90841">
        <w:rPr>
          <w:sz w:val="18"/>
        </w:rPr>
        <w:t>.</w:t>
      </w:r>
    </w:p>
    <w:p w14:paraId="51A69876" w14:textId="77777777" w:rsidR="007467BC" w:rsidRPr="00F90841" w:rsidRDefault="007467BC" w:rsidP="002D5C23">
      <w:pPr>
        <w:pStyle w:val="H4G"/>
      </w:pPr>
      <w:r w:rsidRPr="00F90841">
        <w:tab/>
      </w:r>
      <w:r w:rsidRPr="00F90841">
        <w:tab/>
        <w:t xml:space="preserve">The prison </w:t>
      </w:r>
      <w:proofErr w:type="gramStart"/>
      <w:r w:rsidRPr="00F90841">
        <w:t>network</w:t>
      </w:r>
      <w:proofErr w:type="gramEnd"/>
    </w:p>
    <w:p w14:paraId="7F33CC3E" w14:textId="77777777" w:rsidR="007467BC" w:rsidRPr="00F90841" w:rsidRDefault="007467BC" w:rsidP="008836B8">
      <w:pPr>
        <w:pStyle w:val="SingleTxtG"/>
      </w:pPr>
      <w:r w:rsidRPr="00F90841">
        <w:t>128.</w:t>
      </w:r>
      <w:r w:rsidRPr="00F90841">
        <w:tab/>
        <w:t xml:space="preserve">Since 2014, the Government has delivered 986 new beds through double-bunking (138 of which are </w:t>
      </w:r>
      <w:r w:rsidR="00562737" w:rsidRPr="00F90841">
        <w:t>‘</w:t>
      </w:r>
      <w:r w:rsidRPr="00F90841">
        <w:t>Emergency Beds</w:t>
      </w:r>
      <w:r w:rsidR="00562737" w:rsidRPr="00F90841">
        <w:t>’</w:t>
      </w:r>
      <w:r w:rsidRPr="00F90841">
        <w:t xml:space="preserve">), and 59 beds through small-scale new builds. In 2015, a $300m development of Auckland Prison was opened. </w:t>
      </w:r>
    </w:p>
    <w:p w14:paraId="012F5D84" w14:textId="77777777" w:rsidR="007467BC" w:rsidRPr="00F90841" w:rsidRDefault="007467BC" w:rsidP="007467BC">
      <w:pPr>
        <w:pStyle w:val="SingleTxtG"/>
      </w:pPr>
      <w:r w:rsidRPr="00F90841">
        <w:t>129.</w:t>
      </w:r>
      <w:r w:rsidRPr="00F90841">
        <w:tab/>
        <w:t xml:space="preserve">By 2020, over 1,200 beds will be delivered through modular accommodation units (976 beds), double-bunking, and new builds. The Government will also build a modern 600-bed facility at </w:t>
      </w:r>
      <w:proofErr w:type="spellStart"/>
      <w:r w:rsidRPr="00F90841">
        <w:t>Waikeria</w:t>
      </w:r>
      <w:proofErr w:type="spellEnd"/>
      <w:r w:rsidRPr="00F90841">
        <w:t xml:space="preserve"> Prison. This should allow the closure of sub-optimal beds and increase the network</w:t>
      </w:r>
      <w:r w:rsidR="00562737" w:rsidRPr="00F90841">
        <w:t>’</w:t>
      </w:r>
      <w:r w:rsidRPr="00F90841">
        <w:t>s effectiveness and resilience.</w:t>
      </w:r>
    </w:p>
    <w:p w14:paraId="11232F27" w14:textId="77777777" w:rsidR="007467BC" w:rsidRPr="00F90841" w:rsidRDefault="007467BC" w:rsidP="007467BC">
      <w:pPr>
        <w:pStyle w:val="SingleTxtG"/>
      </w:pPr>
      <w:r w:rsidRPr="00F90841">
        <w:t>130.</w:t>
      </w:r>
      <w:r w:rsidRPr="00F90841">
        <w:tab/>
        <w:t xml:space="preserve">Ongoing pressure in the system has made double-bunking necessary. Civil society raised concerns about overcrowded conditions in prisons. The reforms of the criminal justice system aimed at reducing the prison population would also address issues with overcrowding. </w:t>
      </w:r>
    </w:p>
    <w:p w14:paraId="0DD4A65E" w14:textId="77777777" w:rsidR="007467BC" w:rsidRPr="00F90841" w:rsidRDefault="0099513F" w:rsidP="000068AE">
      <w:pPr>
        <w:pStyle w:val="H23G"/>
      </w:pPr>
      <w:r w:rsidRPr="00F90841">
        <w:tab/>
      </w:r>
      <w:r w:rsidRPr="00F90841">
        <w:tab/>
      </w:r>
      <w:r w:rsidR="007467BC" w:rsidRPr="00F90841">
        <w:t xml:space="preserve">Cells shared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97"/>
        <w:gridCol w:w="3573"/>
      </w:tblGrid>
      <w:tr w:rsidR="007467BC" w:rsidRPr="00F90841" w14:paraId="2830FFED" w14:textId="77777777" w:rsidTr="0099513F">
        <w:trPr>
          <w:tblHeader/>
        </w:trPr>
        <w:tc>
          <w:tcPr>
            <w:tcW w:w="3797" w:type="dxa"/>
            <w:tcBorders>
              <w:top w:val="single" w:sz="4" w:space="0" w:color="auto"/>
              <w:bottom w:val="single" w:sz="12" w:space="0" w:color="auto"/>
            </w:tcBorders>
            <w:shd w:val="clear" w:color="auto" w:fill="auto"/>
            <w:noWrap/>
            <w:vAlign w:val="bottom"/>
            <w:hideMark/>
          </w:tcPr>
          <w:p w14:paraId="31FF0FCC" w14:textId="77777777" w:rsidR="007467BC" w:rsidRPr="00F90841" w:rsidRDefault="007467BC" w:rsidP="0099513F">
            <w:pPr>
              <w:spacing w:before="80" w:after="80" w:line="200" w:lineRule="exact"/>
              <w:ind w:right="113"/>
              <w:rPr>
                <w:i/>
                <w:sz w:val="16"/>
              </w:rPr>
            </w:pPr>
          </w:p>
        </w:tc>
        <w:tc>
          <w:tcPr>
            <w:tcW w:w="3573" w:type="dxa"/>
            <w:tcBorders>
              <w:top w:val="single" w:sz="4" w:space="0" w:color="auto"/>
              <w:bottom w:val="single" w:sz="12" w:space="0" w:color="auto"/>
            </w:tcBorders>
            <w:shd w:val="clear" w:color="auto" w:fill="auto"/>
            <w:noWrap/>
            <w:vAlign w:val="bottom"/>
            <w:hideMark/>
          </w:tcPr>
          <w:p w14:paraId="210DC450" w14:textId="77777777" w:rsidR="007467BC" w:rsidRPr="00F90841" w:rsidRDefault="007467BC" w:rsidP="0099513F">
            <w:pPr>
              <w:spacing w:before="80" w:after="80" w:line="200" w:lineRule="exact"/>
              <w:ind w:right="113"/>
              <w:jc w:val="right"/>
              <w:rPr>
                <w:i/>
                <w:sz w:val="16"/>
              </w:rPr>
            </w:pPr>
            <w:r w:rsidRPr="00F90841">
              <w:rPr>
                <w:i/>
                <w:sz w:val="16"/>
              </w:rPr>
              <w:t>Number of shared cells</w:t>
            </w:r>
          </w:p>
        </w:tc>
      </w:tr>
      <w:tr w:rsidR="007467BC" w:rsidRPr="00F90841" w14:paraId="1CE00485" w14:textId="77777777" w:rsidTr="0099513F">
        <w:tc>
          <w:tcPr>
            <w:tcW w:w="3797" w:type="dxa"/>
            <w:tcBorders>
              <w:top w:val="single" w:sz="12" w:space="0" w:color="auto"/>
            </w:tcBorders>
            <w:shd w:val="clear" w:color="auto" w:fill="auto"/>
            <w:noWrap/>
            <w:hideMark/>
          </w:tcPr>
          <w:p w14:paraId="7AD6F488" w14:textId="77777777" w:rsidR="007467BC" w:rsidRPr="00F90841" w:rsidRDefault="007467BC" w:rsidP="0099513F">
            <w:pPr>
              <w:spacing w:before="40" w:after="40" w:line="220" w:lineRule="exact"/>
              <w:ind w:right="113"/>
              <w:rPr>
                <w:sz w:val="18"/>
              </w:rPr>
            </w:pPr>
            <w:r w:rsidRPr="00F90841">
              <w:rPr>
                <w:sz w:val="18"/>
              </w:rPr>
              <w:t>30/06/2015</w:t>
            </w:r>
          </w:p>
        </w:tc>
        <w:tc>
          <w:tcPr>
            <w:tcW w:w="3573" w:type="dxa"/>
            <w:tcBorders>
              <w:top w:val="single" w:sz="12" w:space="0" w:color="auto"/>
            </w:tcBorders>
            <w:shd w:val="clear" w:color="auto" w:fill="auto"/>
            <w:noWrap/>
            <w:vAlign w:val="bottom"/>
            <w:hideMark/>
          </w:tcPr>
          <w:p w14:paraId="23700E44" w14:textId="77777777" w:rsidR="007467BC" w:rsidRPr="00F90841" w:rsidRDefault="007467BC" w:rsidP="0099513F">
            <w:pPr>
              <w:spacing w:before="40" w:after="40" w:line="220" w:lineRule="exact"/>
              <w:ind w:right="113"/>
              <w:jc w:val="right"/>
              <w:rPr>
                <w:sz w:val="18"/>
              </w:rPr>
            </w:pPr>
            <w:r w:rsidRPr="00F90841">
              <w:rPr>
                <w:sz w:val="18"/>
              </w:rPr>
              <w:t>1</w:t>
            </w:r>
            <w:r w:rsidR="0099513F" w:rsidRPr="00F90841">
              <w:rPr>
                <w:sz w:val="18"/>
              </w:rPr>
              <w:t xml:space="preserve"> </w:t>
            </w:r>
            <w:r w:rsidRPr="00F90841">
              <w:rPr>
                <w:sz w:val="18"/>
              </w:rPr>
              <w:t>424</w:t>
            </w:r>
          </w:p>
        </w:tc>
      </w:tr>
      <w:tr w:rsidR="007467BC" w:rsidRPr="00F90841" w14:paraId="050E4A7C" w14:textId="77777777" w:rsidTr="0099513F">
        <w:tc>
          <w:tcPr>
            <w:tcW w:w="3797" w:type="dxa"/>
            <w:shd w:val="clear" w:color="auto" w:fill="auto"/>
            <w:noWrap/>
            <w:hideMark/>
          </w:tcPr>
          <w:p w14:paraId="591A3689" w14:textId="77777777" w:rsidR="007467BC" w:rsidRPr="00F90841" w:rsidRDefault="007467BC" w:rsidP="0099513F">
            <w:pPr>
              <w:spacing w:before="40" w:after="40" w:line="220" w:lineRule="exact"/>
              <w:ind w:right="113"/>
              <w:rPr>
                <w:sz w:val="18"/>
              </w:rPr>
            </w:pPr>
            <w:r w:rsidRPr="00F90841">
              <w:rPr>
                <w:sz w:val="18"/>
              </w:rPr>
              <w:t>30/06/2016</w:t>
            </w:r>
          </w:p>
        </w:tc>
        <w:tc>
          <w:tcPr>
            <w:tcW w:w="3573" w:type="dxa"/>
            <w:shd w:val="clear" w:color="auto" w:fill="auto"/>
            <w:noWrap/>
            <w:vAlign w:val="bottom"/>
            <w:hideMark/>
          </w:tcPr>
          <w:p w14:paraId="5DAB05E7" w14:textId="77777777" w:rsidR="007467BC" w:rsidRPr="00F90841" w:rsidRDefault="007467BC" w:rsidP="0099513F">
            <w:pPr>
              <w:spacing w:before="40" w:after="40" w:line="220" w:lineRule="exact"/>
              <w:ind w:right="113"/>
              <w:jc w:val="right"/>
              <w:rPr>
                <w:sz w:val="18"/>
              </w:rPr>
            </w:pPr>
            <w:r w:rsidRPr="00F90841">
              <w:rPr>
                <w:sz w:val="18"/>
              </w:rPr>
              <w:t>1</w:t>
            </w:r>
            <w:r w:rsidR="0099513F" w:rsidRPr="00F90841">
              <w:rPr>
                <w:sz w:val="18"/>
              </w:rPr>
              <w:t xml:space="preserve"> </w:t>
            </w:r>
            <w:r w:rsidRPr="00F90841">
              <w:rPr>
                <w:sz w:val="18"/>
              </w:rPr>
              <w:t>693</w:t>
            </w:r>
          </w:p>
        </w:tc>
      </w:tr>
      <w:tr w:rsidR="007467BC" w:rsidRPr="00F90841" w14:paraId="740D6C0D" w14:textId="77777777" w:rsidTr="0099513F">
        <w:tc>
          <w:tcPr>
            <w:tcW w:w="3797" w:type="dxa"/>
            <w:shd w:val="clear" w:color="auto" w:fill="auto"/>
            <w:noWrap/>
            <w:hideMark/>
          </w:tcPr>
          <w:p w14:paraId="104C292D" w14:textId="77777777" w:rsidR="007467BC" w:rsidRPr="00F90841" w:rsidRDefault="007467BC" w:rsidP="0099513F">
            <w:pPr>
              <w:spacing w:before="40" w:after="40" w:line="220" w:lineRule="exact"/>
              <w:ind w:right="113"/>
              <w:rPr>
                <w:sz w:val="18"/>
              </w:rPr>
            </w:pPr>
            <w:r w:rsidRPr="00F90841">
              <w:rPr>
                <w:sz w:val="18"/>
              </w:rPr>
              <w:t>30/06/2017</w:t>
            </w:r>
          </w:p>
        </w:tc>
        <w:tc>
          <w:tcPr>
            <w:tcW w:w="3573" w:type="dxa"/>
            <w:shd w:val="clear" w:color="auto" w:fill="auto"/>
            <w:noWrap/>
            <w:vAlign w:val="bottom"/>
            <w:hideMark/>
          </w:tcPr>
          <w:p w14:paraId="54D46AAE" w14:textId="77777777" w:rsidR="007467BC" w:rsidRPr="00F90841" w:rsidRDefault="007467BC" w:rsidP="0099513F">
            <w:pPr>
              <w:spacing w:before="40" w:after="40" w:line="220" w:lineRule="exact"/>
              <w:ind w:right="113"/>
              <w:jc w:val="right"/>
              <w:rPr>
                <w:sz w:val="18"/>
              </w:rPr>
            </w:pPr>
            <w:r w:rsidRPr="00F90841">
              <w:rPr>
                <w:sz w:val="18"/>
              </w:rPr>
              <w:t>2</w:t>
            </w:r>
            <w:r w:rsidR="0099513F" w:rsidRPr="00F90841">
              <w:rPr>
                <w:sz w:val="18"/>
              </w:rPr>
              <w:t xml:space="preserve"> </w:t>
            </w:r>
            <w:r w:rsidRPr="00F90841">
              <w:rPr>
                <w:sz w:val="18"/>
              </w:rPr>
              <w:t>094</w:t>
            </w:r>
          </w:p>
        </w:tc>
      </w:tr>
      <w:tr w:rsidR="007467BC" w:rsidRPr="00F90841" w14:paraId="3902C67C" w14:textId="77777777" w:rsidTr="0099513F">
        <w:tc>
          <w:tcPr>
            <w:tcW w:w="3797" w:type="dxa"/>
            <w:shd w:val="clear" w:color="auto" w:fill="auto"/>
            <w:noWrap/>
            <w:hideMark/>
          </w:tcPr>
          <w:p w14:paraId="41F71C91" w14:textId="77777777" w:rsidR="007467BC" w:rsidRPr="00F90841" w:rsidRDefault="007467BC" w:rsidP="0099513F">
            <w:pPr>
              <w:spacing w:before="40" w:after="40" w:line="220" w:lineRule="exact"/>
              <w:ind w:right="113"/>
              <w:rPr>
                <w:sz w:val="18"/>
              </w:rPr>
            </w:pPr>
            <w:r w:rsidRPr="00F90841">
              <w:rPr>
                <w:sz w:val="18"/>
              </w:rPr>
              <w:t>30/06/2018</w:t>
            </w:r>
          </w:p>
        </w:tc>
        <w:tc>
          <w:tcPr>
            <w:tcW w:w="3573" w:type="dxa"/>
            <w:shd w:val="clear" w:color="auto" w:fill="auto"/>
            <w:noWrap/>
            <w:vAlign w:val="bottom"/>
            <w:hideMark/>
          </w:tcPr>
          <w:p w14:paraId="400FCB9B" w14:textId="77777777" w:rsidR="007467BC" w:rsidRPr="00F90841" w:rsidRDefault="007467BC" w:rsidP="0099513F">
            <w:pPr>
              <w:spacing w:before="40" w:after="40" w:line="220" w:lineRule="exact"/>
              <w:ind w:right="113"/>
              <w:jc w:val="right"/>
              <w:rPr>
                <w:sz w:val="18"/>
              </w:rPr>
            </w:pPr>
            <w:r w:rsidRPr="00F90841">
              <w:rPr>
                <w:sz w:val="18"/>
              </w:rPr>
              <w:t>2</w:t>
            </w:r>
            <w:r w:rsidR="0099513F" w:rsidRPr="00F90841">
              <w:rPr>
                <w:sz w:val="18"/>
              </w:rPr>
              <w:t xml:space="preserve"> </w:t>
            </w:r>
            <w:r w:rsidRPr="00F90841">
              <w:rPr>
                <w:sz w:val="18"/>
              </w:rPr>
              <w:t>182</w:t>
            </w:r>
          </w:p>
        </w:tc>
      </w:tr>
    </w:tbl>
    <w:p w14:paraId="3A856055" w14:textId="77777777" w:rsidR="007467BC" w:rsidRPr="00F90841" w:rsidRDefault="007467BC" w:rsidP="0099513F">
      <w:pPr>
        <w:pStyle w:val="H4G"/>
      </w:pPr>
      <w:bookmarkStart w:id="47" w:name="_Hlk530142387"/>
      <w:r w:rsidRPr="00F90841">
        <w:tab/>
      </w:r>
      <w:r w:rsidRPr="00F90841">
        <w:tab/>
        <w:t>Health care in prison</w:t>
      </w:r>
    </w:p>
    <w:p w14:paraId="29CD7C30" w14:textId="77777777" w:rsidR="007467BC" w:rsidRPr="00F90841" w:rsidRDefault="007467BC" w:rsidP="007467BC">
      <w:pPr>
        <w:pStyle w:val="SingleTxtG"/>
      </w:pPr>
      <w:r w:rsidRPr="00F90841">
        <w:t>131.</w:t>
      </w:r>
      <w:r w:rsidRPr="00F90841">
        <w:tab/>
        <w:t xml:space="preserve">In 2017/18, HDC received 101 complaints about prison health care (49% increase compared to 2016/17). Most complaints related to refusal to prescribe medication the person previously received in the community and delays in treatment. Corrections is continuing to review and update health care policies, including the medication administration policy. </w:t>
      </w:r>
    </w:p>
    <w:p w14:paraId="4B221913" w14:textId="77777777" w:rsidR="007467BC" w:rsidRPr="00F90841" w:rsidRDefault="007467BC" w:rsidP="0099513F">
      <w:pPr>
        <w:pStyle w:val="H4G"/>
      </w:pPr>
      <w:r w:rsidRPr="00F90841">
        <w:tab/>
      </w:r>
      <w:r w:rsidRPr="00F90841">
        <w:tab/>
        <w:t xml:space="preserve">Mental health services in prison </w:t>
      </w:r>
    </w:p>
    <w:p w14:paraId="7628CD5C" w14:textId="77777777" w:rsidR="007467BC" w:rsidRPr="00F90841" w:rsidRDefault="007467BC" w:rsidP="007467BC">
      <w:pPr>
        <w:pStyle w:val="SingleTxtG"/>
      </w:pPr>
      <w:r w:rsidRPr="00F90841">
        <w:t>132.</w:t>
      </w:r>
      <w:r w:rsidRPr="00F90841">
        <w:tab/>
        <w:t>The Government recognises the need for mental health services in prisons. 91% of prisoners have a lifetime diagnosis of mental health or substance abuse disorder. 19% of prisoners have previously attempted suicide.</w:t>
      </w:r>
    </w:p>
    <w:p w14:paraId="165B2C00" w14:textId="77777777" w:rsidR="007467BC" w:rsidRPr="00F90841" w:rsidRDefault="007467BC" w:rsidP="007467BC">
      <w:pPr>
        <w:pStyle w:val="SingleTxtG"/>
      </w:pPr>
      <w:r w:rsidRPr="00F90841">
        <w:t>133.</w:t>
      </w:r>
      <w:r w:rsidRPr="00F90841">
        <w:tab/>
        <w:t xml:space="preserve">Corrections employs approximately 225 nurses to provide primary healthcare services and contracts with doctors and other health professionals. In 16 prisons, mental health clinicians deliver primary mental health care. In two prisons, mental health nurses </w:t>
      </w:r>
      <w:r w:rsidRPr="00F90841">
        <w:lastRenderedPageBreak/>
        <w:t xml:space="preserve">deliver care. Health agencies, working closely with Corrections, provide secondary and inpatient mental health services. </w:t>
      </w:r>
    </w:p>
    <w:p w14:paraId="42B3ACEE" w14:textId="77777777" w:rsidR="007467BC" w:rsidRPr="00F90841" w:rsidRDefault="007467BC" w:rsidP="007467BC">
      <w:pPr>
        <w:pStyle w:val="SingleTxtG"/>
      </w:pPr>
      <w:r w:rsidRPr="00F90841">
        <w:t>134.</w:t>
      </w:r>
      <w:r w:rsidRPr="00F90841">
        <w:tab/>
        <w:t>In 2017, Corrections developed a strategy to improve mental health services for prisoners. Corrections has invested $25m to pilot new services and support for those vulnerable to self-harm or suicide. $14m has been allocated to:</w:t>
      </w:r>
    </w:p>
    <w:p w14:paraId="01FDF165" w14:textId="77777777" w:rsidR="007467BC" w:rsidRPr="00F90841" w:rsidRDefault="007467BC" w:rsidP="0099513F">
      <w:pPr>
        <w:pStyle w:val="Bullet1G"/>
      </w:pPr>
      <w:r w:rsidRPr="00F90841">
        <w:t xml:space="preserve">Contracted clinicians, counsellors and social workers </w:t>
      </w:r>
    </w:p>
    <w:p w14:paraId="06225562" w14:textId="77777777" w:rsidR="007467BC" w:rsidRPr="00F90841" w:rsidRDefault="007467BC" w:rsidP="0099513F">
      <w:pPr>
        <w:pStyle w:val="Bullet1G"/>
      </w:pPr>
      <w:r w:rsidRPr="00F90841">
        <w:t>Services for people with complex needs transitioning back into the community</w:t>
      </w:r>
    </w:p>
    <w:p w14:paraId="6E325217" w14:textId="77777777" w:rsidR="007467BC" w:rsidRPr="00F90841" w:rsidRDefault="007467BC" w:rsidP="0099513F">
      <w:pPr>
        <w:pStyle w:val="Bullet1G"/>
      </w:pPr>
      <w:r w:rsidRPr="00F90841">
        <w:t xml:space="preserve">Services for families of people in prison or on community-based sentences. </w:t>
      </w:r>
    </w:p>
    <w:p w14:paraId="1B8423C0" w14:textId="77777777" w:rsidR="007467BC" w:rsidRPr="00F90841" w:rsidRDefault="007467BC" w:rsidP="007467BC">
      <w:pPr>
        <w:pStyle w:val="SingleTxtG"/>
      </w:pPr>
      <w:r w:rsidRPr="00F90841">
        <w:t>135.</w:t>
      </w:r>
      <w:r w:rsidRPr="00F90841">
        <w:tab/>
        <w:t xml:space="preserve">Corrections is introducing a more therapeutic model of care for prisoners who are vulnerable to self-harm or suicide and is spending $11m on this project over four years. </w:t>
      </w:r>
    </w:p>
    <w:bookmarkEnd w:id="47"/>
    <w:p w14:paraId="375C3A91" w14:textId="77777777" w:rsidR="007467BC" w:rsidRPr="00F90841" w:rsidRDefault="007467BC" w:rsidP="004B3E69">
      <w:pPr>
        <w:pStyle w:val="H4G"/>
      </w:pPr>
      <w:r w:rsidRPr="00F90841">
        <w:tab/>
      </w:r>
      <w:r w:rsidRPr="00F90841">
        <w:tab/>
        <w:t xml:space="preserve">Strip-searching in prison </w:t>
      </w:r>
    </w:p>
    <w:p w14:paraId="683FA0E5" w14:textId="77777777" w:rsidR="007467BC" w:rsidRPr="00F90841" w:rsidRDefault="007467BC" w:rsidP="007467BC">
      <w:pPr>
        <w:pStyle w:val="SingleTxtG"/>
      </w:pPr>
      <w:r w:rsidRPr="00F90841">
        <w:t>136.</w:t>
      </w:r>
      <w:r w:rsidRPr="00F90841">
        <w:tab/>
        <w:t xml:space="preserve">Legislation requires Corrections staff to strip-search people in prison: </w:t>
      </w:r>
    </w:p>
    <w:p w14:paraId="6C0C5152" w14:textId="77777777" w:rsidR="007467BC" w:rsidRPr="00F90841" w:rsidRDefault="007467BC" w:rsidP="004B3E69">
      <w:pPr>
        <w:pStyle w:val="Bullet1G"/>
      </w:pPr>
      <w:r w:rsidRPr="00F90841">
        <w:t>On admission</w:t>
      </w:r>
    </w:p>
    <w:p w14:paraId="2F98B8B7" w14:textId="77777777" w:rsidR="007467BC" w:rsidRPr="00F90841" w:rsidRDefault="007467BC" w:rsidP="004B3E69">
      <w:pPr>
        <w:pStyle w:val="Bullet1G"/>
      </w:pPr>
      <w:r w:rsidRPr="00F90841">
        <w:t>On return after being temporarily removed in some cases</w:t>
      </w:r>
    </w:p>
    <w:p w14:paraId="10F31D20" w14:textId="77777777" w:rsidR="007467BC" w:rsidRPr="00F90841" w:rsidRDefault="007467BC" w:rsidP="004B3E69">
      <w:pPr>
        <w:pStyle w:val="Bullet1G"/>
      </w:pPr>
      <w:r w:rsidRPr="00F90841">
        <w:t>When initially segregated due to risk of self-harm</w:t>
      </w:r>
    </w:p>
    <w:p w14:paraId="59B10387" w14:textId="77777777" w:rsidR="007467BC" w:rsidRPr="00F90841" w:rsidRDefault="007467BC" w:rsidP="004B3E69">
      <w:pPr>
        <w:pStyle w:val="Bullet1G"/>
      </w:pPr>
      <w:r w:rsidRPr="00F90841">
        <w:t>On return of at-risk persons into segregation</w:t>
      </w:r>
    </w:p>
    <w:p w14:paraId="76E14701" w14:textId="77777777" w:rsidR="007467BC" w:rsidRPr="00F90841" w:rsidRDefault="007467BC" w:rsidP="004B3E69">
      <w:pPr>
        <w:pStyle w:val="Bullet1G"/>
      </w:pPr>
      <w:r w:rsidRPr="00F90841">
        <w:t xml:space="preserve">On arrival of transfers. </w:t>
      </w:r>
    </w:p>
    <w:p w14:paraId="3B6DDFF5" w14:textId="77777777" w:rsidR="007467BC" w:rsidRPr="00F90841" w:rsidRDefault="007467BC" w:rsidP="007467BC">
      <w:pPr>
        <w:pStyle w:val="SingleTxtG"/>
      </w:pPr>
      <w:r w:rsidRPr="00F90841">
        <w:t>137.</w:t>
      </w:r>
      <w:r w:rsidRPr="00F90841">
        <w:tab/>
        <w:t xml:space="preserve">Strip-searching is also permitted if an officer reasonably believes a person possesses an unauthorised item, and it is necessary to detect it. Corrections can also conduct searches of fully clothed people in prisons, staff and visitors through </w:t>
      </w:r>
      <w:r w:rsidR="00562737" w:rsidRPr="00F90841">
        <w:t>‘</w:t>
      </w:r>
      <w:r w:rsidRPr="00F90841">
        <w:t>scanner search</w:t>
      </w:r>
      <w:r w:rsidR="00562737" w:rsidRPr="00F90841">
        <w:t>’</w:t>
      </w:r>
      <w:r w:rsidRPr="00F90841">
        <w:t xml:space="preserve"> or </w:t>
      </w:r>
      <w:r w:rsidR="00562737" w:rsidRPr="00F90841">
        <w:t>‘</w:t>
      </w:r>
      <w:r w:rsidRPr="00F90841">
        <w:t>rub-down</w:t>
      </w:r>
      <w:r w:rsidR="00562737" w:rsidRPr="00F90841">
        <w:t>’</w:t>
      </w:r>
      <w:r w:rsidRPr="00F90841">
        <w:t xml:space="preserve">. </w:t>
      </w:r>
    </w:p>
    <w:p w14:paraId="013597BE" w14:textId="77777777" w:rsidR="007467BC" w:rsidRPr="00F90841" w:rsidRDefault="007467BC" w:rsidP="007467BC">
      <w:pPr>
        <w:pStyle w:val="SingleTxtG"/>
      </w:pPr>
      <w:bookmarkStart w:id="48" w:name="_Hlk528833093"/>
      <w:r w:rsidRPr="00F90841">
        <w:t>138.</w:t>
      </w:r>
      <w:r w:rsidRPr="00F90841">
        <w:tab/>
        <w:t>In 2018, the High Court awarded $1,000 in compensation for a breach of NZBORA through unreasonable strip-search (see para</w:t>
      </w:r>
      <w:r w:rsidR="000068AE">
        <w:t>.</w:t>
      </w:r>
      <w:r w:rsidRPr="00F90841">
        <w:t xml:space="preserve"> </w:t>
      </w:r>
      <w:r w:rsidRPr="00F90841">
        <w:rPr>
          <w:cs/>
        </w:rPr>
        <w:t>‎</w:t>
      </w:r>
      <w:r w:rsidRPr="00F90841">
        <w:t>0).</w:t>
      </w:r>
      <w:bookmarkEnd w:id="48"/>
      <w:r w:rsidRPr="00F90841">
        <w:t xml:space="preserve"> In 2017, the High Court also declared that a strip-search at a women</w:t>
      </w:r>
      <w:r w:rsidR="00562737" w:rsidRPr="00F90841">
        <w:t>’</w:t>
      </w:r>
      <w:r w:rsidRPr="00F90841">
        <w:t>s prison in 2010 violated NZBORA.</w:t>
      </w:r>
    </w:p>
    <w:p w14:paraId="000B106B" w14:textId="77777777" w:rsidR="007467BC" w:rsidRPr="00F90841" w:rsidRDefault="007467BC" w:rsidP="007467BC">
      <w:pPr>
        <w:pStyle w:val="SingleTxtG"/>
      </w:pPr>
      <w:r w:rsidRPr="00F90841">
        <w:t>139.</w:t>
      </w:r>
      <w:r w:rsidRPr="00F90841">
        <w:tab/>
        <w:t>Parliament is considering amending legislation which would reduce the need for strip-searching by</w:t>
      </w:r>
      <w:r w:rsidR="000068AE">
        <w:t>:</w:t>
      </w:r>
    </w:p>
    <w:p w14:paraId="43819BC9" w14:textId="77777777" w:rsidR="007467BC" w:rsidRPr="00F90841" w:rsidRDefault="007467BC" w:rsidP="004B3E69">
      <w:pPr>
        <w:pStyle w:val="Bullet1G"/>
      </w:pPr>
      <w:r w:rsidRPr="00F90841">
        <w:t>Allowing, subject to privacy protections, imaging technology</w:t>
      </w:r>
    </w:p>
    <w:p w14:paraId="5E4234DC" w14:textId="77777777" w:rsidR="007467BC" w:rsidRPr="00F90841" w:rsidRDefault="007467BC" w:rsidP="004B3E69">
      <w:pPr>
        <w:pStyle w:val="Bullet1G"/>
      </w:pPr>
      <w:r w:rsidRPr="00F90841">
        <w:t xml:space="preserve">Introducing a new individualised approach for at-risk prisoners. </w:t>
      </w:r>
    </w:p>
    <w:p w14:paraId="2CF2D083" w14:textId="77777777" w:rsidR="007467BC" w:rsidRPr="00F90841" w:rsidRDefault="007467BC" w:rsidP="004B3E69">
      <w:pPr>
        <w:pStyle w:val="H4G"/>
      </w:pPr>
      <w:r w:rsidRPr="00F90841">
        <w:tab/>
      </w:r>
      <w:r w:rsidRPr="00F90841">
        <w:tab/>
        <w:t>Concerns raised regarding Northland Regional Corrections Facility (NRCF)</w:t>
      </w:r>
    </w:p>
    <w:p w14:paraId="7A35FD57" w14:textId="77777777" w:rsidR="007467BC" w:rsidRPr="00F90841" w:rsidRDefault="007467BC" w:rsidP="007467BC">
      <w:pPr>
        <w:pStyle w:val="SingleTxtG"/>
      </w:pPr>
      <w:r w:rsidRPr="00F90841">
        <w:t>140.</w:t>
      </w:r>
      <w:r w:rsidRPr="00F90841">
        <w:tab/>
        <w:t xml:space="preserve">In a 2019 OPCAT report, the Ombudsman raised concerns about NRCF. Specifically, that prisoners being unable to access a toilet in a timely manner amounts to degrading treatment or punishment and a breach of Article 16 of the Convention. </w:t>
      </w:r>
    </w:p>
    <w:p w14:paraId="0444E4F3" w14:textId="77777777" w:rsidR="007467BC" w:rsidRPr="00F90841" w:rsidRDefault="007467BC" w:rsidP="007467BC">
      <w:pPr>
        <w:pStyle w:val="SingleTxtG"/>
      </w:pPr>
      <w:r w:rsidRPr="00F90841">
        <w:t>141.</w:t>
      </w:r>
      <w:r w:rsidRPr="00F90841">
        <w:tab/>
        <w:t>Of the report</w:t>
      </w:r>
      <w:r w:rsidR="00562737" w:rsidRPr="00F90841">
        <w:t>’</w:t>
      </w:r>
      <w:r w:rsidRPr="00F90841">
        <w:t xml:space="preserve">s 31 recommendations, Corrections fully accepted 28 and partially accepted two. Work has been completed or commenced in relation to all accepted recommendations. Corrections did not accept the recommendation that prisoners </w:t>
      </w:r>
      <w:proofErr w:type="gramStart"/>
      <w:r w:rsidRPr="00F90841">
        <w:t>have unrestricted access to toilets at all times</w:t>
      </w:r>
      <w:proofErr w:type="gramEnd"/>
      <w:r w:rsidRPr="00F90841">
        <w:t>, due to the need to maintain the safety and security of the prison by preventing people congregating in unmonitored areas. However, no one in the prison is denied access to toilet facilities, and staff work to facilitate requests as quickly as possible while ensuring the safety and security of others.</w:t>
      </w:r>
    </w:p>
    <w:bookmarkEnd w:id="46"/>
    <w:p w14:paraId="620FF8F2" w14:textId="77777777" w:rsidR="007467BC" w:rsidRPr="00F90841" w:rsidRDefault="007467BC" w:rsidP="004B3E69">
      <w:pPr>
        <w:pStyle w:val="H23G"/>
      </w:pPr>
      <w:r w:rsidRPr="00F90841">
        <w:tab/>
      </w:r>
      <w:r w:rsidRPr="00F90841">
        <w:tab/>
        <w:t>Detention in Police facilities</w:t>
      </w:r>
    </w:p>
    <w:p w14:paraId="19CE3E5F" w14:textId="77777777" w:rsidR="007467BC" w:rsidRPr="00F90841" w:rsidRDefault="007467BC" w:rsidP="007467BC">
      <w:pPr>
        <w:pStyle w:val="SingleTxtG"/>
      </w:pPr>
      <w:bookmarkStart w:id="49" w:name="_Hlk19526992"/>
      <w:bookmarkStart w:id="50" w:name="_Hlk525293521"/>
      <w:r w:rsidRPr="00F90841">
        <w:t>142.</w:t>
      </w:r>
      <w:r w:rsidRPr="00F90841">
        <w:tab/>
        <w:t>The total number of Police detainees increased between 2014 and 2017 (except for persons under 18) however, this has stabilised in 2018 and the first half of 2019 (detailed data in Appendix 3). Data on capacity and occupancy rates is not available but is being collected on detention in facilities where detainees may be held overnight.</w:t>
      </w:r>
    </w:p>
    <w:bookmarkEnd w:id="49"/>
    <w:p w14:paraId="183B8FEA" w14:textId="77777777" w:rsidR="007467BC" w:rsidRPr="00F90841" w:rsidRDefault="007467BC" w:rsidP="007467BC">
      <w:pPr>
        <w:pStyle w:val="SingleTxtG"/>
      </w:pPr>
      <w:r w:rsidRPr="00F90841">
        <w:t>143.</w:t>
      </w:r>
      <w:r w:rsidRPr="00F90841">
        <w:tab/>
        <w:t xml:space="preserve">Prisoners on remand may spend up to a week in Police custody but this period can be extended under specific circumstances. 25 Police custodial facilities are designated as </w:t>
      </w:r>
      <w:r w:rsidR="00562737" w:rsidRPr="00F90841">
        <w:t>“</w:t>
      </w:r>
      <w:r w:rsidRPr="00F90841">
        <w:t>Police Jails</w:t>
      </w:r>
      <w:r w:rsidR="00562737" w:rsidRPr="00F90841">
        <w:t>”</w:t>
      </w:r>
      <w:r w:rsidRPr="00F90841">
        <w:t xml:space="preserve"> under the Corrections Act and can be used to hold prisoners on behalf of Corrections on a temporary basis on remand or after sentencing. </w:t>
      </w:r>
    </w:p>
    <w:p w14:paraId="400CCFD6" w14:textId="77777777" w:rsidR="007467BC" w:rsidRPr="00F90841" w:rsidRDefault="007467BC" w:rsidP="008836B8">
      <w:pPr>
        <w:pStyle w:val="SingleTxtG"/>
      </w:pPr>
      <w:r w:rsidRPr="00F90841">
        <w:lastRenderedPageBreak/>
        <w:t>144.</w:t>
      </w:r>
      <w:r w:rsidRPr="00F90841">
        <w:tab/>
        <w:t xml:space="preserve">Police cells are not designed for sentenced prisoners or other long custodial stays. Over the last 10 years, a national cell remediation programme sought to address the state of repair, design issues and suicide prevention measures in Police cells. The IPCA and Police are assessing the conditions of cells to develop a work programme to upgrade cells across the country. </w:t>
      </w:r>
    </w:p>
    <w:bookmarkEnd w:id="50"/>
    <w:p w14:paraId="468E17B0" w14:textId="77777777" w:rsidR="007467BC" w:rsidRPr="00F90841" w:rsidRDefault="007467BC" w:rsidP="004B3E69">
      <w:pPr>
        <w:pStyle w:val="H23G"/>
      </w:pPr>
      <w:r w:rsidRPr="00F90841">
        <w:tab/>
      </w:r>
      <w:r w:rsidRPr="00F90841">
        <w:tab/>
        <w:t>Material state of court cells</w:t>
      </w:r>
    </w:p>
    <w:p w14:paraId="542F97B3" w14:textId="77777777" w:rsidR="007467BC" w:rsidRPr="00F90841" w:rsidRDefault="007467BC" w:rsidP="007467BC">
      <w:pPr>
        <w:pStyle w:val="SingleTxtG"/>
      </w:pPr>
      <w:bookmarkStart w:id="51" w:name="_Ref532299686"/>
      <w:r w:rsidRPr="00F90841">
        <w:t>145.</w:t>
      </w:r>
      <w:r w:rsidRPr="00F90841">
        <w:tab/>
        <w:t>Following an IPCA investigation (para</w:t>
      </w:r>
      <w:r w:rsidR="004E5AB8">
        <w:t>.</w:t>
      </w:r>
      <w:r w:rsidRPr="00F90841">
        <w:t xml:space="preserve"> </w:t>
      </w:r>
      <w:r w:rsidRPr="00F90841">
        <w:rPr>
          <w:cs/>
        </w:rPr>
        <w:t>‎</w:t>
      </w:r>
      <w:r w:rsidRPr="00F90841">
        <w:t>0) into a suicide in 2015, the Government completed a $32m Cell Safety Programme to ensure ligature free cells. The programme upgraded 385 cells and 102 secure non-contact interview rooms and included the addition of privacy screens. As recommended by the responsible NPM, CCTV will be installed in every cell while complying with the Privacy Commissioner</w:t>
      </w:r>
      <w:r w:rsidR="00562737" w:rsidRPr="00F90841">
        <w:t>’</w:t>
      </w:r>
      <w:r w:rsidRPr="00F90841">
        <w:t xml:space="preserve">s guidelines. CCTV supports the safety of staff and prisoners including those at risk of self-harm. </w:t>
      </w:r>
      <w:bookmarkEnd w:id="51"/>
    </w:p>
    <w:p w14:paraId="40DB82EC" w14:textId="77777777" w:rsidR="007467BC" w:rsidRPr="00F90841" w:rsidRDefault="007467BC" w:rsidP="007467BC">
      <w:pPr>
        <w:pStyle w:val="SingleTxtG"/>
      </w:pPr>
      <w:r w:rsidRPr="00F90841">
        <w:t>146.</w:t>
      </w:r>
      <w:r w:rsidRPr="00F90841">
        <w:tab/>
        <w:t>A small number of cells were gazetted as prison facilities to cope with prisoner overflow. This means prisoners could be accommodated for longer periods.</w:t>
      </w:r>
    </w:p>
    <w:p w14:paraId="403A69DB" w14:textId="77777777" w:rsidR="007467BC" w:rsidRPr="00F90841" w:rsidRDefault="007467BC" w:rsidP="00D873D9">
      <w:pPr>
        <w:pStyle w:val="H23G"/>
      </w:pPr>
      <w:r w:rsidRPr="00F90841">
        <w:tab/>
      </w:r>
      <w:r w:rsidRPr="00F90841">
        <w:tab/>
        <w:t>Defence Force facilities</w:t>
      </w:r>
    </w:p>
    <w:p w14:paraId="1BFBD366" w14:textId="77777777" w:rsidR="007467BC" w:rsidRPr="00F90841" w:rsidRDefault="007467BC" w:rsidP="007467BC">
      <w:pPr>
        <w:pStyle w:val="SingleTxtG"/>
      </w:pPr>
      <w:r w:rsidRPr="00F90841">
        <w:t>147.</w:t>
      </w:r>
      <w:r w:rsidRPr="00F90841">
        <w:tab/>
        <w:t xml:space="preserve">The corrective cell facilities within Devonport Naval Base, on HMNZS PHILOMEL, were closed. A temporary arrangement is in place within Devonport Base using a barrack room until a new purpose-built facility can be delivered. </w:t>
      </w:r>
    </w:p>
    <w:p w14:paraId="26E9A58E" w14:textId="77777777" w:rsidR="007467BC" w:rsidRPr="00F90841" w:rsidRDefault="007467BC" w:rsidP="00DE706A">
      <w:pPr>
        <w:pStyle w:val="SingleTxtG"/>
      </w:pPr>
      <w:r w:rsidRPr="00F90841">
        <w:t>148.</w:t>
      </w:r>
      <w:r w:rsidRPr="00F90841">
        <w:tab/>
        <w:t>In the reporting period, the Defence Force Services Corrective Establishment (SCE) has only been used for disciplinary penalties. SCE ensures there is never overcrowding. In each of the last two financial years, there were approximately 15 detainees in SCE. The duration ranged from 5</w:t>
      </w:r>
      <w:r w:rsidR="00DE706A" w:rsidRPr="00F90841">
        <w:t>–</w:t>
      </w:r>
      <w:r w:rsidRPr="00F90841">
        <w:t>28 days except for two cases of 112 and 150 days (detailed data is in Appendix 6).</w:t>
      </w:r>
    </w:p>
    <w:p w14:paraId="6C810695" w14:textId="77777777" w:rsidR="007467BC" w:rsidRPr="00F90841" w:rsidRDefault="007467BC" w:rsidP="007467BC">
      <w:pPr>
        <w:pStyle w:val="SingleTxtG"/>
      </w:pPr>
      <w:r w:rsidRPr="00F90841">
        <w:t>149.</w:t>
      </w:r>
      <w:r w:rsidRPr="00F90841">
        <w:tab/>
        <w:t>The health detainees at SCE is monitored by weekly medical officer visits. Unwell detainees are treated, and for persons detained for more than a week, a care plan is in place. All detainees are visited weekly by a visiting officer who deals with complaints.</w:t>
      </w:r>
    </w:p>
    <w:p w14:paraId="2CE685B4" w14:textId="77777777" w:rsidR="007467BC" w:rsidRPr="00F90841" w:rsidRDefault="007467BC" w:rsidP="007467BC">
      <w:pPr>
        <w:pStyle w:val="SingleTxtG"/>
      </w:pPr>
      <w:r w:rsidRPr="00F90841">
        <w:t>150.</w:t>
      </w:r>
      <w:r w:rsidRPr="00F90841">
        <w:tab/>
        <w:t>There have not been any deaths in Defence detention facilities in the last 20 years. No complaints were received from detainees during the reporting period. The 2017 NPM report found no concerns.</w:t>
      </w:r>
    </w:p>
    <w:p w14:paraId="22A422BC" w14:textId="77777777" w:rsidR="007467BC" w:rsidRPr="00F90841" w:rsidRDefault="007467BC" w:rsidP="00D873D9">
      <w:pPr>
        <w:pStyle w:val="H1G"/>
      </w:pPr>
      <w:r w:rsidRPr="00F90841">
        <w:tab/>
      </w:r>
      <w:r w:rsidRPr="00F90841">
        <w:tab/>
        <w:t>Reply to paragraph 19 of the list of issues</w:t>
      </w:r>
    </w:p>
    <w:p w14:paraId="0DD53FB2" w14:textId="77777777" w:rsidR="007467BC" w:rsidRPr="00F90841" w:rsidRDefault="007467BC" w:rsidP="00D873D9">
      <w:pPr>
        <w:pStyle w:val="H23G"/>
      </w:pPr>
      <w:bookmarkStart w:id="52" w:name="_Hlk525811928"/>
      <w:r w:rsidRPr="00F90841">
        <w:tab/>
      </w:r>
      <w:r w:rsidRPr="00F90841">
        <w:tab/>
        <w:t>Solitary confinement</w:t>
      </w:r>
    </w:p>
    <w:p w14:paraId="48F94862" w14:textId="77777777" w:rsidR="007467BC" w:rsidRPr="00F90841" w:rsidRDefault="007467BC" w:rsidP="00D873D9">
      <w:pPr>
        <w:pStyle w:val="H23G"/>
      </w:pPr>
      <w:r w:rsidRPr="00F90841">
        <w:tab/>
      </w:r>
      <w:r w:rsidRPr="00F90841">
        <w:tab/>
        <w:t xml:space="preserve">Human Rights Commission review of seclusion and restraint </w:t>
      </w:r>
    </w:p>
    <w:p w14:paraId="1E5AC4B3" w14:textId="77777777" w:rsidR="007467BC" w:rsidRPr="00F90841" w:rsidRDefault="007467BC" w:rsidP="007467BC">
      <w:pPr>
        <w:pStyle w:val="SingleTxtG"/>
      </w:pPr>
      <w:r w:rsidRPr="00F90841">
        <w:t>151.</w:t>
      </w:r>
      <w:r w:rsidRPr="00F90841">
        <w:tab/>
        <w:t xml:space="preserve">A 2017 independent review commissioned by the Human Rights Commission, </w:t>
      </w:r>
      <w:r w:rsidR="00562737" w:rsidRPr="00F90841">
        <w:t>‘</w:t>
      </w:r>
      <w:r w:rsidRPr="00F90841">
        <w:rPr>
          <w:i/>
          <w:iCs/>
        </w:rPr>
        <w:t>Thinking Outside the Box: A review of seclusion and restraint practices in New Zealand</w:t>
      </w:r>
      <w:r w:rsidR="00562737" w:rsidRPr="00F90841">
        <w:t>’</w:t>
      </w:r>
      <w:r w:rsidRPr="00F90841">
        <w:t xml:space="preserve"> by Dr Shalev, highlighted issues regarding the use of restrictive practices across many settings. A 2017 Chief Ombudsman report raised issues about prisoner management in At-Risk-Units. Both reports are based on findings in 2016.</w:t>
      </w:r>
    </w:p>
    <w:p w14:paraId="1B38CC7D" w14:textId="77777777" w:rsidR="007467BC" w:rsidRPr="00F90841" w:rsidRDefault="007467BC" w:rsidP="00D873D9">
      <w:pPr>
        <w:pStyle w:val="H23G"/>
      </w:pPr>
      <w:bookmarkStart w:id="53" w:name="_Hlk525732942"/>
      <w:r w:rsidRPr="00F90841">
        <w:tab/>
      </w:r>
      <w:r w:rsidRPr="00F90841">
        <w:tab/>
        <w:t>Health facilities</w:t>
      </w:r>
    </w:p>
    <w:p w14:paraId="6D09997F" w14:textId="77777777" w:rsidR="007467BC" w:rsidRPr="00F90841" w:rsidRDefault="007467BC" w:rsidP="007467BC">
      <w:pPr>
        <w:pStyle w:val="SingleTxtG"/>
      </w:pPr>
      <w:r w:rsidRPr="00F90841">
        <w:t>152.</w:t>
      </w:r>
      <w:r w:rsidRPr="00F90841">
        <w:tab/>
        <w:t>The Ministry of Health has accepted all of Dr Shalev</w:t>
      </w:r>
      <w:r w:rsidR="00562737" w:rsidRPr="00F90841">
        <w:t>’</w:t>
      </w:r>
      <w:r w:rsidRPr="00F90841">
        <w:t>s recommendations. Restrictive practices can compromise therapy and trigger trauma. They can inhibit human rights and do not align with evidence-based high-quality care.</w:t>
      </w:r>
    </w:p>
    <w:p w14:paraId="24527EEC" w14:textId="77777777" w:rsidR="007467BC" w:rsidRPr="00F90841" w:rsidRDefault="007467BC" w:rsidP="007467BC">
      <w:pPr>
        <w:pStyle w:val="SingleTxtG"/>
      </w:pPr>
      <w:r w:rsidRPr="00F90841">
        <w:t>153.</w:t>
      </w:r>
      <w:r w:rsidRPr="00F90841">
        <w:tab/>
        <w:t xml:space="preserve">Seclusion is authorised under the Mental Health Act and the Intellectual Disability Act. Under these Acts, seclusion can only be used when no other safe and effective intervention is possible. The Mental Health Act states that </w:t>
      </w:r>
      <w:r w:rsidR="00562737" w:rsidRPr="00F90841">
        <w:t>‘</w:t>
      </w:r>
      <w:r w:rsidRPr="00F90841">
        <w:t xml:space="preserve">every patient is entitled to the company of </w:t>
      </w:r>
      <w:proofErr w:type="gramStart"/>
      <w:r w:rsidRPr="00F90841">
        <w:t>others</w:t>
      </w:r>
      <w:r w:rsidR="00562737" w:rsidRPr="00F90841">
        <w:t>’</w:t>
      </w:r>
      <w:proofErr w:type="gramEnd"/>
      <w:r w:rsidRPr="00F90841">
        <w:t xml:space="preserve">. For details on these Acts see paragraph </w:t>
      </w:r>
      <w:r w:rsidRPr="00F90841">
        <w:rPr>
          <w:cs/>
        </w:rPr>
        <w:t>‎</w:t>
      </w:r>
      <w:r w:rsidRPr="00F90841">
        <w:t>0.</w:t>
      </w:r>
    </w:p>
    <w:p w14:paraId="0BDBD8DD" w14:textId="77777777" w:rsidR="007467BC" w:rsidRPr="00F90841" w:rsidRDefault="007467BC" w:rsidP="007467BC">
      <w:pPr>
        <w:pStyle w:val="SingleTxtG"/>
      </w:pPr>
      <w:r w:rsidRPr="00F90841">
        <w:t>154.</w:t>
      </w:r>
      <w:r w:rsidRPr="00F90841">
        <w:tab/>
        <w:t xml:space="preserve">In 2018, </w:t>
      </w:r>
      <w:r w:rsidR="00562737" w:rsidRPr="00F90841">
        <w:t>‘</w:t>
      </w:r>
      <w:r w:rsidRPr="00F90841">
        <w:t>Zero Seclusion: Towards eliminating seclusion by 2020</w:t>
      </w:r>
      <w:r w:rsidR="00562737" w:rsidRPr="00F90841">
        <w:t>’</w:t>
      </w:r>
      <w:r w:rsidRPr="00F90841">
        <w:t xml:space="preserve"> was launched by the Health Quality and Safety Commission in partnership with service providers and other health sector organisations to implement evidence-based practices to safely reduce and eliminate seclusion. This project uses quality improvement methodologies and takes a co-</w:t>
      </w:r>
      <w:r w:rsidRPr="00F90841">
        <w:lastRenderedPageBreak/>
        <w:t>design approach with service providers, consumers, and their families. Zero Seclusion builds on the National Workforce Centre for Mental Health, Addiction and Disability (</w:t>
      </w:r>
      <w:proofErr w:type="spellStart"/>
      <w:r w:rsidRPr="00F90841">
        <w:t>Te</w:t>
      </w:r>
      <w:proofErr w:type="spellEnd"/>
      <w:r w:rsidRPr="00F90841">
        <w:t xml:space="preserve"> </w:t>
      </w:r>
      <w:proofErr w:type="spellStart"/>
      <w:r w:rsidRPr="00F90841">
        <w:t>Pou</w:t>
      </w:r>
      <w:proofErr w:type="spellEnd"/>
      <w:r w:rsidRPr="00F90841">
        <w:t xml:space="preserve"> o </w:t>
      </w:r>
      <w:proofErr w:type="spellStart"/>
      <w:r w:rsidRPr="00F90841">
        <w:t>te</w:t>
      </w:r>
      <w:proofErr w:type="spellEnd"/>
      <w:r w:rsidRPr="00F90841">
        <w:t xml:space="preserve"> </w:t>
      </w:r>
      <w:proofErr w:type="spellStart"/>
      <w:r w:rsidRPr="00F90841">
        <w:t>Whakaaro</w:t>
      </w:r>
      <w:proofErr w:type="spellEnd"/>
      <w:r w:rsidRPr="00F90841">
        <w:t xml:space="preserve"> Nui), which is funded to develop information, guidance and training to reduce restrictive practices. Dr Shalev identified the resources promoted by </w:t>
      </w:r>
      <w:proofErr w:type="spellStart"/>
      <w:r w:rsidRPr="00F90841">
        <w:t>Te</w:t>
      </w:r>
      <w:proofErr w:type="spellEnd"/>
      <w:r w:rsidRPr="00F90841">
        <w:t xml:space="preserve"> </w:t>
      </w:r>
      <w:proofErr w:type="spellStart"/>
      <w:r w:rsidRPr="00F90841">
        <w:t>Pou</w:t>
      </w:r>
      <w:proofErr w:type="spellEnd"/>
      <w:r w:rsidRPr="00F90841">
        <w:t>, as examples of good practice.</w:t>
      </w:r>
    </w:p>
    <w:p w14:paraId="0C1B4173" w14:textId="77777777" w:rsidR="007467BC" w:rsidRPr="00F90841" w:rsidRDefault="007467BC" w:rsidP="007467BC">
      <w:pPr>
        <w:pStyle w:val="SingleTxtG"/>
      </w:pPr>
      <w:r w:rsidRPr="00F90841">
        <w:t>155.</w:t>
      </w:r>
      <w:r w:rsidRPr="00F90841">
        <w:tab/>
        <w:t>The training programme Safe Practice Effective Communication (SPEC) was launched in 2016 to provide national consistency and best quality, evidence-based therapeutic interventions to reduce restraint and seclusion in inpatient mental health units and intellectual disability secure forensic services.</w:t>
      </w:r>
    </w:p>
    <w:p w14:paraId="0CAA7DDF" w14:textId="77777777" w:rsidR="007467BC" w:rsidRPr="00F90841" w:rsidRDefault="007467BC" w:rsidP="00D873D9">
      <w:pPr>
        <w:pStyle w:val="H4G"/>
      </w:pPr>
      <w:r w:rsidRPr="00F90841">
        <w:tab/>
      </w:r>
      <w:r w:rsidRPr="00F90841">
        <w:tab/>
        <w:t>Night safety procedures</w:t>
      </w:r>
    </w:p>
    <w:p w14:paraId="03AB841F" w14:textId="77777777" w:rsidR="007467BC" w:rsidRPr="00F90841" w:rsidRDefault="007467BC" w:rsidP="007467BC">
      <w:pPr>
        <w:pStyle w:val="SingleTxtG"/>
      </w:pPr>
      <w:r w:rsidRPr="00F90841">
        <w:t>156.</w:t>
      </w:r>
      <w:r w:rsidRPr="00F90841">
        <w:tab/>
        <w:t>Transitional guidelines published in 2018 work towards eliminating night safety procedures by December 2022.</w:t>
      </w:r>
      <w:r w:rsidRPr="00F90841" w:rsidDel="008D6344">
        <w:t xml:space="preserve"> </w:t>
      </w:r>
      <w:r w:rsidRPr="00F90841">
        <w:t>Night safety procedures involve locking involuntary special patients or special care recipients in their rooms overnight for safety reasons. They have no therapeutic function and constitute a form of environmental restraint. Reasons for this practice include building design,</w:t>
      </w:r>
      <w:r w:rsidRPr="00F90841" w:rsidDel="008D6344">
        <w:t xml:space="preserve"> </w:t>
      </w:r>
      <w:r w:rsidRPr="00F90841">
        <w:t>staffing, and risk. The guidelines require that rights of patients and staff are protected.</w:t>
      </w:r>
    </w:p>
    <w:p w14:paraId="65F83DE6" w14:textId="77777777" w:rsidR="007467BC" w:rsidRPr="00F90841" w:rsidRDefault="007467BC" w:rsidP="00D873D9">
      <w:pPr>
        <w:pStyle w:val="H4G"/>
      </w:pPr>
      <w:r w:rsidRPr="00F90841">
        <w:tab/>
      </w:r>
      <w:r w:rsidRPr="00F90841">
        <w:tab/>
        <w:t>Mental Health Reports</w:t>
      </w:r>
    </w:p>
    <w:p w14:paraId="7F6B99EF" w14:textId="77777777" w:rsidR="007467BC" w:rsidRPr="00F90841" w:rsidRDefault="007467BC" w:rsidP="00DE706A">
      <w:pPr>
        <w:pStyle w:val="SingleTxtG"/>
      </w:pPr>
      <w:r w:rsidRPr="00F90841">
        <w:t>157.</w:t>
      </w:r>
      <w:r w:rsidRPr="00F90841">
        <w:tab/>
        <w:t>Since 2006, annual statistics on the use of seclusion have been publicly available. Statistics show a reduction in the use of seclusion in mental health services. From 2009</w:t>
      </w:r>
      <w:r w:rsidR="00DE706A" w:rsidRPr="00F90841">
        <w:t>–</w:t>
      </w:r>
      <w:r w:rsidRPr="00F90841">
        <w:t>2017:</w:t>
      </w:r>
    </w:p>
    <w:p w14:paraId="5DFD6FEA" w14:textId="77777777" w:rsidR="007467BC" w:rsidRPr="00F90841" w:rsidRDefault="007467BC" w:rsidP="00D873D9">
      <w:pPr>
        <w:pStyle w:val="Bullet1G"/>
      </w:pPr>
      <w:r w:rsidRPr="00F90841">
        <w:t>28% decrease of people experiencing seclusion during mental health treatment in an adult inpatient service (1143 to 775)</w:t>
      </w:r>
    </w:p>
    <w:p w14:paraId="5EBB5B38" w14:textId="77777777" w:rsidR="007467BC" w:rsidRPr="00F90841" w:rsidRDefault="007467BC" w:rsidP="00C42523">
      <w:pPr>
        <w:pStyle w:val="Bullet1G"/>
      </w:pPr>
      <w:r w:rsidRPr="00F90841">
        <w:t>59% decrease of hours spent in seclusion (76% of events lasted less than 24 hours in 2017)</w:t>
      </w:r>
    </w:p>
    <w:p w14:paraId="54A74CCF" w14:textId="77777777" w:rsidR="007467BC" w:rsidRPr="00F90841" w:rsidRDefault="007467BC" w:rsidP="00C42523">
      <w:pPr>
        <w:pStyle w:val="Bullet1G"/>
      </w:pPr>
      <w:r w:rsidRPr="00F90841">
        <w:t xml:space="preserve">The use of seclusion has plateaued following a seven-year decline. </w:t>
      </w:r>
    </w:p>
    <w:p w14:paraId="313A7665" w14:textId="77777777" w:rsidR="007467BC" w:rsidRPr="00F90841" w:rsidRDefault="007467BC" w:rsidP="007467BC">
      <w:pPr>
        <w:pStyle w:val="SingleTxtG"/>
      </w:pPr>
      <w:r w:rsidRPr="00F90841">
        <w:t>158.</w:t>
      </w:r>
      <w:r w:rsidRPr="00F90841">
        <w:tab/>
        <w:t>Statistics also highlight areas of concern:</w:t>
      </w:r>
    </w:p>
    <w:p w14:paraId="2ADCC853" w14:textId="77777777" w:rsidR="007467BC" w:rsidRPr="00F90841" w:rsidRDefault="007467BC" w:rsidP="00C42523">
      <w:pPr>
        <w:pStyle w:val="Bullet1G"/>
      </w:pPr>
      <w:r w:rsidRPr="00F90841">
        <w:t>Between 2014 and 2017, while the number of seclusion hours decreased by 11%, the number of people increased by 5%</w:t>
      </w:r>
    </w:p>
    <w:p w14:paraId="72FDE480" w14:textId="77777777" w:rsidR="007467BC" w:rsidRPr="00F90841" w:rsidRDefault="007467BC" w:rsidP="00C42523">
      <w:pPr>
        <w:pStyle w:val="Bullet1G"/>
      </w:pPr>
      <w:r w:rsidRPr="00F90841">
        <w:t>In 2017, 98 people aged 19 years and under were secluded (285 seclusion events)</w:t>
      </w:r>
    </w:p>
    <w:p w14:paraId="1134063A" w14:textId="77777777" w:rsidR="007467BC" w:rsidRPr="00F90841" w:rsidRDefault="007467BC" w:rsidP="00C42523">
      <w:pPr>
        <w:pStyle w:val="Bullet1G"/>
      </w:pPr>
      <w:r w:rsidRPr="00F90841">
        <w:t xml:space="preserve">In 2017, </w:t>
      </w:r>
      <w:proofErr w:type="spellStart"/>
      <w:r w:rsidRPr="00F90841">
        <w:t>māori</w:t>
      </w:r>
      <w:proofErr w:type="spellEnd"/>
      <w:r w:rsidRPr="00F90841">
        <w:t xml:space="preserve"> were 4.5 times more likely to be secluded in an adult inpatient service (41% </w:t>
      </w:r>
      <w:proofErr w:type="spellStart"/>
      <w:r w:rsidRPr="00F90841">
        <w:t>māori</w:t>
      </w:r>
      <w:proofErr w:type="spellEnd"/>
      <w:r w:rsidRPr="00F90841">
        <w:t>).</w:t>
      </w:r>
    </w:p>
    <w:p w14:paraId="13DF9F23" w14:textId="77777777" w:rsidR="007467BC" w:rsidRPr="00F90841" w:rsidRDefault="007467BC" w:rsidP="007467BC">
      <w:pPr>
        <w:pStyle w:val="SingleTxtG"/>
      </w:pPr>
      <w:r w:rsidRPr="00F90841">
        <w:t>159.</w:t>
      </w:r>
      <w:r w:rsidRPr="00F90841">
        <w:tab/>
        <w:t>Work towards reporting the use of seclusion for people with intellectual disabilities is progressing to enable a better understanding of seclusion.</w:t>
      </w:r>
    </w:p>
    <w:bookmarkEnd w:id="53"/>
    <w:p w14:paraId="04E8C0CF" w14:textId="77777777" w:rsidR="007467BC" w:rsidRPr="00F90841" w:rsidRDefault="007467BC" w:rsidP="00C42523">
      <w:pPr>
        <w:pStyle w:val="H4G"/>
      </w:pPr>
      <w:r w:rsidRPr="00F90841">
        <w:tab/>
      </w:r>
      <w:r w:rsidRPr="00F90841">
        <w:tab/>
        <w:t>Restraint practices</w:t>
      </w:r>
    </w:p>
    <w:p w14:paraId="7039766D" w14:textId="77777777" w:rsidR="007467BC" w:rsidRPr="00F90841" w:rsidRDefault="007467BC" w:rsidP="007467BC">
      <w:pPr>
        <w:pStyle w:val="SingleTxtG"/>
      </w:pPr>
      <w:r w:rsidRPr="00F90841">
        <w:t>160.</w:t>
      </w:r>
      <w:r w:rsidRPr="00F90841">
        <w:tab/>
        <w:t>The use of restraint in health facilities is legislated for under the Crimes Act and the Mental Health Act. The Ministry of Health supports reducing the use of restraint in mental health services and the training programme SPEC (para</w:t>
      </w:r>
      <w:r w:rsidR="009A2177">
        <w:t>.</w:t>
      </w:r>
      <w:r w:rsidRPr="00F90841">
        <w:t xml:space="preserve"> 155) seeks to achieve this. The Ministry is developing guidelines on the use of restraint to ensure consistency of practice and enable collation of data at a national level.</w:t>
      </w:r>
    </w:p>
    <w:p w14:paraId="67811A66" w14:textId="77777777" w:rsidR="007467BC" w:rsidRPr="00F90841" w:rsidRDefault="007467BC" w:rsidP="00C42523">
      <w:pPr>
        <w:pStyle w:val="H23G"/>
      </w:pPr>
      <w:bookmarkStart w:id="54" w:name="_Hlk536084153"/>
      <w:r w:rsidRPr="00F90841">
        <w:tab/>
      </w:r>
      <w:r w:rsidRPr="00F90841">
        <w:tab/>
        <w:t>Disability Action Plan</w:t>
      </w:r>
    </w:p>
    <w:p w14:paraId="5EDE9CFC" w14:textId="77777777" w:rsidR="007467BC" w:rsidRPr="00F90841" w:rsidRDefault="007467BC" w:rsidP="00DE706A">
      <w:pPr>
        <w:pStyle w:val="SingleTxtG"/>
      </w:pPr>
      <w:r w:rsidRPr="00F90841">
        <w:t>161.</w:t>
      </w:r>
      <w:r w:rsidRPr="00F90841">
        <w:tab/>
        <w:t>The Office for Disability Issues is finalising the Disability Action Plan 2019</w:t>
      </w:r>
      <w:r w:rsidR="00DE706A" w:rsidRPr="00F90841">
        <w:t>–</w:t>
      </w:r>
      <w:r w:rsidRPr="00F90841">
        <w:t>2023. The Action Plan aims to deliver the outcomes of the New Zealand Disability Strategy 2016</w:t>
      </w:r>
      <w:r w:rsidR="00DE706A" w:rsidRPr="00F90841">
        <w:t>–</w:t>
      </w:r>
      <w:r w:rsidRPr="00F90841">
        <w:t>2026. The Action Plan consists of a package of cross-government work programmes that are underway or are being planned that have an explicit disability perspective. The Independent Monitoring Mechanism has identified seclusion and restraint as one of the most pressing disability issues in New Zealand.</w:t>
      </w:r>
      <w:r w:rsidRPr="00F90841">
        <w:rPr>
          <w:rStyle w:val="FootnoteReference"/>
        </w:rPr>
        <w:footnoteReference w:id="7"/>
      </w:r>
      <w:r w:rsidRPr="00F90841">
        <w:t xml:space="preserve"> The Ministry of Health and Corrections </w:t>
      </w:r>
      <w:r w:rsidRPr="00F90841">
        <w:lastRenderedPageBreak/>
        <w:t xml:space="preserve">jointly lead a work programme focused on reducing the use of seclusion and restraint. These agencies will develop a shared understanding of what constitutes various forms of restraint (including seclusion and segregation) across different sectors. </w:t>
      </w:r>
    </w:p>
    <w:bookmarkEnd w:id="54"/>
    <w:p w14:paraId="1D3958E6" w14:textId="77777777" w:rsidR="007467BC" w:rsidRPr="00F90841" w:rsidRDefault="007467BC" w:rsidP="00C42523">
      <w:pPr>
        <w:pStyle w:val="H23G"/>
      </w:pPr>
      <w:r w:rsidRPr="00F90841">
        <w:tab/>
      </w:r>
      <w:r w:rsidRPr="00F90841">
        <w:tab/>
        <w:t>Prisons</w:t>
      </w:r>
    </w:p>
    <w:p w14:paraId="3C1431DE" w14:textId="77777777" w:rsidR="007467BC" w:rsidRPr="00F90841" w:rsidRDefault="007467BC" w:rsidP="007467BC">
      <w:pPr>
        <w:pStyle w:val="SingleTxtG"/>
      </w:pPr>
      <w:r w:rsidRPr="00F90841">
        <w:t>162.</w:t>
      </w:r>
      <w:r w:rsidRPr="00F90841">
        <w:tab/>
        <w:t>Corrections uses segregation when required and in accordance with the Corrections Act and the Prison Operations Manual. The prison director must decide and justify the denial or restriction of prisoners</w:t>
      </w:r>
      <w:r w:rsidR="00562737" w:rsidRPr="00F90841">
        <w:t>’</w:t>
      </w:r>
      <w:r w:rsidRPr="00F90841">
        <w:t xml:space="preserve"> association with other prisoners based on the need to:</w:t>
      </w:r>
    </w:p>
    <w:p w14:paraId="6DC9E1F8" w14:textId="77777777" w:rsidR="007467BC" w:rsidRPr="00F90841" w:rsidRDefault="007467BC" w:rsidP="00C42523">
      <w:pPr>
        <w:pStyle w:val="Bullet1G"/>
      </w:pPr>
      <w:r w:rsidRPr="00F90841">
        <w:t>Manage risk to safety or good order;</w:t>
      </w:r>
    </w:p>
    <w:p w14:paraId="74EEDC81" w14:textId="77777777" w:rsidR="007467BC" w:rsidRPr="00F90841" w:rsidRDefault="007467BC" w:rsidP="00C42523">
      <w:pPr>
        <w:pStyle w:val="Bullet1G"/>
      </w:pPr>
      <w:r w:rsidRPr="00F90841">
        <w:t>Provide protective custody, including at prisoners</w:t>
      </w:r>
      <w:r w:rsidR="00562737" w:rsidRPr="00F90841">
        <w:t>’</w:t>
      </w:r>
      <w:r w:rsidRPr="00F90841">
        <w:t xml:space="preserve"> request; or</w:t>
      </w:r>
    </w:p>
    <w:p w14:paraId="0A8E32FC" w14:textId="77777777" w:rsidR="007467BC" w:rsidRPr="00F90841" w:rsidRDefault="007467BC" w:rsidP="00C42523">
      <w:pPr>
        <w:pStyle w:val="Bullet1G"/>
      </w:pPr>
      <w:r w:rsidRPr="00F90841">
        <w:t>Assess or ensure prisoners</w:t>
      </w:r>
      <w:r w:rsidR="00562737" w:rsidRPr="00F90841">
        <w:t>’</w:t>
      </w:r>
      <w:r w:rsidRPr="00F90841">
        <w:t xml:space="preserve"> physical or mental health. </w:t>
      </w:r>
    </w:p>
    <w:p w14:paraId="0C46933D" w14:textId="77777777" w:rsidR="007467BC" w:rsidRPr="00F90841" w:rsidRDefault="007467BC" w:rsidP="007467BC">
      <w:pPr>
        <w:pStyle w:val="SingleTxtG"/>
      </w:pPr>
      <w:bookmarkStart w:id="55" w:name="_Ref178454"/>
      <w:r w:rsidRPr="00F90841">
        <w:t>163.</w:t>
      </w:r>
      <w:r w:rsidRPr="00F90841">
        <w:tab/>
        <w:t>Parliament is considering amendments to legislation to introduce a framework for the management of prisoners at-risk of self-harm, separate from the segregation regime. Under the proposed framework, all new prisoners would be assessed for risk of self-harm. At-risk prisoners would have a tailored management plan, outlining how Corrections would address their risk including their association with other prisoners.</w:t>
      </w:r>
      <w:bookmarkEnd w:id="55"/>
      <w:r w:rsidRPr="00F90841">
        <w:t xml:space="preserve"> Corrections is reviewing policies</w:t>
      </w:r>
      <w:r w:rsidR="008836B8" w:rsidRPr="00F90841">
        <w:t xml:space="preserve"> relating to prisoner privacy.</w:t>
      </w:r>
    </w:p>
    <w:p w14:paraId="0A8B4CA7" w14:textId="77777777" w:rsidR="007467BC" w:rsidRPr="00F90841" w:rsidRDefault="007467BC" w:rsidP="007467BC">
      <w:pPr>
        <w:pStyle w:val="SingleTxtG"/>
      </w:pPr>
      <w:r w:rsidRPr="00F90841">
        <w:t>164.</w:t>
      </w:r>
      <w:r w:rsidRPr="00F90841">
        <w:tab/>
        <w:t>Under the new model of care being developed with the Ministry of Health (para</w:t>
      </w:r>
      <w:r w:rsidR="009A2177">
        <w:t>.</w:t>
      </w:r>
      <w:r w:rsidRPr="00F90841">
        <w:t xml:space="preserve"> 135), seclusion and restraint will not be the default response. Funding has enabled three pilots, including in a women</w:t>
      </w:r>
      <w:r w:rsidR="00562737" w:rsidRPr="00F90841">
        <w:t>’</w:t>
      </w:r>
      <w:r w:rsidRPr="00F90841">
        <w:t>s prison. Elements of the model have been introduced in all prisons.</w:t>
      </w:r>
    </w:p>
    <w:p w14:paraId="1D084CB5" w14:textId="77777777" w:rsidR="007467BC" w:rsidRPr="00F90841" w:rsidRDefault="007467BC" w:rsidP="007467BC">
      <w:pPr>
        <w:pStyle w:val="SingleTxtG"/>
      </w:pPr>
      <w:bookmarkStart w:id="56" w:name="_Ref536172314"/>
      <w:r w:rsidRPr="00F90841">
        <w:t>165.</w:t>
      </w:r>
      <w:r w:rsidRPr="00F90841">
        <w:tab/>
        <w:t xml:space="preserve">In its 2014 report, the SPT raised concerns about Auckland Prison management units. In 2018, a new mental health facility was opened at Auckland Prison. Prisoners can associate under controlled conditions and access appropriate programmes, exercise yards, and a sensory garden. A specialist Intervention and Support team provides on-site treatment and support. The SPT report also raised hygiene issues with the management units at Mount Eden Corrections Facility, which have been addressed. </w:t>
      </w:r>
    </w:p>
    <w:p w14:paraId="62736B68" w14:textId="77777777" w:rsidR="007467BC" w:rsidRPr="00F90841" w:rsidRDefault="007467BC" w:rsidP="007467BC">
      <w:pPr>
        <w:pStyle w:val="SingleTxtG"/>
      </w:pPr>
      <w:r w:rsidRPr="00F90841">
        <w:t>166.</w:t>
      </w:r>
      <w:r w:rsidRPr="00F90841">
        <w:tab/>
        <w:t>The Ombudsman raised concerns that Corrections officers did not have adequate mental health training to manage people in the Intervention and Support Units. Mental health training has been delivered to staff at three pilot sites, and Corrections has received funding to deliver training to all sites over three years. Non-pilot sites have mental health clinicians who deliver mental health education to frontline staff in prisons.</w:t>
      </w:r>
      <w:bookmarkEnd w:id="56"/>
    </w:p>
    <w:p w14:paraId="00EC62B5" w14:textId="77777777" w:rsidR="007467BC" w:rsidRPr="00F90841" w:rsidRDefault="007467BC" w:rsidP="000068AE">
      <w:pPr>
        <w:pStyle w:val="H23G"/>
      </w:pPr>
      <w:r w:rsidRPr="00F90841">
        <w:tab/>
      </w:r>
      <w:r w:rsidRPr="00F90841">
        <w:tab/>
        <w:t xml:space="preserve">People in Intervention and Support Units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47"/>
        <w:gridCol w:w="3623"/>
      </w:tblGrid>
      <w:tr w:rsidR="007467BC" w:rsidRPr="00F90841" w14:paraId="2D27FE8D" w14:textId="77777777" w:rsidTr="00C42523">
        <w:trPr>
          <w:tblHeader/>
        </w:trPr>
        <w:tc>
          <w:tcPr>
            <w:tcW w:w="3747" w:type="dxa"/>
            <w:tcBorders>
              <w:top w:val="single" w:sz="4" w:space="0" w:color="auto"/>
              <w:bottom w:val="single" w:sz="12" w:space="0" w:color="auto"/>
            </w:tcBorders>
            <w:shd w:val="clear" w:color="auto" w:fill="auto"/>
            <w:noWrap/>
            <w:vAlign w:val="bottom"/>
            <w:hideMark/>
          </w:tcPr>
          <w:p w14:paraId="079358C7" w14:textId="77777777" w:rsidR="007467BC" w:rsidRPr="00F90841" w:rsidRDefault="007467BC" w:rsidP="00C42523">
            <w:pPr>
              <w:spacing w:before="80" w:after="80" w:line="200" w:lineRule="exact"/>
              <w:ind w:right="113"/>
              <w:rPr>
                <w:i/>
                <w:sz w:val="16"/>
              </w:rPr>
            </w:pPr>
          </w:p>
        </w:tc>
        <w:tc>
          <w:tcPr>
            <w:tcW w:w="3623" w:type="dxa"/>
            <w:tcBorders>
              <w:top w:val="single" w:sz="4" w:space="0" w:color="auto"/>
              <w:bottom w:val="single" w:sz="12" w:space="0" w:color="auto"/>
            </w:tcBorders>
            <w:shd w:val="clear" w:color="auto" w:fill="auto"/>
            <w:noWrap/>
            <w:vAlign w:val="bottom"/>
            <w:hideMark/>
          </w:tcPr>
          <w:p w14:paraId="3AC1856A" w14:textId="77777777" w:rsidR="007467BC" w:rsidRPr="00F90841" w:rsidRDefault="007467BC" w:rsidP="00C42523">
            <w:pPr>
              <w:spacing w:before="80" w:after="80" w:line="200" w:lineRule="exact"/>
              <w:ind w:right="113"/>
              <w:jc w:val="right"/>
              <w:rPr>
                <w:i/>
                <w:sz w:val="16"/>
              </w:rPr>
            </w:pPr>
            <w:r w:rsidRPr="00F90841">
              <w:rPr>
                <w:i/>
                <w:sz w:val="16"/>
              </w:rPr>
              <w:t>Offenders</w:t>
            </w:r>
          </w:p>
        </w:tc>
      </w:tr>
      <w:tr w:rsidR="007467BC" w:rsidRPr="00F90841" w14:paraId="2C3AF16C" w14:textId="77777777" w:rsidTr="00C42523">
        <w:tc>
          <w:tcPr>
            <w:tcW w:w="3747" w:type="dxa"/>
            <w:tcBorders>
              <w:top w:val="single" w:sz="12" w:space="0" w:color="auto"/>
            </w:tcBorders>
            <w:shd w:val="clear" w:color="auto" w:fill="auto"/>
            <w:noWrap/>
            <w:hideMark/>
          </w:tcPr>
          <w:p w14:paraId="725D2A81" w14:textId="77777777" w:rsidR="007467BC" w:rsidRPr="00F90841" w:rsidRDefault="007467BC" w:rsidP="00C42523">
            <w:pPr>
              <w:spacing w:before="40" w:after="40" w:line="220" w:lineRule="exact"/>
              <w:ind w:right="113"/>
              <w:rPr>
                <w:sz w:val="18"/>
              </w:rPr>
            </w:pPr>
            <w:r w:rsidRPr="00F90841">
              <w:rPr>
                <w:sz w:val="18"/>
              </w:rPr>
              <w:t>30/06/2015</w:t>
            </w:r>
          </w:p>
        </w:tc>
        <w:tc>
          <w:tcPr>
            <w:tcW w:w="3623" w:type="dxa"/>
            <w:tcBorders>
              <w:top w:val="single" w:sz="12" w:space="0" w:color="auto"/>
            </w:tcBorders>
            <w:shd w:val="clear" w:color="auto" w:fill="auto"/>
            <w:noWrap/>
            <w:vAlign w:val="bottom"/>
            <w:hideMark/>
          </w:tcPr>
          <w:p w14:paraId="7B349B68" w14:textId="77777777" w:rsidR="007467BC" w:rsidRPr="00F90841" w:rsidRDefault="007467BC" w:rsidP="00C42523">
            <w:pPr>
              <w:spacing w:before="40" w:after="40" w:line="220" w:lineRule="exact"/>
              <w:ind w:right="113"/>
              <w:jc w:val="right"/>
              <w:rPr>
                <w:sz w:val="18"/>
              </w:rPr>
            </w:pPr>
            <w:r w:rsidRPr="00F90841">
              <w:rPr>
                <w:sz w:val="18"/>
              </w:rPr>
              <w:t>86</w:t>
            </w:r>
          </w:p>
        </w:tc>
      </w:tr>
      <w:tr w:rsidR="007467BC" w:rsidRPr="00F90841" w14:paraId="53AF0012" w14:textId="77777777" w:rsidTr="00C42523">
        <w:tc>
          <w:tcPr>
            <w:tcW w:w="3747" w:type="dxa"/>
            <w:shd w:val="clear" w:color="auto" w:fill="auto"/>
            <w:noWrap/>
            <w:hideMark/>
          </w:tcPr>
          <w:p w14:paraId="6C4C93D3" w14:textId="77777777" w:rsidR="007467BC" w:rsidRPr="00F90841" w:rsidRDefault="007467BC" w:rsidP="00C42523">
            <w:pPr>
              <w:spacing w:before="40" w:after="40" w:line="220" w:lineRule="exact"/>
              <w:ind w:right="113"/>
              <w:rPr>
                <w:sz w:val="18"/>
              </w:rPr>
            </w:pPr>
            <w:r w:rsidRPr="00F90841">
              <w:rPr>
                <w:sz w:val="18"/>
              </w:rPr>
              <w:t>30/06/2016</w:t>
            </w:r>
          </w:p>
        </w:tc>
        <w:tc>
          <w:tcPr>
            <w:tcW w:w="3623" w:type="dxa"/>
            <w:shd w:val="clear" w:color="auto" w:fill="auto"/>
            <w:noWrap/>
            <w:vAlign w:val="bottom"/>
            <w:hideMark/>
          </w:tcPr>
          <w:p w14:paraId="50CFEC74" w14:textId="77777777" w:rsidR="007467BC" w:rsidRPr="00F90841" w:rsidRDefault="007467BC" w:rsidP="00C42523">
            <w:pPr>
              <w:spacing w:before="40" w:after="40" w:line="220" w:lineRule="exact"/>
              <w:ind w:right="113"/>
              <w:jc w:val="right"/>
              <w:rPr>
                <w:sz w:val="18"/>
              </w:rPr>
            </w:pPr>
            <w:r w:rsidRPr="00F90841">
              <w:rPr>
                <w:sz w:val="18"/>
              </w:rPr>
              <w:t>127</w:t>
            </w:r>
          </w:p>
        </w:tc>
      </w:tr>
      <w:tr w:rsidR="007467BC" w:rsidRPr="00F90841" w14:paraId="3667017A" w14:textId="77777777" w:rsidTr="00C42523">
        <w:tc>
          <w:tcPr>
            <w:tcW w:w="3747" w:type="dxa"/>
            <w:shd w:val="clear" w:color="auto" w:fill="auto"/>
            <w:noWrap/>
            <w:hideMark/>
          </w:tcPr>
          <w:p w14:paraId="7BA29BE3" w14:textId="77777777" w:rsidR="007467BC" w:rsidRPr="00F90841" w:rsidRDefault="007467BC" w:rsidP="00C42523">
            <w:pPr>
              <w:spacing w:before="40" w:after="40" w:line="220" w:lineRule="exact"/>
              <w:ind w:right="113"/>
              <w:rPr>
                <w:sz w:val="18"/>
              </w:rPr>
            </w:pPr>
            <w:r w:rsidRPr="00F90841">
              <w:rPr>
                <w:sz w:val="18"/>
              </w:rPr>
              <w:t>30/06/2017</w:t>
            </w:r>
          </w:p>
        </w:tc>
        <w:tc>
          <w:tcPr>
            <w:tcW w:w="3623" w:type="dxa"/>
            <w:shd w:val="clear" w:color="auto" w:fill="auto"/>
            <w:noWrap/>
            <w:vAlign w:val="bottom"/>
            <w:hideMark/>
          </w:tcPr>
          <w:p w14:paraId="28433C24" w14:textId="77777777" w:rsidR="007467BC" w:rsidRPr="00F90841" w:rsidRDefault="007467BC" w:rsidP="00C42523">
            <w:pPr>
              <w:spacing w:before="40" w:after="40" w:line="220" w:lineRule="exact"/>
              <w:ind w:right="113"/>
              <w:jc w:val="right"/>
              <w:rPr>
                <w:sz w:val="18"/>
              </w:rPr>
            </w:pPr>
            <w:r w:rsidRPr="00F90841">
              <w:rPr>
                <w:sz w:val="18"/>
              </w:rPr>
              <w:t>110</w:t>
            </w:r>
          </w:p>
        </w:tc>
      </w:tr>
      <w:tr w:rsidR="007467BC" w:rsidRPr="00F90841" w14:paraId="4AD990A4" w14:textId="77777777" w:rsidTr="00C42523">
        <w:tc>
          <w:tcPr>
            <w:tcW w:w="3747" w:type="dxa"/>
            <w:shd w:val="clear" w:color="auto" w:fill="auto"/>
            <w:noWrap/>
            <w:hideMark/>
          </w:tcPr>
          <w:p w14:paraId="28B07B57" w14:textId="77777777" w:rsidR="007467BC" w:rsidRPr="00F90841" w:rsidRDefault="007467BC" w:rsidP="00C42523">
            <w:pPr>
              <w:spacing w:before="40" w:after="40" w:line="220" w:lineRule="exact"/>
              <w:ind w:right="113"/>
              <w:rPr>
                <w:sz w:val="18"/>
              </w:rPr>
            </w:pPr>
            <w:r w:rsidRPr="00F90841">
              <w:rPr>
                <w:sz w:val="18"/>
              </w:rPr>
              <w:t>30/06/2018</w:t>
            </w:r>
          </w:p>
        </w:tc>
        <w:tc>
          <w:tcPr>
            <w:tcW w:w="3623" w:type="dxa"/>
            <w:shd w:val="clear" w:color="auto" w:fill="auto"/>
            <w:noWrap/>
            <w:vAlign w:val="bottom"/>
            <w:hideMark/>
          </w:tcPr>
          <w:p w14:paraId="1578802A" w14:textId="77777777" w:rsidR="007467BC" w:rsidRPr="00F90841" w:rsidRDefault="007467BC" w:rsidP="00C42523">
            <w:pPr>
              <w:spacing w:before="40" w:after="40" w:line="220" w:lineRule="exact"/>
              <w:ind w:right="113"/>
              <w:jc w:val="right"/>
              <w:rPr>
                <w:sz w:val="18"/>
              </w:rPr>
            </w:pPr>
            <w:r w:rsidRPr="00F90841">
              <w:rPr>
                <w:sz w:val="18"/>
              </w:rPr>
              <w:t>101</w:t>
            </w:r>
          </w:p>
        </w:tc>
      </w:tr>
    </w:tbl>
    <w:p w14:paraId="178EC510" w14:textId="77777777" w:rsidR="007467BC" w:rsidRPr="00F90841" w:rsidRDefault="007467BC" w:rsidP="005E73EF">
      <w:pPr>
        <w:pStyle w:val="SingleTxtG"/>
        <w:spacing w:before="120" w:after="0" w:line="240" w:lineRule="atLeast"/>
        <w:ind w:firstLine="170"/>
        <w:jc w:val="left"/>
        <w:rPr>
          <w:sz w:val="18"/>
          <w:szCs w:val="18"/>
        </w:rPr>
      </w:pPr>
      <w:r w:rsidRPr="00F90841">
        <w:rPr>
          <w:i/>
          <w:iCs/>
          <w:sz w:val="18"/>
        </w:rPr>
        <w:t>Note</w:t>
      </w:r>
      <w:r w:rsidRPr="00F90841">
        <w:rPr>
          <w:sz w:val="18"/>
        </w:rPr>
        <w:t xml:space="preserve">: the number of placements per year would be significantly higher (e.g. over 4,000 </w:t>
      </w:r>
      <w:r w:rsidRPr="00F90841">
        <w:rPr>
          <w:sz w:val="18"/>
          <w:szCs w:val="18"/>
        </w:rPr>
        <w:t>placements in 2015/16)</w:t>
      </w:r>
    </w:p>
    <w:p w14:paraId="5B2AB65A" w14:textId="77777777" w:rsidR="007467BC" w:rsidRPr="00F90841" w:rsidRDefault="007467BC" w:rsidP="000068AE">
      <w:pPr>
        <w:pStyle w:val="H23G"/>
      </w:pPr>
      <w:r w:rsidRPr="00F90841">
        <w:tab/>
      </w:r>
      <w:r w:rsidRPr="00F90841">
        <w:tab/>
        <w:t>Average time spent in Intervention and Support Units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53"/>
        <w:gridCol w:w="3717"/>
      </w:tblGrid>
      <w:tr w:rsidR="007467BC" w:rsidRPr="00F90841" w14:paraId="5908CFB1" w14:textId="77777777" w:rsidTr="005E73EF">
        <w:trPr>
          <w:tblHeader/>
        </w:trPr>
        <w:tc>
          <w:tcPr>
            <w:tcW w:w="3653" w:type="dxa"/>
            <w:tcBorders>
              <w:top w:val="single" w:sz="4" w:space="0" w:color="auto"/>
              <w:bottom w:val="single" w:sz="12" w:space="0" w:color="auto"/>
            </w:tcBorders>
            <w:shd w:val="clear" w:color="auto" w:fill="auto"/>
            <w:noWrap/>
            <w:vAlign w:val="bottom"/>
            <w:hideMark/>
          </w:tcPr>
          <w:p w14:paraId="10A275BD" w14:textId="77777777" w:rsidR="007467BC" w:rsidRPr="00F90841" w:rsidRDefault="007467BC" w:rsidP="005E73EF">
            <w:pPr>
              <w:spacing w:before="80" w:after="80" w:line="200" w:lineRule="exact"/>
              <w:ind w:right="113"/>
              <w:rPr>
                <w:i/>
                <w:sz w:val="16"/>
              </w:rPr>
            </w:pPr>
          </w:p>
        </w:tc>
        <w:tc>
          <w:tcPr>
            <w:tcW w:w="3717" w:type="dxa"/>
            <w:tcBorders>
              <w:top w:val="single" w:sz="4" w:space="0" w:color="auto"/>
              <w:bottom w:val="single" w:sz="12" w:space="0" w:color="auto"/>
            </w:tcBorders>
            <w:shd w:val="clear" w:color="auto" w:fill="auto"/>
            <w:noWrap/>
            <w:vAlign w:val="bottom"/>
            <w:hideMark/>
          </w:tcPr>
          <w:p w14:paraId="438B7B5F" w14:textId="77777777" w:rsidR="007467BC" w:rsidRPr="00F90841" w:rsidRDefault="007467BC" w:rsidP="005E73EF">
            <w:pPr>
              <w:spacing w:before="80" w:after="80" w:line="200" w:lineRule="exact"/>
              <w:ind w:right="113"/>
              <w:jc w:val="right"/>
              <w:rPr>
                <w:i/>
                <w:sz w:val="16"/>
              </w:rPr>
            </w:pPr>
            <w:r w:rsidRPr="00F90841">
              <w:rPr>
                <w:i/>
                <w:sz w:val="16"/>
              </w:rPr>
              <w:t>Average days</w:t>
            </w:r>
          </w:p>
        </w:tc>
      </w:tr>
      <w:tr w:rsidR="007467BC" w:rsidRPr="00F90841" w14:paraId="15D8A258" w14:textId="77777777" w:rsidTr="005E73EF">
        <w:tc>
          <w:tcPr>
            <w:tcW w:w="3653" w:type="dxa"/>
            <w:tcBorders>
              <w:top w:val="single" w:sz="12" w:space="0" w:color="auto"/>
            </w:tcBorders>
            <w:shd w:val="clear" w:color="auto" w:fill="auto"/>
            <w:noWrap/>
            <w:hideMark/>
          </w:tcPr>
          <w:p w14:paraId="42148D85" w14:textId="77777777" w:rsidR="007467BC" w:rsidRPr="00F90841" w:rsidRDefault="007467BC" w:rsidP="005E73EF">
            <w:pPr>
              <w:spacing w:before="40" w:after="40" w:line="220" w:lineRule="exact"/>
              <w:ind w:right="113"/>
              <w:rPr>
                <w:sz w:val="18"/>
              </w:rPr>
            </w:pPr>
            <w:r w:rsidRPr="00F90841">
              <w:rPr>
                <w:sz w:val="18"/>
              </w:rPr>
              <w:t>2014/15</w:t>
            </w:r>
          </w:p>
        </w:tc>
        <w:tc>
          <w:tcPr>
            <w:tcW w:w="3717" w:type="dxa"/>
            <w:tcBorders>
              <w:top w:val="single" w:sz="12" w:space="0" w:color="auto"/>
            </w:tcBorders>
            <w:shd w:val="clear" w:color="auto" w:fill="auto"/>
            <w:noWrap/>
            <w:vAlign w:val="bottom"/>
            <w:hideMark/>
          </w:tcPr>
          <w:p w14:paraId="29860773" w14:textId="77777777" w:rsidR="007467BC" w:rsidRPr="00F90841" w:rsidRDefault="007467BC" w:rsidP="005E73EF">
            <w:pPr>
              <w:spacing w:before="40" w:after="40" w:line="220" w:lineRule="exact"/>
              <w:ind w:right="113"/>
              <w:jc w:val="right"/>
              <w:rPr>
                <w:sz w:val="18"/>
              </w:rPr>
            </w:pPr>
            <w:r w:rsidRPr="00F90841">
              <w:rPr>
                <w:sz w:val="18"/>
              </w:rPr>
              <w:t>7</w:t>
            </w:r>
          </w:p>
        </w:tc>
      </w:tr>
      <w:tr w:rsidR="007467BC" w:rsidRPr="00F90841" w14:paraId="16F9035A" w14:textId="77777777" w:rsidTr="005E73EF">
        <w:tc>
          <w:tcPr>
            <w:tcW w:w="3653" w:type="dxa"/>
            <w:shd w:val="clear" w:color="auto" w:fill="auto"/>
            <w:noWrap/>
            <w:hideMark/>
          </w:tcPr>
          <w:p w14:paraId="32D8BC19" w14:textId="77777777" w:rsidR="007467BC" w:rsidRPr="00F90841" w:rsidRDefault="007467BC" w:rsidP="005E73EF">
            <w:pPr>
              <w:spacing w:before="40" w:after="40" w:line="220" w:lineRule="exact"/>
              <w:ind w:right="113"/>
              <w:rPr>
                <w:sz w:val="18"/>
              </w:rPr>
            </w:pPr>
            <w:r w:rsidRPr="00F90841">
              <w:rPr>
                <w:sz w:val="18"/>
              </w:rPr>
              <w:t>2015/16</w:t>
            </w:r>
          </w:p>
        </w:tc>
        <w:tc>
          <w:tcPr>
            <w:tcW w:w="3717" w:type="dxa"/>
            <w:shd w:val="clear" w:color="auto" w:fill="auto"/>
            <w:noWrap/>
            <w:vAlign w:val="bottom"/>
            <w:hideMark/>
          </w:tcPr>
          <w:p w14:paraId="3FB4D26A" w14:textId="77777777" w:rsidR="007467BC" w:rsidRPr="00F90841" w:rsidRDefault="007467BC" w:rsidP="005E73EF">
            <w:pPr>
              <w:spacing w:before="40" w:after="40" w:line="220" w:lineRule="exact"/>
              <w:ind w:right="113"/>
              <w:jc w:val="right"/>
              <w:rPr>
                <w:sz w:val="18"/>
              </w:rPr>
            </w:pPr>
            <w:r w:rsidRPr="00F90841">
              <w:rPr>
                <w:sz w:val="18"/>
              </w:rPr>
              <w:t>6</w:t>
            </w:r>
          </w:p>
        </w:tc>
      </w:tr>
      <w:tr w:rsidR="007467BC" w:rsidRPr="00F90841" w14:paraId="396E5B3A" w14:textId="77777777" w:rsidTr="005E73EF">
        <w:tc>
          <w:tcPr>
            <w:tcW w:w="3653" w:type="dxa"/>
            <w:shd w:val="clear" w:color="auto" w:fill="auto"/>
            <w:noWrap/>
            <w:hideMark/>
          </w:tcPr>
          <w:p w14:paraId="6A025B2D" w14:textId="77777777" w:rsidR="007467BC" w:rsidRPr="00F90841" w:rsidRDefault="007467BC" w:rsidP="005E73EF">
            <w:pPr>
              <w:spacing w:before="40" w:after="40" w:line="220" w:lineRule="exact"/>
              <w:ind w:right="113"/>
              <w:rPr>
                <w:sz w:val="18"/>
              </w:rPr>
            </w:pPr>
            <w:r w:rsidRPr="00F90841">
              <w:rPr>
                <w:sz w:val="18"/>
              </w:rPr>
              <w:t>2016/17</w:t>
            </w:r>
          </w:p>
        </w:tc>
        <w:tc>
          <w:tcPr>
            <w:tcW w:w="3717" w:type="dxa"/>
            <w:shd w:val="clear" w:color="auto" w:fill="auto"/>
            <w:noWrap/>
            <w:vAlign w:val="bottom"/>
            <w:hideMark/>
          </w:tcPr>
          <w:p w14:paraId="7770B220" w14:textId="77777777" w:rsidR="007467BC" w:rsidRPr="00F90841" w:rsidRDefault="007467BC" w:rsidP="005E73EF">
            <w:pPr>
              <w:spacing w:before="40" w:after="40" w:line="220" w:lineRule="exact"/>
              <w:ind w:right="113"/>
              <w:jc w:val="right"/>
              <w:rPr>
                <w:sz w:val="18"/>
              </w:rPr>
            </w:pPr>
            <w:r w:rsidRPr="00F90841">
              <w:rPr>
                <w:sz w:val="18"/>
              </w:rPr>
              <w:t>6</w:t>
            </w:r>
          </w:p>
        </w:tc>
      </w:tr>
      <w:tr w:rsidR="007467BC" w:rsidRPr="00F90841" w14:paraId="3C4BF0C2" w14:textId="77777777" w:rsidTr="005E73EF">
        <w:tc>
          <w:tcPr>
            <w:tcW w:w="3653" w:type="dxa"/>
            <w:shd w:val="clear" w:color="auto" w:fill="auto"/>
            <w:noWrap/>
            <w:hideMark/>
          </w:tcPr>
          <w:p w14:paraId="59AEA599" w14:textId="77777777" w:rsidR="007467BC" w:rsidRPr="00F90841" w:rsidRDefault="007467BC" w:rsidP="005E73EF">
            <w:pPr>
              <w:spacing w:before="40" w:after="40" w:line="220" w:lineRule="exact"/>
              <w:ind w:right="113"/>
              <w:rPr>
                <w:sz w:val="18"/>
              </w:rPr>
            </w:pPr>
            <w:r w:rsidRPr="00F90841">
              <w:rPr>
                <w:sz w:val="18"/>
              </w:rPr>
              <w:t>2017/18</w:t>
            </w:r>
          </w:p>
        </w:tc>
        <w:tc>
          <w:tcPr>
            <w:tcW w:w="3717" w:type="dxa"/>
            <w:shd w:val="clear" w:color="auto" w:fill="auto"/>
            <w:noWrap/>
            <w:vAlign w:val="bottom"/>
            <w:hideMark/>
          </w:tcPr>
          <w:p w14:paraId="1C13BD25" w14:textId="77777777" w:rsidR="007467BC" w:rsidRPr="00F90841" w:rsidRDefault="007467BC" w:rsidP="005E73EF">
            <w:pPr>
              <w:spacing w:before="40" w:after="40" w:line="220" w:lineRule="exact"/>
              <w:ind w:right="113"/>
              <w:jc w:val="right"/>
              <w:rPr>
                <w:sz w:val="18"/>
              </w:rPr>
            </w:pPr>
            <w:r w:rsidRPr="00F90841">
              <w:rPr>
                <w:sz w:val="18"/>
              </w:rPr>
              <w:t>7</w:t>
            </w:r>
          </w:p>
        </w:tc>
      </w:tr>
    </w:tbl>
    <w:p w14:paraId="486024C8" w14:textId="77777777" w:rsidR="007467BC" w:rsidRPr="00F90841" w:rsidRDefault="007467BC" w:rsidP="005E73EF">
      <w:pPr>
        <w:pStyle w:val="H4G"/>
      </w:pPr>
      <w:r w:rsidRPr="00F90841">
        <w:lastRenderedPageBreak/>
        <w:tab/>
      </w:r>
      <w:r w:rsidRPr="00F90841">
        <w:tab/>
        <w:t>Use of restraints in prisons</w:t>
      </w:r>
    </w:p>
    <w:p w14:paraId="2B6FF27C" w14:textId="77777777" w:rsidR="007467BC" w:rsidRPr="00F90841" w:rsidRDefault="007467BC" w:rsidP="007467BC">
      <w:pPr>
        <w:pStyle w:val="SingleTxtG"/>
      </w:pPr>
      <w:r w:rsidRPr="00F90841">
        <w:t>167.</w:t>
      </w:r>
      <w:r w:rsidRPr="00F90841">
        <w:tab/>
        <w:t>Following 2016 inspections at five prisons, the Ombudsman considered the use of tie-down beds and waist restraints for a small number of prisoners amounted to cruel, inhuman or degrading treatment (Article 16). Measures taken to address concerns include:</w:t>
      </w:r>
    </w:p>
    <w:p w14:paraId="00B6531F" w14:textId="77777777" w:rsidR="007467BC" w:rsidRPr="00F90841" w:rsidRDefault="007467BC" w:rsidP="0096637C">
      <w:pPr>
        <w:pStyle w:val="Bullet1G"/>
      </w:pPr>
      <w:r w:rsidRPr="00F90841">
        <w:t>Amending Corrections</w:t>
      </w:r>
      <w:r w:rsidR="00562737" w:rsidRPr="00F90841">
        <w:t>’</w:t>
      </w:r>
      <w:r w:rsidRPr="00F90841">
        <w:t xml:space="preserve"> policy in 2017 to limit the use of tie-down beds to four prisons, and only where other means of preventing injury and ensuring safety are ineffective</w:t>
      </w:r>
    </w:p>
    <w:p w14:paraId="6D9F7818" w14:textId="77777777" w:rsidR="007467BC" w:rsidRPr="00F90841" w:rsidRDefault="007467BC" w:rsidP="0096637C">
      <w:pPr>
        <w:pStyle w:val="Bullet1G"/>
      </w:pPr>
      <w:r w:rsidRPr="00F90841">
        <w:t>Tie-down beds have not been used since November 2016, and Corrections has decided to remove them from prisons altogether</w:t>
      </w:r>
    </w:p>
    <w:p w14:paraId="19CF1487" w14:textId="77777777" w:rsidR="007467BC" w:rsidRPr="00F90841" w:rsidRDefault="007467BC" w:rsidP="0096637C">
      <w:pPr>
        <w:pStyle w:val="Bullet1G"/>
      </w:pPr>
      <w:r w:rsidRPr="00F90841">
        <w:t xml:space="preserve">At-Risk-Units were redeveloped into specialist Intervention and Support Units. </w:t>
      </w:r>
    </w:p>
    <w:p w14:paraId="38533BF6" w14:textId="77777777" w:rsidR="007467BC" w:rsidRPr="00F90841" w:rsidRDefault="007467BC" w:rsidP="007467BC">
      <w:pPr>
        <w:pStyle w:val="SingleTxtG"/>
      </w:pPr>
      <w:r w:rsidRPr="00F90841">
        <w:t>168.</w:t>
      </w:r>
      <w:r w:rsidRPr="00F90841">
        <w:tab/>
        <w:t xml:space="preserve">Currently, restraint use over 24 hours is not expressly permitted by legislation. Proposed amendments to the Corrections Act would allow the use of restraint for more than 24 hours when prisoners are treated in hospital if it is necessary to maintain public safety or prevent escape. Corrections Regulations aim to provide protections, for example, escorting officers must </w:t>
      </w:r>
      <w:proofErr w:type="gramStart"/>
      <w:r w:rsidRPr="00F90841">
        <w:t>take into account</w:t>
      </w:r>
      <w:proofErr w:type="gramEnd"/>
      <w:r w:rsidRPr="00F90841">
        <w:t xml:space="preserve"> the advice of the medical practitioner and implement any reasonably necessary measures to ensure the restraint does not adversely affect the health and comfort of the prisoner. </w:t>
      </w:r>
    </w:p>
    <w:p w14:paraId="6C3019B1" w14:textId="77777777" w:rsidR="007467BC" w:rsidRPr="00F90841" w:rsidRDefault="007467BC" w:rsidP="00B85775">
      <w:pPr>
        <w:pStyle w:val="H23G"/>
      </w:pPr>
      <w:r w:rsidRPr="00F90841">
        <w:tab/>
      </w:r>
      <w:r w:rsidRPr="00F90841">
        <w:tab/>
        <w:t>Restraints in Police facilities</w:t>
      </w:r>
    </w:p>
    <w:p w14:paraId="0C568687" w14:textId="77777777" w:rsidR="007467BC" w:rsidRPr="00F90841" w:rsidRDefault="007467BC" w:rsidP="007467BC">
      <w:pPr>
        <w:pStyle w:val="SingleTxtG"/>
      </w:pPr>
      <w:r w:rsidRPr="00F90841">
        <w:t>169.</w:t>
      </w:r>
      <w:r w:rsidRPr="00F90841">
        <w:tab/>
        <w:t>Police continue to use restraint chairs where necessary. All details are recorded in use-of-force reports and in individuals</w:t>
      </w:r>
      <w:r w:rsidR="00562737" w:rsidRPr="00F90841">
        <w:t>’</w:t>
      </w:r>
      <w:r w:rsidRPr="00F90841">
        <w:t xml:space="preserve"> records.</w:t>
      </w:r>
    </w:p>
    <w:p w14:paraId="6E7399D2" w14:textId="77777777" w:rsidR="007467BC" w:rsidRPr="00F90841" w:rsidRDefault="007467BC" w:rsidP="00B85775">
      <w:pPr>
        <w:pStyle w:val="H1G"/>
      </w:pPr>
      <w:r w:rsidRPr="00F90841">
        <w:tab/>
      </w:r>
      <w:r w:rsidRPr="00F90841">
        <w:tab/>
        <w:t>Reply to paragraph 20 of the list of issues</w:t>
      </w:r>
    </w:p>
    <w:bookmarkEnd w:id="52"/>
    <w:p w14:paraId="63E0F0A4" w14:textId="77777777" w:rsidR="007467BC" w:rsidRPr="00F90841" w:rsidRDefault="007467BC" w:rsidP="00B85775">
      <w:pPr>
        <w:pStyle w:val="H23G"/>
      </w:pPr>
      <w:r w:rsidRPr="00F90841">
        <w:tab/>
      </w:r>
      <w:r w:rsidRPr="00F90841">
        <w:tab/>
        <w:t xml:space="preserve">Minors in detention </w:t>
      </w:r>
    </w:p>
    <w:p w14:paraId="477CBE63" w14:textId="77777777" w:rsidR="007467BC" w:rsidRPr="00F90841" w:rsidRDefault="007467BC" w:rsidP="00DE706A">
      <w:pPr>
        <w:pStyle w:val="SingleTxtG"/>
      </w:pPr>
      <w:bookmarkStart w:id="57" w:name="_Hlk529281649"/>
      <w:r w:rsidRPr="00F90841">
        <w:t>170.</w:t>
      </w:r>
      <w:r w:rsidRPr="00F90841">
        <w:tab/>
        <w:t>Youth Courts deal with young persons</w:t>
      </w:r>
      <w:r w:rsidR="00562737" w:rsidRPr="00F90841">
        <w:t>’</w:t>
      </w:r>
      <w:r w:rsidRPr="00F90841">
        <w:t xml:space="preserve"> offending, other than certain serious offences, including murder and manslaughter. Judges receive special training to deal with young people. Most young people in the Youth Court are between 14</w:t>
      </w:r>
      <w:r w:rsidR="00DE706A" w:rsidRPr="00F90841">
        <w:t>–</w:t>
      </w:r>
      <w:r w:rsidRPr="00F90841">
        <w:t xml:space="preserve">17 years old, however 12 and 13-year-olds will be included if charged with serious offences. </w:t>
      </w:r>
    </w:p>
    <w:p w14:paraId="17A0AAA4" w14:textId="77777777" w:rsidR="007467BC" w:rsidRPr="00F90841" w:rsidRDefault="007467BC" w:rsidP="007467BC">
      <w:pPr>
        <w:pStyle w:val="SingleTxtG"/>
      </w:pPr>
      <w:r w:rsidRPr="00F90841">
        <w:t>171.</w:t>
      </w:r>
      <w:r w:rsidRPr="00F90841">
        <w:tab/>
        <w:t>The youth justice age was raised to include 17-year-olds from July 2019, which better aligns with international definitions. Most 17-year olds will be considered in the youth justice system and will be transferred to adult courts for specified offences. The youth justice system aims to hold offenders accountable and encourages them to accept responsibility while keeping them out of the adult system. The system aims to address their needs and gives them the opportunity to develop.</w:t>
      </w:r>
    </w:p>
    <w:p w14:paraId="09BF24C8" w14:textId="77777777" w:rsidR="007467BC" w:rsidRPr="00F90841" w:rsidRDefault="007467BC" w:rsidP="00B85775">
      <w:pPr>
        <w:pStyle w:val="SingleTxtG"/>
      </w:pPr>
      <w:r w:rsidRPr="00F90841">
        <w:t>172.</w:t>
      </w:r>
      <w:r w:rsidRPr="00F90841">
        <w:tab/>
        <w:t xml:space="preserve">The 10-year cross-agency Youth Crime Action Plan was launched in 2013, aiming to reduce offending and re-offending. In addition, an expert panel review led to establishing </w:t>
      </w:r>
      <w:proofErr w:type="spellStart"/>
      <w:r w:rsidRPr="00F90841">
        <w:t>Oranga</w:t>
      </w:r>
      <w:proofErr w:type="spellEnd"/>
      <w:r w:rsidRPr="00F90841">
        <w:t xml:space="preserve"> Tamariki-Ministry for Children, in 2017.</w:t>
      </w:r>
      <w:r w:rsidR="0009789F" w:rsidRPr="00F90841">
        <w:t xml:space="preserve"> </w:t>
      </w:r>
      <w:proofErr w:type="spellStart"/>
      <w:r w:rsidRPr="00F90841">
        <w:t>Oranga</w:t>
      </w:r>
      <w:proofErr w:type="spellEnd"/>
      <w:r w:rsidRPr="00F90841">
        <w:t xml:space="preserve"> Tamariki is implementing new services and support to help keep young people out of the adult system and respond more effectively to those in the youth justice system (for details see para</w:t>
      </w:r>
      <w:r w:rsidR="009A2177">
        <w:t>.</w:t>
      </w:r>
      <w:r w:rsidRPr="00F90841">
        <w:t xml:space="preserve"> 191).</w:t>
      </w:r>
    </w:p>
    <w:p w14:paraId="04F2BFE9" w14:textId="77777777" w:rsidR="007467BC" w:rsidRPr="00F90841" w:rsidRDefault="007467BC" w:rsidP="007467BC">
      <w:pPr>
        <w:pStyle w:val="SingleTxtG"/>
      </w:pPr>
      <w:r w:rsidRPr="00F90841">
        <w:t>173.</w:t>
      </w:r>
      <w:r w:rsidRPr="00F90841">
        <w:tab/>
        <w:t>Data collection has improved. A new dataset incorporating data from relevant agencies was used to produce the Youth Justice Indicators Summary Report 2018. It provides a better picture of how young people flow through the system. According to the report, the youth justice system is performing well against some key measures. Between 2009/10 and 2016/17:</w:t>
      </w:r>
    </w:p>
    <w:p w14:paraId="6FB90A69" w14:textId="77777777" w:rsidR="007467BC" w:rsidRPr="00F90841" w:rsidRDefault="007467BC" w:rsidP="00DE706A">
      <w:pPr>
        <w:pStyle w:val="Bullet1G"/>
      </w:pPr>
      <w:r w:rsidRPr="00F90841">
        <w:t>Offending rates declined by 59% for 10</w:t>
      </w:r>
      <w:r w:rsidR="00DE706A" w:rsidRPr="00F90841">
        <w:t>–</w:t>
      </w:r>
      <w:r w:rsidRPr="00F90841">
        <w:t>13-year-olds and by 63% for 14</w:t>
      </w:r>
      <w:r w:rsidR="00DE706A" w:rsidRPr="00F90841">
        <w:t>–</w:t>
      </w:r>
      <w:r w:rsidRPr="00F90841">
        <w:t>16-year-olds</w:t>
      </w:r>
    </w:p>
    <w:p w14:paraId="28D143E6" w14:textId="77777777" w:rsidR="007467BC" w:rsidRPr="00F90841" w:rsidRDefault="007467BC" w:rsidP="00DE706A">
      <w:pPr>
        <w:pStyle w:val="Bullet1G"/>
      </w:pPr>
      <w:r w:rsidRPr="00F90841">
        <w:t xml:space="preserve">For </w:t>
      </w:r>
      <w:proofErr w:type="spellStart"/>
      <w:r w:rsidRPr="00F90841">
        <w:t>māori</w:t>
      </w:r>
      <w:proofErr w:type="spellEnd"/>
      <w:r w:rsidRPr="00F90841">
        <w:t xml:space="preserve"> young people, offending rates declined by 60% for 10</w:t>
      </w:r>
      <w:r w:rsidR="00DE706A" w:rsidRPr="00F90841">
        <w:t>–13-year-olds and by 59% for 14–</w:t>
      </w:r>
      <w:r w:rsidRPr="00F90841">
        <w:t>16-year-olds</w:t>
      </w:r>
    </w:p>
    <w:p w14:paraId="7F269BCD" w14:textId="77777777" w:rsidR="007467BC" w:rsidRPr="00F90841" w:rsidRDefault="007467BC" w:rsidP="00B85775">
      <w:pPr>
        <w:pStyle w:val="Bullet1G"/>
      </w:pPr>
      <w:r w:rsidRPr="00F90841">
        <w:t>Youth court appearance rates decreased by 38%.</w:t>
      </w:r>
    </w:p>
    <w:p w14:paraId="07341218" w14:textId="77777777" w:rsidR="007467BC" w:rsidRPr="00F90841" w:rsidRDefault="007467BC" w:rsidP="007467BC">
      <w:pPr>
        <w:pStyle w:val="SingleTxtG"/>
      </w:pPr>
      <w:r w:rsidRPr="00F90841">
        <w:t>174.</w:t>
      </w:r>
      <w:r w:rsidRPr="00F90841">
        <w:tab/>
        <w:t>Since 2013/14, there was a significant reduction in total sentences:</w:t>
      </w:r>
    </w:p>
    <w:p w14:paraId="73A6D7B1" w14:textId="77777777" w:rsidR="007467BC" w:rsidRPr="00F90841" w:rsidRDefault="00B85775" w:rsidP="00951AFF">
      <w:pPr>
        <w:pStyle w:val="H23G"/>
      </w:pPr>
      <w:r w:rsidRPr="00F90841">
        <w:lastRenderedPageBreak/>
        <w:tab/>
      </w:r>
      <w:r w:rsidRPr="00F90841">
        <w:tab/>
      </w:r>
      <w:r w:rsidR="007467BC" w:rsidRPr="00F90841">
        <w:t>Children under 17 years given an order in Court</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851"/>
        <w:gridCol w:w="850"/>
        <w:gridCol w:w="992"/>
        <w:gridCol w:w="993"/>
        <w:gridCol w:w="964"/>
        <w:gridCol w:w="1044"/>
        <w:gridCol w:w="1194"/>
        <w:gridCol w:w="908"/>
      </w:tblGrid>
      <w:tr w:rsidR="00F76CFD" w:rsidRPr="00F90841" w14:paraId="55CF5B10" w14:textId="77777777" w:rsidTr="00EA0BC0">
        <w:trPr>
          <w:tblHeader/>
        </w:trPr>
        <w:tc>
          <w:tcPr>
            <w:tcW w:w="709" w:type="dxa"/>
            <w:tcBorders>
              <w:top w:val="single" w:sz="4" w:space="0" w:color="auto"/>
              <w:bottom w:val="single" w:sz="12" w:space="0" w:color="auto"/>
            </w:tcBorders>
            <w:shd w:val="clear" w:color="auto" w:fill="auto"/>
            <w:noWrap/>
            <w:vAlign w:val="bottom"/>
          </w:tcPr>
          <w:p w14:paraId="62AD8B3F" w14:textId="77777777" w:rsidR="007467BC" w:rsidRPr="00F90841" w:rsidRDefault="007467BC" w:rsidP="00F76CFD">
            <w:pPr>
              <w:spacing w:before="80" w:after="80" w:line="200" w:lineRule="exact"/>
              <w:ind w:right="113"/>
              <w:rPr>
                <w:i/>
                <w:sz w:val="16"/>
              </w:rPr>
            </w:pPr>
          </w:p>
        </w:tc>
        <w:tc>
          <w:tcPr>
            <w:tcW w:w="851" w:type="dxa"/>
            <w:tcBorders>
              <w:top w:val="single" w:sz="4" w:space="0" w:color="auto"/>
              <w:bottom w:val="single" w:sz="12" w:space="0" w:color="auto"/>
            </w:tcBorders>
            <w:shd w:val="clear" w:color="auto" w:fill="auto"/>
            <w:noWrap/>
            <w:vAlign w:val="bottom"/>
          </w:tcPr>
          <w:p w14:paraId="36C3EA18" w14:textId="77777777" w:rsidR="007467BC" w:rsidRPr="00F90841" w:rsidRDefault="007467BC" w:rsidP="00F76CFD">
            <w:pPr>
              <w:spacing w:before="80" w:after="80" w:line="200" w:lineRule="exact"/>
              <w:ind w:right="113"/>
              <w:jc w:val="right"/>
              <w:rPr>
                <w:i/>
                <w:sz w:val="16"/>
              </w:rPr>
            </w:pPr>
            <w:r w:rsidRPr="00F90841">
              <w:rPr>
                <w:i/>
                <w:sz w:val="16"/>
              </w:rPr>
              <w:t>Total sentences</w:t>
            </w:r>
          </w:p>
        </w:tc>
        <w:tc>
          <w:tcPr>
            <w:tcW w:w="850" w:type="dxa"/>
            <w:tcBorders>
              <w:top w:val="single" w:sz="4" w:space="0" w:color="auto"/>
              <w:bottom w:val="single" w:sz="12" w:space="0" w:color="auto"/>
            </w:tcBorders>
            <w:shd w:val="clear" w:color="auto" w:fill="auto"/>
            <w:noWrap/>
            <w:vAlign w:val="bottom"/>
          </w:tcPr>
          <w:p w14:paraId="14F87E60" w14:textId="77777777" w:rsidR="007467BC" w:rsidRPr="00F90841" w:rsidRDefault="007467BC" w:rsidP="00F76CFD">
            <w:pPr>
              <w:spacing w:before="80" w:after="80" w:line="200" w:lineRule="exact"/>
              <w:ind w:right="113"/>
              <w:jc w:val="right"/>
              <w:rPr>
                <w:i/>
                <w:sz w:val="16"/>
              </w:rPr>
            </w:pPr>
            <w:r w:rsidRPr="00F90841">
              <w:rPr>
                <w:i/>
                <w:sz w:val="16"/>
              </w:rPr>
              <w:t>Adult sentences</w:t>
            </w:r>
          </w:p>
        </w:tc>
        <w:tc>
          <w:tcPr>
            <w:tcW w:w="992" w:type="dxa"/>
            <w:tcBorders>
              <w:top w:val="single" w:sz="4" w:space="0" w:color="auto"/>
              <w:bottom w:val="single" w:sz="12" w:space="0" w:color="auto"/>
            </w:tcBorders>
            <w:shd w:val="clear" w:color="auto" w:fill="auto"/>
            <w:noWrap/>
            <w:vAlign w:val="bottom"/>
          </w:tcPr>
          <w:p w14:paraId="1C14F2AF" w14:textId="77777777" w:rsidR="007467BC" w:rsidRPr="00F90841" w:rsidRDefault="007467BC" w:rsidP="00F76CFD">
            <w:pPr>
              <w:spacing w:before="80" w:after="80" w:line="200" w:lineRule="exact"/>
              <w:ind w:right="113"/>
              <w:jc w:val="right"/>
              <w:rPr>
                <w:i/>
                <w:sz w:val="16"/>
              </w:rPr>
            </w:pPr>
            <w:r w:rsidRPr="00F90841">
              <w:rPr>
                <w:i/>
                <w:sz w:val="16"/>
              </w:rPr>
              <w:t>Supervision with residence</w:t>
            </w:r>
          </w:p>
        </w:tc>
        <w:tc>
          <w:tcPr>
            <w:tcW w:w="993" w:type="dxa"/>
            <w:tcBorders>
              <w:top w:val="single" w:sz="4" w:space="0" w:color="auto"/>
              <w:bottom w:val="single" w:sz="12" w:space="0" w:color="auto"/>
            </w:tcBorders>
            <w:shd w:val="clear" w:color="auto" w:fill="auto"/>
            <w:noWrap/>
            <w:vAlign w:val="bottom"/>
          </w:tcPr>
          <w:p w14:paraId="6AAED3D3" w14:textId="77777777" w:rsidR="007467BC" w:rsidRPr="00F90841" w:rsidRDefault="007467BC" w:rsidP="00F76CFD">
            <w:pPr>
              <w:spacing w:before="80" w:after="80" w:line="200" w:lineRule="exact"/>
              <w:ind w:right="113"/>
              <w:jc w:val="right"/>
              <w:rPr>
                <w:i/>
                <w:sz w:val="16"/>
              </w:rPr>
            </w:pPr>
            <w:r w:rsidRPr="00F90841">
              <w:rPr>
                <w:i/>
                <w:sz w:val="16"/>
              </w:rPr>
              <w:t>Supervision with activity, intensive supervision</w:t>
            </w:r>
          </w:p>
        </w:tc>
        <w:tc>
          <w:tcPr>
            <w:tcW w:w="964" w:type="dxa"/>
            <w:tcBorders>
              <w:top w:val="single" w:sz="4" w:space="0" w:color="auto"/>
              <w:bottom w:val="single" w:sz="12" w:space="0" w:color="auto"/>
            </w:tcBorders>
            <w:shd w:val="clear" w:color="auto" w:fill="auto"/>
            <w:noWrap/>
            <w:vAlign w:val="bottom"/>
          </w:tcPr>
          <w:p w14:paraId="500144F4" w14:textId="77777777" w:rsidR="007467BC" w:rsidRPr="00F90841" w:rsidRDefault="007467BC" w:rsidP="00F76CFD">
            <w:pPr>
              <w:spacing w:before="80" w:after="80" w:line="200" w:lineRule="exact"/>
              <w:ind w:right="113"/>
              <w:jc w:val="right"/>
              <w:rPr>
                <w:i/>
                <w:sz w:val="16"/>
              </w:rPr>
            </w:pPr>
            <w:r w:rsidRPr="00F90841">
              <w:rPr>
                <w:i/>
                <w:sz w:val="16"/>
              </w:rPr>
              <w:t>Supervision</w:t>
            </w:r>
            <w:r w:rsidR="00F76CFD" w:rsidRPr="00F90841">
              <w:rPr>
                <w:i/>
                <w:sz w:val="16"/>
              </w:rPr>
              <w:t>,</w:t>
            </w:r>
            <w:r w:rsidRPr="00F90841">
              <w:rPr>
                <w:i/>
                <w:sz w:val="16"/>
              </w:rPr>
              <w:t xml:space="preserve"> community work</w:t>
            </w:r>
          </w:p>
        </w:tc>
        <w:tc>
          <w:tcPr>
            <w:tcW w:w="1044" w:type="dxa"/>
            <w:tcBorders>
              <w:top w:val="single" w:sz="4" w:space="0" w:color="auto"/>
              <w:bottom w:val="single" w:sz="12" w:space="0" w:color="auto"/>
            </w:tcBorders>
            <w:shd w:val="clear" w:color="auto" w:fill="auto"/>
            <w:noWrap/>
            <w:vAlign w:val="bottom"/>
          </w:tcPr>
          <w:p w14:paraId="5BBF35C8" w14:textId="77777777" w:rsidR="007467BC" w:rsidRPr="00F90841" w:rsidRDefault="007467BC" w:rsidP="00F76CFD">
            <w:pPr>
              <w:spacing w:before="80" w:after="80" w:line="200" w:lineRule="exact"/>
              <w:ind w:right="113"/>
              <w:jc w:val="right"/>
              <w:rPr>
                <w:i/>
                <w:sz w:val="16"/>
              </w:rPr>
            </w:pPr>
            <w:r w:rsidRPr="00F90841">
              <w:rPr>
                <w:i/>
                <w:sz w:val="16"/>
              </w:rPr>
              <w:t>Education, rehabilitation programmes</w:t>
            </w:r>
          </w:p>
        </w:tc>
        <w:tc>
          <w:tcPr>
            <w:tcW w:w="1194" w:type="dxa"/>
            <w:tcBorders>
              <w:top w:val="single" w:sz="4" w:space="0" w:color="auto"/>
              <w:bottom w:val="single" w:sz="12" w:space="0" w:color="auto"/>
            </w:tcBorders>
            <w:shd w:val="clear" w:color="auto" w:fill="auto"/>
            <w:noWrap/>
            <w:vAlign w:val="bottom"/>
          </w:tcPr>
          <w:p w14:paraId="517F1E22" w14:textId="77777777" w:rsidR="007467BC" w:rsidRPr="00F90841" w:rsidRDefault="007467BC" w:rsidP="00F76CFD">
            <w:pPr>
              <w:spacing w:before="80" w:after="80" w:line="200" w:lineRule="exact"/>
              <w:ind w:right="113"/>
              <w:jc w:val="right"/>
              <w:rPr>
                <w:i/>
                <w:sz w:val="16"/>
              </w:rPr>
            </w:pPr>
            <w:r w:rsidRPr="00F90841">
              <w:rPr>
                <w:i/>
                <w:sz w:val="16"/>
              </w:rPr>
              <w:t>Monetary, confiscation, disqualification</w:t>
            </w:r>
          </w:p>
        </w:tc>
        <w:tc>
          <w:tcPr>
            <w:tcW w:w="908" w:type="dxa"/>
            <w:tcBorders>
              <w:top w:val="single" w:sz="4" w:space="0" w:color="auto"/>
              <w:bottom w:val="single" w:sz="12" w:space="0" w:color="auto"/>
            </w:tcBorders>
            <w:shd w:val="clear" w:color="auto" w:fill="auto"/>
            <w:noWrap/>
            <w:vAlign w:val="bottom"/>
          </w:tcPr>
          <w:p w14:paraId="14B3EE72" w14:textId="77777777" w:rsidR="007467BC" w:rsidRPr="00F90841" w:rsidRDefault="007467BC" w:rsidP="00F76CFD">
            <w:pPr>
              <w:spacing w:before="80" w:after="80" w:line="200" w:lineRule="exact"/>
              <w:ind w:right="113"/>
              <w:jc w:val="right"/>
              <w:rPr>
                <w:i/>
                <w:sz w:val="16"/>
              </w:rPr>
            </w:pPr>
            <w:r w:rsidRPr="00F90841">
              <w:rPr>
                <w:i/>
                <w:sz w:val="16"/>
              </w:rPr>
              <w:t>Discharge, admonish</w:t>
            </w:r>
          </w:p>
        </w:tc>
      </w:tr>
      <w:tr w:rsidR="00976628" w:rsidRPr="00F90841" w14:paraId="3EAF3B9A" w14:textId="77777777" w:rsidTr="00EA0BC0">
        <w:tc>
          <w:tcPr>
            <w:tcW w:w="709" w:type="dxa"/>
            <w:tcBorders>
              <w:top w:val="single" w:sz="12" w:space="0" w:color="auto"/>
            </w:tcBorders>
            <w:shd w:val="clear" w:color="auto" w:fill="auto"/>
            <w:noWrap/>
            <w:hideMark/>
          </w:tcPr>
          <w:p w14:paraId="0EE551E0" w14:textId="77777777" w:rsidR="007467BC" w:rsidRPr="00F90841" w:rsidRDefault="007467BC" w:rsidP="00F76CFD">
            <w:pPr>
              <w:spacing w:before="40" w:after="40" w:line="220" w:lineRule="exact"/>
              <w:ind w:right="113"/>
              <w:rPr>
                <w:sz w:val="18"/>
              </w:rPr>
            </w:pPr>
            <w:r w:rsidRPr="00F90841">
              <w:rPr>
                <w:sz w:val="18"/>
              </w:rPr>
              <w:t>2013/14</w:t>
            </w:r>
          </w:p>
        </w:tc>
        <w:tc>
          <w:tcPr>
            <w:tcW w:w="851" w:type="dxa"/>
            <w:tcBorders>
              <w:top w:val="single" w:sz="12" w:space="0" w:color="auto"/>
            </w:tcBorders>
            <w:shd w:val="clear" w:color="auto" w:fill="auto"/>
            <w:noWrap/>
            <w:vAlign w:val="bottom"/>
            <w:hideMark/>
          </w:tcPr>
          <w:p w14:paraId="0E82C8C8" w14:textId="77777777" w:rsidR="007467BC" w:rsidRPr="00F90841" w:rsidRDefault="007467BC" w:rsidP="00F76CFD">
            <w:pPr>
              <w:spacing w:before="40" w:after="40" w:line="220" w:lineRule="exact"/>
              <w:ind w:right="113"/>
              <w:jc w:val="right"/>
              <w:rPr>
                <w:sz w:val="18"/>
              </w:rPr>
            </w:pPr>
            <w:r w:rsidRPr="00F90841">
              <w:rPr>
                <w:sz w:val="18"/>
              </w:rPr>
              <w:t>786</w:t>
            </w:r>
          </w:p>
        </w:tc>
        <w:tc>
          <w:tcPr>
            <w:tcW w:w="850" w:type="dxa"/>
            <w:tcBorders>
              <w:top w:val="single" w:sz="12" w:space="0" w:color="auto"/>
            </w:tcBorders>
            <w:shd w:val="clear" w:color="auto" w:fill="auto"/>
            <w:noWrap/>
            <w:vAlign w:val="bottom"/>
            <w:hideMark/>
          </w:tcPr>
          <w:p w14:paraId="4A5D624B" w14:textId="77777777" w:rsidR="007467BC" w:rsidRPr="00F90841" w:rsidRDefault="007467BC" w:rsidP="00F76CFD">
            <w:pPr>
              <w:spacing w:before="40" w:after="40" w:line="220" w:lineRule="exact"/>
              <w:ind w:right="113"/>
              <w:jc w:val="right"/>
              <w:rPr>
                <w:sz w:val="18"/>
              </w:rPr>
            </w:pPr>
            <w:r w:rsidRPr="00F90841">
              <w:rPr>
                <w:sz w:val="18"/>
              </w:rPr>
              <w:t>60</w:t>
            </w:r>
          </w:p>
        </w:tc>
        <w:tc>
          <w:tcPr>
            <w:tcW w:w="992" w:type="dxa"/>
            <w:tcBorders>
              <w:top w:val="single" w:sz="12" w:space="0" w:color="auto"/>
            </w:tcBorders>
            <w:shd w:val="clear" w:color="auto" w:fill="auto"/>
            <w:noWrap/>
            <w:vAlign w:val="bottom"/>
            <w:hideMark/>
          </w:tcPr>
          <w:p w14:paraId="7B90B594" w14:textId="77777777" w:rsidR="007467BC" w:rsidRPr="00F90841" w:rsidRDefault="007467BC" w:rsidP="00F76CFD">
            <w:pPr>
              <w:spacing w:before="40" w:after="40" w:line="220" w:lineRule="exact"/>
              <w:ind w:right="113"/>
              <w:jc w:val="right"/>
              <w:rPr>
                <w:sz w:val="18"/>
              </w:rPr>
            </w:pPr>
            <w:r w:rsidRPr="00F90841">
              <w:rPr>
                <w:sz w:val="18"/>
              </w:rPr>
              <w:t>108</w:t>
            </w:r>
          </w:p>
        </w:tc>
        <w:tc>
          <w:tcPr>
            <w:tcW w:w="993" w:type="dxa"/>
            <w:tcBorders>
              <w:top w:val="single" w:sz="12" w:space="0" w:color="auto"/>
            </w:tcBorders>
            <w:shd w:val="clear" w:color="auto" w:fill="auto"/>
            <w:noWrap/>
            <w:vAlign w:val="bottom"/>
            <w:hideMark/>
          </w:tcPr>
          <w:p w14:paraId="7992E2E7" w14:textId="77777777" w:rsidR="007467BC" w:rsidRPr="00F90841" w:rsidRDefault="007467BC" w:rsidP="00F76CFD">
            <w:pPr>
              <w:spacing w:before="40" w:after="40" w:line="220" w:lineRule="exact"/>
              <w:ind w:right="113"/>
              <w:jc w:val="right"/>
              <w:rPr>
                <w:sz w:val="18"/>
              </w:rPr>
            </w:pPr>
            <w:r w:rsidRPr="00F90841">
              <w:rPr>
                <w:sz w:val="18"/>
              </w:rPr>
              <w:t>63</w:t>
            </w:r>
          </w:p>
        </w:tc>
        <w:tc>
          <w:tcPr>
            <w:tcW w:w="964" w:type="dxa"/>
            <w:tcBorders>
              <w:top w:val="single" w:sz="12" w:space="0" w:color="auto"/>
            </w:tcBorders>
            <w:shd w:val="clear" w:color="auto" w:fill="auto"/>
            <w:noWrap/>
            <w:vAlign w:val="bottom"/>
            <w:hideMark/>
          </w:tcPr>
          <w:p w14:paraId="1317A6BD" w14:textId="77777777" w:rsidR="007467BC" w:rsidRPr="00F90841" w:rsidRDefault="007467BC" w:rsidP="00F76CFD">
            <w:pPr>
              <w:spacing w:before="40" w:after="40" w:line="220" w:lineRule="exact"/>
              <w:ind w:right="113"/>
              <w:jc w:val="right"/>
              <w:rPr>
                <w:sz w:val="18"/>
              </w:rPr>
            </w:pPr>
            <w:r w:rsidRPr="00F90841">
              <w:rPr>
                <w:sz w:val="18"/>
              </w:rPr>
              <w:t>153</w:t>
            </w:r>
          </w:p>
        </w:tc>
        <w:tc>
          <w:tcPr>
            <w:tcW w:w="1044" w:type="dxa"/>
            <w:tcBorders>
              <w:top w:val="single" w:sz="12" w:space="0" w:color="auto"/>
            </w:tcBorders>
            <w:shd w:val="clear" w:color="auto" w:fill="auto"/>
            <w:noWrap/>
            <w:vAlign w:val="bottom"/>
            <w:hideMark/>
          </w:tcPr>
          <w:p w14:paraId="0D646D04" w14:textId="77777777" w:rsidR="007467BC" w:rsidRPr="00F90841" w:rsidRDefault="007467BC" w:rsidP="00F76CFD">
            <w:pPr>
              <w:spacing w:before="40" w:after="40" w:line="220" w:lineRule="exact"/>
              <w:ind w:right="113"/>
              <w:jc w:val="right"/>
              <w:rPr>
                <w:sz w:val="18"/>
              </w:rPr>
            </w:pPr>
            <w:r w:rsidRPr="00F90841">
              <w:rPr>
                <w:sz w:val="18"/>
              </w:rPr>
              <w:t>6</w:t>
            </w:r>
          </w:p>
        </w:tc>
        <w:tc>
          <w:tcPr>
            <w:tcW w:w="1194" w:type="dxa"/>
            <w:tcBorders>
              <w:top w:val="single" w:sz="12" w:space="0" w:color="auto"/>
            </w:tcBorders>
            <w:shd w:val="clear" w:color="auto" w:fill="auto"/>
            <w:noWrap/>
            <w:vAlign w:val="bottom"/>
            <w:hideMark/>
          </w:tcPr>
          <w:p w14:paraId="60B6E973" w14:textId="77777777" w:rsidR="007467BC" w:rsidRPr="00F90841" w:rsidRDefault="007467BC" w:rsidP="00F76CFD">
            <w:pPr>
              <w:spacing w:before="40" w:after="40" w:line="220" w:lineRule="exact"/>
              <w:ind w:right="113"/>
              <w:jc w:val="right"/>
              <w:rPr>
                <w:sz w:val="18"/>
              </w:rPr>
            </w:pPr>
            <w:r w:rsidRPr="00F90841">
              <w:rPr>
                <w:sz w:val="18"/>
              </w:rPr>
              <w:t>210</w:t>
            </w:r>
          </w:p>
        </w:tc>
        <w:tc>
          <w:tcPr>
            <w:tcW w:w="908" w:type="dxa"/>
            <w:tcBorders>
              <w:top w:val="single" w:sz="12" w:space="0" w:color="auto"/>
            </w:tcBorders>
            <w:shd w:val="clear" w:color="auto" w:fill="auto"/>
            <w:noWrap/>
            <w:vAlign w:val="bottom"/>
            <w:hideMark/>
          </w:tcPr>
          <w:p w14:paraId="6426C70D" w14:textId="77777777" w:rsidR="007467BC" w:rsidRPr="00F90841" w:rsidRDefault="007467BC" w:rsidP="00F76CFD">
            <w:pPr>
              <w:spacing w:before="40" w:after="40" w:line="220" w:lineRule="exact"/>
              <w:ind w:right="113"/>
              <w:jc w:val="right"/>
              <w:rPr>
                <w:sz w:val="18"/>
              </w:rPr>
            </w:pPr>
            <w:r w:rsidRPr="00F90841">
              <w:rPr>
                <w:sz w:val="18"/>
              </w:rPr>
              <w:t>183</w:t>
            </w:r>
          </w:p>
        </w:tc>
      </w:tr>
      <w:tr w:rsidR="007467BC" w:rsidRPr="00F90841" w14:paraId="616CB838" w14:textId="77777777" w:rsidTr="00EA0BC0">
        <w:tc>
          <w:tcPr>
            <w:tcW w:w="709" w:type="dxa"/>
            <w:shd w:val="clear" w:color="auto" w:fill="auto"/>
            <w:noWrap/>
            <w:hideMark/>
          </w:tcPr>
          <w:p w14:paraId="638E62C7" w14:textId="77777777" w:rsidR="007467BC" w:rsidRPr="00F90841" w:rsidRDefault="007467BC" w:rsidP="00F76CFD">
            <w:pPr>
              <w:spacing w:before="40" w:after="40" w:line="220" w:lineRule="exact"/>
              <w:ind w:right="113"/>
              <w:rPr>
                <w:sz w:val="18"/>
              </w:rPr>
            </w:pPr>
            <w:r w:rsidRPr="00F90841">
              <w:rPr>
                <w:sz w:val="18"/>
              </w:rPr>
              <w:t>2014/15</w:t>
            </w:r>
          </w:p>
        </w:tc>
        <w:tc>
          <w:tcPr>
            <w:tcW w:w="851" w:type="dxa"/>
            <w:shd w:val="clear" w:color="auto" w:fill="auto"/>
            <w:noWrap/>
            <w:vAlign w:val="bottom"/>
            <w:hideMark/>
          </w:tcPr>
          <w:p w14:paraId="68705258" w14:textId="77777777" w:rsidR="007467BC" w:rsidRPr="00F90841" w:rsidRDefault="007467BC" w:rsidP="00F76CFD">
            <w:pPr>
              <w:spacing w:before="40" w:after="40" w:line="220" w:lineRule="exact"/>
              <w:ind w:right="113"/>
              <w:jc w:val="right"/>
              <w:rPr>
                <w:sz w:val="18"/>
              </w:rPr>
            </w:pPr>
            <w:r w:rsidRPr="00F90841">
              <w:rPr>
                <w:sz w:val="18"/>
              </w:rPr>
              <w:t>633</w:t>
            </w:r>
          </w:p>
        </w:tc>
        <w:tc>
          <w:tcPr>
            <w:tcW w:w="850" w:type="dxa"/>
            <w:shd w:val="clear" w:color="auto" w:fill="auto"/>
            <w:noWrap/>
            <w:vAlign w:val="bottom"/>
            <w:hideMark/>
          </w:tcPr>
          <w:p w14:paraId="3813E2F2" w14:textId="77777777" w:rsidR="007467BC" w:rsidRPr="00F90841" w:rsidRDefault="007467BC" w:rsidP="00F76CFD">
            <w:pPr>
              <w:spacing w:before="40" w:after="40" w:line="220" w:lineRule="exact"/>
              <w:ind w:right="113"/>
              <w:jc w:val="right"/>
              <w:rPr>
                <w:sz w:val="18"/>
              </w:rPr>
            </w:pPr>
            <w:r w:rsidRPr="00F90841">
              <w:rPr>
                <w:sz w:val="18"/>
              </w:rPr>
              <w:t>33</w:t>
            </w:r>
          </w:p>
        </w:tc>
        <w:tc>
          <w:tcPr>
            <w:tcW w:w="992" w:type="dxa"/>
            <w:shd w:val="clear" w:color="auto" w:fill="auto"/>
            <w:noWrap/>
            <w:vAlign w:val="bottom"/>
            <w:hideMark/>
          </w:tcPr>
          <w:p w14:paraId="6DF623BF" w14:textId="77777777" w:rsidR="007467BC" w:rsidRPr="00F90841" w:rsidRDefault="007467BC" w:rsidP="00F76CFD">
            <w:pPr>
              <w:spacing w:before="40" w:after="40" w:line="220" w:lineRule="exact"/>
              <w:ind w:right="113"/>
              <w:jc w:val="right"/>
              <w:rPr>
                <w:sz w:val="18"/>
              </w:rPr>
            </w:pPr>
            <w:r w:rsidRPr="00F90841">
              <w:rPr>
                <w:sz w:val="18"/>
              </w:rPr>
              <w:t>87</w:t>
            </w:r>
          </w:p>
        </w:tc>
        <w:tc>
          <w:tcPr>
            <w:tcW w:w="993" w:type="dxa"/>
            <w:shd w:val="clear" w:color="auto" w:fill="auto"/>
            <w:noWrap/>
            <w:vAlign w:val="bottom"/>
            <w:hideMark/>
          </w:tcPr>
          <w:p w14:paraId="16C63B51" w14:textId="77777777" w:rsidR="007467BC" w:rsidRPr="00F90841" w:rsidRDefault="007467BC" w:rsidP="00F76CFD">
            <w:pPr>
              <w:spacing w:before="40" w:after="40" w:line="220" w:lineRule="exact"/>
              <w:ind w:right="113"/>
              <w:jc w:val="right"/>
              <w:rPr>
                <w:sz w:val="18"/>
              </w:rPr>
            </w:pPr>
            <w:r w:rsidRPr="00F90841">
              <w:rPr>
                <w:sz w:val="18"/>
              </w:rPr>
              <w:t>75</w:t>
            </w:r>
          </w:p>
        </w:tc>
        <w:tc>
          <w:tcPr>
            <w:tcW w:w="964" w:type="dxa"/>
            <w:shd w:val="clear" w:color="auto" w:fill="auto"/>
            <w:noWrap/>
            <w:vAlign w:val="bottom"/>
            <w:hideMark/>
          </w:tcPr>
          <w:p w14:paraId="4DDE5FAD" w14:textId="77777777" w:rsidR="007467BC" w:rsidRPr="00F90841" w:rsidRDefault="007467BC" w:rsidP="00F76CFD">
            <w:pPr>
              <w:spacing w:before="40" w:after="40" w:line="220" w:lineRule="exact"/>
              <w:ind w:right="113"/>
              <w:jc w:val="right"/>
              <w:rPr>
                <w:sz w:val="18"/>
              </w:rPr>
            </w:pPr>
            <w:r w:rsidRPr="00F90841">
              <w:rPr>
                <w:sz w:val="18"/>
              </w:rPr>
              <w:t>114</w:t>
            </w:r>
          </w:p>
        </w:tc>
        <w:tc>
          <w:tcPr>
            <w:tcW w:w="1044" w:type="dxa"/>
            <w:shd w:val="clear" w:color="auto" w:fill="auto"/>
            <w:noWrap/>
            <w:vAlign w:val="bottom"/>
            <w:hideMark/>
          </w:tcPr>
          <w:p w14:paraId="6709541A" w14:textId="77777777" w:rsidR="007467BC" w:rsidRPr="00F90841" w:rsidRDefault="007467BC" w:rsidP="00F76CFD">
            <w:pPr>
              <w:spacing w:before="40" w:after="40" w:line="220" w:lineRule="exact"/>
              <w:ind w:right="113"/>
              <w:jc w:val="right"/>
              <w:rPr>
                <w:sz w:val="18"/>
              </w:rPr>
            </w:pPr>
            <w:r w:rsidRPr="00F90841">
              <w:rPr>
                <w:sz w:val="18"/>
              </w:rPr>
              <w:t>12</w:t>
            </w:r>
          </w:p>
        </w:tc>
        <w:tc>
          <w:tcPr>
            <w:tcW w:w="1194" w:type="dxa"/>
            <w:shd w:val="clear" w:color="auto" w:fill="auto"/>
            <w:noWrap/>
            <w:vAlign w:val="bottom"/>
            <w:hideMark/>
          </w:tcPr>
          <w:p w14:paraId="6BEC44A1" w14:textId="77777777" w:rsidR="007467BC" w:rsidRPr="00F90841" w:rsidRDefault="007467BC" w:rsidP="00F76CFD">
            <w:pPr>
              <w:spacing w:before="40" w:after="40" w:line="220" w:lineRule="exact"/>
              <w:ind w:right="113"/>
              <w:jc w:val="right"/>
              <w:rPr>
                <w:sz w:val="18"/>
              </w:rPr>
            </w:pPr>
            <w:r w:rsidRPr="00F90841">
              <w:rPr>
                <w:sz w:val="18"/>
              </w:rPr>
              <w:t>162</w:t>
            </w:r>
          </w:p>
        </w:tc>
        <w:tc>
          <w:tcPr>
            <w:tcW w:w="908" w:type="dxa"/>
            <w:shd w:val="clear" w:color="auto" w:fill="auto"/>
            <w:noWrap/>
            <w:vAlign w:val="bottom"/>
            <w:hideMark/>
          </w:tcPr>
          <w:p w14:paraId="6211D6DD" w14:textId="77777777" w:rsidR="007467BC" w:rsidRPr="00F90841" w:rsidRDefault="007467BC" w:rsidP="00F76CFD">
            <w:pPr>
              <w:spacing w:before="40" w:after="40" w:line="220" w:lineRule="exact"/>
              <w:ind w:right="113"/>
              <w:jc w:val="right"/>
              <w:rPr>
                <w:sz w:val="18"/>
              </w:rPr>
            </w:pPr>
            <w:r w:rsidRPr="00F90841">
              <w:rPr>
                <w:sz w:val="18"/>
              </w:rPr>
              <w:t>150</w:t>
            </w:r>
          </w:p>
        </w:tc>
      </w:tr>
      <w:tr w:rsidR="007467BC" w:rsidRPr="00F90841" w14:paraId="5CF9C8DF" w14:textId="77777777" w:rsidTr="00EA0BC0">
        <w:tc>
          <w:tcPr>
            <w:tcW w:w="709" w:type="dxa"/>
            <w:shd w:val="clear" w:color="auto" w:fill="auto"/>
            <w:noWrap/>
            <w:hideMark/>
          </w:tcPr>
          <w:p w14:paraId="22E437AE" w14:textId="77777777" w:rsidR="007467BC" w:rsidRPr="00F90841" w:rsidRDefault="007467BC" w:rsidP="00F76CFD">
            <w:pPr>
              <w:spacing w:before="40" w:after="40" w:line="220" w:lineRule="exact"/>
              <w:ind w:right="113"/>
              <w:rPr>
                <w:sz w:val="18"/>
              </w:rPr>
            </w:pPr>
            <w:r w:rsidRPr="00F90841">
              <w:rPr>
                <w:sz w:val="18"/>
              </w:rPr>
              <w:t>2015/16</w:t>
            </w:r>
          </w:p>
        </w:tc>
        <w:tc>
          <w:tcPr>
            <w:tcW w:w="851" w:type="dxa"/>
            <w:shd w:val="clear" w:color="auto" w:fill="auto"/>
            <w:noWrap/>
            <w:vAlign w:val="bottom"/>
            <w:hideMark/>
          </w:tcPr>
          <w:p w14:paraId="2838C0F0" w14:textId="77777777" w:rsidR="007467BC" w:rsidRPr="00F90841" w:rsidRDefault="007467BC" w:rsidP="00F76CFD">
            <w:pPr>
              <w:spacing w:before="40" w:after="40" w:line="220" w:lineRule="exact"/>
              <w:ind w:right="113"/>
              <w:jc w:val="right"/>
              <w:rPr>
                <w:sz w:val="18"/>
              </w:rPr>
            </w:pPr>
            <w:r w:rsidRPr="00F90841">
              <w:rPr>
                <w:sz w:val="18"/>
              </w:rPr>
              <w:t>549</w:t>
            </w:r>
          </w:p>
        </w:tc>
        <w:tc>
          <w:tcPr>
            <w:tcW w:w="850" w:type="dxa"/>
            <w:shd w:val="clear" w:color="auto" w:fill="auto"/>
            <w:noWrap/>
            <w:vAlign w:val="bottom"/>
            <w:hideMark/>
          </w:tcPr>
          <w:p w14:paraId="244E8FE8" w14:textId="77777777" w:rsidR="007467BC" w:rsidRPr="00F90841" w:rsidRDefault="007467BC" w:rsidP="00F76CFD">
            <w:pPr>
              <w:spacing w:before="40" w:after="40" w:line="220" w:lineRule="exact"/>
              <w:ind w:right="113"/>
              <w:jc w:val="right"/>
              <w:rPr>
                <w:sz w:val="18"/>
              </w:rPr>
            </w:pPr>
            <w:r w:rsidRPr="00F90841">
              <w:rPr>
                <w:sz w:val="18"/>
              </w:rPr>
              <w:t>33</w:t>
            </w:r>
          </w:p>
        </w:tc>
        <w:tc>
          <w:tcPr>
            <w:tcW w:w="992" w:type="dxa"/>
            <w:shd w:val="clear" w:color="auto" w:fill="auto"/>
            <w:noWrap/>
            <w:vAlign w:val="bottom"/>
            <w:hideMark/>
          </w:tcPr>
          <w:p w14:paraId="74F36D27" w14:textId="77777777" w:rsidR="007467BC" w:rsidRPr="00F90841" w:rsidRDefault="007467BC" w:rsidP="00F76CFD">
            <w:pPr>
              <w:spacing w:before="40" w:after="40" w:line="220" w:lineRule="exact"/>
              <w:ind w:right="113"/>
              <w:jc w:val="right"/>
              <w:rPr>
                <w:sz w:val="18"/>
              </w:rPr>
            </w:pPr>
            <w:r w:rsidRPr="00F90841">
              <w:rPr>
                <w:sz w:val="18"/>
              </w:rPr>
              <w:t>90</w:t>
            </w:r>
          </w:p>
        </w:tc>
        <w:tc>
          <w:tcPr>
            <w:tcW w:w="993" w:type="dxa"/>
            <w:shd w:val="clear" w:color="auto" w:fill="auto"/>
            <w:noWrap/>
            <w:vAlign w:val="bottom"/>
            <w:hideMark/>
          </w:tcPr>
          <w:p w14:paraId="39AF6203" w14:textId="77777777" w:rsidR="007467BC" w:rsidRPr="00F90841" w:rsidRDefault="007467BC" w:rsidP="00F76CFD">
            <w:pPr>
              <w:spacing w:before="40" w:after="40" w:line="220" w:lineRule="exact"/>
              <w:ind w:right="113"/>
              <w:jc w:val="right"/>
              <w:rPr>
                <w:sz w:val="18"/>
              </w:rPr>
            </w:pPr>
            <w:r w:rsidRPr="00F90841">
              <w:rPr>
                <w:sz w:val="18"/>
              </w:rPr>
              <w:t>63</w:t>
            </w:r>
          </w:p>
        </w:tc>
        <w:tc>
          <w:tcPr>
            <w:tcW w:w="964" w:type="dxa"/>
            <w:shd w:val="clear" w:color="auto" w:fill="auto"/>
            <w:noWrap/>
            <w:vAlign w:val="bottom"/>
            <w:hideMark/>
          </w:tcPr>
          <w:p w14:paraId="184FD5D9" w14:textId="77777777" w:rsidR="007467BC" w:rsidRPr="00F90841" w:rsidRDefault="007467BC" w:rsidP="00F76CFD">
            <w:pPr>
              <w:spacing w:before="40" w:after="40" w:line="220" w:lineRule="exact"/>
              <w:ind w:right="113"/>
              <w:jc w:val="right"/>
              <w:rPr>
                <w:sz w:val="18"/>
              </w:rPr>
            </w:pPr>
            <w:r w:rsidRPr="00F90841">
              <w:rPr>
                <w:sz w:val="18"/>
              </w:rPr>
              <w:t>99</w:t>
            </w:r>
          </w:p>
        </w:tc>
        <w:tc>
          <w:tcPr>
            <w:tcW w:w="1044" w:type="dxa"/>
            <w:shd w:val="clear" w:color="auto" w:fill="auto"/>
            <w:noWrap/>
            <w:vAlign w:val="bottom"/>
            <w:hideMark/>
          </w:tcPr>
          <w:p w14:paraId="49CBA79E" w14:textId="77777777" w:rsidR="007467BC" w:rsidRPr="00F90841" w:rsidRDefault="007467BC" w:rsidP="00F76CFD">
            <w:pPr>
              <w:spacing w:before="40" w:after="40" w:line="220" w:lineRule="exact"/>
              <w:ind w:right="113"/>
              <w:jc w:val="right"/>
              <w:rPr>
                <w:sz w:val="18"/>
              </w:rPr>
            </w:pPr>
            <w:r w:rsidRPr="00F90841">
              <w:rPr>
                <w:sz w:val="18"/>
              </w:rPr>
              <w:t>6</w:t>
            </w:r>
          </w:p>
        </w:tc>
        <w:tc>
          <w:tcPr>
            <w:tcW w:w="1194" w:type="dxa"/>
            <w:shd w:val="clear" w:color="auto" w:fill="auto"/>
            <w:noWrap/>
            <w:vAlign w:val="bottom"/>
            <w:hideMark/>
          </w:tcPr>
          <w:p w14:paraId="24EA44AC" w14:textId="77777777" w:rsidR="007467BC" w:rsidRPr="00F90841" w:rsidRDefault="007467BC" w:rsidP="00F76CFD">
            <w:pPr>
              <w:spacing w:before="40" w:after="40" w:line="220" w:lineRule="exact"/>
              <w:ind w:right="113"/>
              <w:jc w:val="right"/>
              <w:rPr>
                <w:sz w:val="18"/>
              </w:rPr>
            </w:pPr>
            <w:r w:rsidRPr="00F90841">
              <w:rPr>
                <w:sz w:val="18"/>
              </w:rPr>
              <w:t>132</w:t>
            </w:r>
          </w:p>
        </w:tc>
        <w:tc>
          <w:tcPr>
            <w:tcW w:w="908" w:type="dxa"/>
            <w:shd w:val="clear" w:color="auto" w:fill="auto"/>
            <w:noWrap/>
            <w:vAlign w:val="bottom"/>
            <w:hideMark/>
          </w:tcPr>
          <w:p w14:paraId="4A594004" w14:textId="77777777" w:rsidR="007467BC" w:rsidRPr="00F90841" w:rsidRDefault="007467BC" w:rsidP="00F76CFD">
            <w:pPr>
              <w:spacing w:before="40" w:after="40" w:line="220" w:lineRule="exact"/>
              <w:ind w:right="113"/>
              <w:jc w:val="right"/>
              <w:rPr>
                <w:sz w:val="18"/>
              </w:rPr>
            </w:pPr>
            <w:r w:rsidRPr="00F90841">
              <w:rPr>
                <w:sz w:val="18"/>
              </w:rPr>
              <w:t>129</w:t>
            </w:r>
          </w:p>
        </w:tc>
      </w:tr>
      <w:tr w:rsidR="007467BC" w:rsidRPr="00F90841" w14:paraId="523B683A" w14:textId="77777777" w:rsidTr="00EA0BC0">
        <w:tc>
          <w:tcPr>
            <w:tcW w:w="709" w:type="dxa"/>
            <w:shd w:val="clear" w:color="auto" w:fill="auto"/>
            <w:noWrap/>
            <w:hideMark/>
          </w:tcPr>
          <w:p w14:paraId="759BF0AB" w14:textId="77777777" w:rsidR="007467BC" w:rsidRPr="00F90841" w:rsidRDefault="007467BC" w:rsidP="00F76CFD">
            <w:pPr>
              <w:spacing w:before="40" w:after="40" w:line="220" w:lineRule="exact"/>
              <w:ind w:right="113"/>
              <w:rPr>
                <w:sz w:val="18"/>
              </w:rPr>
            </w:pPr>
            <w:r w:rsidRPr="00F90841">
              <w:rPr>
                <w:sz w:val="18"/>
              </w:rPr>
              <w:t>2016/17</w:t>
            </w:r>
          </w:p>
        </w:tc>
        <w:tc>
          <w:tcPr>
            <w:tcW w:w="851" w:type="dxa"/>
            <w:shd w:val="clear" w:color="auto" w:fill="auto"/>
            <w:noWrap/>
            <w:vAlign w:val="bottom"/>
            <w:hideMark/>
          </w:tcPr>
          <w:p w14:paraId="7A6CD245" w14:textId="77777777" w:rsidR="007467BC" w:rsidRPr="00F90841" w:rsidRDefault="007467BC" w:rsidP="00F76CFD">
            <w:pPr>
              <w:spacing w:before="40" w:after="40" w:line="220" w:lineRule="exact"/>
              <w:ind w:right="113"/>
              <w:jc w:val="right"/>
              <w:rPr>
                <w:sz w:val="18"/>
              </w:rPr>
            </w:pPr>
            <w:r w:rsidRPr="00F90841">
              <w:rPr>
                <w:sz w:val="18"/>
              </w:rPr>
              <w:t>573</w:t>
            </w:r>
          </w:p>
        </w:tc>
        <w:tc>
          <w:tcPr>
            <w:tcW w:w="850" w:type="dxa"/>
            <w:shd w:val="clear" w:color="auto" w:fill="auto"/>
            <w:noWrap/>
            <w:vAlign w:val="bottom"/>
            <w:hideMark/>
          </w:tcPr>
          <w:p w14:paraId="3BCB8E8A" w14:textId="77777777" w:rsidR="007467BC" w:rsidRPr="00F90841" w:rsidRDefault="007467BC" w:rsidP="00F76CFD">
            <w:pPr>
              <w:spacing w:before="40" w:after="40" w:line="220" w:lineRule="exact"/>
              <w:ind w:right="113"/>
              <w:jc w:val="right"/>
              <w:rPr>
                <w:sz w:val="18"/>
              </w:rPr>
            </w:pPr>
            <w:r w:rsidRPr="00F90841">
              <w:rPr>
                <w:sz w:val="18"/>
              </w:rPr>
              <w:t>39</w:t>
            </w:r>
          </w:p>
        </w:tc>
        <w:tc>
          <w:tcPr>
            <w:tcW w:w="992" w:type="dxa"/>
            <w:shd w:val="clear" w:color="auto" w:fill="auto"/>
            <w:noWrap/>
            <w:vAlign w:val="bottom"/>
            <w:hideMark/>
          </w:tcPr>
          <w:p w14:paraId="0B280626" w14:textId="77777777" w:rsidR="007467BC" w:rsidRPr="00F90841" w:rsidRDefault="007467BC" w:rsidP="00F76CFD">
            <w:pPr>
              <w:spacing w:before="40" w:after="40" w:line="220" w:lineRule="exact"/>
              <w:ind w:right="113"/>
              <w:jc w:val="right"/>
              <w:rPr>
                <w:sz w:val="18"/>
              </w:rPr>
            </w:pPr>
            <w:r w:rsidRPr="00F90841">
              <w:rPr>
                <w:sz w:val="18"/>
              </w:rPr>
              <w:t>87</w:t>
            </w:r>
          </w:p>
        </w:tc>
        <w:tc>
          <w:tcPr>
            <w:tcW w:w="993" w:type="dxa"/>
            <w:shd w:val="clear" w:color="auto" w:fill="auto"/>
            <w:noWrap/>
            <w:vAlign w:val="bottom"/>
            <w:hideMark/>
          </w:tcPr>
          <w:p w14:paraId="19809442" w14:textId="77777777" w:rsidR="007467BC" w:rsidRPr="00F90841" w:rsidRDefault="007467BC" w:rsidP="00F76CFD">
            <w:pPr>
              <w:spacing w:before="40" w:after="40" w:line="220" w:lineRule="exact"/>
              <w:ind w:right="113"/>
              <w:jc w:val="right"/>
              <w:rPr>
                <w:sz w:val="18"/>
              </w:rPr>
            </w:pPr>
            <w:r w:rsidRPr="00F90841">
              <w:rPr>
                <w:sz w:val="18"/>
              </w:rPr>
              <w:t>63</w:t>
            </w:r>
          </w:p>
        </w:tc>
        <w:tc>
          <w:tcPr>
            <w:tcW w:w="964" w:type="dxa"/>
            <w:shd w:val="clear" w:color="auto" w:fill="auto"/>
            <w:noWrap/>
            <w:vAlign w:val="bottom"/>
            <w:hideMark/>
          </w:tcPr>
          <w:p w14:paraId="74C46125" w14:textId="77777777" w:rsidR="007467BC" w:rsidRPr="00F90841" w:rsidRDefault="007467BC" w:rsidP="00F76CFD">
            <w:pPr>
              <w:spacing w:before="40" w:after="40" w:line="220" w:lineRule="exact"/>
              <w:ind w:right="113"/>
              <w:jc w:val="right"/>
              <w:rPr>
                <w:sz w:val="18"/>
              </w:rPr>
            </w:pPr>
            <w:r w:rsidRPr="00F90841">
              <w:rPr>
                <w:sz w:val="18"/>
              </w:rPr>
              <w:t>105</w:t>
            </w:r>
          </w:p>
        </w:tc>
        <w:tc>
          <w:tcPr>
            <w:tcW w:w="1044" w:type="dxa"/>
            <w:shd w:val="clear" w:color="auto" w:fill="auto"/>
            <w:noWrap/>
            <w:vAlign w:val="bottom"/>
            <w:hideMark/>
          </w:tcPr>
          <w:p w14:paraId="2CCFB8FC" w14:textId="77777777" w:rsidR="007467BC" w:rsidRPr="00F90841" w:rsidRDefault="007467BC" w:rsidP="00F76CFD">
            <w:pPr>
              <w:spacing w:before="40" w:after="40" w:line="220" w:lineRule="exact"/>
              <w:ind w:right="113"/>
              <w:jc w:val="right"/>
              <w:rPr>
                <w:sz w:val="18"/>
              </w:rPr>
            </w:pPr>
            <w:r w:rsidRPr="00F90841">
              <w:rPr>
                <w:sz w:val="18"/>
              </w:rPr>
              <w:t>6</w:t>
            </w:r>
          </w:p>
        </w:tc>
        <w:tc>
          <w:tcPr>
            <w:tcW w:w="1194" w:type="dxa"/>
            <w:shd w:val="clear" w:color="auto" w:fill="auto"/>
            <w:noWrap/>
            <w:vAlign w:val="bottom"/>
            <w:hideMark/>
          </w:tcPr>
          <w:p w14:paraId="37F86ECB" w14:textId="77777777" w:rsidR="007467BC" w:rsidRPr="00F90841" w:rsidRDefault="007467BC" w:rsidP="00F76CFD">
            <w:pPr>
              <w:spacing w:before="40" w:after="40" w:line="220" w:lineRule="exact"/>
              <w:ind w:right="113"/>
              <w:jc w:val="right"/>
              <w:rPr>
                <w:sz w:val="18"/>
              </w:rPr>
            </w:pPr>
            <w:r w:rsidRPr="00F90841">
              <w:rPr>
                <w:sz w:val="18"/>
              </w:rPr>
              <w:t>135</w:t>
            </w:r>
          </w:p>
        </w:tc>
        <w:tc>
          <w:tcPr>
            <w:tcW w:w="908" w:type="dxa"/>
            <w:shd w:val="clear" w:color="auto" w:fill="auto"/>
            <w:noWrap/>
            <w:vAlign w:val="bottom"/>
            <w:hideMark/>
          </w:tcPr>
          <w:p w14:paraId="50BF3404" w14:textId="77777777" w:rsidR="007467BC" w:rsidRPr="00F90841" w:rsidRDefault="007467BC" w:rsidP="00F76CFD">
            <w:pPr>
              <w:spacing w:before="40" w:after="40" w:line="220" w:lineRule="exact"/>
              <w:ind w:right="113"/>
              <w:jc w:val="right"/>
              <w:rPr>
                <w:sz w:val="18"/>
              </w:rPr>
            </w:pPr>
            <w:r w:rsidRPr="00F90841">
              <w:rPr>
                <w:sz w:val="18"/>
              </w:rPr>
              <w:t>135</w:t>
            </w:r>
          </w:p>
        </w:tc>
      </w:tr>
      <w:tr w:rsidR="007467BC" w:rsidRPr="00F90841" w14:paraId="77B2DCFC" w14:textId="77777777" w:rsidTr="00EA0BC0">
        <w:tc>
          <w:tcPr>
            <w:tcW w:w="709" w:type="dxa"/>
            <w:shd w:val="clear" w:color="auto" w:fill="auto"/>
            <w:noWrap/>
            <w:hideMark/>
          </w:tcPr>
          <w:p w14:paraId="4C1A4CB1" w14:textId="77777777" w:rsidR="007467BC" w:rsidRPr="00F90841" w:rsidRDefault="007467BC" w:rsidP="00F76CFD">
            <w:pPr>
              <w:spacing w:before="40" w:after="40" w:line="220" w:lineRule="exact"/>
              <w:ind w:right="113"/>
              <w:rPr>
                <w:sz w:val="18"/>
              </w:rPr>
            </w:pPr>
            <w:r w:rsidRPr="00F90841">
              <w:rPr>
                <w:sz w:val="18"/>
              </w:rPr>
              <w:t>2017/18</w:t>
            </w:r>
          </w:p>
        </w:tc>
        <w:tc>
          <w:tcPr>
            <w:tcW w:w="851" w:type="dxa"/>
            <w:shd w:val="clear" w:color="auto" w:fill="auto"/>
            <w:noWrap/>
            <w:vAlign w:val="bottom"/>
            <w:hideMark/>
          </w:tcPr>
          <w:p w14:paraId="27FCF10D" w14:textId="77777777" w:rsidR="007467BC" w:rsidRPr="00F90841" w:rsidRDefault="007467BC" w:rsidP="00F76CFD">
            <w:pPr>
              <w:spacing w:before="40" w:after="40" w:line="220" w:lineRule="exact"/>
              <w:ind w:right="113"/>
              <w:jc w:val="right"/>
              <w:rPr>
                <w:sz w:val="18"/>
              </w:rPr>
            </w:pPr>
            <w:r w:rsidRPr="00F90841">
              <w:rPr>
                <w:sz w:val="18"/>
              </w:rPr>
              <w:t>540</w:t>
            </w:r>
          </w:p>
        </w:tc>
        <w:tc>
          <w:tcPr>
            <w:tcW w:w="850" w:type="dxa"/>
            <w:shd w:val="clear" w:color="auto" w:fill="auto"/>
            <w:noWrap/>
            <w:vAlign w:val="bottom"/>
            <w:hideMark/>
          </w:tcPr>
          <w:p w14:paraId="2DB855E4" w14:textId="77777777" w:rsidR="007467BC" w:rsidRPr="00F90841" w:rsidRDefault="007467BC" w:rsidP="00F76CFD">
            <w:pPr>
              <w:spacing w:before="40" w:after="40" w:line="220" w:lineRule="exact"/>
              <w:ind w:right="113"/>
              <w:jc w:val="right"/>
              <w:rPr>
                <w:sz w:val="18"/>
              </w:rPr>
            </w:pPr>
            <w:r w:rsidRPr="00F90841">
              <w:rPr>
                <w:sz w:val="18"/>
              </w:rPr>
              <w:t>33</w:t>
            </w:r>
          </w:p>
        </w:tc>
        <w:tc>
          <w:tcPr>
            <w:tcW w:w="992" w:type="dxa"/>
            <w:shd w:val="clear" w:color="auto" w:fill="auto"/>
            <w:noWrap/>
            <w:vAlign w:val="bottom"/>
            <w:hideMark/>
          </w:tcPr>
          <w:p w14:paraId="13C3E153" w14:textId="77777777" w:rsidR="007467BC" w:rsidRPr="00F90841" w:rsidRDefault="007467BC" w:rsidP="00F76CFD">
            <w:pPr>
              <w:spacing w:before="40" w:after="40" w:line="220" w:lineRule="exact"/>
              <w:ind w:right="113"/>
              <w:jc w:val="right"/>
              <w:rPr>
                <w:sz w:val="18"/>
              </w:rPr>
            </w:pPr>
            <w:r w:rsidRPr="00F90841">
              <w:rPr>
                <w:sz w:val="18"/>
              </w:rPr>
              <w:t>105</w:t>
            </w:r>
          </w:p>
        </w:tc>
        <w:tc>
          <w:tcPr>
            <w:tcW w:w="993" w:type="dxa"/>
            <w:shd w:val="clear" w:color="auto" w:fill="auto"/>
            <w:noWrap/>
            <w:vAlign w:val="bottom"/>
            <w:hideMark/>
          </w:tcPr>
          <w:p w14:paraId="5CA7EA4B" w14:textId="77777777" w:rsidR="007467BC" w:rsidRPr="00F90841" w:rsidRDefault="007467BC" w:rsidP="00F76CFD">
            <w:pPr>
              <w:spacing w:before="40" w:after="40" w:line="220" w:lineRule="exact"/>
              <w:ind w:right="113"/>
              <w:jc w:val="right"/>
              <w:rPr>
                <w:sz w:val="18"/>
              </w:rPr>
            </w:pPr>
            <w:r w:rsidRPr="00F90841">
              <w:rPr>
                <w:sz w:val="18"/>
              </w:rPr>
              <w:t>87</w:t>
            </w:r>
          </w:p>
        </w:tc>
        <w:tc>
          <w:tcPr>
            <w:tcW w:w="964" w:type="dxa"/>
            <w:shd w:val="clear" w:color="auto" w:fill="auto"/>
            <w:noWrap/>
            <w:vAlign w:val="bottom"/>
            <w:hideMark/>
          </w:tcPr>
          <w:p w14:paraId="30D4217A" w14:textId="77777777" w:rsidR="007467BC" w:rsidRPr="00F90841" w:rsidRDefault="007467BC" w:rsidP="00F76CFD">
            <w:pPr>
              <w:spacing w:before="40" w:after="40" w:line="220" w:lineRule="exact"/>
              <w:ind w:right="113"/>
              <w:jc w:val="right"/>
              <w:rPr>
                <w:sz w:val="18"/>
              </w:rPr>
            </w:pPr>
            <w:r w:rsidRPr="00F90841">
              <w:rPr>
                <w:sz w:val="18"/>
              </w:rPr>
              <w:t>90</w:t>
            </w:r>
          </w:p>
        </w:tc>
        <w:tc>
          <w:tcPr>
            <w:tcW w:w="1044" w:type="dxa"/>
            <w:shd w:val="clear" w:color="auto" w:fill="auto"/>
            <w:noWrap/>
            <w:vAlign w:val="bottom"/>
            <w:hideMark/>
          </w:tcPr>
          <w:p w14:paraId="5515242E" w14:textId="77777777" w:rsidR="007467BC" w:rsidRPr="00F90841" w:rsidRDefault="007467BC" w:rsidP="00F76CFD">
            <w:pPr>
              <w:spacing w:before="40" w:after="40" w:line="220" w:lineRule="exact"/>
              <w:ind w:right="113"/>
              <w:jc w:val="right"/>
              <w:rPr>
                <w:sz w:val="18"/>
              </w:rPr>
            </w:pPr>
            <w:r w:rsidRPr="00F90841">
              <w:rPr>
                <w:sz w:val="18"/>
              </w:rPr>
              <w:t>6</w:t>
            </w:r>
          </w:p>
        </w:tc>
        <w:tc>
          <w:tcPr>
            <w:tcW w:w="1194" w:type="dxa"/>
            <w:shd w:val="clear" w:color="auto" w:fill="auto"/>
            <w:noWrap/>
            <w:vAlign w:val="bottom"/>
            <w:hideMark/>
          </w:tcPr>
          <w:p w14:paraId="2719D0E7" w14:textId="77777777" w:rsidR="007467BC" w:rsidRPr="00F90841" w:rsidRDefault="007467BC" w:rsidP="00F76CFD">
            <w:pPr>
              <w:spacing w:before="40" w:after="40" w:line="220" w:lineRule="exact"/>
              <w:ind w:right="113"/>
              <w:jc w:val="right"/>
              <w:rPr>
                <w:sz w:val="18"/>
              </w:rPr>
            </w:pPr>
            <w:r w:rsidRPr="00F90841">
              <w:rPr>
                <w:sz w:val="18"/>
              </w:rPr>
              <w:t>105</w:t>
            </w:r>
          </w:p>
        </w:tc>
        <w:tc>
          <w:tcPr>
            <w:tcW w:w="908" w:type="dxa"/>
            <w:shd w:val="clear" w:color="auto" w:fill="auto"/>
            <w:noWrap/>
            <w:vAlign w:val="bottom"/>
            <w:hideMark/>
          </w:tcPr>
          <w:p w14:paraId="246FFFBE" w14:textId="77777777" w:rsidR="007467BC" w:rsidRPr="00F90841" w:rsidRDefault="007467BC" w:rsidP="00F76CFD">
            <w:pPr>
              <w:spacing w:before="40" w:after="40" w:line="220" w:lineRule="exact"/>
              <w:ind w:right="113"/>
              <w:jc w:val="right"/>
              <w:rPr>
                <w:sz w:val="18"/>
              </w:rPr>
            </w:pPr>
            <w:r w:rsidRPr="00F90841">
              <w:rPr>
                <w:sz w:val="18"/>
              </w:rPr>
              <w:t>114</w:t>
            </w:r>
          </w:p>
        </w:tc>
      </w:tr>
    </w:tbl>
    <w:p w14:paraId="23D49BE5" w14:textId="77777777" w:rsidR="007467BC" w:rsidRPr="00F90841" w:rsidRDefault="007467BC" w:rsidP="00976628">
      <w:pPr>
        <w:pStyle w:val="SingleTxtG"/>
        <w:spacing w:before="240"/>
      </w:pPr>
      <w:r w:rsidRPr="00F90841">
        <w:t>175.</w:t>
      </w:r>
      <w:r w:rsidRPr="00F90841">
        <w:tab/>
        <w:t xml:space="preserve">Data also indicates there is room for improvement, particularly regarding outcomes for Māori and the high use of remand. 75% of persons in youth justice residences are Māori. Government agencies are developing a plan to address this, for example, </w:t>
      </w:r>
      <w:proofErr w:type="spellStart"/>
      <w:r w:rsidRPr="00F90841">
        <w:t>Oranga</w:t>
      </w:r>
      <w:proofErr w:type="spellEnd"/>
      <w:r w:rsidRPr="00F90841">
        <w:t xml:space="preserve"> Tamariki is working with Māori to develop new interventions for Māori (see para</w:t>
      </w:r>
      <w:r w:rsidR="00066F53">
        <w:t>.</w:t>
      </w:r>
      <w:r w:rsidRPr="00F90841">
        <w:t xml:space="preserve"> 194).</w:t>
      </w:r>
    </w:p>
    <w:p w14:paraId="2E6D6CD8" w14:textId="77777777" w:rsidR="007467BC" w:rsidRPr="00F90841" w:rsidRDefault="007467BC" w:rsidP="003174BD">
      <w:pPr>
        <w:pStyle w:val="H23G"/>
      </w:pPr>
      <w:bookmarkStart w:id="58" w:name="_Hlk18665374"/>
      <w:r w:rsidRPr="00F90841">
        <w:tab/>
      </w:r>
      <w:r w:rsidRPr="00F90841">
        <w:tab/>
        <w:t>Detention facilities</w:t>
      </w:r>
    </w:p>
    <w:p w14:paraId="36F56D57" w14:textId="77777777" w:rsidR="007467BC" w:rsidRPr="00F90841" w:rsidRDefault="007467BC" w:rsidP="007467BC">
      <w:pPr>
        <w:pStyle w:val="SingleTxtG"/>
      </w:pPr>
      <w:r w:rsidRPr="00F90841">
        <w:t>176.</w:t>
      </w:r>
      <w:r w:rsidRPr="00F90841">
        <w:tab/>
        <w:t>Different statutory provisions determine whether young people (under 18) can be detained in youth justice residences, youth units in prisons, or in general adult prisons. Placement depends on the young person</w:t>
      </w:r>
      <w:r w:rsidR="00562737" w:rsidRPr="00F90841">
        <w:t>’</w:t>
      </w:r>
      <w:r w:rsidRPr="00F90841">
        <w:t xml:space="preserve">s age, whether their offending has been considered in the youth justice system or the adult system, and whether they are being detained on remand or following sentence. Between 2014 and 2019, the number of young people in prisons has reduced from 60 to less than 10. </w:t>
      </w:r>
    </w:p>
    <w:p w14:paraId="00707867" w14:textId="77777777" w:rsidR="007467BC" w:rsidRPr="00F90841" w:rsidRDefault="007467BC" w:rsidP="003174BD">
      <w:pPr>
        <w:pStyle w:val="H4G"/>
      </w:pPr>
      <w:r w:rsidRPr="00F90841">
        <w:tab/>
      </w:r>
      <w:r w:rsidRPr="00F90841">
        <w:tab/>
        <w:t>Youth units in prisons</w:t>
      </w:r>
    </w:p>
    <w:p w14:paraId="75C7BA11" w14:textId="77777777" w:rsidR="007467BC" w:rsidRPr="00F90841" w:rsidRDefault="007467BC" w:rsidP="007467BC">
      <w:pPr>
        <w:pStyle w:val="SingleTxtG"/>
      </w:pPr>
      <w:bookmarkStart w:id="59" w:name="_Hlk19527101"/>
      <w:r w:rsidRPr="00F90841">
        <w:t>177.</w:t>
      </w:r>
      <w:r w:rsidRPr="00F90841">
        <w:tab/>
        <w:t xml:space="preserve">Pathways to determine whether a young person is placed in a youth justice residence or a youth unit in prison are complex and are set out in the </w:t>
      </w:r>
      <w:proofErr w:type="spellStart"/>
      <w:r w:rsidRPr="00F90841">
        <w:t>Oranga</w:t>
      </w:r>
      <w:proofErr w:type="spellEnd"/>
      <w:r w:rsidRPr="00F90841">
        <w:t xml:space="preserve"> Tamariki Act 1989, the Criminal Procedure Act 2011, and the Corrections Act 2004. Placement is guided by the best interests and safety of the young person and/or others. </w:t>
      </w:r>
    </w:p>
    <w:p w14:paraId="0A3A164A" w14:textId="77777777" w:rsidR="007467BC" w:rsidRPr="00F90841" w:rsidRDefault="007467BC" w:rsidP="007467BC">
      <w:pPr>
        <w:pStyle w:val="SingleTxtG"/>
      </w:pPr>
      <w:r w:rsidRPr="00F90841">
        <w:t>178.</w:t>
      </w:r>
      <w:r w:rsidRPr="00F90841">
        <w:tab/>
        <w:t>There are three youth units in adult prisons. They ca</w:t>
      </w:r>
      <w:r w:rsidR="00DE706A" w:rsidRPr="00F90841">
        <w:t>n accommodate young men aged 14–</w:t>
      </w:r>
      <w:r w:rsidRPr="00F90841">
        <w:t xml:space="preserve">17 years, and vulnerable 18 and 19-year olds. Currently there are no young people under 17 in youth units in prisons. </w:t>
      </w:r>
      <w:bookmarkEnd w:id="59"/>
    </w:p>
    <w:p w14:paraId="7175DA7D" w14:textId="77777777" w:rsidR="007467BC" w:rsidRPr="00F90841" w:rsidRDefault="007467BC" w:rsidP="007467BC">
      <w:pPr>
        <w:pStyle w:val="SingleTxtG"/>
      </w:pPr>
      <w:r w:rsidRPr="00F90841">
        <w:t>179.</w:t>
      </w:r>
      <w:r w:rsidRPr="00F90841">
        <w:tab/>
        <w:t>No mixing occurs between young people on remand and young people who have been sentenced, unless the Chief Executive is satisfied that there are exceptional circumstances. Keeping young people apart from the adult population and from young people who have been sentenced may amount to segregation if they are the only young person in the unit. In these cases, efforts are made to prevent isolation and keep young people meaningfully occupied. Youth units provide a range of age-appropriate programmes and supports. Over the past year, enhanced programmes were introduced, including:</w:t>
      </w:r>
    </w:p>
    <w:p w14:paraId="514BE3CC" w14:textId="77777777" w:rsidR="007467BC" w:rsidRPr="00F90841" w:rsidRDefault="007467BC" w:rsidP="003174BD">
      <w:pPr>
        <w:pStyle w:val="Bullet1G"/>
      </w:pPr>
      <w:r w:rsidRPr="00F90841">
        <w:t>A Youth Alcohol and Drug programme;</w:t>
      </w:r>
    </w:p>
    <w:p w14:paraId="676EE2A6" w14:textId="77777777" w:rsidR="007467BC" w:rsidRPr="00F90841" w:rsidRDefault="007467BC" w:rsidP="003174BD">
      <w:pPr>
        <w:pStyle w:val="Bullet1G"/>
      </w:pPr>
      <w:r w:rsidRPr="00F90841">
        <w:t>Education tutors;</w:t>
      </w:r>
    </w:p>
    <w:p w14:paraId="23F9D678" w14:textId="77777777" w:rsidR="007467BC" w:rsidRPr="00F90841" w:rsidRDefault="007467BC" w:rsidP="003174BD">
      <w:pPr>
        <w:pStyle w:val="Bullet1G"/>
      </w:pPr>
      <w:r w:rsidRPr="00F90841">
        <w:t xml:space="preserve">Youth activities coordinators. </w:t>
      </w:r>
    </w:p>
    <w:p w14:paraId="42A57D1B" w14:textId="77777777" w:rsidR="007467BC" w:rsidRPr="00F90841" w:rsidRDefault="007467BC" w:rsidP="007467BC">
      <w:pPr>
        <w:pStyle w:val="SingleTxtG"/>
      </w:pPr>
      <w:r w:rsidRPr="00F90841">
        <w:t>180.</w:t>
      </w:r>
      <w:r w:rsidRPr="00F90841">
        <w:tab/>
        <w:t>Units hold multi-disciplinary team meetings and the on-site mental health nurse can provide advice and intervention. While youth units generally follow the same procedures as mainstream prisons, there are some differences, including:</w:t>
      </w:r>
    </w:p>
    <w:p w14:paraId="61BD4189" w14:textId="77777777" w:rsidR="007467BC" w:rsidRPr="00F90841" w:rsidRDefault="007467BC" w:rsidP="003174BD">
      <w:pPr>
        <w:pStyle w:val="Bullet1G"/>
      </w:pPr>
      <w:r w:rsidRPr="00F90841">
        <w:t>Higher staff-prisoner ratio;</w:t>
      </w:r>
    </w:p>
    <w:p w14:paraId="3487FE9C" w14:textId="77777777" w:rsidR="007467BC" w:rsidRPr="00F90841" w:rsidRDefault="007467BC" w:rsidP="003174BD">
      <w:pPr>
        <w:pStyle w:val="Bullet1G"/>
      </w:pPr>
      <w:r w:rsidRPr="00F90841">
        <w:t>No general separation by security classification during unlock hours;</w:t>
      </w:r>
    </w:p>
    <w:p w14:paraId="603F7858" w14:textId="77777777" w:rsidR="007467BC" w:rsidRPr="00F90841" w:rsidRDefault="007467BC" w:rsidP="003174BD">
      <w:pPr>
        <w:pStyle w:val="Bullet1G"/>
      </w:pPr>
      <w:r w:rsidRPr="00F90841">
        <w:t>Medical staff visiting units to provide treatment.</w:t>
      </w:r>
    </w:p>
    <w:p w14:paraId="7DF8A15B" w14:textId="77777777" w:rsidR="007467BC" w:rsidRPr="00F90841" w:rsidRDefault="007467BC" w:rsidP="000D0958">
      <w:pPr>
        <w:pStyle w:val="H4G"/>
      </w:pPr>
      <w:r w:rsidRPr="00F90841">
        <w:tab/>
      </w:r>
      <w:r w:rsidRPr="00F90841">
        <w:tab/>
        <w:t>Young people in adult prisons</w:t>
      </w:r>
    </w:p>
    <w:p w14:paraId="465314A6" w14:textId="77777777" w:rsidR="007467BC" w:rsidRPr="00F90841" w:rsidRDefault="007467BC" w:rsidP="007467BC">
      <w:pPr>
        <w:pStyle w:val="SingleTxtG"/>
      </w:pPr>
      <w:r w:rsidRPr="00F90841">
        <w:t>181.</w:t>
      </w:r>
      <w:r w:rsidRPr="00F90841">
        <w:tab/>
        <w:t xml:space="preserve">In rare circumstances, a young person may be removed from a youth unit if they present an unmanageable risk to others. In these cases, the young person must be kept apart </w:t>
      </w:r>
      <w:r w:rsidRPr="00F90841">
        <w:lastRenderedPageBreak/>
        <w:t>from people aged 18 or older, unless the Chief Executive is satisfied that mixing is in their best interests. This would be achieved through a separate unlock regime for the young person.</w:t>
      </w:r>
    </w:p>
    <w:p w14:paraId="7C4BF00E" w14:textId="77777777" w:rsidR="007467BC" w:rsidRPr="00F90841" w:rsidRDefault="007467BC" w:rsidP="007467BC">
      <w:pPr>
        <w:pStyle w:val="SingleTxtG"/>
      </w:pPr>
      <w:r w:rsidRPr="00F90841">
        <w:t>182.</w:t>
      </w:r>
      <w:r w:rsidRPr="00F90841">
        <w:tab/>
        <w:t xml:space="preserve">There are no youth units for females given their low numbers. If a young female is detained in an adult prison, prisons may enable mixing with older low-risk female prisoners to avoid isolation. As of 31 July 2019, there were no females under 18 years detained in adult prisons. </w:t>
      </w:r>
    </w:p>
    <w:p w14:paraId="08453B6E" w14:textId="77777777" w:rsidR="007467BC" w:rsidRPr="00F90841" w:rsidRDefault="007467BC" w:rsidP="000D0958">
      <w:pPr>
        <w:pStyle w:val="H4G"/>
      </w:pPr>
      <w:r w:rsidRPr="00F90841">
        <w:tab/>
      </w:r>
      <w:r w:rsidRPr="00F90841">
        <w:tab/>
        <w:t xml:space="preserve">Youth justice residences </w:t>
      </w:r>
    </w:p>
    <w:p w14:paraId="6305A5A1" w14:textId="77777777" w:rsidR="007467BC" w:rsidRPr="00F90841" w:rsidRDefault="007467BC" w:rsidP="007467BC">
      <w:pPr>
        <w:pStyle w:val="SingleTxtG"/>
      </w:pPr>
      <w:bookmarkStart w:id="60" w:name="_Ref531002027"/>
      <w:r w:rsidRPr="00F90841">
        <w:t>183.</w:t>
      </w:r>
      <w:r w:rsidRPr="00F90841">
        <w:tab/>
      </w:r>
      <w:proofErr w:type="spellStart"/>
      <w:r w:rsidRPr="00F90841">
        <w:t>Oranga</w:t>
      </w:r>
      <w:proofErr w:type="spellEnd"/>
      <w:r w:rsidRPr="00F90841">
        <w:t xml:space="preserve"> Tamariki youth justice residences seek to provide a supportive environment where young offenders learn life skills and how to manage problems, with the aim of rehabilitation.</w:t>
      </w:r>
      <w:bookmarkEnd w:id="60"/>
      <w:r w:rsidRPr="00F90841">
        <w:t xml:space="preserve"> Since July 2019, remand detention in a youth justice residence is reviewed every 14 days.</w:t>
      </w:r>
    </w:p>
    <w:p w14:paraId="6AAFF3F1" w14:textId="77777777" w:rsidR="007467BC" w:rsidRPr="00F90841" w:rsidRDefault="007467BC" w:rsidP="007467BC">
      <w:pPr>
        <w:pStyle w:val="SingleTxtG"/>
      </w:pPr>
      <w:r w:rsidRPr="00F90841">
        <w:t>184.</w:t>
      </w:r>
      <w:r w:rsidRPr="00F90841">
        <w:tab/>
      </w:r>
      <w:proofErr w:type="spellStart"/>
      <w:r w:rsidRPr="00F90841">
        <w:t>Oranga</w:t>
      </w:r>
      <w:proofErr w:type="spellEnd"/>
      <w:r w:rsidRPr="00F90841">
        <w:t xml:space="preserve"> Tamariki is moving towards a system that supports young people to stay in the community, including in Māori-operated facilities, instead of placements in large youth justice residences. </w:t>
      </w:r>
      <w:proofErr w:type="spellStart"/>
      <w:r w:rsidRPr="00F90841">
        <w:t>Oranga</w:t>
      </w:r>
      <w:proofErr w:type="spellEnd"/>
      <w:r w:rsidRPr="00F90841">
        <w:t xml:space="preserve"> Tamariki is increasing the availability of community placements as an alternative to secure residences and to support the transition to communities. Since 2017, </w:t>
      </w:r>
      <w:proofErr w:type="spellStart"/>
      <w:r w:rsidRPr="00F90841">
        <w:t>Oranga</w:t>
      </w:r>
      <w:proofErr w:type="spellEnd"/>
      <w:r w:rsidRPr="00F90841">
        <w:t xml:space="preserve"> Tamariki has developed five community remand home services (capacity 23) and is working towards 14 homes (capacity 60). </w:t>
      </w:r>
    </w:p>
    <w:p w14:paraId="7B2E5850" w14:textId="77777777" w:rsidR="007467BC" w:rsidRPr="00F90841" w:rsidRDefault="007467BC" w:rsidP="000D0958">
      <w:pPr>
        <w:pStyle w:val="H4G"/>
      </w:pPr>
      <w:r w:rsidRPr="00F90841">
        <w:tab/>
      </w:r>
      <w:r w:rsidRPr="00F90841">
        <w:tab/>
      </w:r>
      <w:proofErr w:type="spellStart"/>
      <w:r w:rsidRPr="00F90841">
        <w:t>Oranga</w:t>
      </w:r>
      <w:proofErr w:type="spellEnd"/>
      <w:r w:rsidRPr="00F90841">
        <w:t xml:space="preserve"> Tamariki residences</w:t>
      </w:r>
    </w:p>
    <w:p w14:paraId="3BFEE741" w14:textId="77777777" w:rsidR="007467BC" w:rsidRPr="00F90841" w:rsidRDefault="007467BC" w:rsidP="007467BC">
      <w:pPr>
        <w:pStyle w:val="SingleTxtG"/>
      </w:pPr>
      <w:r w:rsidRPr="00F90841">
        <w:t>185.</w:t>
      </w:r>
      <w:r w:rsidRPr="00F90841">
        <w:tab/>
        <w:t xml:space="preserve">There are currently four youth justice residences with a capacity of 156 beds and four care and protection residences with 33 available beds. </w:t>
      </w:r>
      <w:proofErr w:type="spellStart"/>
      <w:r w:rsidRPr="00F90841">
        <w:t>Oranga</w:t>
      </w:r>
      <w:proofErr w:type="spellEnd"/>
      <w:r w:rsidRPr="00F90841">
        <w:t xml:space="preserve"> Tamariki manages these seven residences. A further residence for young people with harmful sexual behaviours is managed by an NGO under contract to </w:t>
      </w:r>
      <w:proofErr w:type="spellStart"/>
      <w:r w:rsidRPr="00F90841">
        <w:t>Oranga</w:t>
      </w:r>
      <w:proofErr w:type="spellEnd"/>
      <w:r w:rsidRPr="00F90841">
        <w:t xml:space="preserve"> Tamariki. In all residences, Māori are overrepresented, but this number is reducing (67% in June 2017 to 58% in June 2019).</w:t>
      </w:r>
    </w:p>
    <w:p w14:paraId="3CFA7B8F" w14:textId="77777777" w:rsidR="007467BC" w:rsidRPr="00F90841" w:rsidRDefault="007467BC" w:rsidP="007467BC">
      <w:pPr>
        <w:pStyle w:val="SingleTxtG"/>
      </w:pPr>
      <w:r w:rsidRPr="00F90841">
        <w:t>186.</w:t>
      </w:r>
      <w:r w:rsidRPr="00F90841">
        <w:tab/>
        <w:t xml:space="preserve">In youth justice residences, young persons are subject to court orders and cannot leave voluntarily. Care and Protection residences are for children in state care when it is not possible to have their needs met within the community and safe contained care is required. </w:t>
      </w:r>
      <w:proofErr w:type="spellStart"/>
      <w:r w:rsidRPr="00F90841">
        <w:t>Oranga</w:t>
      </w:r>
      <w:proofErr w:type="spellEnd"/>
      <w:r w:rsidRPr="00F90841">
        <w:t xml:space="preserve"> Tamariki is committed to phasing out the use of residences for care and protection purposes. </w:t>
      </w:r>
    </w:p>
    <w:p w14:paraId="7062F9B5" w14:textId="77777777" w:rsidR="007467BC" w:rsidRPr="00F90841" w:rsidRDefault="007467BC" w:rsidP="007467BC">
      <w:pPr>
        <w:pStyle w:val="SingleTxtG"/>
      </w:pPr>
      <w:r w:rsidRPr="00F90841">
        <w:t>187.</w:t>
      </w:r>
      <w:r w:rsidRPr="00F90841">
        <w:tab/>
        <w:t>In 2017, the Children</w:t>
      </w:r>
      <w:r w:rsidR="00562737" w:rsidRPr="00F90841">
        <w:t>’</w:t>
      </w:r>
      <w:r w:rsidRPr="00F90841">
        <w:t>s Commissioner (NPM) found that the secure residences generally met OPCAT standards, although there are areas for improvement. The Children</w:t>
      </w:r>
      <w:r w:rsidR="00562737" w:rsidRPr="00F90841">
        <w:t>’</w:t>
      </w:r>
      <w:r w:rsidRPr="00F90841">
        <w:t>s Commissioner agreed with Dr Shalev</w:t>
      </w:r>
      <w:r w:rsidR="00562737" w:rsidRPr="00F90841">
        <w:t>’</w:t>
      </w:r>
      <w:r w:rsidRPr="00F90841">
        <w:t>s report that some secure care units were inappropriate.</w:t>
      </w:r>
    </w:p>
    <w:p w14:paraId="20129003" w14:textId="77777777" w:rsidR="007467BC" w:rsidRPr="00F90841" w:rsidRDefault="007467BC" w:rsidP="007467BC">
      <w:pPr>
        <w:pStyle w:val="SingleTxtG"/>
      </w:pPr>
      <w:r w:rsidRPr="00F90841">
        <w:t>188.</w:t>
      </w:r>
      <w:r w:rsidRPr="00F90841">
        <w:tab/>
      </w:r>
      <w:proofErr w:type="spellStart"/>
      <w:r w:rsidRPr="00F90841">
        <w:t>Oranga</w:t>
      </w:r>
      <w:proofErr w:type="spellEnd"/>
      <w:r w:rsidRPr="00F90841">
        <w:t xml:space="preserve"> Tamariki is undertaking projects based on a child-centred operating model, to transform the experience of young people in residences. The Child-Centred Youth Justice Residences Project will establish residences as therapeutic, rehabilitative environments, and introduce a consistent approach to the care of young offenders. A programme to enhance the physical environment of youth justice residences has been completed. </w:t>
      </w:r>
    </w:p>
    <w:p w14:paraId="032B954A" w14:textId="77777777" w:rsidR="007467BC" w:rsidRPr="00F90841" w:rsidRDefault="007467BC" w:rsidP="007467BC">
      <w:pPr>
        <w:pStyle w:val="SingleTxtG"/>
      </w:pPr>
      <w:r w:rsidRPr="00F90841">
        <w:t>189.</w:t>
      </w:r>
      <w:r w:rsidRPr="00F90841">
        <w:tab/>
        <w:t>The regulatory framework that applies to residences is being reviewed to determine how it can align with best practice and support the new operating model. For youth justice, a restorative practice approach based on Māori values will be piloted in one facility (para</w:t>
      </w:r>
      <w:r w:rsidR="00FE6631">
        <w:t>.</w:t>
      </w:r>
      <w:r w:rsidRPr="00F90841">
        <w:t xml:space="preserve"> 194). </w:t>
      </w:r>
    </w:p>
    <w:p w14:paraId="3A0AF553" w14:textId="77777777" w:rsidR="007467BC" w:rsidRPr="00F90841" w:rsidRDefault="007467BC" w:rsidP="007467BC">
      <w:pPr>
        <w:pStyle w:val="SingleTxtG"/>
      </w:pPr>
      <w:r w:rsidRPr="00F90841">
        <w:t>190.</w:t>
      </w:r>
      <w:r w:rsidRPr="00F90841">
        <w:tab/>
        <w:t xml:space="preserve">Changes to the </w:t>
      </w:r>
      <w:proofErr w:type="spellStart"/>
      <w:r w:rsidRPr="00F90841">
        <w:t>Oranga</w:t>
      </w:r>
      <w:proofErr w:type="spellEnd"/>
      <w:r w:rsidRPr="00F90841">
        <w:t xml:space="preserve"> Tamariki Act place significant obligations on the Chief Executive of </w:t>
      </w:r>
      <w:proofErr w:type="spellStart"/>
      <w:r w:rsidRPr="00F90841">
        <w:t>Oranga</w:t>
      </w:r>
      <w:proofErr w:type="spellEnd"/>
      <w:r w:rsidRPr="00F90841">
        <w:t xml:space="preserve"> Tamariki to reduce disparities for Māori. The legislation requires that </w:t>
      </w:r>
      <w:proofErr w:type="spellStart"/>
      <w:r w:rsidRPr="00F90841">
        <w:t>Oranga</w:t>
      </w:r>
      <w:proofErr w:type="spellEnd"/>
      <w:r w:rsidRPr="00F90841">
        <w:t xml:space="preserve"> Tamariki strengthen its commitment to the Treaty of Waitangi</w:t>
      </w:r>
      <w:bookmarkStart w:id="61" w:name="_Hlk529347116"/>
      <w:r w:rsidRPr="00F90841">
        <w:t xml:space="preserve"> by, for example, considering Māori values, setting measurable outcomes to reduce disparities, partnering with Māori, and public reporting on progress.</w:t>
      </w:r>
    </w:p>
    <w:bookmarkEnd w:id="58"/>
    <w:p w14:paraId="517248E5" w14:textId="77777777" w:rsidR="007467BC" w:rsidRPr="00F90841" w:rsidRDefault="007467BC" w:rsidP="000D0958">
      <w:pPr>
        <w:pStyle w:val="H4G"/>
      </w:pPr>
      <w:r w:rsidRPr="00F90841">
        <w:tab/>
      </w:r>
      <w:r w:rsidRPr="00F90841">
        <w:tab/>
        <w:t xml:space="preserve">Segregation </w:t>
      </w:r>
    </w:p>
    <w:p w14:paraId="28635E92" w14:textId="77777777" w:rsidR="007467BC" w:rsidRPr="00F90841" w:rsidRDefault="007467BC" w:rsidP="007467BC">
      <w:pPr>
        <w:pStyle w:val="SingleTxtG"/>
      </w:pPr>
      <w:r w:rsidRPr="00F90841">
        <w:t>191.</w:t>
      </w:r>
      <w:r w:rsidRPr="00F90841">
        <w:tab/>
        <w:t xml:space="preserve">In seven out of eight </w:t>
      </w:r>
      <w:proofErr w:type="spellStart"/>
      <w:r w:rsidRPr="00F90841">
        <w:t>Oranga</w:t>
      </w:r>
      <w:proofErr w:type="spellEnd"/>
      <w:r w:rsidRPr="00F90841">
        <w:t xml:space="preserve"> Tamariki residences, young people can be held in </w:t>
      </w:r>
      <w:r w:rsidR="00562737" w:rsidRPr="00F90841">
        <w:t>‘</w:t>
      </w:r>
      <w:r w:rsidRPr="00F90841">
        <w:t>secure care</w:t>
      </w:r>
      <w:r w:rsidR="00562737" w:rsidRPr="00F90841">
        <w:t>’</w:t>
      </w:r>
      <w:r w:rsidRPr="00F90841">
        <w:t xml:space="preserve"> units, which are separate units with lockable bedrooms. A staff member is always present. No disciplinary practices within residences amount to solitary confinement. </w:t>
      </w:r>
      <w:proofErr w:type="spellStart"/>
      <w:r w:rsidRPr="00F90841">
        <w:lastRenderedPageBreak/>
        <w:t>Oranga</w:t>
      </w:r>
      <w:proofErr w:type="spellEnd"/>
      <w:r w:rsidRPr="00F90841">
        <w:t xml:space="preserve"> Tamariki is committed to reducing the use of secure care and making secure units look and feel less stark.</w:t>
      </w:r>
    </w:p>
    <w:p w14:paraId="072FD7AA" w14:textId="77777777" w:rsidR="007467BC" w:rsidRPr="00F90841" w:rsidRDefault="007467BC" w:rsidP="007467BC">
      <w:pPr>
        <w:pStyle w:val="SingleTxtG"/>
      </w:pPr>
      <w:r w:rsidRPr="00F90841">
        <w:t>192.</w:t>
      </w:r>
      <w:r w:rsidRPr="00F90841">
        <w:tab/>
        <w:t>Secure care can only be used to prevent physical harm or absconding. The power to place young people in secure care can only be used in limited circumstances prescribed in legislation, and there are reporting requirements. On entering, all young people are made aware of the reason of their entry. Daily reviews of placements are required, and the young person can participate in reviews. A young person cannot remain in secure care longer than three consecutive days without Court approval.</w:t>
      </w:r>
    </w:p>
    <w:p w14:paraId="51715951" w14:textId="77777777" w:rsidR="007467BC" w:rsidRPr="00F90841" w:rsidRDefault="007467BC" w:rsidP="007467BC">
      <w:pPr>
        <w:pStyle w:val="SingleTxtG"/>
      </w:pPr>
      <w:r w:rsidRPr="00F90841">
        <w:t>193.</w:t>
      </w:r>
      <w:r w:rsidRPr="00F90841">
        <w:tab/>
        <w:t>Secure care is different from segregation in prisons since those in secure care can mix with one another between 8am and 8pm. A child or young person placed in secure care may be confined to their own room only in certain circumstances, such as an emergency and for no longer than is necessary. This intervention is closely monitored and set out in legislation. A review of the grounds for confinement must be made frequently, for example, every five minutes between 8am and 8pm and usually every 30 minutes overnight.</w:t>
      </w:r>
      <w:bookmarkEnd w:id="61"/>
    </w:p>
    <w:p w14:paraId="047C59FD" w14:textId="77777777" w:rsidR="007467BC" w:rsidRPr="00F90841" w:rsidRDefault="007467BC" w:rsidP="007467BC">
      <w:pPr>
        <w:pStyle w:val="SingleTxtG"/>
      </w:pPr>
      <w:r w:rsidRPr="00F90841">
        <w:t>194.</w:t>
      </w:r>
      <w:r w:rsidRPr="00F90841">
        <w:tab/>
      </w:r>
      <w:proofErr w:type="spellStart"/>
      <w:r w:rsidRPr="00F90841">
        <w:t>Oranga</w:t>
      </w:r>
      <w:proofErr w:type="spellEnd"/>
      <w:r w:rsidRPr="00F90841">
        <w:t xml:space="preserve"> Tamariki is developing alternative approaches to dealing with challenging behaviour. </w:t>
      </w:r>
      <w:proofErr w:type="spellStart"/>
      <w:r w:rsidRPr="00F90841">
        <w:t>Whakamana</w:t>
      </w:r>
      <w:proofErr w:type="spellEnd"/>
      <w:r w:rsidRPr="00F90841">
        <w:t xml:space="preserve"> </w:t>
      </w:r>
      <w:proofErr w:type="spellStart"/>
      <w:r w:rsidRPr="00F90841">
        <w:t>Tangata</w:t>
      </w:r>
      <w:proofErr w:type="spellEnd"/>
      <w:r w:rsidRPr="00F90841">
        <w:t xml:space="preserve"> is an approach specifically developed for youth justice residences. It uses five Māori values (mana, </w:t>
      </w:r>
      <w:proofErr w:type="spellStart"/>
      <w:r w:rsidRPr="00F90841">
        <w:t>tapu</w:t>
      </w:r>
      <w:proofErr w:type="spellEnd"/>
      <w:r w:rsidRPr="00F90841">
        <w:t xml:space="preserve">, mauri </w:t>
      </w:r>
      <w:proofErr w:type="spellStart"/>
      <w:r w:rsidRPr="00F90841">
        <w:t>ora</w:t>
      </w:r>
      <w:proofErr w:type="spellEnd"/>
      <w:r w:rsidRPr="00F90841">
        <w:t xml:space="preserve">, </w:t>
      </w:r>
      <w:proofErr w:type="spellStart"/>
      <w:r w:rsidRPr="00F90841">
        <w:t>piringa</w:t>
      </w:r>
      <w:proofErr w:type="spellEnd"/>
      <w:r w:rsidRPr="00F90841">
        <w:t xml:space="preserve">, </w:t>
      </w:r>
      <w:proofErr w:type="spellStart"/>
      <w:r w:rsidRPr="00F90841">
        <w:t>ara</w:t>
      </w:r>
      <w:proofErr w:type="spellEnd"/>
      <w:r w:rsidRPr="00F90841">
        <w:t xml:space="preserve"> tikanga)</w:t>
      </w:r>
      <w:r w:rsidRPr="00F90841">
        <w:rPr>
          <w:rStyle w:val="FootnoteReference"/>
        </w:rPr>
        <w:footnoteReference w:id="8"/>
      </w:r>
      <w:r w:rsidRPr="00F90841">
        <w:t xml:space="preserve"> and four restorative principles (relationships, respect, responsibility and repair) to build, maintain and repair relationships through preventative and restorative practice. A trial is underway in one unit.</w:t>
      </w:r>
    </w:p>
    <w:p w14:paraId="3194DF0E" w14:textId="77777777" w:rsidR="007467BC" w:rsidRPr="00F90841" w:rsidRDefault="007467BC" w:rsidP="00DE706A">
      <w:pPr>
        <w:pStyle w:val="SingleTxtG"/>
      </w:pPr>
      <w:r w:rsidRPr="00F90841">
        <w:t>195.</w:t>
      </w:r>
      <w:r w:rsidRPr="00F90841">
        <w:tab/>
        <w:t>There are high rates of mental health issues for young people in residences. Access to specialist mental health treatment for young people in residences can be challenging as there is a shortage of services. In 2016, a new 10-bed specialised youth forensic inpatient unit was opened for 13</w:t>
      </w:r>
      <w:r w:rsidR="00DE706A" w:rsidRPr="00F90841">
        <w:t>–</w:t>
      </w:r>
      <w:r w:rsidRPr="00F90841">
        <w:t xml:space="preserve">17-year-olds severely affected by mental health issues, who are involved in the youth justice system. The unit incorporates Māori models of care, encourages school attendance and engagement in therapeutic programmes. </w:t>
      </w:r>
    </w:p>
    <w:p w14:paraId="373DF301" w14:textId="77777777" w:rsidR="007467BC" w:rsidRPr="00F90841" w:rsidRDefault="007467BC" w:rsidP="003B4764">
      <w:pPr>
        <w:pStyle w:val="H4G"/>
      </w:pPr>
      <w:r w:rsidRPr="00F90841">
        <w:tab/>
      </w:r>
      <w:r w:rsidRPr="00F90841">
        <w:tab/>
        <w:t>Young people in Police custody</w:t>
      </w:r>
    </w:p>
    <w:p w14:paraId="5EA03BD0" w14:textId="77777777" w:rsidR="007467BC" w:rsidRPr="00F90841" w:rsidRDefault="007467BC" w:rsidP="007467BC">
      <w:pPr>
        <w:pStyle w:val="SingleTxtG"/>
      </w:pPr>
      <w:r w:rsidRPr="00F90841">
        <w:t>196.</w:t>
      </w:r>
      <w:r w:rsidRPr="00F90841">
        <w:tab/>
        <w:t>There are concerns about young people being held in Police cells for extended periods (over 24 hours). The Children</w:t>
      </w:r>
      <w:r w:rsidR="00562737" w:rsidRPr="00F90841">
        <w:t>’</w:t>
      </w:r>
      <w:r w:rsidRPr="00F90841">
        <w:t>s Commissioner considers that over time, the option to remand children to Police cells after the first court appearance should be removed from legislation.</w:t>
      </w:r>
    </w:p>
    <w:p w14:paraId="44237B38" w14:textId="77777777" w:rsidR="007467BC" w:rsidRPr="00F90841" w:rsidRDefault="007467BC" w:rsidP="008836B8">
      <w:pPr>
        <w:pStyle w:val="SingleTxtG"/>
      </w:pPr>
      <w:r w:rsidRPr="00F90841">
        <w:t>197.</w:t>
      </w:r>
      <w:r w:rsidRPr="00F90841">
        <w:tab/>
        <w:t xml:space="preserve">Police cells do not meet the needs of young people. The </w:t>
      </w:r>
      <w:proofErr w:type="spellStart"/>
      <w:r w:rsidRPr="00F90841">
        <w:t>Oranga</w:t>
      </w:r>
      <w:proofErr w:type="spellEnd"/>
      <w:r w:rsidRPr="00F90841">
        <w:t xml:space="preserve"> Tamariki Act only permits holding young people in Police cells in the following circumstances:</w:t>
      </w:r>
    </w:p>
    <w:p w14:paraId="203AF953" w14:textId="77777777" w:rsidR="007467BC" w:rsidRPr="00F90841" w:rsidRDefault="007467BC" w:rsidP="003B4764">
      <w:pPr>
        <w:pStyle w:val="Bullet1G"/>
      </w:pPr>
      <w:r w:rsidRPr="00F90841">
        <w:t xml:space="preserve">Detention for over 24 hours following arrest (prior to first appearance in Youth Court) on joint agreement by Police and </w:t>
      </w:r>
      <w:proofErr w:type="spellStart"/>
      <w:r w:rsidRPr="00F90841">
        <w:t>Oranga</w:t>
      </w:r>
      <w:proofErr w:type="spellEnd"/>
      <w:r w:rsidRPr="00F90841">
        <w:t xml:space="preserve"> Tamariki, where the young person is likely to abscond or be violent and where suitable facilities for safe custody are not available to </w:t>
      </w:r>
      <w:proofErr w:type="spellStart"/>
      <w:r w:rsidRPr="00F90841">
        <w:t>Oranga</w:t>
      </w:r>
      <w:proofErr w:type="spellEnd"/>
      <w:r w:rsidRPr="00F90841">
        <w:t xml:space="preserve"> Tamariki;</w:t>
      </w:r>
    </w:p>
    <w:p w14:paraId="117BA0CC" w14:textId="77777777" w:rsidR="007467BC" w:rsidRPr="00F90841" w:rsidRDefault="007467BC" w:rsidP="003B4764">
      <w:pPr>
        <w:pStyle w:val="Bullet1G"/>
      </w:pPr>
      <w:r w:rsidRPr="00F90841">
        <w:t xml:space="preserve">By Youth Court order, pending hearing, where the young person is likely to abscond or be violent and where suitable facilities for safe custody are not available to </w:t>
      </w:r>
      <w:proofErr w:type="spellStart"/>
      <w:r w:rsidRPr="00F90841">
        <w:t>Oranga</w:t>
      </w:r>
      <w:proofErr w:type="spellEnd"/>
      <w:r w:rsidRPr="00F90841">
        <w:t xml:space="preserve"> Tamariki;</w:t>
      </w:r>
    </w:p>
    <w:p w14:paraId="4ED47C10" w14:textId="77777777" w:rsidR="007467BC" w:rsidRPr="00F90841" w:rsidRDefault="007467BC" w:rsidP="003B4764">
      <w:pPr>
        <w:pStyle w:val="Bullet1G"/>
      </w:pPr>
      <w:r w:rsidRPr="00F90841">
        <w:t xml:space="preserve">Where the Youth Court has ordered the young person to be placed in the custody of </w:t>
      </w:r>
      <w:proofErr w:type="spellStart"/>
      <w:r w:rsidRPr="00F90841">
        <w:t>Oranga</w:t>
      </w:r>
      <w:proofErr w:type="spellEnd"/>
      <w:r w:rsidRPr="00F90841">
        <w:t xml:space="preserve"> Tamariki pending hearing, they can be detained for up to 24 hours in Police custody if Police and </w:t>
      </w:r>
      <w:proofErr w:type="spellStart"/>
      <w:r w:rsidRPr="00F90841">
        <w:t>Oranga</w:t>
      </w:r>
      <w:proofErr w:type="spellEnd"/>
      <w:r w:rsidRPr="00F90841">
        <w:t xml:space="preserve"> Tamariki are satisfied they are likely to abscond or be violent and that suitable facilities for safe custody are not available to </w:t>
      </w:r>
      <w:proofErr w:type="spellStart"/>
      <w:r w:rsidRPr="00F90841">
        <w:t>Oranga</w:t>
      </w:r>
      <w:proofErr w:type="spellEnd"/>
      <w:r w:rsidRPr="00F90841">
        <w:t xml:space="preserve"> Tamariki;</w:t>
      </w:r>
    </w:p>
    <w:p w14:paraId="48A8565E" w14:textId="77777777" w:rsidR="007467BC" w:rsidRPr="00F90841" w:rsidRDefault="007467BC" w:rsidP="003B4764">
      <w:pPr>
        <w:pStyle w:val="Bullet1G"/>
      </w:pPr>
      <w:r w:rsidRPr="00F90841">
        <w:t>Since July 2019, reviews by the Youth Court of Police detention are required every 24 hours unless clearly impracticable.</w:t>
      </w:r>
    </w:p>
    <w:p w14:paraId="7D0624D8" w14:textId="77777777" w:rsidR="007467BC" w:rsidRPr="00F90841" w:rsidRDefault="007467BC" w:rsidP="007467BC">
      <w:pPr>
        <w:pStyle w:val="SingleTxtG"/>
      </w:pPr>
      <w:r w:rsidRPr="00F90841">
        <w:t>198.</w:t>
      </w:r>
      <w:r w:rsidRPr="00F90841">
        <w:tab/>
        <w:t xml:space="preserve">When a young person is held in a Police cell, this is usually because a suitable place in an </w:t>
      </w:r>
      <w:proofErr w:type="spellStart"/>
      <w:r w:rsidRPr="00F90841">
        <w:t>Oranga</w:t>
      </w:r>
      <w:proofErr w:type="spellEnd"/>
      <w:r w:rsidRPr="00F90841">
        <w:t xml:space="preserve"> Tamariki facility is unavailable or there are no transport options available (e.g. </w:t>
      </w:r>
      <w:r w:rsidRPr="00F90841">
        <w:lastRenderedPageBreak/>
        <w:t xml:space="preserve">departing flights from regional areas). Social workers and Police work closely to find the best solution and minimise time in Police custody. </w:t>
      </w:r>
      <w:bookmarkStart w:id="62" w:name="_Hlk528588164"/>
    </w:p>
    <w:p w14:paraId="6FC0645B" w14:textId="77777777" w:rsidR="007467BC" w:rsidRPr="00F90841" w:rsidRDefault="007467BC" w:rsidP="007467BC">
      <w:pPr>
        <w:pStyle w:val="SingleTxtG"/>
      </w:pPr>
      <w:r w:rsidRPr="00F90841">
        <w:t>199.</w:t>
      </w:r>
      <w:r w:rsidRPr="00F90841">
        <w:tab/>
        <w:t xml:space="preserve">The Remand Options Investigation Tool is being rolled out to reduce the number of young people held in custody while awaiting court hearings. The tool supports Police and </w:t>
      </w:r>
      <w:proofErr w:type="spellStart"/>
      <w:r w:rsidRPr="00F90841">
        <w:t>Oranga</w:t>
      </w:r>
      <w:proofErr w:type="spellEnd"/>
      <w:r w:rsidRPr="00F90841">
        <w:t xml:space="preserve"> Tamariki to assess and decide whether to oppose bail in court and identify what bail arrangements are possible to avoid custodial remand.</w:t>
      </w:r>
    </w:p>
    <w:bookmarkEnd w:id="62"/>
    <w:p w14:paraId="42D6FADC" w14:textId="77777777" w:rsidR="007467BC" w:rsidRPr="00F90841" w:rsidRDefault="003B4764" w:rsidP="00FE6631">
      <w:pPr>
        <w:pStyle w:val="H23G"/>
      </w:pPr>
      <w:r w:rsidRPr="00F90841">
        <w:tab/>
      </w:r>
      <w:r w:rsidRPr="00F90841">
        <w:tab/>
      </w:r>
      <w:r w:rsidR="007467BC" w:rsidRPr="00F90841">
        <w:t>14</w:t>
      </w:r>
      <w:r w:rsidR="00313981" w:rsidRPr="00F90841">
        <w:t>–</w:t>
      </w:r>
      <w:proofErr w:type="gramStart"/>
      <w:r w:rsidR="007467BC" w:rsidRPr="00F90841">
        <w:t>16 year</w:t>
      </w:r>
      <w:proofErr w:type="gramEnd"/>
      <w:r w:rsidR="007467BC" w:rsidRPr="00F90841">
        <w:t xml:space="preserve"> olds held in a police cell over 24 hours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8"/>
        <w:gridCol w:w="3842"/>
      </w:tblGrid>
      <w:tr w:rsidR="007467BC" w:rsidRPr="00F90841" w14:paraId="125ADB89" w14:textId="77777777" w:rsidTr="003B4764">
        <w:trPr>
          <w:tblHeader/>
        </w:trPr>
        <w:tc>
          <w:tcPr>
            <w:tcW w:w="3528" w:type="dxa"/>
            <w:tcBorders>
              <w:top w:val="single" w:sz="4" w:space="0" w:color="auto"/>
              <w:bottom w:val="single" w:sz="12" w:space="0" w:color="auto"/>
            </w:tcBorders>
            <w:shd w:val="clear" w:color="auto" w:fill="auto"/>
            <w:vAlign w:val="bottom"/>
          </w:tcPr>
          <w:p w14:paraId="4C6290E1" w14:textId="77777777" w:rsidR="007467BC" w:rsidRPr="00F90841" w:rsidRDefault="007467BC" w:rsidP="003B4764">
            <w:pPr>
              <w:suppressAutoHyphens w:val="0"/>
              <w:spacing w:before="80" w:after="80" w:line="200" w:lineRule="exact"/>
              <w:ind w:right="113"/>
              <w:rPr>
                <w:i/>
                <w:sz w:val="16"/>
              </w:rPr>
            </w:pPr>
            <w:bookmarkStart w:id="63" w:name="_Hlk19527232"/>
          </w:p>
        </w:tc>
        <w:tc>
          <w:tcPr>
            <w:tcW w:w="3842" w:type="dxa"/>
            <w:tcBorders>
              <w:top w:val="single" w:sz="4" w:space="0" w:color="auto"/>
              <w:bottom w:val="single" w:sz="12" w:space="0" w:color="auto"/>
            </w:tcBorders>
            <w:shd w:val="clear" w:color="auto" w:fill="auto"/>
            <w:vAlign w:val="bottom"/>
          </w:tcPr>
          <w:p w14:paraId="7C5CE219" w14:textId="77777777" w:rsidR="007467BC" w:rsidRPr="00F90841" w:rsidRDefault="007467BC" w:rsidP="003B4764">
            <w:pPr>
              <w:suppressAutoHyphens w:val="0"/>
              <w:spacing w:before="80" w:after="80" w:line="200" w:lineRule="exact"/>
              <w:ind w:right="113"/>
              <w:jc w:val="right"/>
              <w:rPr>
                <w:i/>
                <w:sz w:val="16"/>
              </w:rPr>
            </w:pPr>
            <w:r w:rsidRPr="00F90841">
              <w:rPr>
                <w:i/>
                <w:sz w:val="16"/>
              </w:rPr>
              <w:t>Number of youths</w:t>
            </w:r>
          </w:p>
        </w:tc>
      </w:tr>
      <w:tr w:rsidR="007467BC" w:rsidRPr="00F90841" w14:paraId="00175201" w14:textId="77777777" w:rsidTr="003B4764">
        <w:tc>
          <w:tcPr>
            <w:tcW w:w="3528" w:type="dxa"/>
            <w:tcBorders>
              <w:top w:val="single" w:sz="12" w:space="0" w:color="auto"/>
            </w:tcBorders>
            <w:shd w:val="clear" w:color="auto" w:fill="auto"/>
          </w:tcPr>
          <w:p w14:paraId="42A4D363" w14:textId="77777777" w:rsidR="007467BC" w:rsidRPr="00F90841" w:rsidRDefault="00313981" w:rsidP="003B4764">
            <w:pPr>
              <w:suppressAutoHyphens w:val="0"/>
              <w:spacing w:before="40" w:after="40" w:line="220" w:lineRule="exact"/>
              <w:ind w:right="113"/>
              <w:rPr>
                <w:sz w:val="18"/>
              </w:rPr>
            </w:pPr>
            <w:r w:rsidRPr="00F90841">
              <w:rPr>
                <w:sz w:val="18"/>
              </w:rPr>
              <w:t>2014–</w:t>
            </w:r>
            <w:r w:rsidR="007467BC" w:rsidRPr="00F90841">
              <w:rPr>
                <w:sz w:val="18"/>
              </w:rPr>
              <w:t>15</w:t>
            </w:r>
          </w:p>
        </w:tc>
        <w:tc>
          <w:tcPr>
            <w:tcW w:w="3842" w:type="dxa"/>
            <w:tcBorders>
              <w:top w:val="single" w:sz="12" w:space="0" w:color="auto"/>
            </w:tcBorders>
            <w:shd w:val="clear" w:color="auto" w:fill="auto"/>
            <w:vAlign w:val="bottom"/>
          </w:tcPr>
          <w:p w14:paraId="484E54C8" w14:textId="77777777" w:rsidR="007467BC" w:rsidRPr="00F90841" w:rsidRDefault="007467BC" w:rsidP="003B4764">
            <w:pPr>
              <w:suppressAutoHyphens w:val="0"/>
              <w:spacing w:before="40" w:after="40" w:line="220" w:lineRule="exact"/>
              <w:ind w:right="113"/>
              <w:jc w:val="right"/>
              <w:rPr>
                <w:sz w:val="18"/>
              </w:rPr>
            </w:pPr>
            <w:r w:rsidRPr="00F90841">
              <w:rPr>
                <w:sz w:val="18"/>
              </w:rPr>
              <w:t>50</w:t>
            </w:r>
          </w:p>
        </w:tc>
      </w:tr>
      <w:tr w:rsidR="007467BC" w:rsidRPr="00F90841" w14:paraId="0AFF6593" w14:textId="77777777" w:rsidTr="003B4764">
        <w:tc>
          <w:tcPr>
            <w:tcW w:w="3528" w:type="dxa"/>
            <w:shd w:val="clear" w:color="auto" w:fill="auto"/>
          </w:tcPr>
          <w:p w14:paraId="19B19F92" w14:textId="77777777" w:rsidR="007467BC" w:rsidRPr="00F90841" w:rsidRDefault="00313981" w:rsidP="003B4764">
            <w:pPr>
              <w:suppressAutoHyphens w:val="0"/>
              <w:spacing w:before="40" w:after="40" w:line="220" w:lineRule="exact"/>
              <w:ind w:right="113"/>
              <w:rPr>
                <w:sz w:val="18"/>
              </w:rPr>
            </w:pPr>
            <w:r w:rsidRPr="00F90841">
              <w:rPr>
                <w:sz w:val="18"/>
              </w:rPr>
              <w:t>2015–</w:t>
            </w:r>
            <w:r w:rsidR="007467BC" w:rsidRPr="00F90841">
              <w:rPr>
                <w:sz w:val="18"/>
              </w:rPr>
              <w:t>16</w:t>
            </w:r>
          </w:p>
        </w:tc>
        <w:tc>
          <w:tcPr>
            <w:tcW w:w="3842" w:type="dxa"/>
            <w:shd w:val="clear" w:color="auto" w:fill="auto"/>
            <w:vAlign w:val="bottom"/>
          </w:tcPr>
          <w:p w14:paraId="4E436826" w14:textId="77777777" w:rsidR="007467BC" w:rsidRPr="00F90841" w:rsidRDefault="007467BC" w:rsidP="003B4764">
            <w:pPr>
              <w:suppressAutoHyphens w:val="0"/>
              <w:spacing w:before="40" w:after="40" w:line="220" w:lineRule="exact"/>
              <w:ind w:right="113"/>
              <w:jc w:val="right"/>
              <w:rPr>
                <w:sz w:val="18"/>
              </w:rPr>
            </w:pPr>
            <w:r w:rsidRPr="00F90841">
              <w:rPr>
                <w:sz w:val="18"/>
              </w:rPr>
              <w:t>149</w:t>
            </w:r>
          </w:p>
        </w:tc>
      </w:tr>
      <w:tr w:rsidR="007467BC" w:rsidRPr="00F90841" w14:paraId="4D021FDD" w14:textId="77777777" w:rsidTr="003B4764">
        <w:tc>
          <w:tcPr>
            <w:tcW w:w="3528" w:type="dxa"/>
            <w:shd w:val="clear" w:color="auto" w:fill="auto"/>
          </w:tcPr>
          <w:p w14:paraId="02E86BA8" w14:textId="77777777" w:rsidR="007467BC" w:rsidRPr="00F90841" w:rsidRDefault="00313981" w:rsidP="003B4764">
            <w:pPr>
              <w:suppressAutoHyphens w:val="0"/>
              <w:spacing w:before="40" w:after="40" w:line="220" w:lineRule="exact"/>
              <w:ind w:right="113"/>
              <w:rPr>
                <w:sz w:val="18"/>
              </w:rPr>
            </w:pPr>
            <w:r w:rsidRPr="00F90841">
              <w:rPr>
                <w:sz w:val="18"/>
              </w:rPr>
              <w:t>2016–</w:t>
            </w:r>
            <w:r w:rsidR="007467BC" w:rsidRPr="00F90841">
              <w:rPr>
                <w:sz w:val="18"/>
              </w:rPr>
              <w:t>17</w:t>
            </w:r>
          </w:p>
        </w:tc>
        <w:tc>
          <w:tcPr>
            <w:tcW w:w="3842" w:type="dxa"/>
            <w:shd w:val="clear" w:color="auto" w:fill="auto"/>
            <w:vAlign w:val="bottom"/>
          </w:tcPr>
          <w:p w14:paraId="2976C8CD" w14:textId="77777777" w:rsidR="007467BC" w:rsidRPr="00F90841" w:rsidRDefault="007467BC" w:rsidP="003B4764">
            <w:pPr>
              <w:suppressAutoHyphens w:val="0"/>
              <w:spacing w:before="40" w:after="40" w:line="220" w:lineRule="exact"/>
              <w:ind w:right="113"/>
              <w:jc w:val="right"/>
              <w:rPr>
                <w:sz w:val="18"/>
              </w:rPr>
            </w:pPr>
            <w:r w:rsidRPr="00F90841">
              <w:rPr>
                <w:sz w:val="18"/>
              </w:rPr>
              <w:t>284</w:t>
            </w:r>
          </w:p>
        </w:tc>
      </w:tr>
      <w:tr w:rsidR="007467BC" w:rsidRPr="00F90841" w14:paraId="16ED4406" w14:textId="77777777" w:rsidTr="003B4764">
        <w:tc>
          <w:tcPr>
            <w:tcW w:w="3528" w:type="dxa"/>
            <w:shd w:val="clear" w:color="auto" w:fill="auto"/>
          </w:tcPr>
          <w:p w14:paraId="658D4563" w14:textId="77777777" w:rsidR="007467BC" w:rsidRPr="00F90841" w:rsidRDefault="00313981" w:rsidP="003B4764">
            <w:pPr>
              <w:suppressAutoHyphens w:val="0"/>
              <w:spacing w:before="40" w:after="40" w:line="220" w:lineRule="exact"/>
              <w:ind w:right="113"/>
              <w:rPr>
                <w:sz w:val="18"/>
              </w:rPr>
            </w:pPr>
            <w:r w:rsidRPr="00F90841">
              <w:rPr>
                <w:sz w:val="18"/>
              </w:rPr>
              <w:t>2017–</w:t>
            </w:r>
            <w:r w:rsidR="007467BC" w:rsidRPr="00F90841">
              <w:rPr>
                <w:sz w:val="18"/>
              </w:rPr>
              <w:t>18</w:t>
            </w:r>
          </w:p>
        </w:tc>
        <w:tc>
          <w:tcPr>
            <w:tcW w:w="3842" w:type="dxa"/>
            <w:shd w:val="clear" w:color="auto" w:fill="auto"/>
            <w:vAlign w:val="bottom"/>
          </w:tcPr>
          <w:p w14:paraId="77ABDA93" w14:textId="77777777" w:rsidR="007467BC" w:rsidRPr="00F90841" w:rsidRDefault="007467BC" w:rsidP="003B4764">
            <w:pPr>
              <w:suppressAutoHyphens w:val="0"/>
              <w:spacing w:before="40" w:after="40" w:line="220" w:lineRule="exact"/>
              <w:ind w:right="113"/>
              <w:jc w:val="right"/>
              <w:rPr>
                <w:sz w:val="18"/>
              </w:rPr>
            </w:pPr>
            <w:r w:rsidRPr="00F90841">
              <w:rPr>
                <w:sz w:val="18"/>
              </w:rPr>
              <w:t>165</w:t>
            </w:r>
          </w:p>
        </w:tc>
      </w:tr>
      <w:tr w:rsidR="007467BC" w:rsidRPr="00F90841" w14:paraId="038DD399" w14:textId="77777777" w:rsidTr="003B4764">
        <w:tc>
          <w:tcPr>
            <w:tcW w:w="3528" w:type="dxa"/>
            <w:shd w:val="clear" w:color="auto" w:fill="auto"/>
          </w:tcPr>
          <w:p w14:paraId="27574F28" w14:textId="77777777" w:rsidR="007467BC" w:rsidRPr="00F90841" w:rsidRDefault="00313981" w:rsidP="003B4764">
            <w:pPr>
              <w:suppressAutoHyphens w:val="0"/>
              <w:spacing w:before="40" w:after="40" w:line="220" w:lineRule="exact"/>
              <w:ind w:right="113"/>
              <w:rPr>
                <w:sz w:val="18"/>
              </w:rPr>
            </w:pPr>
            <w:r w:rsidRPr="00F90841">
              <w:rPr>
                <w:sz w:val="18"/>
              </w:rPr>
              <w:t>2018–</w:t>
            </w:r>
            <w:r w:rsidR="007467BC" w:rsidRPr="00F90841">
              <w:rPr>
                <w:sz w:val="18"/>
              </w:rPr>
              <w:t>19</w:t>
            </w:r>
          </w:p>
        </w:tc>
        <w:tc>
          <w:tcPr>
            <w:tcW w:w="3842" w:type="dxa"/>
            <w:shd w:val="clear" w:color="auto" w:fill="auto"/>
            <w:vAlign w:val="bottom"/>
          </w:tcPr>
          <w:p w14:paraId="5B84751D" w14:textId="77777777" w:rsidR="007467BC" w:rsidRPr="00F90841" w:rsidDel="00052D74" w:rsidRDefault="007467BC" w:rsidP="003B4764">
            <w:pPr>
              <w:suppressAutoHyphens w:val="0"/>
              <w:spacing w:before="40" w:after="40" w:line="220" w:lineRule="exact"/>
              <w:ind w:right="113"/>
              <w:jc w:val="right"/>
              <w:rPr>
                <w:sz w:val="18"/>
              </w:rPr>
            </w:pPr>
            <w:r w:rsidRPr="00F90841">
              <w:rPr>
                <w:sz w:val="18"/>
              </w:rPr>
              <w:t>106</w:t>
            </w:r>
          </w:p>
        </w:tc>
      </w:tr>
    </w:tbl>
    <w:bookmarkEnd w:id="63"/>
    <w:p w14:paraId="72FB43EF" w14:textId="77777777" w:rsidR="007467BC" w:rsidRPr="00F90841" w:rsidRDefault="007467BC" w:rsidP="003B4764">
      <w:pPr>
        <w:pStyle w:val="SingleTxtG"/>
        <w:spacing w:before="120" w:after="0" w:line="240" w:lineRule="atLeast"/>
        <w:ind w:firstLine="170"/>
        <w:jc w:val="left"/>
        <w:rPr>
          <w:sz w:val="18"/>
          <w:szCs w:val="18"/>
        </w:rPr>
      </w:pPr>
      <w:r w:rsidRPr="00F90841">
        <w:rPr>
          <w:sz w:val="18"/>
        </w:rPr>
        <w:t xml:space="preserve">This data is provided by </w:t>
      </w:r>
      <w:proofErr w:type="spellStart"/>
      <w:r w:rsidRPr="00F90841">
        <w:rPr>
          <w:sz w:val="18"/>
        </w:rPr>
        <w:t>Oranga</w:t>
      </w:r>
      <w:proofErr w:type="spellEnd"/>
      <w:r w:rsidRPr="00F90841">
        <w:rPr>
          <w:sz w:val="18"/>
        </w:rPr>
        <w:t xml:space="preserve"> Tamariki and may differ from data held by Police. </w:t>
      </w:r>
      <w:r w:rsidRPr="00F90841">
        <w:rPr>
          <w:sz w:val="18"/>
          <w:szCs w:val="18"/>
        </w:rPr>
        <w:t xml:space="preserve">For data on young people held in Police cells who have experienced mental health issues, see para. </w:t>
      </w:r>
      <w:r w:rsidRPr="00F90841">
        <w:rPr>
          <w:sz w:val="18"/>
          <w:szCs w:val="18"/>
          <w:cs/>
        </w:rPr>
        <w:t>‎</w:t>
      </w:r>
      <w:r w:rsidRPr="00F90841">
        <w:rPr>
          <w:sz w:val="18"/>
          <w:szCs w:val="18"/>
        </w:rPr>
        <w:t>0.</w:t>
      </w:r>
    </w:p>
    <w:p w14:paraId="2C6A203C" w14:textId="77777777" w:rsidR="007467BC" w:rsidRPr="00F90841" w:rsidRDefault="007467BC" w:rsidP="003B4764">
      <w:pPr>
        <w:pStyle w:val="H4G"/>
      </w:pPr>
      <w:r w:rsidRPr="00F90841">
        <w:tab/>
      </w:r>
      <w:r w:rsidRPr="00F90841">
        <w:tab/>
        <w:t>Young people in mental health units</w:t>
      </w:r>
    </w:p>
    <w:p w14:paraId="7E6373BC" w14:textId="77777777" w:rsidR="007467BC" w:rsidRPr="00F90841" w:rsidRDefault="007467BC" w:rsidP="007467BC">
      <w:pPr>
        <w:pStyle w:val="SingleTxtG"/>
      </w:pPr>
      <w:r w:rsidRPr="00F90841">
        <w:t>200.</w:t>
      </w:r>
      <w:r w:rsidRPr="00F90841">
        <w:tab/>
        <w:t>Young people may be detained in a mental health unit for compulsory assessment and treatment if they meet the criteria under the Mental Health Act. Where practicable, treatment is provided in a child and youth mental health facility, in line with Article 37 of the Convention on the Rights of the Child. If this is not practicable, a young person may be separated from adults in a mental health unit.</w:t>
      </w:r>
    </w:p>
    <w:p w14:paraId="485C009D" w14:textId="77777777" w:rsidR="007467BC" w:rsidRPr="00F90841" w:rsidRDefault="007467BC" w:rsidP="007467BC">
      <w:pPr>
        <w:pStyle w:val="SingleTxtG"/>
      </w:pPr>
      <w:r w:rsidRPr="00F90841">
        <w:t>201.</w:t>
      </w:r>
      <w:r w:rsidRPr="00F90841">
        <w:tab/>
        <w:t xml:space="preserve">Young people who are subject to the Mental Health Act have the same rights and safeguards as adults. Additionally, the assessment of people aged under 17 should be conducted by a specialist child and adolescent psychiatrist. </w:t>
      </w:r>
    </w:p>
    <w:p w14:paraId="0C9050B1" w14:textId="77777777" w:rsidR="007467BC" w:rsidRPr="00F90841" w:rsidRDefault="007467BC" w:rsidP="007467BC">
      <w:pPr>
        <w:pStyle w:val="SingleTxtG"/>
      </w:pPr>
      <w:r w:rsidRPr="00F90841">
        <w:t>202.</w:t>
      </w:r>
      <w:r w:rsidRPr="00F90841">
        <w:tab/>
        <w:t xml:space="preserve">In 2018, the Mental Health Commissioner raised concerns regarding young people in </w:t>
      </w:r>
      <w:proofErr w:type="spellStart"/>
      <w:r w:rsidRPr="00F90841">
        <w:t>Oranga</w:t>
      </w:r>
      <w:proofErr w:type="spellEnd"/>
      <w:r w:rsidRPr="00F90841">
        <w:t xml:space="preserve"> Tamariki</w:t>
      </w:r>
      <w:r w:rsidR="00562737" w:rsidRPr="00F90841">
        <w:t>’</w:t>
      </w:r>
      <w:r w:rsidRPr="00F90841">
        <w:t xml:space="preserve">s care remaining in inpatient mental health units because of lack of suitable placements. The Ministry of Health shares these concerns and is working with agencies, to address these issues and monitor the situation. </w:t>
      </w:r>
    </w:p>
    <w:p w14:paraId="17745EFC" w14:textId="77777777" w:rsidR="007467BC" w:rsidRPr="00F90841" w:rsidRDefault="00313981" w:rsidP="001F1806">
      <w:pPr>
        <w:pStyle w:val="H23G"/>
      </w:pPr>
      <w:r w:rsidRPr="00F90841">
        <w:tab/>
      </w:r>
      <w:r w:rsidRPr="00F90841">
        <w:tab/>
      </w:r>
      <w:r w:rsidR="007467BC" w:rsidRPr="00F90841">
        <w:t>Persons 17 and under detained for compulsory assessment and treatment in a mental health inpatient unit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496"/>
        <w:gridCol w:w="3874"/>
      </w:tblGrid>
      <w:tr w:rsidR="007467BC" w:rsidRPr="00F90841" w14:paraId="6D77CDDE" w14:textId="77777777" w:rsidTr="00313981">
        <w:trPr>
          <w:tblHeader/>
        </w:trPr>
        <w:tc>
          <w:tcPr>
            <w:tcW w:w="3496" w:type="dxa"/>
            <w:tcBorders>
              <w:top w:val="single" w:sz="4" w:space="0" w:color="auto"/>
              <w:bottom w:val="single" w:sz="12" w:space="0" w:color="auto"/>
            </w:tcBorders>
            <w:shd w:val="clear" w:color="auto" w:fill="auto"/>
            <w:vAlign w:val="bottom"/>
            <w:hideMark/>
          </w:tcPr>
          <w:p w14:paraId="666CA45D" w14:textId="77777777" w:rsidR="007467BC" w:rsidRPr="00F90841" w:rsidRDefault="007467BC" w:rsidP="00313981">
            <w:pPr>
              <w:spacing w:before="80" w:after="80" w:line="200" w:lineRule="exact"/>
              <w:ind w:right="113"/>
              <w:rPr>
                <w:i/>
                <w:sz w:val="16"/>
              </w:rPr>
            </w:pPr>
          </w:p>
        </w:tc>
        <w:tc>
          <w:tcPr>
            <w:tcW w:w="3874" w:type="dxa"/>
            <w:tcBorders>
              <w:top w:val="single" w:sz="4" w:space="0" w:color="auto"/>
              <w:bottom w:val="single" w:sz="12" w:space="0" w:color="auto"/>
            </w:tcBorders>
            <w:shd w:val="clear" w:color="auto" w:fill="auto"/>
            <w:vAlign w:val="bottom"/>
            <w:hideMark/>
          </w:tcPr>
          <w:p w14:paraId="70EA742D" w14:textId="77777777" w:rsidR="007467BC" w:rsidRPr="00F90841" w:rsidRDefault="007467BC" w:rsidP="00313981">
            <w:pPr>
              <w:spacing w:before="80" w:after="80" w:line="200" w:lineRule="exact"/>
              <w:ind w:right="113"/>
              <w:jc w:val="right"/>
              <w:rPr>
                <w:i/>
                <w:sz w:val="16"/>
              </w:rPr>
            </w:pPr>
            <w:r w:rsidRPr="00F90841">
              <w:rPr>
                <w:i/>
                <w:sz w:val="16"/>
              </w:rPr>
              <w:t xml:space="preserve">Number of clients </w:t>
            </w:r>
          </w:p>
        </w:tc>
      </w:tr>
      <w:tr w:rsidR="007467BC" w:rsidRPr="00F90841" w14:paraId="58BCA227" w14:textId="77777777" w:rsidTr="00313981">
        <w:tc>
          <w:tcPr>
            <w:tcW w:w="3496" w:type="dxa"/>
            <w:tcBorders>
              <w:top w:val="single" w:sz="12" w:space="0" w:color="auto"/>
            </w:tcBorders>
            <w:shd w:val="clear" w:color="auto" w:fill="auto"/>
            <w:noWrap/>
            <w:hideMark/>
          </w:tcPr>
          <w:p w14:paraId="2821B0AA" w14:textId="77777777" w:rsidR="007467BC" w:rsidRPr="00F90841" w:rsidRDefault="007467BC" w:rsidP="00313981">
            <w:pPr>
              <w:spacing w:before="40" w:after="40" w:line="220" w:lineRule="exact"/>
              <w:ind w:right="113"/>
              <w:rPr>
                <w:sz w:val="18"/>
              </w:rPr>
            </w:pPr>
            <w:r w:rsidRPr="00F90841">
              <w:rPr>
                <w:sz w:val="18"/>
              </w:rPr>
              <w:t>2014</w:t>
            </w:r>
          </w:p>
        </w:tc>
        <w:tc>
          <w:tcPr>
            <w:tcW w:w="3874" w:type="dxa"/>
            <w:tcBorders>
              <w:top w:val="single" w:sz="12" w:space="0" w:color="auto"/>
            </w:tcBorders>
            <w:shd w:val="clear" w:color="auto" w:fill="auto"/>
            <w:noWrap/>
            <w:vAlign w:val="bottom"/>
            <w:hideMark/>
          </w:tcPr>
          <w:p w14:paraId="2F833CB4" w14:textId="77777777" w:rsidR="007467BC" w:rsidRPr="00F90841" w:rsidRDefault="007467BC" w:rsidP="00313981">
            <w:pPr>
              <w:spacing w:before="40" w:after="40" w:line="220" w:lineRule="exact"/>
              <w:ind w:right="113"/>
              <w:jc w:val="right"/>
              <w:rPr>
                <w:sz w:val="18"/>
              </w:rPr>
            </w:pPr>
            <w:r w:rsidRPr="00F90841">
              <w:rPr>
                <w:sz w:val="18"/>
              </w:rPr>
              <w:t>72</w:t>
            </w:r>
          </w:p>
        </w:tc>
      </w:tr>
      <w:tr w:rsidR="007467BC" w:rsidRPr="00F90841" w14:paraId="7083A7A8" w14:textId="77777777" w:rsidTr="00313981">
        <w:tc>
          <w:tcPr>
            <w:tcW w:w="3496" w:type="dxa"/>
            <w:shd w:val="clear" w:color="auto" w:fill="auto"/>
            <w:noWrap/>
            <w:hideMark/>
          </w:tcPr>
          <w:p w14:paraId="57A58710" w14:textId="77777777" w:rsidR="007467BC" w:rsidRPr="00F90841" w:rsidRDefault="007467BC" w:rsidP="00313981">
            <w:pPr>
              <w:spacing w:before="40" w:after="40" w:line="220" w:lineRule="exact"/>
              <w:ind w:right="113"/>
              <w:rPr>
                <w:sz w:val="18"/>
              </w:rPr>
            </w:pPr>
            <w:r w:rsidRPr="00F90841">
              <w:rPr>
                <w:sz w:val="18"/>
              </w:rPr>
              <w:t>2015</w:t>
            </w:r>
          </w:p>
        </w:tc>
        <w:tc>
          <w:tcPr>
            <w:tcW w:w="3874" w:type="dxa"/>
            <w:shd w:val="clear" w:color="auto" w:fill="auto"/>
            <w:noWrap/>
            <w:vAlign w:val="bottom"/>
            <w:hideMark/>
          </w:tcPr>
          <w:p w14:paraId="043B42F0" w14:textId="77777777" w:rsidR="007467BC" w:rsidRPr="00F90841" w:rsidRDefault="007467BC" w:rsidP="00313981">
            <w:pPr>
              <w:spacing w:before="40" w:after="40" w:line="220" w:lineRule="exact"/>
              <w:ind w:right="113"/>
              <w:jc w:val="right"/>
              <w:rPr>
                <w:sz w:val="18"/>
              </w:rPr>
            </w:pPr>
            <w:r w:rsidRPr="00F90841">
              <w:rPr>
                <w:sz w:val="18"/>
              </w:rPr>
              <w:t>55</w:t>
            </w:r>
          </w:p>
        </w:tc>
      </w:tr>
      <w:tr w:rsidR="007467BC" w:rsidRPr="00F90841" w14:paraId="15748AC6" w14:textId="77777777" w:rsidTr="00313981">
        <w:tc>
          <w:tcPr>
            <w:tcW w:w="3496" w:type="dxa"/>
            <w:shd w:val="clear" w:color="auto" w:fill="auto"/>
            <w:noWrap/>
            <w:hideMark/>
          </w:tcPr>
          <w:p w14:paraId="05C3DA43" w14:textId="77777777" w:rsidR="007467BC" w:rsidRPr="00F90841" w:rsidRDefault="007467BC" w:rsidP="00313981">
            <w:pPr>
              <w:spacing w:before="40" w:after="40" w:line="220" w:lineRule="exact"/>
              <w:ind w:right="113"/>
              <w:rPr>
                <w:sz w:val="18"/>
              </w:rPr>
            </w:pPr>
            <w:r w:rsidRPr="00F90841">
              <w:rPr>
                <w:sz w:val="18"/>
              </w:rPr>
              <w:t>2016</w:t>
            </w:r>
          </w:p>
        </w:tc>
        <w:tc>
          <w:tcPr>
            <w:tcW w:w="3874" w:type="dxa"/>
            <w:shd w:val="clear" w:color="auto" w:fill="auto"/>
            <w:noWrap/>
            <w:vAlign w:val="bottom"/>
            <w:hideMark/>
          </w:tcPr>
          <w:p w14:paraId="4598E420" w14:textId="77777777" w:rsidR="007467BC" w:rsidRPr="00F90841" w:rsidRDefault="007467BC" w:rsidP="00313981">
            <w:pPr>
              <w:spacing w:before="40" w:after="40" w:line="220" w:lineRule="exact"/>
              <w:ind w:right="113"/>
              <w:jc w:val="right"/>
              <w:rPr>
                <w:sz w:val="18"/>
              </w:rPr>
            </w:pPr>
            <w:r w:rsidRPr="00F90841">
              <w:rPr>
                <w:sz w:val="18"/>
              </w:rPr>
              <w:t>58</w:t>
            </w:r>
          </w:p>
        </w:tc>
      </w:tr>
      <w:tr w:rsidR="007467BC" w:rsidRPr="00F90841" w14:paraId="6B49F1C3" w14:textId="77777777" w:rsidTr="00313981">
        <w:tc>
          <w:tcPr>
            <w:tcW w:w="3496" w:type="dxa"/>
            <w:shd w:val="clear" w:color="auto" w:fill="auto"/>
            <w:noWrap/>
            <w:hideMark/>
          </w:tcPr>
          <w:p w14:paraId="32FC9E07" w14:textId="77777777" w:rsidR="007467BC" w:rsidRPr="00F90841" w:rsidRDefault="007467BC" w:rsidP="00313981">
            <w:pPr>
              <w:spacing w:before="40" w:after="40" w:line="220" w:lineRule="exact"/>
              <w:ind w:right="113"/>
              <w:rPr>
                <w:sz w:val="18"/>
              </w:rPr>
            </w:pPr>
            <w:r w:rsidRPr="00F90841">
              <w:rPr>
                <w:sz w:val="18"/>
              </w:rPr>
              <w:t>2017</w:t>
            </w:r>
          </w:p>
        </w:tc>
        <w:tc>
          <w:tcPr>
            <w:tcW w:w="3874" w:type="dxa"/>
            <w:shd w:val="clear" w:color="auto" w:fill="auto"/>
            <w:noWrap/>
            <w:vAlign w:val="bottom"/>
            <w:hideMark/>
          </w:tcPr>
          <w:p w14:paraId="2047530E" w14:textId="77777777" w:rsidR="007467BC" w:rsidRPr="00F90841" w:rsidRDefault="007467BC" w:rsidP="00313981">
            <w:pPr>
              <w:spacing w:before="40" w:after="40" w:line="220" w:lineRule="exact"/>
              <w:ind w:right="113"/>
              <w:jc w:val="right"/>
              <w:rPr>
                <w:sz w:val="18"/>
              </w:rPr>
            </w:pPr>
            <w:r w:rsidRPr="00F90841">
              <w:rPr>
                <w:sz w:val="18"/>
              </w:rPr>
              <w:t>77</w:t>
            </w:r>
          </w:p>
        </w:tc>
      </w:tr>
    </w:tbl>
    <w:p w14:paraId="0ECCB017" w14:textId="77777777" w:rsidR="007467BC" w:rsidRPr="00F90841" w:rsidRDefault="007467BC" w:rsidP="00313981">
      <w:pPr>
        <w:pStyle w:val="H4G"/>
      </w:pPr>
      <w:bookmarkStart w:id="64" w:name="_Hlk527464661"/>
      <w:r w:rsidRPr="00F90841">
        <w:tab/>
      </w:r>
      <w:r w:rsidRPr="00F90841">
        <w:tab/>
        <w:t>Article 37 of the Convention on the Rights of the Child</w:t>
      </w:r>
    </w:p>
    <w:p w14:paraId="5D8C2BB5" w14:textId="77777777" w:rsidR="007467BC" w:rsidRPr="00F90841" w:rsidRDefault="007467BC" w:rsidP="007467BC">
      <w:pPr>
        <w:pStyle w:val="SingleTxtG"/>
      </w:pPr>
      <w:r w:rsidRPr="00F90841">
        <w:t>203.</w:t>
      </w:r>
      <w:r w:rsidRPr="00F90841">
        <w:tab/>
        <w:t>Under Article 37, every child (under 18) deprived of liberty shall be separated from adults unless it is considered in their best interest not to do so. New Zealand has reserved its right not to apply this provision under certain circumstances. Facilities generally meet the requirements of Article 37 and efforts are made to ensure young people are separated from adults. However, avoiding age-mixing is not always possible due to limitations of existing facilities or because it is necessary to avoid isolation.</w:t>
      </w:r>
      <w:bookmarkEnd w:id="64"/>
    </w:p>
    <w:p w14:paraId="6575B849" w14:textId="77777777" w:rsidR="007467BC" w:rsidRPr="00F90841" w:rsidRDefault="007467BC" w:rsidP="00B318F2">
      <w:pPr>
        <w:pStyle w:val="H1G"/>
      </w:pPr>
      <w:r w:rsidRPr="00F90841">
        <w:tab/>
      </w:r>
      <w:r w:rsidRPr="00F90841">
        <w:tab/>
        <w:t>Reply to paragraph 21 of the list of issues</w:t>
      </w:r>
    </w:p>
    <w:bookmarkEnd w:id="57"/>
    <w:p w14:paraId="702BBA2F" w14:textId="77777777" w:rsidR="007467BC" w:rsidRPr="00F90841" w:rsidRDefault="007467BC" w:rsidP="00B318F2">
      <w:pPr>
        <w:pStyle w:val="H23G"/>
      </w:pPr>
      <w:r w:rsidRPr="00F90841">
        <w:tab/>
      </w:r>
      <w:r w:rsidRPr="00F90841">
        <w:tab/>
        <w:t>Inter-prisoner violence</w:t>
      </w:r>
    </w:p>
    <w:p w14:paraId="58928BF8" w14:textId="77777777" w:rsidR="007467BC" w:rsidRPr="00F90841" w:rsidRDefault="007467BC" w:rsidP="007467BC">
      <w:pPr>
        <w:pStyle w:val="SingleTxtG"/>
      </w:pPr>
      <w:r w:rsidRPr="00F90841">
        <w:t>204.</w:t>
      </w:r>
      <w:r w:rsidRPr="00F90841">
        <w:tab/>
        <w:t>The 2016/17 OPCAT report notes concerns about levels of violence in prisons.</w:t>
      </w:r>
    </w:p>
    <w:p w14:paraId="09107C58" w14:textId="77777777" w:rsidR="007467BC" w:rsidRPr="00F90841" w:rsidRDefault="00B318F2" w:rsidP="001F1806">
      <w:pPr>
        <w:pStyle w:val="H23G"/>
      </w:pPr>
      <w:r w:rsidRPr="00F90841">
        <w:lastRenderedPageBreak/>
        <w:tab/>
      </w:r>
      <w:r w:rsidRPr="00F90841">
        <w:tab/>
      </w:r>
      <w:r w:rsidR="007467BC" w:rsidRPr="00F90841">
        <w:t>Serious prisoner-on-prisoner assault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92"/>
        <w:gridCol w:w="1015"/>
        <w:gridCol w:w="1016"/>
        <w:gridCol w:w="1015"/>
        <w:gridCol w:w="1016"/>
        <w:gridCol w:w="1016"/>
      </w:tblGrid>
      <w:tr w:rsidR="007467BC" w:rsidRPr="00F90841" w14:paraId="21CF3AC8" w14:textId="77777777" w:rsidTr="00B318F2">
        <w:trPr>
          <w:tblHeader/>
        </w:trPr>
        <w:tc>
          <w:tcPr>
            <w:tcW w:w="2689" w:type="dxa"/>
            <w:tcBorders>
              <w:top w:val="single" w:sz="4" w:space="0" w:color="auto"/>
              <w:bottom w:val="single" w:sz="12" w:space="0" w:color="auto"/>
            </w:tcBorders>
            <w:shd w:val="clear" w:color="auto" w:fill="auto"/>
            <w:vAlign w:val="bottom"/>
          </w:tcPr>
          <w:p w14:paraId="587EE7E0" w14:textId="77777777" w:rsidR="007467BC" w:rsidRPr="00F90841" w:rsidRDefault="007467BC" w:rsidP="00B318F2">
            <w:pPr>
              <w:suppressAutoHyphens w:val="0"/>
              <w:spacing w:before="80" w:after="80" w:line="200" w:lineRule="exact"/>
              <w:ind w:right="113"/>
              <w:rPr>
                <w:i/>
                <w:sz w:val="16"/>
              </w:rPr>
            </w:pPr>
          </w:p>
        </w:tc>
        <w:tc>
          <w:tcPr>
            <w:tcW w:w="1190" w:type="dxa"/>
            <w:tcBorders>
              <w:top w:val="single" w:sz="4" w:space="0" w:color="auto"/>
              <w:bottom w:val="single" w:sz="12" w:space="0" w:color="auto"/>
            </w:tcBorders>
            <w:shd w:val="clear" w:color="auto" w:fill="auto"/>
            <w:vAlign w:val="bottom"/>
          </w:tcPr>
          <w:p w14:paraId="17926727" w14:textId="77777777" w:rsidR="007467BC" w:rsidRPr="00F90841" w:rsidRDefault="007467BC" w:rsidP="00B318F2">
            <w:pPr>
              <w:suppressAutoHyphens w:val="0"/>
              <w:spacing w:before="80" w:after="80" w:line="200" w:lineRule="exact"/>
              <w:ind w:right="113"/>
              <w:jc w:val="right"/>
              <w:rPr>
                <w:i/>
                <w:sz w:val="16"/>
              </w:rPr>
            </w:pPr>
            <w:r w:rsidRPr="00F90841">
              <w:rPr>
                <w:i/>
                <w:sz w:val="16"/>
              </w:rPr>
              <w:t>2013/14</w:t>
            </w:r>
          </w:p>
        </w:tc>
        <w:tc>
          <w:tcPr>
            <w:tcW w:w="1191" w:type="dxa"/>
            <w:tcBorders>
              <w:top w:val="single" w:sz="4" w:space="0" w:color="auto"/>
              <w:bottom w:val="single" w:sz="12" w:space="0" w:color="auto"/>
            </w:tcBorders>
            <w:shd w:val="clear" w:color="auto" w:fill="auto"/>
            <w:vAlign w:val="bottom"/>
          </w:tcPr>
          <w:p w14:paraId="668BF06C" w14:textId="77777777" w:rsidR="007467BC" w:rsidRPr="00F90841" w:rsidRDefault="007467BC" w:rsidP="00B318F2">
            <w:pPr>
              <w:suppressAutoHyphens w:val="0"/>
              <w:spacing w:before="80" w:after="80" w:line="200" w:lineRule="exact"/>
              <w:ind w:right="113"/>
              <w:jc w:val="right"/>
              <w:rPr>
                <w:i/>
                <w:sz w:val="16"/>
              </w:rPr>
            </w:pPr>
            <w:r w:rsidRPr="00F90841">
              <w:rPr>
                <w:i/>
                <w:sz w:val="16"/>
              </w:rPr>
              <w:t>2014/15</w:t>
            </w:r>
          </w:p>
        </w:tc>
        <w:tc>
          <w:tcPr>
            <w:tcW w:w="1190" w:type="dxa"/>
            <w:tcBorders>
              <w:top w:val="single" w:sz="4" w:space="0" w:color="auto"/>
              <w:bottom w:val="single" w:sz="12" w:space="0" w:color="auto"/>
            </w:tcBorders>
            <w:shd w:val="clear" w:color="auto" w:fill="auto"/>
            <w:vAlign w:val="bottom"/>
          </w:tcPr>
          <w:p w14:paraId="21935459" w14:textId="77777777" w:rsidR="007467BC" w:rsidRPr="00F90841" w:rsidRDefault="007467BC" w:rsidP="00B318F2">
            <w:pPr>
              <w:suppressAutoHyphens w:val="0"/>
              <w:spacing w:before="80" w:after="80" w:line="200" w:lineRule="exact"/>
              <w:ind w:right="113"/>
              <w:jc w:val="right"/>
              <w:rPr>
                <w:i/>
                <w:sz w:val="16"/>
              </w:rPr>
            </w:pPr>
            <w:r w:rsidRPr="00F90841">
              <w:rPr>
                <w:i/>
                <w:sz w:val="16"/>
              </w:rPr>
              <w:t>2015/16</w:t>
            </w:r>
          </w:p>
        </w:tc>
        <w:tc>
          <w:tcPr>
            <w:tcW w:w="1191" w:type="dxa"/>
            <w:tcBorders>
              <w:top w:val="single" w:sz="4" w:space="0" w:color="auto"/>
              <w:bottom w:val="single" w:sz="12" w:space="0" w:color="auto"/>
            </w:tcBorders>
            <w:shd w:val="clear" w:color="auto" w:fill="auto"/>
            <w:vAlign w:val="bottom"/>
          </w:tcPr>
          <w:p w14:paraId="2C17B080" w14:textId="77777777" w:rsidR="007467BC" w:rsidRPr="00F90841" w:rsidRDefault="007467BC" w:rsidP="00B318F2">
            <w:pPr>
              <w:suppressAutoHyphens w:val="0"/>
              <w:spacing w:before="80" w:after="80" w:line="200" w:lineRule="exact"/>
              <w:ind w:right="113"/>
              <w:jc w:val="right"/>
              <w:rPr>
                <w:i/>
                <w:sz w:val="16"/>
              </w:rPr>
            </w:pPr>
            <w:r w:rsidRPr="00F90841">
              <w:rPr>
                <w:i/>
                <w:sz w:val="16"/>
              </w:rPr>
              <w:t>2016/17</w:t>
            </w:r>
          </w:p>
        </w:tc>
        <w:tc>
          <w:tcPr>
            <w:tcW w:w="1191" w:type="dxa"/>
            <w:tcBorders>
              <w:top w:val="single" w:sz="4" w:space="0" w:color="auto"/>
              <w:bottom w:val="single" w:sz="12" w:space="0" w:color="auto"/>
            </w:tcBorders>
            <w:shd w:val="clear" w:color="auto" w:fill="auto"/>
            <w:vAlign w:val="bottom"/>
          </w:tcPr>
          <w:p w14:paraId="23DAF3FF" w14:textId="77777777" w:rsidR="007467BC" w:rsidRPr="00F90841" w:rsidRDefault="007467BC" w:rsidP="00B318F2">
            <w:pPr>
              <w:suppressAutoHyphens w:val="0"/>
              <w:spacing w:before="80" w:after="80" w:line="200" w:lineRule="exact"/>
              <w:ind w:right="113"/>
              <w:jc w:val="right"/>
              <w:rPr>
                <w:i/>
                <w:sz w:val="16"/>
              </w:rPr>
            </w:pPr>
            <w:r w:rsidRPr="00F90841">
              <w:rPr>
                <w:i/>
                <w:sz w:val="16"/>
              </w:rPr>
              <w:t>2017/18</w:t>
            </w:r>
          </w:p>
        </w:tc>
      </w:tr>
      <w:tr w:rsidR="007467BC" w:rsidRPr="00F90841" w14:paraId="167D4ADE" w14:textId="77777777" w:rsidTr="00B318F2">
        <w:tc>
          <w:tcPr>
            <w:tcW w:w="2689" w:type="dxa"/>
            <w:tcBorders>
              <w:top w:val="single" w:sz="12" w:space="0" w:color="auto"/>
            </w:tcBorders>
            <w:shd w:val="clear" w:color="auto" w:fill="auto"/>
          </w:tcPr>
          <w:p w14:paraId="260EC687" w14:textId="77777777" w:rsidR="007467BC" w:rsidRPr="00F90841" w:rsidRDefault="007467BC" w:rsidP="00B318F2">
            <w:pPr>
              <w:suppressAutoHyphens w:val="0"/>
              <w:spacing w:before="40" w:after="40" w:line="220" w:lineRule="exact"/>
              <w:ind w:right="113"/>
              <w:rPr>
                <w:sz w:val="18"/>
              </w:rPr>
            </w:pPr>
            <w:r w:rsidRPr="00F90841">
              <w:rPr>
                <w:sz w:val="18"/>
              </w:rPr>
              <w:t>Serious prisoner-on-prisoner assaults (requiring overnight hospitalisation)</w:t>
            </w:r>
          </w:p>
        </w:tc>
        <w:tc>
          <w:tcPr>
            <w:tcW w:w="1190" w:type="dxa"/>
            <w:tcBorders>
              <w:top w:val="single" w:sz="12" w:space="0" w:color="auto"/>
            </w:tcBorders>
            <w:shd w:val="clear" w:color="auto" w:fill="auto"/>
            <w:vAlign w:val="bottom"/>
          </w:tcPr>
          <w:p w14:paraId="1FE2E18B" w14:textId="77777777" w:rsidR="007467BC" w:rsidRPr="00F90841" w:rsidRDefault="007467BC" w:rsidP="00B318F2">
            <w:pPr>
              <w:suppressAutoHyphens w:val="0"/>
              <w:spacing w:before="40" w:after="40" w:line="220" w:lineRule="exact"/>
              <w:ind w:right="113"/>
              <w:jc w:val="right"/>
              <w:rPr>
                <w:sz w:val="18"/>
              </w:rPr>
            </w:pPr>
            <w:r w:rsidRPr="00F90841">
              <w:rPr>
                <w:sz w:val="18"/>
              </w:rPr>
              <w:t>42</w:t>
            </w:r>
          </w:p>
        </w:tc>
        <w:tc>
          <w:tcPr>
            <w:tcW w:w="1191" w:type="dxa"/>
            <w:tcBorders>
              <w:top w:val="single" w:sz="12" w:space="0" w:color="auto"/>
            </w:tcBorders>
            <w:shd w:val="clear" w:color="auto" w:fill="auto"/>
            <w:vAlign w:val="bottom"/>
          </w:tcPr>
          <w:p w14:paraId="5DF34352" w14:textId="77777777" w:rsidR="007467BC" w:rsidRPr="00F90841" w:rsidRDefault="007467BC" w:rsidP="00B318F2">
            <w:pPr>
              <w:suppressAutoHyphens w:val="0"/>
              <w:spacing w:before="40" w:after="40" w:line="220" w:lineRule="exact"/>
              <w:ind w:right="113"/>
              <w:jc w:val="right"/>
              <w:rPr>
                <w:sz w:val="18"/>
              </w:rPr>
            </w:pPr>
            <w:r w:rsidRPr="00F90841">
              <w:rPr>
                <w:sz w:val="18"/>
              </w:rPr>
              <w:t>38</w:t>
            </w:r>
          </w:p>
        </w:tc>
        <w:tc>
          <w:tcPr>
            <w:tcW w:w="1190" w:type="dxa"/>
            <w:tcBorders>
              <w:top w:val="single" w:sz="12" w:space="0" w:color="auto"/>
            </w:tcBorders>
            <w:shd w:val="clear" w:color="auto" w:fill="auto"/>
            <w:vAlign w:val="bottom"/>
          </w:tcPr>
          <w:p w14:paraId="586A98F9" w14:textId="77777777" w:rsidR="007467BC" w:rsidRPr="00F90841" w:rsidRDefault="007467BC" w:rsidP="00B318F2">
            <w:pPr>
              <w:suppressAutoHyphens w:val="0"/>
              <w:spacing w:before="40" w:after="40" w:line="220" w:lineRule="exact"/>
              <w:ind w:right="113"/>
              <w:jc w:val="right"/>
              <w:rPr>
                <w:sz w:val="18"/>
              </w:rPr>
            </w:pPr>
            <w:r w:rsidRPr="00F90841">
              <w:rPr>
                <w:sz w:val="18"/>
              </w:rPr>
              <w:t>45</w:t>
            </w:r>
          </w:p>
        </w:tc>
        <w:tc>
          <w:tcPr>
            <w:tcW w:w="1191" w:type="dxa"/>
            <w:tcBorders>
              <w:top w:val="single" w:sz="12" w:space="0" w:color="auto"/>
            </w:tcBorders>
            <w:shd w:val="clear" w:color="auto" w:fill="auto"/>
            <w:vAlign w:val="bottom"/>
          </w:tcPr>
          <w:p w14:paraId="0C7B6FC9" w14:textId="77777777" w:rsidR="007467BC" w:rsidRPr="00F90841" w:rsidRDefault="007467BC" w:rsidP="00B318F2">
            <w:pPr>
              <w:suppressAutoHyphens w:val="0"/>
              <w:spacing w:before="40" w:after="40" w:line="220" w:lineRule="exact"/>
              <w:ind w:right="113"/>
              <w:jc w:val="right"/>
              <w:rPr>
                <w:sz w:val="18"/>
              </w:rPr>
            </w:pPr>
            <w:r w:rsidRPr="00F90841">
              <w:rPr>
                <w:sz w:val="18"/>
              </w:rPr>
              <w:t>25</w:t>
            </w:r>
          </w:p>
        </w:tc>
        <w:tc>
          <w:tcPr>
            <w:tcW w:w="1191" w:type="dxa"/>
            <w:tcBorders>
              <w:top w:val="single" w:sz="12" w:space="0" w:color="auto"/>
            </w:tcBorders>
            <w:shd w:val="clear" w:color="auto" w:fill="auto"/>
            <w:vAlign w:val="bottom"/>
          </w:tcPr>
          <w:p w14:paraId="767C3800" w14:textId="77777777" w:rsidR="007467BC" w:rsidRPr="00F90841" w:rsidRDefault="007467BC" w:rsidP="00B318F2">
            <w:pPr>
              <w:suppressAutoHyphens w:val="0"/>
              <w:spacing w:before="40" w:after="40" w:line="220" w:lineRule="exact"/>
              <w:ind w:right="113"/>
              <w:jc w:val="right"/>
              <w:rPr>
                <w:sz w:val="18"/>
              </w:rPr>
            </w:pPr>
            <w:r w:rsidRPr="00F90841">
              <w:rPr>
                <w:sz w:val="18"/>
              </w:rPr>
              <w:t>42</w:t>
            </w:r>
          </w:p>
        </w:tc>
      </w:tr>
    </w:tbl>
    <w:p w14:paraId="5FADEBA8" w14:textId="77777777" w:rsidR="007467BC" w:rsidRPr="00F90841" w:rsidRDefault="007467BC" w:rsidP="00B318F2">
      <w:pPr>
        <w:pStyle w:val="SingleTxtG"/>
        <w:spacing w:before="240"/>
      </w:pPr>
      <w:r w:rsidRPr="00F90841">
        <w:t>205.</w:t>
      </w:r>
      <w:r w:rsidRPr="00F90841">
        <w:tab/>
        <w:t>In 2015, the Chief Inspector of Corrections undertook a major investigation into organised prisoner-on-prisoner violence at Mount Eden Corrections Facility, which at the time was privately run. All 21 recommendations were accepted, including taking appropriate and timely action in response to violent prisoners. The prison has returned to Corrections</w:t>
      </w:r>
      <w:r w:rsidR="00562737" w:rsidRPr="00F90841">
        <w:t>’</w:t>
      </w:r>
      <w:r w:rsidRPr="00F90841">
        <w:t xml:space="preserve"> management.</w:t>
      </w:r>
    </w:p>
    <w:p w14:paraId="2E367109" w14:textId="77777777" w:rsidR="007467BC" w:rsidRPr="00F90841" w:rsidRDefault="007467BC" w:rsidP="007467BC">
      <w:pPr>
        <w:pStyle w:val="SingleTxtG"/>
      </w:pPr>
      <w:r w:rsidRPr="00F90841">
        <w:t>206.</w:t>
      </w:r>
      <w:r w:rsidRPr="00F90841">
        <w:tab/>
        <w:t xml:space="preserve">Corrections has a zero-tolerance policy for violence in prisons. Despite a 7.7% increase in the prison population in 2016/2017, and a 1.9% increase in 2017/2018, rates of violent incidents have remained relatively static. All instances of violence that are reported are reviewed at the site. </w:t>
      </w:r>
    </w:p>
    <w:p w14:paraId="799B3A69" w14:textId="77777777" w:rsidR="007467BC" w:rsidRPr="00F90841" w:rsidRDefault="007467BC" w:rsidP="007467BC">
      <w:pPr>
        <w:pStyle w:val="SingleTxtG"/>
      </w:pPr>
      <w:r w:rsidRPr="00F90841">
        <w:t>207.</w:t>
      </w:r>
      <w:r w:rsidRPr="00F90841">
        <w:tab/>
        <w:t xml:space="preserve">We note that not all instances of violence are reported and that surveys conducted by the Ombudsman indicate a culture of fear and intimidation in prison. There are ongoing efforts to improve prevention, detection, and response to violence, including by: </w:t>
      </w:r>
    </w:p>
    <w:p w14:paraId="531CCDAC" w14:textId="77777777" w:rsidR="007467BC" w:rsidRPr="00F90841" w:rsidRDefault="007467BC" w:rsidP="00B318F2">
      <w:pPr>
        <w:pStyle w:val="Bullet1G"/>
      </w:pPr>
      <w:r w:rsidRPr="00F90841">
        <w:t>Recruiting 474 officers in 2017/2018 to enable active management of prisoners;</w:t>
      </w:r>
    </w:p>
    <w:p w14:paraId="130B1F52" w14:textId="77777777" w:rsidR="007467BC" w:rsidRPr="00F90841" w:rsidRDefault="007467BC" w:rsidP="00B318F2">
      <w:pPr>
        <w:pStyle w:val="Bullet1G"/>
      </w:pPr>
      <w:r w:rsidRPr="00F90841">
        <w:t>Increasing the number of prisons with on-site teams trained in dealing with emergencies;</w:t>
      </w:r>
    </w:p>
    <w:p w14:paraId="2CBD4C7B" w14:textId="77777777" w:rsidR="007467BC" w:rsidRPr="00F90841" w:rsidRDefault="007467BC" w:rsidP="00B318F2">
      <w:pPr>
        <w:pStyle w:val="Bullet1G"/>
      </w:pPr>
      <w:r w:rsidRPr="00F90841">
        <w:t>Launching a five-year gang strategy in 2017 to reduce harm caused by gangs in prison;</w:t>
      </w:r>
    </w:p>
    <w:p w14:paraId="752BCD4B" w14:textId="77777777" w:rsidR="007467BC" w:rsidRPr="00F90841" w:rsidRDefault="007467BC" w:rsidP="00B318F2">
      <w:pPr>
        <w:pStyle w:val="Bullet1G"/>
      </w:pPr>
      <w:r w:rsidRPr="00F90841">
        <w:t>Establishing safer custody panels in prisons to discuss incidents, trends and learnings around safety at the site;</w:t>
      </w:r>
    </w:p>
    <w:p w14:paraId="2C6FA272" w14:textId="77777777" w:rsidR="007467BC" w:rsidRPr="00F90841" w:rsidRDefault="007467BC" w:rsidP="00B318F2">
      <w:pPr>
        <w:pStyle w:val="Bullet1G"/>
      </w:pPr>
      <w:r w:rsidRPr="00F90841">
        <w:t>Establishing a national reducing violence in prisons working group to support prisons;</w:t>
      </w:r>
    </w:p>
    <w:p w14:paraId="51B7ADFA" w14:textId="77777777" w:rsidR="007467BC" w:rsidRPr="00F90841" w:rsidRDefault="007467BC" w:rsidP="00B318F2">
      <w:pPr>
        <w:pStyle w:val="Bullet1G"/>
      </w:pPr>
      <w:r w:rsidRPr="00F90841">
        <w:t>Developing a prison tension assessment tool for custodial staff to easily assess tension levels in a unit;</w:t>
      </w:r>
    </w:p>
    <w:p w14:paraId="0E9A435D" w14:textId="77777777" w:rsidR="007467BC" w:rsidRPr="00F90841" w:rsidRDefault="007467BC" w:rsidP="00B318F2">
      <w:pPr>
        <w:pStyle w:val="Bullet1G"/>
      </w:pPr>
      <w:r w:rsidRPr="00F90841">
        <w:t>Utilising prisoner forums and discussion groups at some sites to involve prisoners in the management of prisons.</w:t>
      </w:r>
    </w:p>
    <w:p w14:paraId="4F16FDB5" w14:textId="77777777" w:rsidR="007467BC" w:rsidRPr="00F90841" w:rsidRDefault="007467BC" w:rsidP="007467BC">
      <w:pPr>
        <w:pStyle w:val="SingleTxtG"/>
      </w:pPr>
      <w:r w:rsidRPr="00F90841">
        <w:t>208.</w:t>
      </w:r>
      <w:r w:rsidRPr="00F90841">
        <w:tab/>
        <w:t xml:space="preserve">Since 2014, there have been no matters before the courts involving inter-prisoner violence where judicial findings of negligence were made against staff. </w:t>
      </w:r>
    </w:p>
    <w:p w14:paraId="400FE810" w14:textId="77777777" w:rsidR="007467BC" w:rsidRPr="00F90841" w:rsidRDefault="007467BC" w:rsidP="00FC74C0">
      <w:pPr>
        <w:pStyle w:val="H1G"/>
      </w:pPr>
      <w:r w:rsidRPr="00F90841">
        <w:tab/>
      </w:r>
      <w:r w:rsidRPr="00F90841">
        <w:tab/>
        <w:t>Reply to paragraph 22 of the list of issues</w:t>
      </w:r>
    </w:p>
    <w:p w14:paraId="3D468973" w14:textId="77777777" w:rsidR="007467BC" w:rsidRPr="00F90841" w:rsidRDefault="007467BC" w:rsidP="00FC74C0">
      <w:pPr>
        <w:pStyle w:val="H23G"/>
      </w:pPr>
      <w:r w:rsidRPr="00F90841">
        <w:tab/>
      </w:r>
      <w:r w:rsidRPr="00F90841">
        <w:tab/>
        <w:t>Deaths in custody</w:t>
      </w:r>
    </w:p>
    <w:p w14:paraId="5613E03C" w14:textId="77777777" w:rsidR="007467BC" w:rsidRPr="00F90841" w:rsidRDefault="007467BC" w:rsidP="00FC74C0">
      <w:pPr>
        <w:pStyle w:val="H23G"/>
      </w:pPr>
      <w:r w:rsidRPr="00F90841">
        <w:tab/>
      </w:r>
      <w:r w:rsidRPr="00F90841">
        <w:tab/>
        <w:t>Police</w:t>
      </w:r>
    </w:p>
    <w:p w14:paraId="538E475F" w14:textId="77777777" w:rsidR="007467BC" w:rsidRPr="00F90841" w:rsidRDefault="007467BC" w:rsidP="006C3770">
      <w:pPr>
        <w:pStyle w:val="H23G"/>
      </w:pPr>
      <w:bookmarkStart w:id="65" w:name="_Hlk525722409"/>
      <w:r w:rsidRPr="00F90841">
        <w:tab/>
      </w:r>
      <w:r w:rsidRPr="00F90841">
        <w:tab/>
        <w:t>Deaths in Police custody</w:t>
      </w:r>
      <w:r w:rsidRPr="006C3770">
        <w:rPr>
          <w:b w:val="0"/>
        </w:rPr>
        <w:t>*</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3"/>
        <w:gridCol w:w="2484"/>
        <w:gridCol w:w="2603"/>
      </w:tblGrid>
      <w:tr w:rsidR="00FC74C0" w:rsidRPr="006C3770" w14:paraId="0DA2FB44" w14:textId="77777777" w:rsidTr="006C3770">
        <w:trPr>
          <w:tblHeader/>
        </w:trPr>
        <w:tc>
          <w:tcPr>
            <w:tcW w:w="1707" w:type="dxa"/>
            <w:tcBorders>
              <w:top w:val="single" w:sz="4" w:space="0" w:color="auto"/>
              <w:bottom w:val="single" w:sz="12" w:space="0" w:color="auto"/>
            </w:tcBorders>
            <w:shd w:val="clear" w:color="auto" w:fill="auto"/>
            <w:noWrap/>
            <w:vAlign w:val="bottom"/>
            <w:hideMark/>
          </w:tcPr>
          <w:p w14:paraId="1454DEBB" w14:textId="77777777" w:rsidR="00FC74C0" w:rsidRPr="006C3770" w:rsidRDefault="00FC74C0" w:rsidP="006C3770">
            <w:pPr>
              <w:suppressAutoHyphens w:val="0"/>
              <w:spacing w:before="80" w:after="80" w:line="200" w:lineRule="exact"/>
              <w:ind w:right="113"/>
              <w:rPr>
                <w:i/>
                <w:sz w:val="16"/>
              </w:rPr>
            </w:pPr>
          </w:p>
        </w:tc>
        <w:tc>
          <w:tcPr>
            <w:tcW w:w="1858" w:type="dxa"/>
            <w:tcBorders>
              <w:top w:val="single" w:sz="4" w:space="0" w:color="auto"/>
              <w:bottom w:val="single" w:sz="12" w:space="0" w:color="auto"/>
            </w:tcBorders>
            <w:shd w:val="clear" w:color="auto" w:fill="auto"/>
            <w:noWrap/>
            <w:vAlign w:val="bottom"/>
            <w:hideMark/>
          </w:tcPr>
          <w:p w14:paraId="16F16FE5" w14:textId="77777777" w:rsidR="00FC74C0" w:rsidRPr="006C3770" w:rsidRDefault="00FC74C0" w:rsidP="006C3770">
            <w:pPr>
              <w:suppressAutoHyphens w:val="0"/>
              <w:spacing w:before="80" w:after="80" w:line="200" w:lineRule="exact"/>
              <w:ind w:right="113"/>
              <w:rPr>
                <w:i/>
                <w:sz w:val="16"/>
              </w:rPr>
            </w:pPr>
            <w:r w:rsidRPr="006C3770">
              <w:rPr>
                <w:i/>
                <w:sz w:val="16"/>
              </w:rPr>
              <w:t>Gender</w:t>
            </w:r>
          </w:p>
        </w:tc>
        <w:tc>
          <w:tcPr>
            <w:tcW w:w="1947" w:type="dxa"/>
            <w:tcBorders>
              <w:top w:val="single" w:sz="4" w:space="0" w:color="auto"/>
              <w:bottom w:val="single" w:sz="12" w:space="0" w:color="auto"/>
            </w:tcBorders>
            <w:shd w:val="clear" w:color="auto" w:fill="auto"/>
            <w:noWrap/>
            <w:vAlign w:val="bottom"/>
            <w:hideMark/>
          </w:tcPr>
          <w:p w14:paraId="475E745D" w14:textId="77777777" w:rsidR="00FC74C0" w:rsidRPr="006C3770" w:rsidRDefault="00FC74C0" w:rsidP="006C3770">
            <w:pPr>
              <w:suppressAutoHyphens w:val="0"/>
              <w:spacing w:before="80" w:after="80" w:line="200" w:lineRule="exact"/>
              <w:ind w:right="113"/>
              <w:rPr>
                <w:i/>
                <w:sz w:val="16"/>
              </w:rPr>
            </w:pPr>
            <w:r w:rsidRPr="006C3770">
              <w:rPr>
                <w:i/>
                <w:sz w:val="16"/>
              </w:rPr>
              <w:t>Ethnicity</w:t>
            </w:r>
          </w:p>
        </w:tc>
      </w:tr>
      <w:tr w:rsidR="00FC74C0" w:rsidRPr="006C3770" w14:paraId="0A4CCB7C" w14:textId="77777777" w:rsidTr="006C3770">
        <w:tc>
          <w:tcPr>
            <w:tcW w:w="1707" w:type="dxa"/>
            <w:tcBorders>
              <w:top w:val="single" w:sz="12" w:space="0" w:color="auto"/>
            </w:tcBorders>
            <w:shd w:val="clear" w:color="auto" w:fill="auto"/>
            <w:noWrap/>
            <w:hideMark/>
          </w:tcPr>
          <w:p w14:paraId="408E0D43" w14:textId="77777777" w:rsidR="00FC74C0" w:rsidRPr="006C3770" w:rsidRDefault="00FC74C0" w:rsidP="006C3770">
            <w:pPr>
              <w:suppressAutoHyphens w:val="0"/>
              <w:spacing w:before="40" w:after="120" w:line="220" w:lineRule="exact"/>
              <w:ind w:right="113"/>
            </w:pPr>
            <w:r w:rsidRPr="006C3770">
              <w:t>2014</w:t>
            </w:r>
          </w:p>
        </w:tc>
        <w:tc>
          <w:tcPr>
            <w:tcW w:w="1858" w:type="dxa"/>
            <w:tcBorders>
              <w:top w:val="single" w:sz="12" w:space="0" w:color="auto"/>
            </w:tcBorders>
            <w:shd w:val="clear" w:color="auto" w:fill="auto"/>
            <w:noWrap/>
            <w:hideMark/>
          </w:tcPr>
          <w:p w14:paraId="249F879A" w14:textId="77777777" w:rsidR="00FC74C0" w:rsidRPr="006C3770" w:rsidRDefault="00FC74C0" w:rsidP="006C3770">
            <w:pPr>
              <w:suppressAutoHyphens w:val="0"/>
              <w:spacing w:before="40" w:after="120" w:line="220" w:lineRule="exact"/>
              <w:ind w:right="113"/>
            </w:pPr>
            <w:r w:rsidRPr="006C3770">
              <w:t>Male</w:t>
            </w:r>
          </w:p>
        </w:tc>
        <w:tc>
          <w:tcPr>
            <w:tcW w:w="1947" w:type="dxa"/>
            <w:tcBorders>
              <w:top w:val="single" w:sz="12" w:space="0" w:color="auto"/>
            </w:tcBorders>
            <w:shd w:val="clear" w:color="auto" w:fill="auto"/>
            <w:noWrap/>
            <w:hideMark/>
          </w:tcPr>
          <w:p w14:paraId="1721E4A2" w14:textId="77777777" w:rsidR="00FC74C0" w:rsidRPr="006C3770" w:rsidRDefault="00FC74C0" w:rsidP="006C3770">
            <w:pPr>
              <w:suppressAutoHyphens w:val="0"/>
              <w:spacing w:before="40" w:after="120" w:line="220" w:lineRule="exact"/>
              <w:ind w:right="113"/>
            </w:pPr>
            <w:r w:rsidRPr="006C3770">
              <w:t>Māori</w:t>
            </w:r>
          </w:p>
        </w:tc>
      </w:tr>
      <w:tr w:rsidR="00FC74C0" w:rsidRPr="006C3770" w14:paraId="48AC9541" w14:textId="77777777" w:rsidTr="006C3770">
        <w:tc>
          <w:tcPr>
            <w:tcW w:w="1707" w:type="dxa"/>
            <w:shd w:val="clear" w:color="auto" w:fill="auto"/>
            <w:noWrap/>
            <w:hideMark/>
          </w:tcPr>
          <w:p w14:paraId="3F27031A" w14:textId="77777777" w:rsidR="00FC74C0" w:rsidRPr="006C3770" w:rsidRDefault="00FC74C0" w:rsidP="006C3770">
            <w:pPr>
              <w:suppressAutoHyphens w:val="0"/>
              <w:spacing w:before="40" w:after="120" w:line="220" w:lineRule="exact"/>
              <w:ind w:right="113"/>
            </w:pPr>
            <w:r w:rsidRPr="006C3770">
              <w:t>2015</w:t>
            </w:r>
          </w:p>
        </w:tc>
        <w:tc>
          <w:tcPr>
            <w:tcW w:w="1858" w:type="dxa"/>
            <w:shd w:val="clear" w:color="auto" w:fill="auto"/>
            <w:noWrap/>
            <w:hideMark/>
          </w:tcPr>
          <w:p w14:paraId="56AED8FB" w14:textId="77777777" w:rsidR="00FC74C0" w:rsidRPr="006C3770" w:rsidRDefault="00FC74C0" w:rsidP="006C3770">
            <w:pPr>
              <w:suppressAutoHyphens w:val="0"/>
              <w:spacing w:before="40" w:after="120" w:line="220" w:lineRule="exact"/>
              <w:ind w:right="113"/>
            </w:pPr>
            <w:r w:rsidRPr="006C3770">
              <w:t>Male</w:t>
            </w:r>
          </w:p>
        </w:tc>
        <w:tc>
          <w:tcPr>
            <w:tcW w:w="1947" w:type="dxa"/>
            <w:shd w:val="clear" w:color="auto" w:fill="auto"/>
            <w:noWrap/>
            <w:hideMark/>
          </w:tcPr>
          <w:p w14:paraId="0CC6FB8A" w14:textId="77777777" w:rsidR="00FC74C0" w:rsidRPr="006C3770" w:rsidRDefault="00FC74C0" w:rsidP="006C3770">
            <w:pPr>
              <w:suppressAutoHyphens w:val="0"/>
              <w:spacing w:before="40" w:after="120" w:line="220" w:lineRule="exact"/>
              <w:ind w:right="113"/>
            </w:pPr>
            <w:r w:rsidRPr="006C3770">
              <w:t>European</w:t>
            </w:r>
          </w:p>
        </w:tc>
      </w:tr>
      <w:tr w:rsidR="00FC74C0" w:rsidRPr="006C3770" w14:paraId="7FD94B15" w14:textId="77777777" w:rsidTr="006C3770">
        <w:tc>
          <w:tcPr>
            <w:tcW w:w="1707" w:type="dxa"/>
            <w:shd w:val="clear" w:color="auto" w:fill="auto"/>
            <w:noWrap/>
            <w:hideMark/>
          </w:tcPr>
          <w:p w14:paraId="1FE6BA54" w14:textId="77777777" w:rsidR="00FC74C0" w:rsidRPr="006C3770" w:rsidRDefault="00FC74C0" w:rsidP="006C3770">
            <w:pPr>
              <w:suppressAutoHyphens w:val="0"/>
              <w:spacing w:before="40" w:after="120" w:line="220" w:lineRule="exact"/>
              <w:ind w:right="113"/>
            </w:pPr>
            <w:r w:rsidRPr="006C3770">
              <w:t>2015</w:t>
            </w:r>
          </w:p>
        </w:tc>
        <w:tc>
          <w:tcPr>
            <w:tcW w:w="1858" w:type="dxa"/>
            <w:shd w:val="clear" w:color="auto" w:fill="auto"/>
            <w:noWrap/>
            <w:hideMark/>
          </w:tcPr>
          <w:p w14:paraId="7186E894" w14:textId="77777777" w:rsidR="00FC74C0" w:rsidRPr="006C3770" w:rsidRDefault="00FC74C0" w:rsidP="006C3770">
            <w:pPr>
              <w:suppressAutoHyphens w:val="0"/>
              <w:spacing w:before="40" w:after="120" w:line="220" w:lineRule="exact"/>
              <w:ind w:right="113"/>
            </w:pPr>
            <w:r w:rsidRPr="006C3770">
              <w:t>Male</w:t>
            </w:r>
          </w:p>
        </w:tc>
        <w:tc>
          <w:tcPr>
            <w:tcW w:w="1947" w:type="dxa"/>
            <w:shd w:val="clear" w:color="auto" w:fill="auto"/>
            <w:noWrap/>
            <w:hideMark/>
          </w:tcPr>
          <w:p w14:paraId="5F955B38" w14:textId="77777777" w:rsidR="00FC74C0" w:rsidRPr="006C3770" w:rsidRDefault="00FC74C0" w:rsidP="006C3770">
            <w:pPr>
              <w:suppressAutoHyphens w:val="0"/>
              <w:spacing w:before="40" w:after="120" w:line="220" w:lineRule="exact"/>
              <w:ind w:right="113"/>
            </w:pPr>
            <w:r w:rsidRPr="006C3770">
              <w:t>Māori</w:t>
            </w:r>
          </w:p>
        </w:tc>
      </w:tr>
      <w:tr w:rsidR="00FC74C0" w:rsidRPr="006C3770" w14:paraId="371F8085" w14:textId="77777777" w:rsidTr="006C3770">
        <w:tc>
          <w:tcPr>
            <w:tcW w:w="1707" w:type="dxa"/>
            <w:shd w:val="clear" w:color="auto" w:fill="auto"/>
            <w:noWrap/>
            <w:hideMark/>
          </w:tcPr>
          <w:p w14:paraId="4E22595E" w14:textId="77777777" w:rsidR="00FC74C0" w:rsidRPr="006C3770" w:rsidRDefault="00FC74C0" w:rsidP="006C3770">
            <w:pPr>
              <w:suppressAutoHyphens w:val="0"/>
              <w:spacing w:before="40" w:after="120" w:line="220" w:lineRule="exact"/>
              <w:ind w:right="113"/>
            </w:pPr>
            <w:r w:rsidRPr="006C3770">
              <w:t>2015</w:t>
            </w:r>
          </w:p>
        </w:tc>
        <w:tc>
          <w:tcPr>
            <w:tcW w:w="1858" w:type="dxa"/>
            <w:shd w:val="clear" w:color="auto" w:fill="auto"/>
            <w:noWrap/>
            <w:hideMark/>
          </w:tcPr>
          <w:p w14:paraId="16CB44FE" w14:textId="77777777" w:rsidR="00FC74C0" w:rsidRPr="006C3770" w:rsidRDefault="00FC74C0" w:rsidP="006C3770">
            <w:pPr>
              <w:suppressAutoHyphens w:val="0"/>
              <w:spacing w:before="40" w:after="120" w:line="220" w:lineRule="exact"/>
              <w:ind w:right="113"/>
            </w:pPr>
            <w:r w:rsidRPr="006C3770">
              <w:t>Male</w:t>
            </w:r>
          </w:p>
        </w:tc>
        <w:tc>
          <w:tcPr>
            <w:tcW w:w="1947" w:type="dxa"/>
            <w:shd w:val="clear" w:color="auto" w:fill="auto"/>
            <w:noWrap/>
            <w:hideMark/>
          </w:tcPr>
          <w:p w14:paraId="0F226F96" w14:textId="77777777" w:rsidR="00FC74C0" w:rsidRPr="006C3770" w:rsidRDefault="00FC74C0" w:rsidP="006C3770">
            <w:pPr>
              <w:suppressAutoHyphens w:val="0"/>
              <w:spacing w:before="40" w:after="120" w:line="220" w:lineRule="exact"/>
              <w:ind w:right="113"/>
            </w:pPr>
            <w:r w:rsidRPr="006C3770">
              <w:t>Māori</w:t>
            </w:r>
          </w:p>
        </w:tc>
      </w:tr>
      <w:tr w:rsidR="00FC74C0" w:rsidRPr="006C3770" w14:paraId="012B54F5" w14:textId="77777777" w:rsidTr="006C3770">
        <w:tc>
          <w:tcPr>
            <w:tcW w:w="1707" w:type="dxa"/>
            <w:shd w:val="clear" w:color="auto" w:fill="auto"/>
            <w:noWrap/>
            <w:hideMark/>
          </w:tcPr>
          <w:p w14:paraId="4E923C8A" w14:textId="77777777" w:rsidR="00FC74C0" w:rsidRPr="006C3770" w:rsidRDefault="00FC74C0" w:rsidP="006C3770">
            <w:pPr>
              <w:suppressAutoHyphens w:val="0"/>
              <w:spacing w:before="40" w:after="120" w:line="220" w:lineRule="exact"/>
              <w:ind w:right="113"/>
            </w:pPr>
            <w:r w:rsidRPr="006C3770">
              <w:t>2015</w:t>
            </w:r>
          </w:p>
        </w:tc>
        <w:tc>
          <w:tcPr>
            <w:tcW w:w="1858" w:type="dxa"/>
            <w:shd w:val="clear" w:color="auto" w:fill="auto"/>
            <w:noWrap/>
            <w:hideMark/>
          </w:tcPr>
          <w:p w14:paraId="5B296C3F" w14:textId="77777777" w:rsidR="00FC74C0" w:rsidRPr="006C3770" w:rsidRDefault="00FC74C0" w:rsidP="006C3770">
            <w:pPr>
              <w:suppressAutoHyphens w:val="0"/>
              <w:spacing w:before="40" w:after="120" w:line="220" w:lineRule="exact"/>
              <w:ind w:right="113"/>
            </w:pPr>
            <w:r w:rsidRPr="006C3770">
              <w:t>Male</w:t>
            </w:r>
          </w:p>
        </w:tc>
        <w:tc>
          <w:tcPr>
            <w:tcW w:w="1947" w:type="dxa"/>
            <w:shd w:val="clear" w:color="auto" w:fill="auto"/>
            <w:noWrap/>
            <w:hideMark/>
          </w:tcPr>
          <w:p w14:paraId="5F2A9F3A" w14:textId="77777777" w:rsidR="00FC74C0" w:rsidRPr="006C3770" w:rsidRDefault="00FC74C0" w:rsidP="006C3770">
            <w:pPr>
              <w:suppressAutoHyphens w:val="0"/>
              <w:spacing w:before="40" w:after="120" w:line="220" w:lineRule="exact"/>
              <w:ind w:right="113"/>
            </w:pPr>
            <w:r w:rsidRPr="006C3770">
              <w:t>European</w:t>
            </w:r>
          </w:p>
        </w:tc>
      </w:tr>
      <w:tr w:rsidR="00FC74C0" w:rsidRPr="006C3770" w14:paraId="7B74498F" w14:textId="77777777" w:rsidTr="006C3770">
        <w:tc>
          <w:tcPr>
            <w:tcW w:w="1707" w:type="dxa"/>
            <w:shd w:val="clear" w:color="auto" w:fill="auto"/>
            <w:noWrap/>
            <w:hideMark/>
          </w:tcPr>
          <w:p w14:paraId="7666E928" w14:textId="77777777" w:rsidR="00FC74C0" w:rsidRPr="006C3770" w:rsidRDefault="00FC74C0" w:rsidP="006C3770">
            <w:pPr>
              <w:suppressAutoHyphens w:val="0"/>
              <w:spacing w:before="40" w:after="120" w:line="220" w:lineRule="exact"/>
              <w:ind w:right="113"/>
            </w:pPr>
            <w:r w:rsidRPr="006C3770">
              <w:t>2017</w:t>
            </w:r>
          </w:p>
        </w:tc>
        <w:tc>
          <w:tcPr>
            <w:tcW w:w="1858" w:type="dxa"/>
            <w:shd w:val="clear" w:color="auto" w:fill="auto"/>
            <w:noWrap/>
            <w:hideMark/>
          </w:tcPr>
          <w:p w14:paraId="650B9F89" w14:textId="77777777" w:rsidR="00FC74C0" w:rsidRPr="006C3770" w:rsidRDefault="00FC74C0" w:rsidP="006C3770">
            <w:pPr>
              <w:suppressAutoHyphens w:val="0"/>
              <w:spacing w:before="40" w:after="120" w:line="220" w:lineRule="exact"/>
              <w:ind w:right="113"/>
            </w:pPr>
            <w:r w:rsidRPr="006C3770">
              <w:t>Female</w:t>
            </w:r>
          </w:p>
        </w:tc>
        <w:tc>
          <w:tcPr>
            <w:tcW w:w="1947" w:type="dxa"/>
            <w:shd w:val="clear" w:color="auto" w:fill="auto"/>
            <w:noWrap/>
            <w:hideMark/>
          </w:tcPr>
          <w:p w14:paraId="09F447D4" w14:textId="77777777" w:rsidR="00FC74C0" w:rsidRPr="006C3770" w:rsidRDefault="00FC74C0" w:rsidP="006C3770">
            <w:pPr>
              <w:suppressAutoHyphens w:val="0"/>
              <w:spacing w:before="40" w:after="120" w:line="220" w:lineRule="exact"/>
              <w:ind w:right="113"/>
            </w:pPr>
            <w:r w:rsidRPr="006C3770">
              <w:t>European</w:t>
            </w:r>
          </w:p>
        </w:tc>
      </w:tr>
      <w:tr w:rsidR="00FC74C0" w:rsidRPr="006C3770" w14:paraId="3751A958" w14:textId="77777777" w:rsidTr="006C3770">
        <w:tc>
          <w:tcPr>
            <w:tcW w:w="1707" w:type="dxa"/>
            <w:shd w:val="clear" w:color="auto" w:fill="auto"/>
            <w:noWrap/>
            <w:hideMark/>
          </w:tcPr>
          <w:p w14:paraId="3736DFF9" w14:textId="77777777" w:rsidR="00FC74C0" w:rsidRPr="006C3770" w:rsidRDefault="00FC74C0" w:rsidP="006C3770">
            <w:pPr>
              <w:suppressAutoHyphens w:val="0"/>
              <w:spacing w:before="40" w:after="120" w:line="220" w:lineRule="exact"/>
              <w:ind w:right="113"/>
            </w:pPr>
            <w:r w:rsidRPr="006C3770">
              <w:lastRenderedPageBreak/>
              <w:t>2017</w:t>
            </w:r>
          </w:p>
        </w:tc>
        <w:tc>
          <w:tcPr>
            <w:tcW w:w="1858" w:type="dxa"/>
            <w:shd w:val="clear" w:color="auto" w:fill="auto"/>
            <w:noWrap/>
            <w:hideMark/>
          </w:tcPr>
          <w:p w14:paraId="4F3B1206" w14:textId="77777777" w:rsidR="00FC74C0" w:rsidRPr="006C3770" w:rsidRDefault="00FC74C0" w:rsidP="006C3770">
            <w:pPr>
              <w:suppressAutoHyphens w:val="0"/>
              <w:spacing w:before="40" w:after="120" w:line="220" w:lineRule="exact"/>
              <w:ind w:right="113"/>
            </w:pPr>
            <w:r w:rsidRPr="006C3770">
              <w:t>Male</w:t>
            </w:r>
          </w:p>
        </w:tc>
        <w:tc>
          <w:tcPr>
            <w:tcW w:w="1947" w:type="dxa"/>
            <w:shd w:val="clear" w:color="auto" w:fill="auto"/>
            <w:noWrap/>
            <w:hideMark/>
          </w:tcPr>
          <w:p w14:paraId="282F3D5C" w14:textId="77777777" w:rsidR="00FC74C0" w:rsidRPr="006C3770" w:rsidRDefault="00FC74C0" w:rsidP="006C3770">
            <w:pPr>
              <w:suppressAutoHyphens w:val="0"/>
              <w:spacing w:before="40" w:after="120" w:line="220" w:lineRule="exact"/>
              <w:ind w:right="113"/>
            </w:pPr>
            <w:r w:rsidRPr="006C3770">
              <w:t>Māori</w:t>
            </w:r>
          </w:p>
        </w:tc>
      </w:tr>
    </w:tbl>
    <w:p w14:paraId="52DA7447" w14:textId="77777777" w:rsidR="007467BC" w:rsidRPr="00F90841" w:rsidRDefault="007467BC" w:rsidP="006D41DD">
      <w:pPr>
        <w:pStyle w:val="SingleTxtG"/>
        <w:spacing w:before="120" w:after="0" w:line="240" w:lineRule="atLeast"/>
        <w:ind w:firstLine="170"/>
        <w:jc w:val="left"/>
        <w:rPr>
          <w:sz w:val="18"/>
          <w:szCs w:val="18"/>
        </w:rPr>
      </w:pPr>
      <w:r w:rsidRPr="00F90841">
        <w:t>*</w:t>
      </w:r>
      <w:r w:rsidRPr="00F90841">
        <w:rPr>
          <w:sz w:val="18"/>
        </w:rPr>
        <w:t xml:space="preserve">  </w:t>
      </w:r>
      <w:r w:rsidRPr="006C3770">
        <w:rPr>
          <w:i/>
          <w:iCs/>
          <w:sz w:val="18"/>
        </w:rPr>
        <w:t>Causes</w:t>
      </w:r>
      <w:r w:rsidRPr="00F90841">
        <w:rPr>
          <w:sz w:val="18"/>
        </w:rPr>
        <w:t xml:space="preserve"> of death: heart </w:t>
      </w:r>
      <w:r w:rsidRPr="00F90841">
        <w:rPr>
          <w:sz w:val="18"/>
          <w:szCs w:val="18"/>
        </w:rPr>
        <w:t>attack (1), intoxication (4), brain haemorrhage caused prior detention (1),</w:t>
      </w:r>
      <w:r w:rsidRPr="00F90841">
        <w:t xml:space="preserve"> </w:t>
      </w:r>
      <w:r w:rsidRPr="00F90841">
        <w:rPr>
          <w:sz w:val="18"/>
          <w:szCs w:val="18"/>
        </w:rPr>
        <w:t>suicide (1). Table includes Mr</w:t>
      </w:r>
      <w:r w:rsidR="006C3770">
        <w:rPr>
          <w:sz w:val="18"/>
          <w:szCs w:val="18"/>
        </w:rPr>
        <w:t>.</w:t>
      </w:r>
      <w:r w:rsidRPr="00F90841">
        <w:rPr>
          <w:sz w:val="18"/>
          <w:szCs w:val="18"/>
        </w:rPr>
        <w:t xml:space="preserve"> </w:t>
      </w:r>
      <w:proofErr w:type="spellStart"/>
      <w:r w:rsidRPr="00F90841">
        <w:rPr>
          <w:sz w:val="18"/>
          <w:szCs w:val="18"/>
        </w:rPr>
        <w:t>Taitoko</w:t>
      </w:r>
      <w:proofErr w:type="spellEnd"/>
      <w:r w:rsidRPr="00F90841">
        <w:rPr>
          <w:sz w:val="18"/>
          <w:szCs w:val="18"/>
        </w:rPr>
        <w:t xml:space="preserve"> and Mr</w:t>
      </w:r>
      <w:r w:rsidR="006C3770">
        <w:rPr>
          <w:sz w:val="18"/>
          <w:szCs w:val="18"/>
        </w:rPr>
        <w:t>.</w:t>
      </w:r>
      <w:r w:rsidRPr="00F90841">
        <w:rPr>
          <w:sz w:val="18"/>
          <w:szCs w:val="18"/>
        </w:rPr>
        <w:t xml:space="preserve"> Walters. </w:t>
      </w:r>
    </w:p>
    <w:p w14:paraId="21ABA36F" w14:textId="77777777" w:rsidR="007467BC" w:rsidRPr="00F90841" w:rsidRDefault="007467BC" w:rsidP="00633271">
      <w:pPr>
        <w:pStyle w:val="SingleTxtG"/>
        <w:spacing w:before="240"/>
      </w:pPr>
      <w:r w:rsidRPr="00F90841">
        <w:t>209.</w:t>
      </w:r>
      <w:r w:rsidRPr="00F90841">
        <w:tab/>
        <w:t>Results of investigations:</w:t>
      </w:r>
    </w:p>
    <w:p w14:paraId="50A9926B" w14:textId="77777777" w:rsidR="007467BC" w:rsidRPr="00F90841" w:rsidRDefault="007467BC" w:rsidP="00633271">
      <w:pPr>
        <w:pStyle w:val="Bullet1G"/>
      </w:pPr>
      <w:r w:rsidRPr="00F90841">
        <w:t>Criminal charges laid but staff acquitted (1);</w:t>
      </w:r>
    </w:p>
    <w:p w14:paraId="1462FC73" w14:textId="77777777" w:rsidR="007467BC" w:rsidRPr="00F90841" w:rsidRDefault="007467BC" w:rsidP="00633271">
      <w:pPr>
        <w:pStyle w:val="Bullet1G"/>
      </w:pPr>
      <w:r w:rsidRPr="00F90841">
        <w:t>Performance conversations with staff (3);</w:t>
      </w:r>
    </w:p>
    <w:p w14:paraId="347B78A2" w14:textId="77777777" w:rsidR="007467BC" w:rsidRPr="00F90841" w:rsidRDefault="007467BC" w:rsidP="00633271">
      <w:pPr>
        <w:pStyle w:val="Bullet1G"/>
      </w:pPr>
      <w:r w:rsidRPr="00F90841">
        <w:t>No staff fault (2);</w:t>
      </w:r>
    </w:p>
    <w:p w14:paraId="7FCFA2CF" w14:textId="77777777" w:rsidR="007467BC" w:rsidRPr="00F90841" w:rsidRDefault="007467BC" w:rsidP="00633271">
      <w:pPr>
        <w:pStyle w:val="Bullet1G"/>
      </w:pPr>
      <w:r w:rsidRPr="00F90841">
        <w:t>Ongoing (1).</w:t>
      </w:r>
    </w:p>
    <w:p w14:paraId="5BA5D5BC" w14:textId="77777777" w:rsidR="007467BC" w:rsidRPr="00F90841" w:rsidRDefault="007467BC" w:rsidP="007467BC">
      <w:pPr>
        <w:pStyle w:val="SingleTxtG"/>
      </w:pPr>
      <w:r w:rsidRPr="00F90841">
        <w:t>210.</w:t>
      </w:r>
      <w:r w:rsidRPr="00F90841">
        <w:tab/>
        <w:t>No compensation was paid.</w:t>
      </w:r>
    </w:p>
    <w:p w14:paraId="040574ED" w14:textId="77777777" w:rsidR="007467BC" w:rsidRPr="00F90841" w:rsidRDefault="007467BC" w:rsidP="00633271">
      <w:pPr>
        <w:pStyle w:val="H23G"/>
      </w:pPr>
      <w:r w:rsidRPr="00F90841">
        <w:tab/>
      </w:r>
      <w:r w:rsidRPr="00F90841">
        <w:tab/>
        <w:t>Mr</w:t>
      </w:r>
      <w:r w:rsidR="006C3770">
        <w:t>.</w:t>
      </w:r>
      <w:r w:rsidRPr="00F90841">
        <w:t xml:space="preserve"> Sentry </w:t>
      </w:r>
      <w:proofErr w:type="spellStart"/>
      <w:r w:rsidRPr="00F90841">
        <w:t>Taitoko</w:t>
      </w:r>
      <w:proofErr w:type="spellEnd"/>
      <w:r w:rsidRPr="00F90841">
        <w:t xml:space="preserve"> </w:t>
      </w:r>
    </w:p>
    <w:p w14:paraId="60636397" w14:textId="77777777" w:rsidR="007467BC" w:rsidRPr="00F90841" w:rsidRDefault="007467BC" w:rsidP="007467BC">
      <w:pPr>
        <w:pStyle w:val="SingleTxtG"/>
      </w:pPr>
      <w:r w:rsidRPr="00F90841">
        <w:t>211.</w:t>
      </w:r>
      <w:r w:rsidRPr="00F90841">
        <w:tab/>
        <w:t>In 2014, 20-year-old Mr</w:t>
      </w:r>
      <w:r w:rsidR="006C3770">
        <w:t>.</w:t>
      </w:r>
      <w:r w:rsidRPr="00F90841">
        <w:t xml:space="preserve"> </w:t>
      </w:r>
      <w:proofErr w:type="spellStart"/>
      <w:r w:rsidRPr="00F90841">
        <w:t>Taitoko</w:t>
      </w:r>
      <w:proofErr w:type="spellEnd"/>
      <w:r w:rsidRPr="00F90841">
        <w:t xml:space="preserve"> died in Police custody. He was highly intoxicated. The IPCA report found Mr</w:t>
      </w:r>
      <w:r w:rsidR="006C3770">
        <w:t>.</w:t>
      </w:r>
      <w:r w:rsidRPr="00F90841">
        <w:t xml:space="preserve"> </w:t>
      </w:r>
      <w:proofErr w:type="spellStart"/>
      <w:r w:rsidRPr="00F90841">
        <w:t>Taitoko</w:t>
      </w:r>
      <w:proofErr w:type="spellEnd"/>
      <w:r w:rsidRPr="00F90841">
        <w:t xml:space="preserve"> should have been hospitalised or an ambulance called. Risk assessment and monitoring were inadequate.</w:t>
      </w:r>
    </w:p>
    <w:p w14:paraId="5FF07A3C" w14:textId="77777777" w:rsidR="007467BC" w:rsidRPr="00F90841" w:rsidRDefault="007467BC" w:rsidP="007467BC">
      <w:pPr>
        <w:pStyle w:val="SingleTxtG"/>
      </w:pPr>
      <w:r w:rsidRPr="00F90841">
        <w:t>212.</w:t>
      </w:r>
      <w:r w:rsidRPr="00F90841">
        <w:tab/>
        <w:t>IPCA made recommendations including training, risk assessments and cross-agency work. Police accepted the findings and apologised to Mr</w:t>
      </w:r>
      <w:r w:rsidR="006C3770">
        <w:t>.</w:t>
      </w:r>
      <w:r w:rsidRPr="00F90841">
        <w:t xml:space="preserve"> </w:t>
      </w:r>
      <w:proofErr w:type="spellStart"/>
      <w:r w:rsidRPr="00F90841">
        <w:t>Taitoko</w:t>
      </w:r>
      <w:r w:rsidR="00562737" w:rsidRPr="00F90841">
        <w:t>’</w:t>
      </w:r>
      <w:r w:rsidRPr="00F90841">
        <w:t>s</w:t>
      </w:r>
      <w:proofErr w:type="spellEnd"/>
      <w:r w:rsidRPr="00F90841">
        <w:t xml:space="preserve"> family. Police introduced new training and are actively engaging with medical emergency services to better address the needs of dangerously intoxicated persons. Restraint chairs are placed in the district</w:t>
      </w:r>
      <w:r w:rsidR="00562737" w:rsidRPr="00F90841">
        <w:t>’</w:t>
      </w:r>
      <w:r w:rsidRPr="00F90841">
        <w:t>s units to prevent harm. Performance conversations were held with nine Police staff and no criminal charges were laid.</w:t>
      </w:r>
    </w:p>
    <w:p w14:paraId="278E3C98" w14:textId="77777777" w:rsidR="007467BC" w:rsidRPr="00F90841" w:rsidRDefault="007467BC" w:rsidP="00633271">
      <w:pPr>
        <w:pStyle w:val="H23G"/>
      </w:pPr>
      <w:r w:rsidRPr="00F90841">
        <w:tab/>
      </w:r>
      <w:r w:rsidRPr="00F90841">
        <w:tab/>
        <w:t>Mr</w:t>
      </w:r>
      <w:r w:rsidR="007251DD">
        <w:t>.</w:t>
      </w:r>
      <w:r w:rsidRPr="00F90841">
        <w:t xml:space="preserve"> Dwayne Walters</w:t>
      </w:r>
    </w:p>
    <w:p w14:paraId="16B7632C" w14:textId="77777777" w:rsidR="007467BC" w:rsidRPr="00F90841" w:rsidRDefault="007467BC" w:rsidP="007467BC">
      <w:pPr>
        <w:pStyle w:val="SingleTxtG"/>
      </w:pPr>
      <w:bookmarkStart w:id="66" w:name="_Ref532215731"/>
      <w:r w:rsidRPr="00F90841">
        <w:t>213.</w:t>
      </w:r>
      <w:r w:rsidRPr="00F90841">
        <w:tab/>
        <w:t>IPCA investigated the 2015 suicide of Dwayne Walters in a District Court cell. Mr</w:t>
      </w:r>
      <w:r w:rsidR="007251DD">
        <w:t>.</w:t>
      </w:r>
      <w:r w:rsidRPr="00F90841">
        <w:t xml:space="preserve"> Walters was awaiting transfer to a prison. IPCA found the cell condition</w:t>
      </w:r>
      <w:proofErr w:type="gramStart"/>
      <w:r w:rsidRPr="00F90841">
        <w:t>, in particular, ligature</w:t>
      </w:r>
      <w:proofErr w:type="gramEnd"/>
      <w:r w:rsidRPr="00F90841">
        <w:t xml:space="preserve"> points, were a significant contributing factor.</w:t>
      </w:r>
      <w:bookmarkEnd w:id="66"/>
      <w:r w:rsidRPr="00F90841">
        <w:t xml:space="preserve"> The work to remedy issues with court cells to prevent suicides is described at paragraph </w:t>
      </w:r>
      <w:r w:rsidRPr="00F90841">
        <w:rPr>
          <w:cs/>
        </w:rPr>
        <w:t>‎</w:t>
      </w:r>
      <w:r w:rsidRPr="00F90841">
        <w:t>0. Police continuously assess its procedures to ensure best practice is used to identify at-risk persons.</w:t>
      </w:r>
    </w:p>
    <w:p w14:paraId="14643B32" w14:textId="77777777" w:rsidR="007467BC" w:rsidRPr="00F90841" w:rsidRDefault="007467BC" w:rsidP="00633271">
      <w:pPr>
        <w:pStyle w:val="H23G"/>
      </w:pPr>
      <w:r w:rsidRPr="00F90841">
        <w:tab/>
      </w:r>
      <w:r w:rsidRPr="00F90841">
        <w:tab/>
        <w:t>Prisons</w:t>
      </w:r>
    </w:p>
    <w:p w14:paraId="643FA715" w14:textId="77777777" w:rsidR="007467BC" w:rsidRPr="00F90841" w:rsidRDefault="007467BC" w:rsidP="007467BC">
      <w:pPr>
        <w:pStyle w:val="SingleTxtG"/>
      </w:pPr>
      <w:r w:rsidRPr="00F90841">
        <w:t>214.</w:t>
      </w:r>
      <w:r w:rsidRPr="00F90841">
        <w:tab/>
        <w:t xml:space="preserve">Since July 2013, there were 30 unnatural deaths in prisons. In the year 2017/18, seven were deemed to be unnatural. Detailed data is in Appendix 7. </w:t>
      </w:r>
    </w:p>
    <w:p w14:paraId="78F9BA20" w14:textId="77777777" w:rsidR="007467BC" w:rsidRPr="00F90841" w:rsidRDefault="007467BC" w:rsidP="007467BC">
      <w:pPr>
        <w:pStyle w:val="SingleTxtG"/>
      </w:pPr>
      <w:r w:rsidRPr="00F90841">
        <w:t>215.</w:t>
      </w:r>
      <w:r w:rsidRPr="00F90841">
        <w:tab/>
        <w:t xml:space="preserve">Suspected unnatural deaths are referred to the Coroner for independent investigation and determination. Additionally, Inspectors of Corrections investigate all death-in-custody events in prisons. Where issues are identified, the Office of the Inspectorate makes recommendations to Corrections and this report is submitted as evidence at Coroner inquests. The Ombudsman is also notified of deaths in custody and may decide to investigate. </w:t>
      </w:r>
    </w:p>
    <w:p w14:paraId="1F66543D" w14:textId="77777777" w:rsidR="007467BC" w:rsidRPr="00F90841" w:rsidRDefault="007467BC" w:rsidP="007467BC">
      <w:pPr>
        <w:pStyle w:val="SingleTxtG"/>
      </w:pPr>
      <w:r w:rsidRPr="00F90841">
        <w:t>216.</w:t>
      </w:r>
      <w:r w:rsidRPr="00F90841">
        <w:tab/>
        <w:t>In 2017, Corrections established the External Assurance team that tracks, and responds to, all recommendations by the Inspectorate, Coroner and the External Monitoring Agencies, such as the Ombudsman, Privacy Commissioner, and Health and Disability Commissioner.</w:t>
      </w:r>
    </w:p>
    <w:p w14:paraId="33BA7051" w14:textId="77777777" w:rsidR="007467BC" w:rsidRPr="00F90841" w:rsidRDefault="007467BC" w:rsidP="007467BC">
      <w:pPr>
        <w:pStyle w:val="SingleTxtG"/>
      </w:pPr>
      <w:r w:rsidRPr="00F90841">
        <w:t>217.</w:t>
      </w:r>
      <w:r w:rsidRPr="00F90841">
        <w:tab/>
        <w:t>Since 2014, the Coroner has issued eight death-in-custody reports, with a range of findings, from recommending amended policies for at-risk people to staff training in suicide risk assessment. Corrections</w:t>
      </w:r>
      <w:r w:rsidR="00562737" w:rsidRPr="00F90841">
        <w:t>’</w:t>
      </w:r>
      <w:r w:rsidRPr="00F90841">
        <w:t xml:space="preserve"> primary response has been to improve the management of people at-risk of self-harm and suicide through operational changes and specialist Intervention and Support Units (see para</w:t>
      </w:r>
      <w:r w:rsidR="007251DD">
        <w:t>.</w:t>
      </w:r>
      <w:r w:rsidRPr="00F90841">
        <w:t xml:space="preserve"> </w:t>
      </w:r>
      <w:r w:rsidRPr="00F90841">
        <w:rPr>
          <w:cs/>
        </w:rPr>
        <w:t>‎</w:t>
      </w:r>
      <w:r w:rsidRPr="00F90841">
        <w:t xml:space="preserve">0). Compensation was paid to relatives in two of the cases falling within the reporting period. </w:t>
      </w:r>
    </w:p>
    <w:bookmarkEnd w:id="65"/>
    <w:p w14:paraId="1273AA32" w14:textId="77777777" w:rsidR="007467BC" w:rsidRPr="00F90841" w:rsidRDefault="007467BC" w:rsidP="00304994">
      <w:pPr>
        <w:pStyle w:val="H23G"/>
      </w:pPr>
      <w:r w:rsidRPr="00F90841">
        <w:lastRenderedPageBreak/>
        <w:tab/>
      </w:r>
      <w:r w:rsidRPr="00F90841">
        <w:tab/>
        <w:t>Health places of detention</w:t>
      </w:r>
    </w:p>
    <w:p w14:paraId="7A5500AD" w14:textId="77777777" w:rsidR="007467BC" w:rsidRPr="00F90841" w:rsidRDefault="007467BC" w:rsidP="007467BC">
      <w:pPr>
        <w:pStyle w:val="SingleTxtG"/>
      </w:pPr>
      <w:bookmarkStart w:id="67" w:name="_Hlk525734050"/>
      <w:r w:rsidRPr="00F90841">
        <w:t>218.</w:t>
      </w:r>
      <w:r w:rsidRPr="00F90841">
        <w:tab/>
        <w:t>In 2017, there were 11 recorded deaths of people who were in an inpatient unit subject to an inpatient order under the Mental Health Act at the time of death. Of these, seven people died of causes other than natural or medical (of which three were undetermined). For some of these cases, an inquiry is still ongoing.</w:t>
      </w:r>
      <w:r w:rsidRPr="00F90841" w:rsidDel="009200FB">
        <w:t xml:space="preserve"> </w:t>
      </w:r>
      <w:r w:rsidRPr="00F90841">
        <w:t xml:space="preserve">Detailed data is in Appendix 8. </w:t>
      </w:r>
    </w:p>
    <w:p w14:paraId="2A07D5C0" w14:textId="77777777" w:rsidR="007467BC" w:rsidRPr="00F90841" w:rsidRDefault="007467BC" w:rsidP="007467BC">
      <w:pPr>
        <w:pStyle w:val="SingleTxtG"/>
      </w:pPr>
      <w:r w:rsidRPr="00F90841">
        <w:t>219.</w:t>
      </w:r>
      <w:r w:rsidRPr="00F90841">
        <w:tab/>
        <w:t>Under the Mental Health Act, any death must be reported within 14 days. The Director of Mental Health must also be informed of any investigations. These deaths are also subject to coronial inquiry. Any recommendations outlined in a review or coronial inquiry are referred to the District Health Board (DHB) for implementation. Due to restrictions in the Coroners Act 2006, the inquiry outcomes are withheld.</w:t>
      </w:r>
      <w:r w:rsidRPr="00F90841" w:rsidDel="00462C5C">
        <w:t xml:space="preserve"> </w:t>
      </w:r>
      <w:r w:rsidRPr="00F90841">
        <w:t xml:space="preserve">DHBs also investigate serious events, such as deaths in custody. </w:t>
      </w:r>
      <w:bookmarkStart w:id="68" w:name="_Hlk18592898"/>
      <w:r w:rsidRPr="00F90841">
        <w:t>In 2015, guidance was developed to help DHBs develop observation and engagement policies to address patient safety within mental health inpatient units.</w:t>
      </w:r>
      <w:bookmarkEnd w:id="68"/>
    </w:p>
    <w:p w14:paraId="099FE59E" w14:textId="77777777" w:rsidR="007467BC" w:rsidRPr="00F90841" w:rsidRDefault="007467BC" w:rsidP="007467BC">
      <w:pPr>
        <w:pStyle w:val="SingleTxtG"/>
      </w:pPr>
      <w:bookmarkStart w:id="69" w:name="_Hlk13829981"/>
      <w:r w:rsidRPr="00F90841">
        <w:t>220.</w:t>
      </w:r>
      <w:r w:rsidRPr="00F90841">
        <w:tab/>
        <w:t xml:space="preserve">Coronial data for suicides in aged care facilities indicates that the number of suicides was 2 in 2014, 0 in 2015, 4 in 2016 and 1 in 2017. </w:t>
      </w:r>
      <w:bookmarkEnd w:id="69"/>
    </w:p>
    <w:p w14:paraId="5638A115" w14:textId="77777777" w:rsidR="007467BC" w:rsidRPr="00F90841" w:rsidRDefault="007467BC" w:rsidP="007467BC">
      <w:pPr>
        <w:pStyle w:val="SingleTxtG"/>
      </w:pPr>
      <w:r w:rsidRPr="00F90841">
        <w:t>221.</w:t>
      </w:r>
      <w:r w:rsidRPr="00F90841">
        <w:tab/>
        <w:t>In 2018, following a family member</w:t>
      </w:r>
      <w:r w:rsidR="00562737" w:rsidRPr="00F90841">
        <w:t>’</w:t>
      </w:r>
      <w:r w:rsidRPr="00F90841">
        <w:t>s complaint, the Health and Disability Commissioner found a private dementia unit service provider breached the Code of Consumers</w:t>
      </w:r>
      <w:r w:rsidR="00562737" w:rsidRPr="00F90841">
        <w:t>’</w:t>
      </w:r>
      <w:r w:rsidRPr="00F90841">
        <w:t xml:space="preserve"> Rights. In 2015, a dementia patient was assaulted by another patient and died. </w:t>
      </w:r>
    </w:p>
    <w:p w14:paraId="558895CB" w14:textId="77777777" w:rsidR="007467BC" w:rsidRPr="00F90841" w:rsidRDefault="007467BC" w:rsidP="007467BC">
      <w:pPr>
        <w:pStyle w:val="SingleTxtG"/>
      </w:pPr>
      <w:r w:rsidRPr="00F90841">
        <w:t>222.</w:t>
      </w:r>
      <w:r w:rsidRPr="00F90841">
        <w:tab/>
        <w:t>No compensation was paid by the Ministry of Health following a death in custody. Data on criminal or disciplinary proceeding does not need to be reported to the Ministry and it is not aware of any.</w:t>
      </w:r>
      <w:bookmarkStart w:id="70" w:name="_Hlk525822361"/>
      <w:bookmarkEnd w:id="67"/>
    </w:p>
    <w:p w14:paraId="73E76D8D" w14:textId="77777777" w:rsidR="007467BC" w:rsidRPr="00F90841" w:rsidRDefault="007467BC" w:rsidP="00304994">
      <w:pPr>
        <w:pStyle w:val="H1G"/>
      </w:pPr>
      <w:r w:rsidRPr="00F90841">
        <w:tab/>
      </w:r>
      <w:r w:rsidRPr="00F90841">
        <w:tab/>
        <w:t>Reply to paragraph 23 of the list of issues</w:t>
      </w:r>
    </w:p>
    <w:p w14:paraId="1062AE24" w14:textId="77777777" w:rsidR="007467BC" w:rsidRPr="00F90841" w:rsidRDefault="007467BC" w:rsidP="00304994">
      <w:pPr>
        <w:pStyle w:val="H23G"/>
      </w:pPr>
      <w:r w:rsidRPr="00F90841">
        <w:tab/>
      </w:r>
      <w:r w:rsidRPr="00F90841">
        <w:tab/>
        <w:t>Asylum seekers</w:t>
      </w:r>
      <w:r w:rsidR="00562737" w:rsidRPr="00F90841">
        <w:t>’</w:t>
      </w:r>
      <w:r w:rsidRPr="00F90841">
        <w:t xml:space="preserve"> detention</w:t>
      </w:r>
    </w:p>
    <w:p w14:paraId="34BF4E8E" w14:textId="77777777" w:rsidR="007467BC" w:rsidRPr="00F90841" w:rsidRDefault="007467BC" w:rsidP="007467BC">
      <w:pPr>
        <w:pStyle w:val="SingleTxtG"/>
      </w:pPr>
      <w:bookmarkStart w:id="71" w:name="_Ref531009147"/>
      <w:r w:rsidRPr="00F90841">
        <w:t>223.</w:t>
      </w:r>
      <w:r w:rsidRPr="00F90841">
        <w:tab/>
      </w:r>
      <w:proofErr w:type="gramStart"/>
      <w:r w:rsidRPr="00F90841">
        <w:t>The majority of</w:t>
      </w:r>
      <w:proofErr w:type="gramEnd"/>
      <w:r w:rsidRPr="00F90841">
        <w:t xml:space="preserve"> asylum seekers live in the community on a visa. Asylum claimants or undocumented passengers who were refused entry can be detained in a low security open immigration facility or in prison.</w:t>
      </w:r>
      <w:bookmarkEnd w:id="71"/>
      <w:r w:rsidRPr="00F90841">
        <w:t xml:space="preserve"> Applications concerning detained asylum seekers are formally prioritised. Detained asylum claimants or turnaround cases have a right to legal representation and habeas corpus.</w:t>
      </w:r>
    </w:p>
    <w:p w14:paraId="2A356F42" w14:textId="77777777" w:rsidR="007467BC" w:rsidRPr="00F90841" w:rsidRDefault="007467BC" w:rsidP="007467BC">
      <w:pPr>
        <w:pStyle w:val="SingleTxtG"/>
      </w:pPr>
      <w:r w:rsidRPr="00F90841">
        <w:t>224.</w:t>
      </w:r>
      <w:r w:rsidRPr="00F90841">
        <w:tab/>
        <w:t>A small number of asylum seekers are detained in New Zealand. Whether and at what level detention is necessary is based on a trained immigration officer</w:t>
      </w:r>
      <w:r w:rsidR="00562737" w:rsidRPr="00F90841">
        <w:t>’</w:t>
      </w:r>
      <w:r w:rsidRPr="00F90841">
        <w:t>s case-by-case assessment, which must have regard to the Refugee Convention.</w:t>
      </w:r>
    </w:p>
    <w:p w14:paraId="5EFA105D" w14:textId="77777777" w:rsidR="007467BC" w:rsidRPr="00F90841" w:rsidRDefault="007467BC" w:rsidP="007467BC">
      <w:pPr>
        <w:pStyle w:val="SingleTxtG"/>
      </w:pPr>
      <w:r w:rsidRPr="00F90841">
        <w:t>225.</w:t>
      </w:r>
      <w:r w:rsidRPr="00F90841">
        <w:tab/>
        <w:t xml:space="preserve">Decisions on whether to detain or otherwise restrict the freedom of movement of persons claiming refugee or protection status, including for mass arrivals, are based on the overriding principle that, if freedom of movement is to be restricted, it should be restricted to the least degree and for the shortest duration possible. </w:t>
      </w:r>
      <w:proofErr w:type="gramStart"/>
      <w:r w:rsidRPr="00F90841">
        <w:t>Particular care</w:t>
      </w:r>
      <w:proofErr w:type="gramEnd"/>
      <w:r w:rsidRPr="00F90841">
        <w:t xml:space="preserve"> must be given in any decision involving women (particularly pregnant women and adolescent girls), children, and members of other vulnerable groups.</w:t>
      </w:r>
    </w:p>
    <w:p w14:paraId="3A52B460" w14:textId="77777777" w:rsidR="007467BC" w:rsidRPr="00F90841" w:rsidRDefault="007467BC" w:rsidP="007467BC">
      <w:pPr>
        <w:pStyle w:val="SingleTxtG"/>
      </w:pPr>
      <w:r w:rsidRPr="00F90841">
        <w:t>226.</w:t>
      </w:r>
      <w:r w:rsidRPr="00F90841">
        <w:tab/>
      </w:r>
      <w:proofErr w:type="gramStart"/>
      <w:r w:rsidRPr="00F90841">
        <w:t>As a general rule</w:t>
      </w:r>
      <w:proofErr w:type="gramEnd"/>
      <w:r w:rsidRPr="00F90841">
        <w:t xml:space="preserve">, children and young persons under 18 years of age should not be detained, and it would only be in extenuating circumstances that their detention in prison could be justified as necessary. Any restriction on the freedom of movement of an unaccompanied child or young person under 18 years of age should only occur after </w:t>
      </w:r>
      <w:proofErr w:type="spellStart"/>
      <w:r w:rsidRPr="00F90841">
        <w:t>Oranga</w:t>
      </w:r>
      <w:proofErr w:type="spellEnd"/>
      <w:r w:rsidRPr="00F90841">
        <w:t xml:space="preserve"> Tamariki</w:t>
      </w:r>
      <w:r w:rsidR="00562737" w:rsidRPr="00F90841">
        <w:t>’</w:t>
      </w:r>
      <w:r w:rsidRPr="00F90841">
        <w:t>s involvement.</w:t>
      </w:r>
    </w:p>
    <w:p w14:paraId="11DE92A1" w14:textId="77777777" w:rsidR="007467BC" w:rsidRPr="00F90841" w:rsidRDefault="007467BC" w:rsidP="007467BC">
      <w:pPr>
        <w:pStyle w:val="SingleTxtG"/>
      </w:pPr>
      <w:r w:rsidRPr="00F90841">
        <w:t>227.</w:t>
      </w:r>
      <w:r w:rsidRPr="00F90841">
        <w:tab/>
        <w:t>Any decision to restrict freedom of movement in this context must be justified as necessary at the time of the decision and must continue to be justified as necessary.</w:t>
      </w:r>
    </w:p>
    <w:p w14:paraId="22ABF678" w14:textId="77777777" w:rsidR="007467BC" w:rsidRPr="00F90841" w:rsidRDefault="007467BC" w:rsidP="00304994">
      <w:pPr>
        <w:pStyle w:val="H23G"/>
      </w:pPr>
      <w:r w:rsidRPr="00F90841">
        <w:tab/>
      </w:r>
      <w:r w:rsidRPr="00F90841">
        <w:tab/>
        <w:t>Length of detention</w:t>
      </w:r>
    </w:p>
    <w:p w14:paraId="3A1B141D" w14:textId="77777777" w:rsidR="007467BC" w:rsidRPr="00F90841" w:rsidRDefault="007467BC" w:rsidP="007467BC">
      <w:pPr>
        <w:pStyle w:val="SingleTxtG"/>
      </w:pPr>
      <w:r w:rsidRPr="00F90841">
        <w:t>228.</w:t>
      </w:r>
      <w:r w:rsidRPr="00F90841">
        <w:tab/>
        <w:t>Detention of asylum claimants can be for up to 96 hours without a Warrant of Commitment. Detention beyond 96 hours requires a judge</w:t>
      </w:r>
      <w:r w:rsidR="00562737" w:rsidRPr="00F90841">
        <w:t>’</w:t>
      </w:r>
      <w:r w:rsidRPr="00F90841">
        <w:t xml:space="preserve">s Warrant of Commitment and renewed every 28 days. Immigration officers regularly review detention decisions. If a person is recognised as a refugee or protected person, detention ends immediately. </w:t>
      </w:r>
    </w:p>
    <w:p w14:paraId="3BDF710E" w14:textId="77777777" w:rsidR="007467BC" w:rsidRPr="00F90841" w:rsidRDefault="007467BC" w:rsidP="007467BC">
      <w:pPr>
        <w:pStyle w:val="SingleTxtG"/>
      </w:pPr>
      <w:r w:rsidRPr="00F90841">
        <w:lastRenderedPageBreak/>
        <w:t>229.</w:t>
      </w:r>
      <w:r w:rsidRPr="00F90841">
        <w:tab/>
        <w:t xml:space="preserve">The Immigration Act allows for the detention of refugees arriving as part of a mass arrival. Although these provisions have never been used, they allow for detention, if necessary, for an initial period of up to six months, which is then renewable at 28-day intervals. The Act sets out when an immigration officer may apply to the court for a Warrant of Commitment to authorise the detention. For example, if it is necessary to effectively manage the mass arrival group, or to manage any threat or risk to security or to the public. All the circumstances surrounding the arrival would be considered. </w:t>
      </w:r>
    </w:p>
    <w:p w14:paraId="0600FBBC" w14:textId="77777777" w:rsidR="007467BC" w:rsidRPr="00F90841" w:rsidRDefault="007467BC" w:rsidP="00304994">
      <w:pPr>
        <w:pStyle w:val="H23G"/>
      </w:pPr>
      <w:r w:rsidRPr="00F90841">
        <w:tab/>
      </w:r>
      <w:r w:rsidRPr="00F90841">
        <w:tab/>
        <w:t>Mangere Refugee Resettlement Centre (MRRC)</w:t>
      </w:r>
    </w:p>
    <w:p w14:paraId="6EC60002" w14:textId="77777777" w:rsidR="007467BC" w:rsidRPr="00F90841" w:rsidRDefault="007467BC" w:rsidP="007467BC">
      <w:pPr>
        <w:pStyle w:val="SingleTxtG"/>
      </w:pPr>
      <w:r w:rsidRPr="00F90841">
        <w:t>230.</w:t>
      </w:r>
      <w:r w:rsidRPr="00F90841">
        <w:tab/>
        <w:t xml:space="preserve">MRRC can accommodate up to 28 people under </w:t>
      </w:r>
      <w:r w:rsidR="00562737" w:rsidRPr="00F90841">
        <w:t>“</w:t>
      </w:r>
      <w:r w:rsidRPr="00F90841">
        <w:t>administrative</w:t>
      </w:r>
      <w:r w:rsidR="00562737" w:rsidRPr="00F90841">
        <w:t>”</w:t>
      </w:r>
      <w:r w:rsidRPr="00F90841">
        <w:t xml:space="preserve"> immigration detention, accommodated separately from quota refugees. On 17 June 2019, three adult asylum claimants were accommodated under warrants detained there, the total from 2014 to 2019 is 44 persons.</w:t>
      </w:r>
    </w:p>
    <w:p w14:paraId="3CFB4D14" w14:textId="77777777" w:rsidR="007467BC" w:rsidRPr="00F90841" w:rsidRDefault="007467BC" w:rsidP="007467BC">
      <w:pPr>
        <w:pStyle w:val="SingleTxtG"/>
      </w:pPr>
      <w:r w:rsidRPr="00F90841">
        <w:t>231.</w:t>
      </w:r>
      <w:r w:rsidRPr="00F90841">
        <w:tab/>
        <w:t>Individuals must reside at MRRC and are subject to conditions including needing to be granted permission to leave and return at stipulated times. Due to the administrative nature of detention, powers are more limited than in prisons. Physical force may only be used under narrow circumstances (e.g. to prevent a person causing harm) and there are reporting requirements where force is used. Body-searching is prohibited, as is searching residents</w:t>
      </w:r>
      <w:r w:rsidR="00562737" w:rsidRPr="00F90841">
        <w:t>’</w:t>
      </w:r>
      <w:r w:rsidRPr="00F90841">
        <w:t xml:space="preserve"> rooms.</w:t>
      </w:r>
    </w:p>
    <w:p w14:paraId="0FC8D7F4" w14:textId="77777777" w:rsidR="007467BC" w:rsidRPr="00F90841" w:rsidRDefault="007467BC" w:rsidP="00304994">
      <w:pPr>
        <w:pStyle w:val="H23G"/>
      </w:pPr>
      <w:r w:rsidRPr="00F90841">
        <w:tab/>
      </w:r>
      <w:r w:rsidRPr="00F90841">
        <w:tab/>
        <w:t>Detention in prisons</w:t>
      </w:r>
    </w:p>
    <w:p w14:paraId="27115D65" w14:textId="77777777" w:rsidR="007467BC" w:rsidRPr="00F90841" w:rsidRDefault="007467BC" w:rsidP="007467BC">
      <w:pPr>
        <w:pStyle w:val="SingleTxtG"/>
      </w:pPr>
      <w:r w:rsidRPr="00F90841">
        <w:t>232.</w:t>
      </w:r>
      <w:r w:rsidRPr="00F90841">
        <w:tab/>
        <w:t xml:space="preserve">If a Warrant of Commitment is granted, people liable for deportation or turnaround are generally detained under remand-like conditions in a prison. </w:t>
      </w:r>
    </w:p>
    <w:p w14:paraId="6038B68B" w14:textId="77777777" w:rsidR="007467BC" w:rsidRPr="00F90841" w:rsidRDefault="007467BC" w:rsidP="007467BC">
      <w:pPr>
        <w:pStyle w:val="SingleTxtG"/>
      </w:pPr>
      <w:r w:rsidRPr="00F90841">
        <w:t>233.</w:t>
      </w:r>
      <w:r w:rsidRPr="00F90841">
        <w:tab/>
        <w:t>INZ and Corrections work together on a case-by-case basis to provide the best possible detention outcome for detainees.</w:t>
      </w:r>
      <w:r w:rsidRPr="00F90841" w:rsidDel="00462C5C">
        <w:t xml:space="preserve"> </w:t>
      </w:r>
      <w:r w:rsidRPr="00F90841">
        <w:t xml:space="preserve">Corrections are informed that immigration detainees are not facing criminal charges. Detainees can notify Corrections should they feel unsafe or if they feel that their rights have been violated. </w:t>
      </w:r>
    </w:p>
    <w:p w14:paraId="7ABFDDF1" w14:textId="77777777" w:rsidR="007467BC" w:rsidRPr="00F90841" w:rsidRDefault="007467BC" w:rsidP="003A2B9F">
      <w:pPr>
        <w:pStyle w:val="H23G"/>
      </w:pPr>
      <w:r w:rsidRPr="00F90841">
        <w:tab/>
      </w:r>
      <w:r w:rsidRPr="00F90841">
        <w:tab/>
        <w:t>Asylum claimants detained in prisons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40"/>
        <w:gridCol w:w="1468"/>
        <w:gridCol w:w="1505"/>
        <w:gridCol w:w="1503"/>
        <w:gridCol w:w="1354"/>
      </w:tblGrid>
      <w:tr w:rsidR="007467BC" w:rsidRPr="00F90841" w14:paraId="31EF1850" w14:textId="77777777" w:rsidTr="00304994">
        <w:trPr>
          <w:tblHeader/>
        </w:trPr>
        <w:tc>
          <w:tcPr>
            <w:tcW w:w="1451" w:type="dxa"/>
            <w:tcBorders>
              <w:top w:val="single" w:sz="4" w:space="0" w:color="auto"/>
              <w:bottom w:val="single" w:sz="12" w:space="0" w:color="auto"/>
            </w:tcBorders>
            <w:shd w:val="clear" w:color="auto" w:fill="auto"/>
            <w:noWrap/>
            <w:vAlign w:val="bottom"/>
            <w:hideMark/>
          </w:tcPr>
          <w:p w14:paraId="2DB25286" w14:textId="77777777" w:rsidR="007467BC" w:rsidRPr="00F90841" w:rsidRDefault="007467BC" w:rsidP="00304994">
            <w:pPr>
              <w:spacing w:before="80" w:after="80" w:line="200" w:lineRule="exact"/>
              <w:ind w:right="113"/>
              <w:rPr>
                <w:i/>
                <w:sz w:val="16"/>
              </w:rPr>
            </w:pPr>
            <w:r w:rsidRPr="00F90841">
              <w:rPr>
                <w:i/>
                <w:sz w:val="16"/>
              </w:rPr>
              <w:t>2014</w:t>
            </w:r>
          </w:p>
        </w:tc>
        <w:tc>
          <w:tcPr>
            <w:tcW w:w="1384" w:type="dxa"/>
            <w:tcBorders>
              <w:top w:val="single" w:sz="4" w:space="0" w:color="auto"/>
              <w:bottom w:val="single" w:sz="12" w:space="0" w:color="auto"/>
            </w:tcBorders>
            <w:shd w:val="clear" w:color="auto" w:fill="auto"/>
            <w:noWrap/>
            <w:vAlign w:val="bottom"/>
            <w:hideMark/>
          </w:tcPr>
          <w:p w14:paraId="2D14AEC8" w14:textId="77777777" w:rsidR="007467BC" w:rsidRPr="00F90841" w:rsidRDefault="007467BC" w:rsidP="00304994">
            <w:pPr>
              <w:spacing w:before="80" w:after="80" w:line="200" w:lineRule="exact"/>
              <w:ind w:right="113"/>
              <w:jc w:val="right"/>
              <w:rPr>
                <w:i/>
                <w:sz w:val="16"/>
              </w:rPr>
            </w:pPr>
            <w:r w:rsidRPr="00F90841">
              <w:rPr>
                <w:i/>
                <w:sz w:val="16"/>
              </w:rPr>
              <w:t>2015</w:t>
            </w:r>
          </w:p>
        </w:tc>
        <w:tc>
          <w:tcPr>
            <w:tcW w:w="1418" w:type="dxa"/>
            <w:tcBorders>
              <w:top w:val="single" w:sz="4" w:space="0" w:color="auto"/>
              <w:bottom w:val="single" w:sz="12" w:space="0" w:color="auto"/>
            </w:tcBorders>
            <w:shd w:val="clear" w:color="auto" w:fill="auto"/>
            <w:noWrap/>
            <w:vAlign w:val="bottom"/>
            <w:hideMark/>
          </w:tcPr>
          <w:p w14:paraId="0D81E8CE" w14:textId="77777777" w:rsidR="007467BC" w:rsidRPr="00F90841" w:rsidRDefault="007467BC" w:rsidP="00304994">
            <w:pPr>
              <w:spacing w:before="80" w:after="80" w:line="200" w:lineRule="exact"/>
              <w:ind w:right="113"/>
              <w:jc w:val="right"/>
              <w:rPr>
                <w:i/>
                <w:sz w:val="16"/>
              </w:rPr>
            </w:pPr>
            <w:r w:rsidRPr="00F90841">
              <w:rPr>
                <w:i/>
                <w:sz w:val="16"/>
              </w:rPr>
              <w:t>2016</w:t>
            </w:r>
          </w:p>
        </w:tc>
        <w:tc>
          <w:tcPr>
            <w:tcW w:w="1417" w:type="dxa"/>
            <w:tcBorders>
              <w:top w:val="single" w:sz="4" w:space="0" w:color="auto"/>
              <w:bottom w:val="single" w:sz="12" w:space="0" w:color="auto"/>
            </w:tcBorders>
            <w:shd w:val="clear" w:color="auto" w:fill="auto"/>
            <w:noWrap/>
            <w:vAlign w:val="bottom"/>
            <w:hideMark/>
          </w:tcPr>
          <w:p w14:paraId="4BCCD883" w14:textId="77777777" w:rsidR="007467BC" w:rsidRPr="00F90841" w:rsidRDefault="007467BC" w:rsidP="00304994">
            <w:pPr>
              <w:spacing w:before="80" w:after="80" w:line="200" w:lineRule="exact"/>
              <w:ind w:right="113"/>
              <w:jc w:val="right"/>
              <w:rPr>
                <w:i/>
                <w:sz w:val="16"/>
              </w:rPr>
            </w:pPr>
            <w:r w:rsidRPr="00F90841">
              <w:rPr>
                <w:i/>
                <w:sz w:val="16"/>
              </w:rPr>
              <w:t>2017</w:t>
            </w:r>
          </w:p>
        </w:tc>
        <w:tc>
          <w:tcPr>
            <w:tcW w:w="1276" w:type="dxa"/>
            <w:tcBorders>
              <w:top w:val="single" w:sz="4" w:space="0" w:color="auto"/>
              <w:bottom w:val="single" w:sz="12" w:space="0" w:color="auto"/>
            </w:tcBorders>
            <w:shd w:val="clear" w:color="auto" w:fill="auto"/>
            <w:noWrap/>
            <w:vAlign w:val="bottom"/>
            <w:hideMark/>
          </w:tcPr>
          <w:p w14:paraId="0C9B03D7" w14:textId="77777777" w:rsidR="007467BC" w:rsidRPr="00F90841" w:rsidRDefault="007467BC" w:rsidP="00304994">
            <w:pPr>
              <w:spacing w:before="80" w:after="80" w:line="200" w:lineRule="exact"/>
              <w:ind w:right="113"/>
              <w:jc w:val="right"/>
              <w:rPr>
                <w:i/>
                <w:sz w:val="16"/>
              </w:rPr>
            </w:pPr>
            <w:r w:rsidRPr="00F90841">
              <w:rPr>
                <w:i/>
                <w:sz w:val="16"/>
              </w:rPr>
              <w:t>2018</w:t>
            </w:r>
          </w:p>
        </w:tc>
      </w:tr>
      <w:tr w:rsidR="007467BC" w:rsidRPr="00F90841" w14:paraId="3F2E0597" w14:textId="77777777" w:rsidTr="00304994">
        <w:tc>
          <w:tcPr>
            <w:tcW w:w="1451" w:type="dxa"/>
            <w:tcBorders>
              <w:top w:val="single" w:sz="12" w:space="0" w:color="auto"/>
            </w:tcBorders>
            <w:shd w:val="clear" w:color="auto" w:fill="auto"/>
            <w:noWrap/>
            <w:hideMark/>
          </w:tcPr>
          <w:p w14:paraId="3C847A4C" w14:textId="77777777" w:rsidR="007467BC" w:rsidRPr="00F90841" w:rsidRDefault="007467BC" w:rsidP="00304994">
            <w:pPr>
              <w:spacing w:before="40" w:after="40" w:line="220" w:lineRule="exact"/>
              <w:ind w:right="113"/>
              <w:rPr>
                <w:sz w:val="18"/>
              </w:rPr>
            </w:pPr>
            <w:r w:rsidRPr="00F90841">
              <w:rPr>
                <w:sz w:val="18"/>
              </w:rPr>
              <w:t>5</w:t>
            </w:r>
          </w:p>
        </w:tc>
        <w:tc>
          <w:tcPr>
            <w:tcW w:w="1384" w:type="dxa"/>
            <w:tcBorders>
              <w:top w:val="single" w:sz="12" w:space="0" w:color="auto"/>
            </w:tcBorders>
            <w:shd w:val="clear" w:color="auto" w:fill="auto"/>
            <w:noWrap/>
            <w:vAlign w:val="bottom"/>
            <w:hideMark/>
          </w:tcPr>
          <w:p w14:paraId="41548928" w14:textId="77777777" w:rsidR="007467BC" w:rsidRPr="00F90841" w:rsidRDefault="007467BC" w:rsidP="00304994">
            <w:pPr>
              <w:spacing w:before="40" w:after="40" w:line="220" w:lineRule="exact"/>
              <w:ind w:right="113"/>
              <w:jc w:val="right"/>
              <w:rPr>
                <w:sz w:val="18"/>
              </w:rPr>
            </w:pPr>
            <w:r w:rsidRPr="00F90841">
              <w:rPr>
                <w:sz w:val="18"/>
              </w:rPr>
              <w:t>15</w:t>
            </w:r>
          </w:p>
        </w:tc>
        <w:tc>
          <w:tcPr>
            <w:tcW w:w="1418" w:type="dxa"/>
            <w:tcBorders>
              <w:top w:val="single" w:sz="12" w:space="0" w:color="auto"/>
            </w:tcBorders>
            <w:shd w:val="clear" w:color="auto" w:fill="auto"/>
            <w:noWrap/>
            <w:vAlign w:val="bottom"/>
            <w:hideMark/>
          </w:tcPr>
          <w:p w14:paraId="631E8B50" w14:textId="77777777" w:rsidR="007467BC" w:rsidRPr="00F90841" w:rsidRDefault="007467BC" w:rsidP="00304994">
            <w:pPr>
              <w:spacing w:before="40" w:after="40" w:line="220" w:lineRule="exact"/>
              <w:ind w:right="113"/>
              <w:jc w:val="right"/>
              <w:rPr>
                <w:sz w:val="18"/>
              </w:rPr>
            </w:pPr>
            <w:r w:rsidRPr="00F90841">
              <w:rPr>
                <w:sz w:val="18"/>
              </w:rPr>
              <w:t>24</w:t>
            </w:r>
          </w:p>
        </w:tc>
        <w:tc>
          <w:tcPr>
            <w:tcW w:w="1417" w:type="dxa"/>
            <w:tcBorders>
              <w:top w:val="single" w:sz="12" w:space="0" w:color="auto"/>
            </w:tcBorders>
            <w:shd w:val="clear" w:color="auto" w:fill="auto"/>
            <w:noWrap/>
            <w:vAlign w:val="bottom"/>
            <w:hideMark/>
          </w:tcPr>
          <w:p w14:paraId="25D3565A" w14:textId="77777777" w:rsidR="007467BC" w:rsidRPr="00F90841" w:rsidRDefault="007467BC" w:rsidP="00304994">
            <w:pPr>
              <w:spacing w:before="40" w:after="40" w:line="220" w:lineRule="exact"/>
              <w:ind w:right="113"/>
              <w:jc w:val="right"/>
              <w:rPr>
                <w:sz w:val="18"/>
              </w:rPr>
            </w:pPr>
            <w:r w:rsidRPr="00F90841">
              <w:rPr>
                <w:sz w:val="18"/>
              </w:rPr>
              <w:t>27</w:t>
            </w:r>
          </w:p>
        </w:tc>
        <w:tc>
          <w:tcPr>
            <w:tcW w:w="1276" w:type="dxa"/>
            <w:tcBorders>
              <w:top w:val="single" w:sz="12" w:space="0" w:color="auto"/>
            </w:tcBorders>
            <w:shd w:val="clear" w:color="auto" w:fill="auto"/>
            <w:noWrap/>
            <w:vAlign w:val="bottom"/>
            <w:hideMark/>
          </w:tcPr>
          <w:p w14:paraId="37A48FD1" w14:textId="77777777" w:rsidR="007467BC" w:rsidRPr="00F90841" w:rsidRDefault="007467BC" w:rsidP="00304994">
            <w:pPr>
              <w:spacing w:before="40" w:after="40" w:line="220" w:lineRule="exact"/>
              <w:ind w:right="113"/>
              <w:jc w:val="right"/>
              <w:rPr>
                <w:sz w:val="18"/>
              </w:rPr>
            </w:pPr>
            <w:r w:rsidRPr="00F90841">
              <w:rPr>
                <w:sz w:val="18"/>
              </w:rPr>
              <w:t>18</w:t>
            </w:r>
          </w:p>
        </w:tc>
      </w:tr>
    </w:tbl>
    <w:p w14:paraId="63994254" w14:textId="77777777" w:rsidR="007467BC" w:rsidRPr="00F90841" w:rsidRDefault="007467BC" w:rsidP="00400663">
      <w:pPr>
        <w:pStyle w:val="H1G"/>
      </w:pPr>
      <w:r w:rsidRPr="00F90841">
        <w:tab/>
      </w:r>
      <w:r w:rsidRPr="00F90841">
        <w:tab/>
        <w:t xml:space="preserve">Reply to paragraph 24 of the list of issues </w:t>
      </w:r>
    </w:p>
    <w:p w14:paraId="09926D81" w14:textId="77777777" w:rsidR="007467BC" w:rsidRPr="00F90841" w:rsidRDefault="007467BC" w:rsidP="00400663">
      <w:pPr>
        <w:pStyle w:val="H23G"/>
      </w:pPr>
      <w:r w:rsidRPr="00F90841">
        <w:tab/>
      </w:r>
      <w:r w:rsidRPr="00F90841">
        <w:tab/>
        <w:t xml:space="preserve">Non-consensual commitment on health grounds, including intellectual disability </w:t>
      </w:r>
    </w:p>
    <w:p w14:paraId="517FB14C" w14:textId="77777777" w:rsidR="007467BC" w:rsidRPr="00F90841" w:rsidRDefault="007467BC" w:rsidP="007467BC">
      <w:pPr>
        <w:pStyle w:val="SingleTxtG"/>
      </w:pPr>
      <w:bookmarkStart w:id="72" w:name="_Hlk166047"/>
      <w:r w:rsidRPr="00F90841">
        <w:t>234.</w:t>
      </w:r>
      <w:r w:rsidRPr="00F90841">
        <w:tab/>
        <w:t xml:space="preserve">There are different bases for detaining </w:t>
      </w:r>
      <w:bookmarkStart w:id="73" w:name="_Ref532217135"/>
      <w:r w:rsidRPr="00F90841">
        <w:t xml:space="preserve">people in our health system, including those with intellectual disabilities. Safeguards are built into legislation and the Nationwide Health and Disability Advocacy Service operates a free and independent advocacy service to support people having issues with providers. </w:t>
      </w:r>
    </w:p>
    <w:p w14:paraId="2AC19CBC" w14:textId="77777777" w:rsidR="007467BC" w:rsidRPr="00F90841" w:rsidRDefault="007467BC" w:rsidP="007467BC">
      <w:pPr>
        <w:pStyle w:val="SingleTxtG"/>
      </w:pPr>
      <w:r w:rsidRPr="00F90841">
        <w:t>235.</w:t>
      </w:r>
      <w:r w:rsidRPr="00F90841">
        <w:tab/>
        <w:t>There have been calls for reform of the grounds for non-consensual treatment, and for consideration of mental capacity law and practice with concerns including gaps in the legal framework and shortcomings of safeguards.</w:t>
      </w:r>
    </w:p>
    <w:p w14:paraId="60A68FE4" w14:textId="77777777" w:rsidR="007467BC" w:rsidRPr="00F90841" w:rsidRDefault="007467BC" w:rsidP="007467BC">
      <w:pPr>
        <w:pStyle w:val="SingleTxtG"/>
      </w:pPr>
      <w:r w:rsidRPr="00F90841">
        <w:t>236.</w:t>
      </w:r>
      <w:r w:rsidRPr="00F90841">
        <w:tab/>
        <w:t xml:space="preserve">The Government has accepted a recommendation of He Ara </w:t>
      </w:r>
      <w:proofErr w:type="spellStart"/>
      <w:r w:rsidRPr="00F90841">
        <w:t>Oranga</w:t>
      </w:r>
      <w:proofErr w:type="spellEnd"/>
      <w:r w:rsidRPr="00F90841">
        <w:t xml:space="preserve"> to repeal and replace the Mental Health (Compulsory Assessment and Treatment) Act 1992 (the Mental Health Act). The Substance Addiction (Compulsory Assessment and Treatment) Act 2017 contains a requirement for the Act to be reviewed three years after coming into force. </w:t>
      </w:r>
    </w:p>
    <w:p w14:paraId="70EB157C" w14:textId="77777777" w:rsidR="007467BC" w:rsidRPr="00F90841" w:rsidRDefault="007467BC" w:rsidP="00400663">
      <w:pPr>
        <w:pStyle w:val="H23G"/>
      </w:pPr>
      <w:bookmarkStart w:id="74" w:name="_Hlk525735649"/>
      <w:bookmarkEnd w:id="70"/>
      <w:bookmarkEnd w:id="72"/>
      <w:bookmarkEnd w:id="73"/>
      <w:r w:rsidRPr="00F90841">
        <w:tab/>
      </w:r>
      <w:r w:rsidRPr="00F90841">
        <w:tab/>
        <w:t xml:space="preserve">Overview of the Mental Health (Compulsory Assessment and Treatment) Act 1992 and the Substance Addiction (Compulsory Assessment and Treatment) Act 2017 </w:t>
      </w:r>
    </w:p>
    <w:p w14:paraId="05A43953" w14:textId="77777777" w:rsidR="007467BC" w:rsidRPr="00F90841" w:rsidRDefault="007467BC" w:rsidP="007467BC">
      <w:pPr>
        <w:pStyle w:val="SingleTxtG"/>
      </w:pPr>
      <w:r w:rsidRPr="00F90841">
        <w:t>237.</w:t>
      </w:r>
      <w:r w:rsidRPr="00F90841">
        <w:tab/>
        <w:t>The Mental Health Act provides for compulsory psychiatric assessment and treatment. The Substance Addiction Act provides for the compulsory assessment and treatment of people considered to have severe substance addictions and lack capacity to decide on treatment. The Substance Addiction Act is used as a last resort. It aims to balance the rights of a person to make decisions about treating their addiction and protect them from serious harm. Specific threshold criteria (clinical and legal) must be met.</w:t>
      </w:r>
    </w:p>
    <w:p w14:paraId="0837E1A0" w14:textId="77777777" w:rsidR="007467BC" w:rsidRPr="00F90841" w:rsidRDefault="007467BC" w:rsidP="007467BC">
      <w:pPr>
        <w:pStyle w:val="SingleTxtG"/>
      </w:pPr>
      <w:r w:rsidRPr="00F90841">
        <w:lastRenderedPageBreak/>
        <w:t>238.</w:t>
      </w:r>
      <w:r w:rsidRPr="00F90841">
        <w:tab/>
        <w:t>Free District Inspector services are available to ensure consumer rights are upheld (see para</w:t>
      </w:r>
      <w:r w:rsidR="009A2177">
        <w:t>.</w:t>
      </w:r>
      <w:r w:rsidRPr="00F90841">
        <w:t xml:space="preserve"> </w:t>
      </w:r>
      <w:r w:rsidRPr="00F90841">
        <w:rPr>
          <w:cs/>
        </w:rPr>
        <w:t>‎</w:t>
      </w:r>
      <w:r w:rsidRPr="00F90841">
        <w:t xml:space="preserve">0). The Mental Health Act allows a person to request a review of their condition by a judge during the initial one-month compulsory assessment process. Everyone subject to compulsory treatment has a </w:t>
      </w:r>
      <w:r w:rsidR="00562737" w:rsidRPr="00F90841">
        <w:t>‘</w:t>
      </w:r>
      <w:r w:rsidRPr="00F90841">
        <w:t>responsible clinician</w:t>
      </w:r>
      <w:r w:rsidR="00562737" w:rsidRPr="00F90841">
        <w:t>’</w:t>
      </w:r>
      <w:r w:rsidRPr="00F90841">
        <w:t xml:space="preserve"> assigned to them who must formally review their condition every six months. The clinician must advise the person, and people concerned with their welfare, of the review</w:t>
      </w:r>
      <w:r w:rsidR="00562737" w:rsidRPr="00F90841">
        <w:t>’</w:t>
      </w:r>
      <w:r w:rsidRPr="00F90841">
        <w:t>s legal consequences, and their right to apply to the Mental Health Review Tribunal for review.</w:t>
      </w:r>
    </w:p>
    <w:p w14:paraId="62D75AA4" w14:textId="77777777" w:rsidR="007467BC" w:rsidRPr="00F90841" w:rsidRDefault="007467BC" w:rsidP="007467BC">
      <w:pPr>
        <w:pStyle w:val="SingleTxtG"/>
      </w:pPr>
      <w:r w:rsidRPr="00F90841">
        <w:t>239.</w:t>
      </w:r>
      <w:r w:rsidRPr="00F90841">
        <w:tab/>
        <w:t>Any assessment or treatment beyond the initial period may occur only with a judge</w:t>
      </w:r>
      <w:r w:rsidR="00562737" w:rsidRPr="00F90841">
        <w:t>’</w:t>
      </w:r>
      <w:r w:rsidRPr="00F90841">
        <w:t xml:space="preserve">s agreement. They must examine the person within 14 days, consult with two health professionals, and hold a hearing to decide an order and its terms. The person is entitled to a lawyer and to obtain independent psychiatric advice. The judge can make a community treatment (default) or an inpatient order. </w:t>
      </w:r>
    </w:p>
    <w:p w14:paraId="7ABD2329" w14:textId="77777777" w:rsidR="007467BC" w:rsidRPr="00F90841" w:rsidRDefault="007467BC" w:rsidP="007467BC">
      <w:pPr>
        <w:pStyle w:val="SingleTxtG"/>
      </w:pPr>
      <w:r w:rsidRPr="00F90841">
        <w:t>240.</w:t>
      </w:r>
      <w:r w:rsidRPr="00F90841">
        <w:tab/>
        <w:t>The Substance Addiction Act allows patients to nominate any adult to protect their interests, consult an approved specialist for a second opinion and request a lawyer.</w:t>
      </w:r>
    </w:p>
    <w:p w14:paraId="44FAD714" w14:textId="77777777" w:rsidR="007467BC" w:rsidRPr="00F90841" w:rsidRDefault="007467BC" w:rsidP="00FA0A8C">
      <w:pPr>
        <w:pStyle w:val="H23G"/>
      </w:pPr>
      <w:r w:rsidRPr="00F90841">
        <w:tab/>
      </w:r>
      <w:r w:rsidRPr="00F90841">
        <w:tab/>
        <w:t>Inpatient treatment orders under the Mental Health Act</w:t>
      </w:r>
    </w:p>
    <w:tbl>
      <w:tblPr>
        <w:tblStyle w:val="TableGrid4"/>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2173"/>
        <w:gridCol w:w="2173"/>
        <w:gridCol w:w="2173"/>
      </w:tblGrid>
      <w:tr w:rsidR="007467BC" w:rsidRPr="00F90841" w14:paraId="7276916A" w14:textId="77777777" w:rsidTr="00FA0A8C">
        <w:trPr>
          <w:tblHeader/>
        </w:trPr>
        <w:tc>
          <w:tcPr>
            <w:tcW w:w="577" w:type="pct"/>
            <w:tcBorders>
              <w:top w:val="single" w:sz="4" w:space="0" w:color="auto"/>
              <w:bottom w:val="single" w:sz="12" w:space="0" w:color="auto"/>
            </w:tcBorders>
            <w:shd w:val="clear" w:color="auto" w:fill="auto"/>
            <w:vAlign w:val="bottom"/>
          </w:tcPr>
          <w:p w14:paraId="6619E56B" w14:textId="77777777" w:rsidR="007467BC" w:rsidRPr="00F90841" w:rsidRDefault="007467BC" w:rsidP="0059095F">
            <w:pPr>
              <w:suppressAutoHyphens w:val="0"/>
              <w:spacing w:before="80" w:after="80" w:line="200" w:lineRule="exact"/>
              <w:ind w:right="113"/>
              <w:rPr>
                <w:i/>
                <w:sz w:val="16"/>
              </w:rPr>
            </w:pPr>
          </w:p>
        </w:tc>
        <w:tc>
          <w:tcPr>
            <w:tcW w:w="1474" w:type="pct"/>
            <w:tcBorders>
              <w:top w:val="single" w:sz="4" w:space="0" w:color="auto"/>
              <w:bottom w:val="single" w:sz="12" w:space="0" w:color="auto"/>
            </w:tcBorders>
            <w:shd w:val="clear" w:color="auto" w:fill="auto"/>
            <w:vAlign w:val="bottom"/>
          </w:tcPr>
          <w:p w14:paraId="0A831AD5" w14:textId="77777777" w:rsidR="007467BC" w:rsidRPr="00F90841" w:rsidRDefault="007467BC" w:rsidP="0059095F">
            <w:pPr>
              <w:suppressAutoHyphens w:val="0"/>
              <w:spacing w:before="80" w:after="80" w:line="200" w:lineRule="exact"/>
              <w:ind w:right="113"/>
              <w:jc w:val="right"/>
              <w:rPr>
                <w:i/>
                <w:sz w:val="16"/>
              </w:rPr>
            </w:pPr>
            <w:r w:rsidRPr="00F90841">
              <w:rPr>
                <w:i/>
                <w:sz w:val="16"/>
              </w:rPr>
              <w:t xml:space="preserve">Number of inpatient </w:t>
            </w:r>
            <w:r w:rsidR="00FA0A8C">
              <w:rPr>
                <w:i/>
                <w:sz w:val="16"/>
              </w:rPr>
              <w:br/>
            </w:r>
            <w:r w:rsidRPr="00F90841">
              <w:rPr>
                <w:i/>
                <w:sz w:val="16"/>
              </w:rPr>
              <w:t>treatment orders (s30)</w:t>
            </w:r>
          </w:p>
        </w:tc>
        <w:tc>
          <w:tcPr>
            <w:tcW w:w="1474" w:type="pct"/>
            <w:tcBorders>
              <w:top w:val="single" w:sz="4" w:space="0" w:color="auto"/>
              <w:bottom w:val="single" w:sz="12" w:space="0" w:color="auto"/>
            </w:tcBorders>
            <w:shd w:val="clear" w:color="auto" w:fill="auto"/>
            <w:vAlign w:val="bottom"/>
          </w:tcPr>
          <w:p w14:paraId="62A91280" w14:textId="77777777" w:rsidR="007467BC" w:rsidRPr="00F90841" w:rsidRDefault="007467BC" w:rsidP="0059095F">
            <w:pPr>
              <w:suppressAutoHyphens w:val="0"/>
              <w:spacing w:before="80" w:after="80" w:line="200" w:lineRule="exact"/>
              <w:ind w:right="113"/>
              <w:jc w:val="right"/>
              <w:rPr>
                <w:i/>
                <w:sz w:val="16"/>
              </w:rPr>
            </w:pPr>
            <w:r w:rsidRPr="00F90841">
              <w:rPr>
                <w:i/>
                <w:sz w:val="16"/>
              </w:rPr>
              <w:t>Average number of patients under s30 on a given day</w:t>
            </w:r>
          </w:p>
        </w:tc>
        <w:tc>
          <w:tcPr>
            <w:tcW w:w="1474" w:type="pct"/>
            <w:tcBorders>
              <w:top w:val="single" w:sz="4" w:space="0" w:color="auto"/>
              <w:bottom w:val="single" w:sz="12" w:space="0" w:color="auto"/>
            </w:tcBorders>
            <w:shd w:val="clear" w:color="auto" w:fill="auto"/>
            <w:vAlign w:val="bottom"/>
          </w:tcPr>
          <w:p w14:paraId="0B37B064" w14:textId="77777777" w:rsidR="007467BC" w:rsidRPr="00F90841" w:rsidRDefault="007467BC" w:rsidP="0059095F">
            <w:pPr>
              <w:suppressAutoHyphens w:val="0"/>
              <w:spacing w:before="80" w:after="80" w:line="200" w:lineRule="exact"/>
              <w:ind w:right="113"/>
              <w:jc w:val="right"/>
              <w:rPr>
                <w:i/>
                <w:sz w:val="16"/>
              </w:rPr>
            </w:pPr>
            <w:r w:rsidRPr="00F90841">
              <w:rPr>
                <w:i/>
                <w:sz w:val="16"/>
              </w:rPr>
              <w:t>Number of patients</w:t>
            </w:r>
            <w:r w:rsidR="00FA0A8C">
              <w:rPr>
                <w:i/>
                <w:sz w:val="16"/>
              </w:rPr>
              <w:br/>
            </w:r>
            <w:r w:rsidRPr="00F90841">
              <w:rPr>
                <w:i/>
                <w:sz w:val="16"/>
              </w:rPr>
              <w:t xml:space="preserve"> per 100,000 on a given day</w:t>
            </w:r>
          </w:p>
        </w:tc>
      </w:tr>
      <w:tr w:rsidR="007467BC" w:rsidRPr="00F90841" w14:paraId="1873A116" w14:textId="77777777" w:rsidTr="00FA0A8C">
        <w:tc>
          <w:tcPr>
            <w:tcW w:w="577" w:type="pct"/>
            <w:tcBorders>
              <w:top w:val="single" w:sz="12" w:space="0" w:color="auto"/>
              <w:bottom w:val="nil"/>
            </w:tcBorders>
            <w:shd w:val="clear" w:color="auto" w:fill="auto"/>
          </w:tcPr>
          <w:p w14:paraId="49B58C57" w14:textId="77777777" w:rsidR="007467BC" w:rsidRPr="00F90841" w:rsidRDefault="007467BC" w:rsidP="0059095F">
            <w:pPr>
              <w:suppressAutoHyphens w:val="0"/>
              <w:spacing w:before="40" w:after="40" w:line="220" w:lineRule="exact"/>
              <w:ind w:right="113"/>
              <w:rPr>
                <w:sz w:val="18"/>
              </w:rPr>
            </w:pPr>
            <w:r w:rsidRPr="00F90841">
              <w:rPr>
                <w:sz w:val="18"/>
              </w:rPr>
              <w:t>2014</w:t>
            </w:r>
          </w:p>
        </w:tc>
        <w:tc>
          <w:tcPr>
            <w:tcW w:w="1474" w:type="pct"/>
            <w:tcBorders>
              <w:top w:val="single" w:sz="12" w:space="0" w:color="auto"/>
              <w:bottom w:val="nil"/>
            </w:tcBorders>
            <w:shd w:val="clear" w:color="auto" w:fill="auto"/>
            <w:vAlign w:val="bottom"/>
          </w:tcPr>
          <w:p w14:paraId="54D5B0C2" w14:textId="77777777" w:rsidR="007467BC" w:rsidRPr="00F90841" w:rsidRDefault="007467BC" w:rsidP="0059095F">
            <w:pPr>
              <w:suppressAutoHyphens w:val="0"/>
              <w:spacing w:before="40" w:after="40" w:line="220" w:lineRule="exact"/>
              <w:ind w:right="113"/>
              <w:jc w:val="right"/>
              <w:rPr>
                <w:sz w:val="18"/>
              </w:rPr>
            </w:pPr>
            <w:r w:rsidRPr="00F90841">
              <w:rPr>
                <w:sz w:val="18"/>
              </w:rPr>
              <w:t>1</w:t>
            </w:r>
            <w:r w:rsidR="00FA0A8C">
              <w:rPr>
                <w:sz w:val="18"/>
              </w:rPr>
              <w:t xml:space="preserve"> </w:t>
            </w:r>
            <w:r w:rsidRPr="00F90841">
              <w:rPr>
                <w:sz w:val="18"/>
              </w:rPr>
              <w:t>784</w:t>
            </w:r>
          </w:p>
        </w:tc>
        <w:tc>
          <w:tcPr>
            <w:tcW w:w="1474" w:type="pct"/>
            <w:tcBorders>
              <w:top w:val="single" w:sz="12" w:space="0" w:color="auto"/>
              <w:bottom w:val="nil"/>
            </w:tcBorders>
            <w:shd w:val="clear" w:color="auto" w:fill="auto"/>
            <w:vAlign w:val="bottom"/>
          </w:tcPr>
          <w:p w14:paraId="24EAE370" w14:textId="77777777" w:rsidR="007467BC" w:rsidRPr="00F90841" w:rsidRDefault="007467BC" w:rsidP="0059095F">
            <w:pPr>
              <w:suppressAutoHyphens w:val="0"/>
              <w:spacing w:before="40" w:after="40" w:line="220" w:lineRule="exact"/>
              <w:ind w:right="113"/>
              <w:jc w:val="right"/>
              <w:rPr>
                <w:sz w:val="18"/>
              </w:rPr>
            </w:pPr>
            <w:r w:rsidRPr="00F90841">
              <w:rPr>
                <w:sz w:val="18"/>
              </w:rPr>
              <w:t>619</w:t>
            </w:r>
          </w:p>
        </w:tc>
        <w:tc>
          <w:tcPr>
            <w:tcW w:w="1474" w:type="pct"/>
            <w:tcBorders>
              <w:top w:val="single" w:sz="12" w:space="0" w:color="auto"/>
              <w:bottom w:val="nil"/>
            </w:tcBorders>
            <w:shd w:val="clear" w:color="auto" w:fill="auto"/>
            <w:vAlign w:val="bottom"/>
          </w:tcPr>
          <w:p w14:paraId="6223F4CF" w14:textId="77777777" w:rsidR="007467BC" w:rsidRPr="00F90841" w:rsidRDefault="007467BC" w:rsidP="0059095F">
            <w:pPr>
              <w:suppressAutoHyphens w:val="0"/>
              <w:spacing w:before="40" w:after="40" w:line="220" w:lineRule="exact"/>
              <w:ind w:right="113"/>
              <w:jc w:val="right"/>
              <w:rPr>
                <w:sz w:val="18"/>
              </w:rPr>
            </w:pPr>
            <w:r w:rsidRPr="00F90841">
              <w:rPr>
                <w:sz w:val="18"/>
              </w:rPr>
              <w:t>14</w:t>
            </w:r>
          </w:p>
        </w:tc>
      </w:tr>
      <w:tr w:rsidR="007467BC" w:rsidRPr="00F90841" w14:paraId="578281BF" w14:textId="77777777" w:rsidTr="00FA0A8C">
        <w:tc>
          <w:tcPr>
            <w:tcW w:w="577" w:type="pct"/>
            <w:tcBorders>
              <w:top w:val="nil"/>
              <w:bottom w:val="nil"/>
            </w:tcBorders>
            <w:shd w:val="clear" w:color="auto" w:fill="auto"/>
          </w:tcPr>
          <w:p w14:paraId="26F79472" w14:textId="77777777" w:rsidR="007467BC" w:rsidRPr="00F90841" w:rsidRDefault="007467BC" w:rsidP="0059095F">
            <w:pPr>
              <w:suppressAutoHyphens w:val="0"/>
              <w:spacing w:before="40" w:after="40" w:line="220" w:lineRule="exact"/>
              <w:ind w:right="113"/>
              <w:rPr>
                <w:sz w:val="18"/>
              </w:rPr>
            </w:pPr>
            <w:r w:rsidRPr="00F90841">
              <w:rPr>
                <w:sz w:val="18"/>
              </w:rPr>
              <w:t>2015</w:t>
            </w:r>
          </w:p>
        </w:tc>
        <w:tc>
          <w:tcPr>
            <w:tcW w:w="1474" w:type="pct"/>
            <w:tcBorders>
              <w:top w:val="nil"/>
              <w:bottom w:val="nil"/>
            </w:tcBorders>
            <w:shd w:val="clear" w:color="auto" w:fill="auto"/>
            <w:vAlign w:val="bottom"/>
          </w:tcPr>
          <w:p w14:paraId="0306AFE3" w14:textId="77777777" w:rsidR="007467BC" w:rsidRPr="00F90841" w:rsidRDefault="007467BC" w:rsidP="0059095F">
            <w:pPr>
              <w:suppressAutoHyphens w:val="0"/>
              <w:spacing w:before="40" w:after="40" w:line="220" w:lineRule="exact"/>
              <w:ind w:right="113"/>
              <w:jc w:val="right"/>
              <w:rPr>
                <w:sz w:val="18"/>
              </w:rPr>
            </w:pPr>
            <w:r w:rsidRPr="00F90841">
              <w:rPr>
                <w:sz w:val="18"/>
              </w:rPr>
              <w:t>1</w:t>
            </w:r>
            <w:r w:rsidR="00FA0A8C">
              <w:rPr>
                <w:sz w:val="18"/>
              </w:rPr>
              <w:t xml:space="preserve"> </w:t>
            </w:r>
            <w:r w:rsidRPr="00F90841">
              <w:rPr>
                <w:sz w:val="18"/>
              </w:rPr>
              <w:t>791</w:t>
            </w:r>
          </w:p>
        </w:tc>
        <w:tc>
          <w:tcPr>
            <w:tcW w:w="1474" w:type="pct"/>
            <w:tcBorders>
              <w:top w:val="nil"/>
              <w:bottom w:val="nil"/>
            </w:tcBorders>
            <w:shd w:val="clear" w:color="auto" w:fill="auto"/>
            <w:vAlign w:val="bottom"/>
          </w:tcPr>
          <w:p w14:paraId="32963C1B" w14:textId="77777777" w:rsidR="007467BC" w:rsidRPr="00F90841" w:rsidRDefault="007467BC" w:rsidP="0059095F">
            <w:pPr>
              <w:suppressAutoHyphens w:val="0"/>
              <w:spacing w:before="40" w:after="40" w:line="220" w:lineRule="exact"/>
              <w:ind w:right="113"/>
              <w:jc w:val="right"/>
              <w:rPr>
                <w:sz w:val="18"/>
              </w:rPr>
            </w:pPr>
            <w:r w:rsidRPr="00F90841">
              <w:rPr>
                <w:sz w:val="18"/>
              </w:rPr>
              <w:t>654</w:t>
            </w:r>
          </w:p>
        </w:tc>
        <w:tc>
          <w:tcPr>
            <w:tcW w:w="1474" w:type="pct"/>
            <w:tcBorders>
              <w:top w:val="nil"/>
              <w:bottom w:val="nil"/>
            </w:tcBorders>
            <w:shd w:val="clear" w:color="auto" w:fill="auto"/>
            <w:vAlign w:val="bottom"/>
          </w:tcPr>
          <w:p w14:paraId="488CAAD5" w14:textId="77777777" w:rsidR="007467BC" w:rsidRPr="00F90841" w:rsidRDefault="007467BC" w:rsidP="0059095F">
            <w:pPr>
              <w:suppressAutoHyphens w:val="0"/>
              <w:spacing w:before="40" w:after="40" w:line="220" w:lineRule="exact"/>
              <w:ind w:right="113"/>
              <w:jc w:val="right"/>
              <w:rPr>
                <w:sz w:val="18"/>
              </w:rPr>
            </w:pPr>
            <w:r w:rsidRPr="00F90841">
              <w:rPr>
                <w:sz w:val="18"/>
              </w:rPr>
              <w:t>14</w:t>
            </w:r>
          </w:p>
        </w:tc>
      </w:tr>
      <w:tr w:rsidR="007467BC" w:rsidRPr="00F90841" w14:paraId="376A0F8D" w14:textId="77777777" w:rsidTr="00FA0A8C">
        <w:tc>
          <w:tcPr>
            <w:tcW w:w="577" w:type="pct"/>
            <w:tcBorders>
              <w:top w:val="nil"/>
            </w:tcBorders>
            <w:shd w:val="clear" w:color="auto" w:fill="auto"/>
          </w:tcPr>
          <w:p w14:paraId="44B86A75" w14:textId="77777777" w:rsidR="007467BC" w:rsidRPr="00F90841" w:rsidRDefault="007467BC" w:rsidP="0059095F">
            <w:pPr>
              <w:keepNext/>
              <w:keepLines/>
              <w:suppressAutoHyphens w:val="0"/>
              <w:spacing w:before="40" w:after="40" w:line="220" w:lineRule="exact"/>
              <w:ind w:right="113"/>
              <w:rPr>
                <w:sz w:val="18"/>
              </w:rPr>
            </w:pPr>
            <w:r w:rsidRPr="00F90841">
              <w:rPr>
                <w:sz w:val="18"/>
              </w:rPr>
              <w:t>2016</w:t>
            </w:r>
          </w:p>
        </w:tc>
        <w:tc>
          <w:tcPr>
            <w:tcW w:w="1474" w:type="pct"/>
            <w:tcBorders>
              <w:top w:val="nil"/>
            </w:tcBorders>
            <w:shd w:val="clear" w:color="auto" w:fill="auto"/>
            <w:vAlign w:val="bottom"/>
          </w:tcPr>
          <w:p w14:paraId="71D8DDD2" w14:textId="77777777" w:rsidR="007467BC" w:rsidRPr="00F90841" w:rsidRDefault="007467BC" w:rsidP="0059095F">
            <w:pPr>
              <w:keepNext/>
              <w:keepLines/>
              <w:suppressAutoHyphens w:val="0"/>
              <w:spacing w:before="40" w:after="40" w:line="220" w:lineRule="exact"/>
              <w:ind w:right="113"/>
              <w:jc w:val="right"/>
              <w:rPr>
                <w:sz w:val="18"/>
              </w:rPr>
            </w:pPr>
            <w:r w:rsidRPr="00F90841">
              <w:rPr>
                <w:sz w:val="18"/>
              </w:rPr>
              <w:t>1</w:t>
            </w:r>
            <w:r w:rsidR="00FA0A8C">
              <w:rPr>
                <w:sz w:val="18"/>
              </w:rPr>
              <w:t xml:space="preserve"> </w:t>
            </w:r>
            <w:r w:rsidRPr="00F90841">
              <w:rPr>
                <w:sz w:val="18"/>
              </w:rPr>
              <w:t>722</w:t>
            </w:r>
          </w:p>
        </w:tc>
        <w:tc>
          <w:tcPr>
            <w:tcW w:w="1474" w:type="pct"/>
            <w:tcBorders>
              <w:top w:val="nil"/>
            </w:tcBorders>
            <w:shd w:val="clear" w:color="auto" w:fill="auto"/>
            <w:vAlign w:val="bottom"/>
          </w:tcPr>
          <w:p w14:paraId="27C2C0E5" w14:textId="77777777" w:rsidR="007467BC" w:rsidRPr="00F90841" w:rsidRDefault="007467BC" w:rsidP="0059095F">
            <w:pPr>
              <w:keepNext/>
              <w:keepLines/>
              <w:suppressAutoHyphens w:val="0"/>
              <w:spacing w:before="40" w:after="40" w:line="220" w:lineRule="exact"/>
              <w:ind w:right="113"/>
              <w:jc w:val="right"/>
              <w:rPr>
                <w:sz w:val="18"/>
              </w:rPr>
            </w:pPr>
            <w:r w:rsidRPr="00F90841">
              <w:rPr>
                <w:sz w:val="18"/>
              </w:rPr>
              <w:t>589</w:t>
            </w:r>
          </w:p>
        </w:tc>
        <w:tc>
          <w:tcPr>
            <w:tcW w:w="1474" w:type="pct"/>
            <w:tcBorders>
              <w:top w:val="nil"/>
            </w:tcBorders>
            <w:shd w:val="clear" w:color="auto" w:fill="auto"/>
            <w:vAlign w:val="bottom"/>
          </w:tcPr>
          <w:p w14:paraId="756ED18D" w14:textId="77777777" w:rsidR="007467BC" w:rsidRPr="00F90841" w:rsidRDefault="007467BC" w:rsidP="0059095F">
            <w:pPr>
              <w:keepNext/>
              <w:keepLines/>
              <w:suppressAutoHyphens w:val="0"/>
              <w:spacing w:before="40" w:after="40" w:line="220" w:lineRule="exact"/>
              <w:ind w:right="113"/>
              <w:jc w:val="right"/>
              <w:rPr>
                <w:sz w:val="18"/>
              </w:rPr>
            </w:pPr>
            <w:r w:rsidRPr="00F90841">
              <w:rPr>
                <w:sz w:val="18"/>
              </w:rPr>
              <w:t>12</w:t>
            </w:r>
          </w:p>
        </w:tc>
      </w:tr>
      <w:tr w:rsidR="007467BC" w:rsidRPr="00F90841" w14:paraId="3008A9E7" w14:textId="77777777" w:rsidTr="00FA0A8C">
        <w:tc>
          <w:tcPr>
            <w:tcW w:w="577" w:type="pct"/>
            <w:shd w:val="clear" w:color="auto" w:fill="auto"/>
          </w:tcPr>
          <w:p w14:paraId="7AE35B7A" w14:textId="77777777" w:rsidR="007467BC" w:rsidRPr="00F90841" w:rsidRDefault="007467BC" w:rsidP="0059095F">
            <w:pPr>
              <w:keepNext/>
              <w:keepLines/>
              <w:suppressAutoHyphens w:val="0"/>
              <w:spacing w:before="40" w:after="40" w:line="220" w:lineRule="exact"/>
              <w:ind w:right="113"/>
              <w:rPr>
                <w:sz w:val="18"/>
              </w:rPr>
            </w:pPr>
            <w:r w:rsidRPr="00F90841">
              <w:rPr>
                <w:sz w:val="18"/>
              </w:rPr>
              <w:t>2017</w:t>
            </w:r>
          </w:p>
        </w:tc>
        <w:tc>
          <w:tcPr>
            <w:tcW w:w="1474" w:type="pct"/>
            <w:shd w:val="clear" w:color="auto" w:fill="auto"/>
            <w:vAlign w:val="bottom"/>
          </w:tcPr>
          <w:p w14:paraId="7F394D8E" w14:textId="77777777" w:rsidR="007467BC" w:rsidRPr="00F90841" w:rsidRDefault="007467BC" w:rsidP="0059095F">
            <w:pPr>
              <w:keepNext/>
              <w:keepLines/>
              <w:suppressAutoHyphens w:val="0"/>
              <w:spacing w:before="40" w:after="40" w:line="220" w:lineRule="exact"/>
              <w:ind w:right="113"/>
              <w:jc w:val="right"/>
              <w:rPr>
                <w:sz w:val="18"/>
              </w:rPr>
            </w:pPr>
            <w:r w:rsidRPr="00F90841">
              <w:rPr>
                <w:sz w:val="18"/>
              </w:rPr>
              <w:t>1</w:t>
            </w:r>
            <w:r w:rsidR="00FA0A8C">
              <w:rPr>
                <w:sz w:val="18"/>
              </w:rPr>
              <w:t xml:space="preserve"> </w:t>
            </w:r>
            <w:r w:rsidRPr="00F90841">
              <w:rPr>
                <w:sz w:val="18"/>
              </w:rPr>
              <w:t>690</w:t>
            </w:r>
          </w:p>
        </w:tc>
        <w:tc>
          <w:tcPr>
            <w:tcW w:w="1474" w:type="pct"/>
            <w:shd w:val="clear" w:color="auto" w:fill="auto"/>
            <w:vAlign w:val="bottom"/>
          </w:tcPr>
          <w:p w14:paraId="546132B3" w14:textId="77777777" w:rsidR="007467BC" w:rsidRPr="00F90841" w:rsidRDefault="007467BC" w:rsidP="0059095F">
            <w:pPr>
              <w:keepNext/>
              <w:keepLines/>
              <w:suppressAutoHyphens w:val="0"/>
              <w:spacing w:before="40" w:after="40" w:line="220" w:lineRule="exact"/>
              <w:ind w:right="113"/>
              <w:jc w:val="right"/>
              <w:rPr>
                <w:sz w:val="18"/>
              </w:rPr>
            </w:pPr>
            <w:r w:rsidRPr="00F90841">
              <w:rPr>
                <w:sz w:val="18"/>
              </w:rPr>
              <w:t>651</w:t>
            </w:r>
          </w:p>
        </w:tc>
        <w:tc>
          <w:tcPr>
            <w:tcW w:w="1474" w:type="pct"/>
            <w:shd w:val="clear" w:color="auto" w:fill="auto"/>
            <w:vAlign w:val="bottom"/>
          </w:tcPr>
          <w:p w14:paraId="2FE2EF72" w14:textId="77777777" w:rsidR="007467BC" w:rsidRPr="00F90841" w:rsidRDefault="007467BC" w:rsidP="0059095F">
            <w:pPr>
              <w:keepNext/>
              <w:keepLines/>
              <w:suppressAutoHyphens w:val="0"/>
              <w:spacing w:before="40" w:after="40" w:line="220" w:lineRule="exact"/>
              <w:ind w:right="113"/>
              <w:jc w:val="right"/>
              <w:rPr>
                <w:sz w:val="18"/>
              </w:rPr>
            </w:pPr>
            <w:r w:rsidRPr="00F90841">
              <w:rPr>
                <w:sz w:val="18"/>
              </w:rPr>
              <w:t>13</w:t>
            </w:r>
          </w:p>
        </w:tc>
      </w:tr>
    </w:tbl>
    <w:p w14:paraId="576AD351" w14:textId="77777777" w:rsidR="007467BC" w:rsidRPr="00F90841" w:rsidRDefault="007467BC" w:rsidP="00B61AC1">
      <w:pPr>
        <w:pStyle w:val="SingleTxtG"/>
        <w:spacing w:before="120" w:after="0" w:line="240" w:lineRule="atLeast"/>
        <w:ind w:firstLine="170"/>
        <w:jc w:val="left"/>
        <w:rPr>
          <w:sz w:val="18"/>
          <w:szCs w:val="18"/>
        </w:rPr>
      </w:pPr>
      <w:r w:rsidRPr="00F90841">
        <w:rPr>
          <w:i/>
          <w:iCs/>
          <w:sz w:val="18"/>
        </w:rPr>
        <w:t>Note</w:t>
      </w:r>
      <w:r w:rsidRPr="00F90841">
        <w:rPr>
          <w:sz w:val="18"/>
        </w:rPr>
        <w:t xml:space="preserve">: </w:t>
      </w:r>
      <w:r w:rsidRPr="00F90841">
        <w:rPr>
          <w:sz w:val="18"/>
          <w:szCs w:val="18"/>
        </w:rPr>
        <w:t>Table does not include patients entering the system through the Courts or prisons or are detained based on a court order because they pose a danger to others. Those patients are treated at one of five forensic psychiatry services. Data for the Substance Addiction Act is not yet available.</w:t>
      </w:r>
    </w:p>
    <w:p w14:paraId="3839A072" w14:textId="77777777" w:rsidR="007467BC" w:rsidRPr="00F90841" w:rsidRDefault="007467BC" w:rsidP="0055269D">
      <w:pPr>
        <w:pStyle w:val="SingleTxtG"/>
        <w:spacing w:before="240"/>
      </w:pPr>
      <w:r w:rsidRPr="00F90841">
        <w:t>241.</w:t>
      </w:r>
      <w:r w:rsidRPr="00F90841">
        <w:tab/>
        <w:t xml:space="preserve">In 2017, Māori were 3.4 times more likely to be subject to an inpatient treatment order than other ethnic groups. </w:t>
      </w:r>
    </w:p>
    <w:p w14:paraId="15CCFCF9" w14:textId="77777777" w:rsidR="007467BC" w:rsidRPr="00F90841" w:rsidRDefault="007467BC" w:rsidP="001939AE">
      <w:pPr>
        <w:pStyle w:val="H4G"/>
      </w:pPr>
      <w:r w:rsidRPr="00F90841">
        <w:tab/>
      </w:r>
      <w:r w:rsidRPr="00F90841">
        <w:tab/>
        <w:t>Occupancy rates of mental health units</w:t>
      </w:r>
    </w:p>
    <w:p w14:paraId="7411A1D6" w14:textId="77777777" w:rsidR="007D4323" w:rsidRDefault="007467BC" w:rsidP="007467BC">
      <w:pPr>
        <w:pStyle w:val="SingleTxtG"/>
      </w:pPr>
      <w:r w:rsidRPr="00F90841">
        <w:t>242.</w:t>
      </w:r>
      <w:r w:rsidRPr="00F90841">
        <w:tab/>
        <w:t xml:space="preserve">Concerns have been raised, including by the NPM and the Auditor-General, about high occupancy rates in some mental health inpatient units. The factors contributing to high occupancy rates are complex, and include capacity, demand, and models of care. National bed occupancy data below does not include patients on leave and therefore may underestimate the total occupancy rates. Occupancy rates vary between regions. </w:t>
      </w:r>
    </w:p>
    <w:p w14:paraId="70EFDE78" w14:textId="77777777" w:rsidR="007467BC" w:rsidRPr="00F90841" w:rsidRDefault="007467BC" w:rsidP="00B61AC1">
      <w:pPr>
        <w:pStyle w:val="H23G"/>
      </w:pPr>
      <w:r w:rsidRPr="00F90841">
        <w:tab/>
      </w:r>
      <w:r w:rsidRPr="00F90841">
        <w:tab/>
        <w:t>Bed occupancy rates for mental health inpatient units: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07"/>
        <w:gridCol w:w="3863"/>
      </w:tblGrid>
      <w:tr w:rsidR="007467BC" w:rsidRPr="00F90841" w14:paraId="5588801C" w14:textId="77777777" w:rsidTr="001939AE">
        <w:trPr>
          <w:tblHeader/>
        </w:trPr>
        <w:tc>
          <w:tcPr>
            <w:tcW w:w="3507" w:type="dxa"/>
            <w:tcBorders>
              <w:top w:val="single" w:sz="4" w:space="0" w:color="auto"/>
              <w:bottom w:val="single" w:sz="12" w:space="0" w:color="auto"/>
            </w:tcBorders>
            <w:shd w:val="clear" w:color="auto" w:fill="auto"/>
            <w:vAlign w:val="bottom"/>
            <w:hideMark/>
          </w:tcPr>
          <w:p w14:paraId="3D36839A" w14:textId="77777777" w:rsidR="007467BC" w:rsidRPr="00F90841" w:rsidRDefault="007467BC" w:rsidP="001939AE">
            <w:pPr>
              <w:suppressAutoHyphens w:val="0"/>
              <w:spacing w:before="80" w:after="80" w:line="200" w:lineRule="exact"/>
              <w:ind w:right="113"/>
              <w:rPr>
                <w:i/>
                <w:sz w:val="16"/>
              </w:rPr>
            </w:pPr>
          </w:p>
        </w:tc>
        <w:tc>
          <w:tcPr>
            <w:tcW w:w="3863" w:type="dxa"/>
            <w:tcBorders>
              <w:top w:val="single" w:sz="4" w:space="0" w:color="auto"/>
              <w:bottom w:val="single" w:sz="12" w:space="0" w:color="auto"/>
            </w:tcBorders>
            <w:shd w:val="clear" w:color="auto" w:fill="auto"/>
            <w:vAlign w:val="bottom"/>
            <w:hideMark/>
          </w:tcPr>
          <w:p w14:paraId="6F6374E6" w14:textId="77777777" w:rsidR="007467BC" w:rsidRPr="00F90841" w:rsidRDefault="007467BC" w:rsidP="001939AE">
            <w:pPr>
              <w:suppressAutoHyphens w:val="0"/>
              <w:spacing w:before="80" w:after="80" w:line="200" w:lineRule="exact"/>
              <w:ind w:right="113"/>
              <w:jc w:val="right"/>
              <w:rPr>
                <w:i/>
                <w:sz w:val="16"/>
              </w:rPr>
            </w:pPr>
            <w:r w:rsidRPr="00F90841">
              <w:rPr>
                <w:i/>
                <w:sz w:val="16"/>
              </w:rPr>
              <w:t>Occupancy Rate</w:t>
            </w:r>
          </w:p>
        </w:tc>
      </w:tr>
      <w:tr w:rsidR="007467BC" w:rsidRPr="00F90841" w14:paraId="4FFB0F80" w14:textId="77777777" w:rsidTr="001939AE">
        <w:tc>
          <w:tcPr>
            <w:tcW w:w="3507" w:type="dxa"/>
            <w:tcBorders>
              <w:top w:val="single" w:sz="12" w:space="0" w:color="auto"/>
            </w:tcBorders>
            <w:shd w:val="clear" w:color="auto" w:fill="auto"/>
            <w:noWrap/>
            <w:hideMark/>
          </w:tcPr>
          <w:p w14:paraId="70A78304" w14:textId="77777777" w:rsidR="007467BC" w:rsidRPr="00F90841" w:rsidRDefault="007467BC" w:rsidP="001939AE">
            <w:pPr>
              <w:suppressAutoHyphens w:val="0"/>
              <w:spacing w:before="40" w:after="40" w:line="220" w:lineRule="exact"/>
              <w:ind w:right="113"/>
              <w:rPr>
                <w:sz w:val="18"/>
              </w:rPr>
            </w:pPr>
            <w:r w:rsidRPr="00F90841">
              <w:rPr>
                <w:sz w:val="18"/>
              </w:rPr>
              <w:t>2014/15</w:t>
            </w:r>
          </w:p>
        </w:tc>
        <w:tc>
          <w:tcPr>
            <w:tcW w:w="3863" w:type="dxa"/>
            <w:tcBorders>
              <w:top w:val="single" w:sz="12" w:space="0" w:color="auto"/>
            </w:tcBorders>
            <w:shd w:val="clear" w:color="auto" w:fill="auto"/>
            <w:noWrap/>
            <w:vAlign w:val="bottom"/>
            <w:hideMark/>
          </w:tcPr>
          <w:p w14:paraId="655A3047" w14:textId="77777777" w:rsidR="007467BC" w:rsidRPr="00F90841" w:rsidRDefault="007467BC" w:rsidP="001939AE">
            <w:pPr>
              <w:suppressAutoHyphens w:val="0"/>
              <w:spacing w:before="40" w:after="40" w:line="220" w:lineRule="exact"/>
              <w:ind w:right="113"/>
              <w:jc w:val="right"/>
              <w:rPr>
                <w:sz w:val="18"/>
              </w:rPr>
            </w:pPr>
            <w:r w:rsidRPr="00F90841">
              <w:rPr>
                <w:sz w:val="18"/>
              </w:rPr>
              <w:t>90%</w:t>
            </w:r>
          </w:p>
        </w:tc>
      </w:tr>
      <w:tr w:rsidR="007467BC" w:rsidRPr="00F90841" w14:paraId="36FE0B7E" w14:textId="77777777" w:rsidTr="001939AE">
        <w:tc>
          <w:tcPr>
            <w:tcW w:w="3507" w:type="dxa"/>
            <w:shd w:val="clear" w:color="auto" w:fill="auto"/>
            <w:noWrap/>
            <w:hideMark/>
          </w:tcPr>
          <w:p w14:paraId="6D8E7711" w14:textId="77777777" w:rsidR="007467BC" w:rsidRPr="00F90841" w:rsidRDefault="007467BC" w:rsidP="001939AE">
            <w:pPr>
              <w:suppressAutoHyphens w:val="0"/>
              <w:spacing w:before="40" w:after="40" w:line="220" w:lineRule="exact"/>
              <w:ind w:right="113"/>
              <w:rPr>
                <w:sz w:val="18"/>
              </w:rPr>
            </w:pPr>
            <w:r w:rsidRPr="00F90841">
              <w:rPr>
                <w:sz w:val="18"/>
              </w:rPr>
              <w:t>2015/16</w:t>
            </w:r>
          </w:p>
        </w:tc>
        <w:tc>
          <w:tcPr>
            <w:tcW w:w="3863" w:type="dxa"/>
            <w:shd w:val="clear" w:color="auto" w:fill="auto"/>
            <w:noWrap/>
            <w:vAlign w:val="bottom"/>
            <w:hideMark/>
          </w:tcPr>
          <w:p w14:paraId="0D7AB1A7" w14:textId="77777777" w:rsidR="007467BC" w:rsidRPr="00F90841" w:rsidRDefault="007467BC" w:rsidP="001939AE">
            <w:pPr>
              <w:suppressAutoHyphens w:val="0"/>
              <w:spacing w:before="40" w:after="40" w:line="220" w:lineRule="exact"/>
              <w:ind w:right="113"/>
              <w:jc w:val="right"/>
              <w:rPr>
                <w:sz w:val="18"/>
              </w:rPr>
            </w:pPr>
            <w:r w:rsidRPr="00F90841">
              <w:rPr>
                <w:sz w:val="18"/>
              </w:rPr>
              <w:t>91%</w:t>
            </w:r>
          </w:p>
        </w:tc>
      </w:tr>
      <w:tr w:rsidR="007467BC" w:rsidRPr="00F90841" w14:paraId="3D817315" w14:textId="77777777" w:rsidTr="001939AE">
        <w:tc>
          <w:tcPr>
            <w:tcW w:w="3507" w:type="dxa"/>
            <w:shd w:val="clear" w:color="auto" w:fill="auto"/>
            <w:noWrap/>
            <w:hideMark/>
          </w:tcPr>
          <w:p w14:paraId="4B0BA09D" w14:textId="77777777" w:rsidR="007467BC" w:rsidRPr="00F90841" w:rsidRDefault="007467BC" w:rsidP="001939AE">
            <w:pPr>
              <w:suppressAutoHyphens w:val="0"/>
              <w:spacing w:before="40" w:after="40" w:line="220" w:lineRule="exact"/>
              <w:ind w:right="113"/>
              <w:rPr>
                <w:sz w:val="18"/>
              </w:rPr>
            </w:pPr>
            <w:r w:rsidRPr="00F90841">
              <w:rPr>
                <w:sz w:val="18"/>
              </w:rPr>
              <w:t>2016/17</w:t>
            </w:r>
          </w:p>
        </w:tc>
        <w:tc>
          <w:tcPr>
            <w:tcW w:w="3863" w:type="dxa"/>
            <w:shd w:val="clear" w:color="auto" w:fill="auto"/>
            <w:noWrap/>
            <w:vAlign w:val="bottom"/>
            <w:hideMark/>
          </w:tcPr>
          <w:p w14:paraId="181D7796" w14:textId="77777777" w:rsidR="007467BC" w:rsidRPr="00F90841" w:rsidRDefault="007467BC" w:rsidP="001939AE">
            <w:pPr>
              <w:suppressAutoHyphens w:val="0"/>
              <w:spacing w:before="40" w:after="40" w:line="220" w:lineRule="exact"/>
              <w:ind w:right="113"/>
              <w:jc w:val="right"/>
              <w:rPr>
                <w:sz w:val="18"/>
              </w:rPr>
            </w:pPr>
            <w:r w:rsidRPr="00F90841">
              <w:rPr>
                <w:sz w:val="18"/>
              </w:rPr>
              <w:t>90%</w:t>
            </w:r>
          </w:p>
        </w:tc>
      </w:tr>
      <w:tr w:rsidR="007467BC" w:rsidRPr="00F90841" w14:paraId="055C53D2" w14:textId="77777777" w:rsidTr="001939AE">
        <w:tc>
          <w:tcPr>
            <w:tcW w:w="3507" w:type="dxa"/>
            <w:shd w:val="clear" w:color="auto" w:fill="auto"/>
            <w:noWrap/>
            <w:hideMark/>
          </w:tcPr>
          <w:p w14:paraId="2A28D24F" w14:textId="77777777" w:rsidR="007467BC" w:rsidRPr="00F90841" w:rsidRDefault="007467BC" w:rsidP="001939AE">
            <w:pPr>
              <w:suppressAutoHyphens w:val="0"/>
              <w:spacing w:before="40" w:after="40" w:line="220" w:lineRule="exact"/>
              <w:ind w:right="113"/>
              <w:rPr>
                <w:sz w:val="18"/>
              </w:rPr>
            </w:pPr>
            <w:r w:rsidRPr="00F90841">
              <w:rPr>
                <w:sz w:val="18"/>
              </w:rPr>
              <w:t>2017/18</w:t>
            </w:r>
          </w:p>
        </w:tc>
        <w:tc>
          <w:tcPr>
            <w:tcW w:w="3863" w:type="dxa"/>
            <w:shd w:val="clear" w:color="auto" w:fill="auto"/>
            <w:noWrap/>
            <w:vAlign w:val="bottom"/>
            <w:hideMark/>
          </w:tcPr>
          <w:p w14:paraId="7B18E6D4" w14:textId="77777777" w:rsidR="007467BC" w:rsidRPr="00F90841" w:rsidRDefault="007467BC" w:rsidP="001939AE">
            <w:pPr>
              <w:suppressAutoHyphens w:val="0"/>
              <w:spacing w:before="40" w:after="40" w:line="220" w:lineRule="exact"/>
              <w:ind w:right="113"/>
              <w:jc w:val="right"/>
              <w:rPr>
                <w:sz w:val="18"/>
              </w:rPr>
            </w:pPr>
            <w:r w:rsidRPr="00F90841">
              <w:rPr>
                <w:sz w:val="18"/>
              </w:rPr>
              <w:t>90%</w:t>
            </w:r>
          </w:p>
        </w:tc>
      </w:tr>
    </w:tbl>
    <w:p w14:paraId="42085C0E" w14:textId="77777777" w:rsidR="007467BC" w:rsidRPr="00F90841" w:rsidRDefault="007467BC" w:rsidP="00515BD1">
      <w:pPr>
        <w:spacing w:before="120" w:line="240" w:lineRule="atLeast"/>
        <w:ind w:left="1134" w:right="1134" w:firstLine="170"/>
        <w:rPr>
          <w:sz w:val="18"/>
        </w:rPr>
      </w:pPr>
      <w:r w:rsidRPr="00F90841">
        <w:rPr>
          <w:i/>
          <w:iCs/>
          <w:sz w:val="18"/>
        </w:rPr>
        <w:t>Note</w:t>
      </w:r>
      <w:r w:rsidRPr="00F90841">
        <w:rPr>
          <w:sz w:val="18"/>
        </w:rPr>
        <w:t>:</w:t>
      </w:r>
      <w:r w:rsidR="00515BD1" w:rsidRPr="00F90841">
        <w:rPr>
          <w:sz w:val="18"/>
        </w:rPr>
        <w:t xml:space="preserve"> </w:t>
      </w:r>
      <w:r w:rsidRPr="00F90841">
        <w:rPr>
          <w:sz w:val="18"/>
        </w:rPr>
        <w:t>Not everyone is receiving treatment on a compulsory basis</w:t>
      </w:r>
      <w:r w:rsidR="00515BD1" w:rsidRPr="00F90841">
        <w:rPr>
          <w:sz w:val="18"/>
        </w:rPr>
        <w:t>.</w:t>
      </w:r>
    </w:p>
    <w:p w14:paraId="55C06AD6" w14:textId="77777777" w:rsidR="007467BC" w:rsidRPr="00F90841" w:rsidRDefault="007467BC" w:rsidP="00515BD1">
      <w:pPr>
        <w:pStyle w:val="H4G"/>
      </w:pPr>
      <w:bookmarkStart w:id="75" w:name="_Hlk16667472"/>
      <w:r w:rsidRPr="00F90841">
        <w:tab/>
      </w:r>
      <w:r w:rsidRPr="00F90841">
        <w:tab/>
        <w:t>Alternative treatments</w:t>
      </w:r>
    </w:p>
    <w:p w14:paraId="51CF8735" w14:textId="77777777" w:rsidR="007467BC" w:rsidRPr="00F90841" w:rsidRDefault="007467BC" w:rsidP="007467BC">
      <w:pPr>
        <w:pStyle w:val="SingleTxtG"/>
      </w:pPr>
      <w:r w:rsidRPr="00F90841">
        <w:t>243.</w:t>
      </w:r>
      <w:r w:rsidRPr="00F90841">
        <w:tab/>
        <w:t>Most people access mental health and addiction services voluntarily. In 2017, of the 176,310 people who engaged with those services, 5.8% were subject to Mental Health Act orders.</w:t>
      </w:r>
      <w:bookmarkEnd w:id="75"/>
    </w:p>
    <w:p w14:paraId="2182D293" w14:textId="77777777" w:rsidR="007467BC" w:rsidRPr="00F90841" w:rsidRDefault="007467BC" w:rsidP="007467BC">
      <w:pPr>
        <w:pStyle w:val="SingleTxtG"/>
      </w:pPr>
      <w:r w:rsidRPr="00F90841">
        <w:t>244.</w:t>
      </w:r>
      <w:r w:rsidRPr="00F90841">
        <w:tab/>
        <w:t xml:space="preserve">Most people subject to compulsory treatment under the Mental Health Act access treatment in the community (87% in 2017). The responsible clinician can convert an inpatient order to a community order or grant leave for up to three months. On any day in 2017, on average, 4,259 people were subject to a community treatment order and 165 </w:t>
      </w:r>
      <w:r w:rsidRPr="00F90841">
        <w:lastRenderedPageBreak/>
        <w:t>people on temporary leave. Under the Substance Addiction Act, the clinician may permit the patient to be absent from a treatment centre for any period.</w:t>
      </w:r>
    </w:p>
    <w:p w14:paraId="32D50E78" w14:textId="77777777" w:rsidR="007467BC" w:rsidRPr="00F90841" w:rsidRDefault="007467BC" w:rsidP="007467BC">
      <w:pPr>
        <w:pStyle w:val="SingleTxtG"/>
      </w:pPr>
      <w:r w:rsidRPr="00F90841">
        <w:t>245.</w:t>
      </w:r>
      <w:r w:rsidRPr="00F90841">
        <w:tab/>
        <w:t>Mentally ill offenders detained in a forensic mental health service may be eligible for community leave. This is typically used to attend appointments, work, rehabilitation programmes or visit family. After increasing periods of successful unescorted leave, some individuals can progress to a less secure setting. Individuals may move to an open hospital unit and eventually reside in the community, supported accommodation or with family.</w:t>
      </w:r>
    </w:p>
    <w:p w14:paraId="3298ECDC" w14:textId="77777777" w:rsidR="007467BC" w:rsidRPr="00F90841" w:rsidRDefault="007467BC" w:rsidP="00515BD1">
      <w:pPr>
        <w:pStyle w:val="H23G"/>
      </w:pPr>
      <w:r w:rsidRPr="00F90841">
        <w:tab/>
      </w:r>
      <w:r w:rsidRPr="00F90841">
        <w:tab/>
        <w:t>Intellectual Disability (Compulsory Care and Rehabilitation) Act 2003</w:t>
      </w:r>
    </w:p>
    <w:p w14:paraId="2FC3708A" w14:textId="77777777" w:rsidR="007467BC" w:rsidRPr="00F90841" w:rsidRDefault="007467BC" w:rsidP="007467BC">
      <w:pPr>
        <w:pStyle w:val="SingleTxtG"/>
      </w:pPr>
      <w:r w:rsidRPr="00F90841">
        <w:t>246.</w:t>
      </w:r>
      <w:r w:rsidRPr="00F90841">
        <w:tab/>
        <w:t>This Act allows for compulsory care orders to provide care and rehabilitation for persons with intellectual disabilities who are charged or convicted of an offence. The Act has safeguards to uphold an individual</w:t>
      </w:r>
      <w:r w:rsidR="00562737" w:rsidRPr="00F90841">
        <w:t>’</w:t>
      </w:r>
      <w:r w:rsidRPr="00F90841">
        <w:t>s rights. District Inspectors perform various functions, including:</w:t>
      </w:r>
    </w:p>
    <w:p w14:paraId="77C135F2" w14:textId="77777777" w:rsidR="007467BC" w:rsidRPr="00F90841" w:rsidRDefault="007467BC" w:rsidP="00515BD1">
      <w:pPr>
        <w:pStyle w:val="Bullet1G"/>
      </w:pPr>
      <w:r w:rsidRPr="00F90841">
        <w:t>Inspecting facilities, including documentation processes;</w:t>
      </w:r>
    </w:p>
    <w:p w14:paraId="4A3F809F" w14:textId="77777777" w:rsidR="007467BC" w:rsidRPr="00F90841" w:rsidRDefault="007467BC" w:rsidP="00515BD1">
      <w:pPr>
        <w:pStyle w:val="Bullet1G"/>
      </w:pPr>
      <w:r w:rsidRPr="00F90841">
        <w:t>Handling complaints and referrals to the health and disability commissioner;</w:t>
      </w:r>
    </w:p>
    <w:p w14:paraId="01362969" w14:textId="77777777" w:rsidR="007467BC" w:rsidRPr="00F90841" w:rsidRDefault="007467BC" w:rsidP="00515BD1">
      <w:pPr>
        <w:pStyle w:val="Bullet1G"/>
      </w:pPr>
      <w:r w:rsidRPr="00F90841">
        <w:t>Inquiries and investigations.</w:t>
      </w:r>
    </w:p>
    <w:p w14:paraId="15DF45DD" w14:textId="77777777" w:rsidR="007467BC" w:rsidRPr="00F90841" w:rsidRDefault="007467BC" w:rsidP="008836B8">
      <w:pPr>
        <w:pStyle w:val="SingleTxtG"/>
      </w:pPr>
      <w:r w:rsidRPr="00F90841">
        <w:t>247.</w:t>
      </w:r>
      <w:r w:rsidRPr="00F90841">
        <w:tab/>
        <w:t>Care recipients are subject to a six-monthly review by qualified psychologists. Individuals can appeal orders or seek a second opinion about use of medication whilst under compulsory care. At the end of 2017 there were 115 individuals subject to an order under the Act with 57 people under a supervised order and 58 people under a secure order. In some instances, support provided will reflect the needs of the individual and not based solely on the level of order they are subject to. Only individuals on a secure order can be placed in hospital. At any given time up to 66 individuals may be placed into Intellectual Disability Secure Hospital Level Services.</w:t>
      </w:r>
    </w:p>
    <w:p w14:paraId="3187E2EA" w14:textId="77777777" w:rsidR="007467BC" w:rsidRPr="00F90841" w:rsidRDefault="007467BC" w:rsidP="00515BD1">
      <w:pPr>
        <w:pStyle w:val="H23G"/>
      </w:pPr>
      <w:bookmarkStart w:id="76" w:name="_Hlk532470240"/>
      <w:bookmarkStart w:id="77" w:name="_Hlk13659016"/>
      <w:r w:rsidRPr="00F90841">
        <w:tab/>
      </w:r>
      <w:r w:rsidRPr="00F90841">
        <w:tab/>
        <w:t xml:space="preserve">Protection of Personal and Property Rights Act 1988 (PPPR Act) </w:t>
      </w:r>
      <w:bookmarkEnd w:id="76"/>
    </w:p>
    <w:p w14:paraId="4518EFC1" w14:textId="77777777" w:rsidR="007467BC" w:rsidRPr="00F90841" w:rsidRDefault="007467BC" w:rsidP="007467BC">
      <w:pPr>
        <w:pStyle w:val="SingleTxtG"/>
      </w:pPr>
      <w:r w:rsidRPr="00F90841">
        <w:t>248.</w:t>
      </w:r>
      <w:r w:rsidRPr="00F90841">
        <w:tab/>
        <w:t>This Act assists with decision-making when adults lack mental capacity. It does this via tools such as court orders (personal, property or welfare guardianship), and enduring powers of attorney. Personal orders can be made for a person to enter a specific institution or requiring certain living arrangements. This does not include psychiatric hospitals or licensed institutions under mental health legislation but can include private hospitals and rest homes. Orders can include the use of reasonable force, for example for medical treatment.</w:t>
      </w:r>
    </w:p>
    <w:p w14:paraId="68B29EE8" w14:textId="77777777" w:rsidR="007467BC" w:rsidRPr="00F90841" w:rsidRDefault="007467BC" w:rsidP="007467BC">
      <w:pPr>
        <w:pStyle w:val="SingleTxtG"/>
      </w:pPr>
      <w:r w:rsidRPr="00F90841">
        <w:t>249.</w:t>
      </w:r>
      <w:r w:rsidRPr="00F90841">
        <w:tab/>
        <w:t>There is no national data on how many orders are made under this Act for people to live in rest homes or other specified living arrangements. Between 2013 and 2017, around 127 personal orders were made per year. The number of orders in force will be different and not all orders will be for living arrangements. A court must review orders at least every five years. There can be delays with accessing the court, for example, due to priority matters involving children. The person subject to an order has independent legal representation in proceedings. They can seek a review at any time, as can other persons such as family members.</w:t>
      </w:r>
    </w:p>
    <w:p w14:paraId="27872012" w14:textId="77777777" w:rsidR="007467BC" w:rsidRPr="00F90841" w:rsidRDefault="007467BC" w:rsidP="007467BC">
      <w:pPr>
        <w:pStyle w:val="SingleTxtG"/>
      </w:pPr>
      <w:r w:rsidRPr="00F90841">
        <w:t>250.</w:t>
      </w:r>
      <w:r w:rsidRPr="00F90841">
        <w:tab/>
        <w:t xml:space="preserve">The Ombudsman raised concerns regarding the number of people detained under this Act in the absence of a court order. We are unable to determine the scale of this issue, as data is collected only where an order has been made. A Law Commission review of </w:t>
      </w:r>
      <w:r w:rsidRPr="00F90841">
        <w:rPr>
          <w:i/>
          <w:iCs/>
        </w:rPr>
        <w:t>laws related to adults with impaired decision-making capacity</w:t>
      </w:r>
      <w:r w:rsidRPr="00F90841">
        <w:t xml:space="preserve"> is to be started during 2019/20. Work is yet to be scoped but may include issues around people detained under this Act.</w:t>
      </w:r>
    </w:p>
    <w:bookmarkEnd w:id="77"/>
    <w:p w14:paraId="05E61AB3" w14:textId="77777777" w:rsidR="007467BC" w:rsidRPr="00F90841" w:rsidRDefault="007467BC" w:rsidP="007D69B5">
      <w:pPr>
        <w:pStyle w:val="H23G"/>
      </w:pPr>
      <w:r w:rsidRPr="00F90841">
        <w:tab/>
      </w:r>
      <w:r w:rsidRPr="00F90841">
        <w:tab/>
        <w:t>Right 7(4) Code of Health and Disability Services Consumers</w:t>
      </w:r>
      <w:r w:rsidR="00562737" w:rsidRPr="00F90841">
        <w:t>’</w:t>
      </w:r>
      <w:r w:rsidRPr="00F90841">
        <w:t xml:space="preserve"> Rights</w:t>
      </w:r>
    </w:p>
    <w:p w14:paraId="679AF56E" w14:textId="77777777" w:rsidR="007467BC" w:rsidRPr="00F90841" w:rsidRDefault="007467BC" w:rsidP="007467BC">
      <w:pPr>
        <w:pStyle w:val="SingleTxtG"/>
      </w:pPr>
      <w:r w:rsidRPr="00F90841">
        <w:t>251.</w:t>
      </w:r>
      <w:r w:rsidRPr="00F90841">
        <w:tab/>
        <w:t>Right 7(4) provides an exception to the general requirement for informed choice and consent. It provides a legal ground to treat people lacking capacity to consent if the treatment is in their best interest. Under right 7(4), the service provider must follow certain steps, including taking reasonable steps to ascertain the consumer</w:t>
      </w:r>
      <w:r w:rsidR="00562737" w:rsidRPr="00F90841">
        <w:t>’</w:t>
      </w:r>
      <w:r w:rsidRPr="00F90841">
        <w:t xml:space="preserve">s views. </w:t>
      </w:r>
    </w:p>
    <w:p w14:paraId="3EC663D6" w14:textId="77777777" w:rsidR="007467BC" w:rsidRPr="00F90841" w:rsidRDefault="007467BC" w:rsidP="007467BC">
      <w:pPr>
        <w:pStyle w:val="SingleTxtG"/>
      </w:pPr>
      <w:r w:rsidRPr="00F90841">
        <w:t>252.</w:t>
      </w:r>
      <w:r w:rsidRPr="00F90841">
        <w:tab/>
        <w:t xml:space="preserve">Data on the number of people detained under right 7(4) is not collected. However, based on a report published by the HRC in 2018, it is estimated that for a third of people lacking mental capacity in secure aged care facilities, there may be no authorisation beyond right 7(4). The legal limits of right 7(4) are unclear and it does not offer the same </w:t>
      </w:r>
      <w:r w:rsidRPr="00F90841">
        <w:lastRenderedPageBreak/>
        <w:t xml:space="preserve">safeguards as other legal authorities for detention. There are more appropriate mechanisms to treat and/or detain a person who is unable to consent to treatment. </w:t>
      </w:r>
    </w:p>
    <w:p w14:paraId="5BF0F1A4" w14:textId="77777777" w:rsidR="007467BC" w:rsidRPr="00F90841" w:rsidRDefault="007467BC" w:rsidP="007467BC">
      <w:pPr>
        <w:pStyle w:val="SingleTxtG"/>
      </w:pPr>
      <w:r w:rsidRPr="00F90841">
        <w:t>253.</w:t>
      </w:r>
      <w:r w:rsidRPr="00F90841">
        <w:tab/>
        <w:t xml:space="preserve">The Health and Disability Commissioner is drafting a report that considers health and disability research involving adult participants who are unable to provide informed consent. </w:t>
      </w:r>
    </w:p>
    <w:bookmarkEnd w:id="74"/>
    <w:p w14:paraId="457305CE" w14:textId="77777777" w:rsidR="007467BC" w:rsidRPr="00F90841" w:rsidRDefault="007467BC" w:rsidP="007D69B5">
      <w:pPr>
        <w:pStyle w:val="H23G"/>
      </w:pPr>
      <w:r w:rsidRPr="00F90841">
        <w:tab/>
      </w:r>
      <w:r w:rsidRPr="00F90841">
        <w:tab/>
        <w:t>Short-term detention of persons with acute mental health issues in Police cells</w:t>
      </w:r>
    </w:p>
    <w:p w14:paraId="68B298E2" w14:textId="77777777" w:rsidR="007467BC" w:rsidRPr="00F90841" w:rsidRDefault="007467BC" w:rsidP="007467BC">
      <w:pPr>
        <w:pStyle w:val="SingleTxtG"/>
      </w:pPr>
      <w:r w:rsidRPr="00F90841">
        <w:t>254.</w:t>
      </w:r>
      <w:r w:rsidRPr="00F90841">
        <w:tab/>
        <w:t xml:space="preserve">Police are often the first service called to assist at mental health events. Police provides guidance for officers on how to act when an incident involves a person with a mental impairment. The primary concern is harm prevention. </w:t>
      </w:r>
    </w:p>
    <w:p w14:paraId="26A00945" w14:textId="77777777" w:rsidR="007467BC" w:rsidRPr="00F90841" w:rsidRDefault="007467BC" w:rsidP="007467BC">
      <w:pPr>
        <w:pStyle w:val="SingleTxtG"/>
      </w:pPr>
      <w:r w:rsidRPr="00F90841">
        <w:t>255.</w:t>
      </w:r>
      <w:r w:rsidRPr="00F90841">
        <w:tab/>
        <w:t xml:space="preserve">Concerns were raised about individuals being held in Police custody while awaiting a psychiatric assessment. Although Police cells are generally inappropriate for these individuals, sometimes it is necessary due to immediate health or safety concerns. </w:t>
      </w:r>
    </w:p>
    <w:p w14:paraId="64905682" w14:textId="77777777" w:rsidR="007467BC" w:rsidRPr="00F90841" w:rsidRDefault="007467BC" w:rsidP="007467BC">
      <w:pPr>
        <w:pStyle w:val="SingleTxtG"/>
      </w:pPr>
      <w:r w:rsidRPr="00F90841">
        <w:t>256.</w:t>
      </w:r>
      <w:r w:rsidRPr="00F90841">
        <w:tab/>
        <w:t>To reduce detention in Police custody, Police has worked with the Ministry of Health and mental health services to develop an alternative response. Where the immediate security of detention is not required, Police will transport individuals to the hospital and stay with them until they are assessed by a mental health practitioner. Calls for Police assistance at mental health events are now triaged by mental health practitioners assessing what service is needed and diverting to Police or ambulance as appropriate.</w:t>
      </w:r>
    </w:p>
    <w:p w14:paraId="1053AD25" w14:textId="77777777" w:rsidR="007467BC" w:rsidRPr="00F90841" w:rsidRDefault="007467BC" w:rsidP="007467BC">
      <w:pPr>
        <w:pStyle w:val="SingleTxtG"/>
      </w:pPr>
      <w:bookmarkStart w:id="78" w:name="_Ref531002115"/>
      <w:r w:rsidRPr="00F90841">
        <w:t>257.</w:t>
      </w:r>
      <w:r w:rsidRPr="00F90841">
        <w:tab/>
        <w:t>The proportion of mental health cases transported to a Police station (as opposed to health facilities) decreased from 15% to 11% from 2014 to 2016. The proportion of attempted suicide cases (or threats) transported to police stations has decreased from 20% to 12%.</w:t>
      </w:r>
      <w:bookmarkEnd w:id="78"/>
    </w:p>
    <w:p w14:paraId="752617D7" w14:textId="77777777" w:rsidR="007467BC" w:rsidRPr="00F90841" w:rsidRDefault="007467BC" w:rsidP="00D96172">
      <w:pPr>
        <w:pStyle w:val="H23G"/>
      </w:pPr>
      <w:r w:rsidRPr="00F90841">
        <w:tab/>
      </w:r>
      <w:r w:rsidRPr="00F90841">
        <w:tab/>
        <w:t xml:space="preserve">Individuals with a mental health event held in Police cells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27"/>
        <w:gridCol w:w="1459"/>
        <w:gridCol w:w="1464"/>
        <w:gridCol w:w="1464"/>
        <w:gridCol w:w="1456"/>
      </w:tblGrid>
      <w:tr w:rsidR="007467BC" w:rsidRPr="00F90841" w14:paraId="7A92F512" w14:textId="77777777" w:rsidTr="00D96172">
        <w:trPr>
          <w:tblHeader/>
        </w:trPr>
        <w:tc>
          <w:tcPr>
            <w:tcW w:w="1999" w:type="dxa"/>
            <w:tcBorders>
              <w:top w:val="single" w:sz="4" w:space="0" w:color="auto"/>
              <w:bottom w:val="nil"/>
            </w:tcBorders>
            <w:shd w:val="clear" w:color="auto" w:fill="auto"/>
            <w:vAlign w:val="bottom"/>
          </w:tcPr>
          <w:p w14:paraId="516D842C" w14:textId="77777777" w:rsidR="007467BC" w:rsidRPr="00F90841" w:rsidRDefault="007467BC" w:rsidP="007D69B5">
            <w:pPr>
              <w:suppressAutoHyphens w:val="0"/>
              <w:spacing w:before="80" w:after="80" w:line="200" w:lineRule="exact"/>
              <w:ind w:right="113"/>
              <w:rPr>
                <w:i/>
                <w:sz w:val="16"/>
              </w:rPr>
            </w:pPr>
          </w:p>
        </w:tc>
        <w:tc>
          <w:tcPr>
            <w:tcW w:w="3813" w:type="dxa"/>
            <w:gridSpan w:val="2"/>
            <w:tcBorders>
              <w:top w:val="single" w:sz="4" w:space="0" w:color="auto"/>
              <w:bottom w:val="single" w:sz="4" w:space="0" w:color="auto"/>
              <w:right w:val="single" w:sz="24" w:space="0" w:color="FFFFFF" w:themeColor="background1"/>
            </w:tcBorders>
            <w:shd w:val="clear" w:color="auto" w:fill="auto"/>
            <w:vAlign w:val="bottom"/>
          </w:tcPr>
          <w:p w14:paraId="71746991" w14:textId="77777777" w:rsidR="007467BC" w:rsidRPr="00F90841" w:rsidRDefault="007467BC" w:rsidP="00B10D65">
            <w:pPr>
              <w:suppressAutoHyphens w:val="0"/>
              <w:spacing w:before="80" w:after="80" w:line="200" w:lineRule="exact"/>
              <w:ind w:right="113"/>
              <w:jc w:val="center"/>
              <w:rPr>
                <w:i/>
                <w:sz w:val="16"/>
              </w:rPr>
            </w:pPr>
            <w:r w:rsidRPr="00F90841">
              <w:rPr>
                <w:i/>
                <w:sz w:val="16"/>
              </w:rPr>
              <w:t>Adults (17 or older)</w:t>
            </w:r>
          </w:p>
        </w:tc>
        <w:tc>
          <w:tcPr>
            <w:tcW w:w="3810" w:type="dxa"/>
            <w:gridSpan w:val="2"/>
            <w:tcBorders>
              <w:top w:val="single" w:sz="4" w:space="0" w:color="auto"/>
              <w:left w:val="single" w:sz="24" w:space="0" w:color="FFFFFF" w:themeColor="background1"/>
              <w:bottom w:val="single" w:sz="4" w:space="0" w:color="auto"/>
            </w:tcBorders>
            <w:shd w:val="clear" w:color="auto" w:fill="auto"/>
            <w:vAlign w:val="bottom"/>
          </w:tcPr>
          <w:p w14:paraId="1A02DADC" w14:textId="77777777" w:rsidR="007467BC" w:rsidRPr="00F90841" w:rsidRDefault="007467BC" w:rsidP="00C64FB2">
            <w:pPr>
              <w:suppressAutoHyphens w:val="0"/>
              <w:spacing w:before="80" w:after="80" w:line="200" w:lineRule="exact"/>
              <w:ind w:right="113"/>
              <w:jc w:val="center"/>
              <w:rPr>
                <w:i/>
                <w:sz w:val="16"/>
              </w:rPr>
            </w:pPr>
            <w:r w:rsidRPr="00F90841">
              <w:rPr>
                <w:i/>
                <w:sz w:val="16"/>
              </w:rPr>
              <w:t>Youth (16 or younger)</w:t>
            </w:r>
          </w:p>
        </w:tc>
      </w:tr>
      <w:tr w:rsidR="007467BC" w:rsidRPr="00F90841" w14:paraId="4436B6F5" w14:textId="77777777" w:rsidTr="00D96172">
        <w:tc>
          <w:tcPr>
            <w:tcW w:w="1999" w:type="dxa"/>
            <w:tcBorders>
              <w:top w:val="nil"/>
              <w:bottom w:val="single" w:sz="12" w:space="0" w:color="auto"/>
            </w:tcBorders>
            <w:shd w:val="clear" w:color="auto" w:fill="auto"/>
          </w:tcPr>
          <w:p w14:paraId="72D0BADB" w14:textId="77777777" w:rsidR="007467BC" w:rsidRPr="00F90841" w:rsidRDefault="007467BC" w:rsidP="00C64FB2">
            <w:pPr>
              <w:suppressAutoHyphens w:val="0"/>
              <w:spacing w:before="80" w:after="80" w:line="200" w:lineRule="exact"/>
              <w:ind w:right="113"/>
              <w:rPr>
                <w:i/>
                <w:iCs/>
                <w:sz w:val="16"/>
                <w:szCs w:val="16"/>
              </w:rPr>
            </w:pPr>
          </w:p>
        </w:tc>
        <w:tc>
          <w:tcPr>
            <w:tcW w:w="1908" w:type="dxa"/>
            <w:tcBorders>
              <w:top w:val="single" w:sz="4" w:space="0" w:color="auto"/>
              <w:bottom w:val="single" w:sz="12" w:space="0" w:color="auto"/>
            </w:tcBorders>
            <w:shd w:val="clear" w:color="auto" w:fill="auto"/>
            <w:vAlign w:val="bottom"/>
          </w:tcPr>
          <w:p w14:paraId="4C9D658F" w14:textId="77777777" w:rsidR="007467BC" w:rsidRPr="00F90841" w:rsidRDefault="007467BC" w:rsidP="00C64FB2">
            <w:pPr>
              <w:suppressAutoHyphens w:val="0"/>
              <w:spacing w:before="80" w:after="80" w:line="200" w:lineRule="exact"/>
              <w:ind w:right="113"/>
              <w:jc w:val="right"/>
              <w:rPr>
                <w:i/>
                <w:iCs/>
                <w:sz w:val="16"/>
                <w:szCs w:val="16"/>
              </w:rPr>
            </w:pPr>
            <w:r w:rsidRPr="00F90841">
              <w:rPr>
                <w:i/>
                <w:iCs/>
                <w:sz w:val="16"/>
                <w:szCs w:val="16"/>
              </w:rPr>
              <w:t xml:space="preserve">Number </w:t>
            </w:r>
          </w:p>
        </w:tc>
        <w:tc>
          <w:tcPr>
            <w:tcW w:w="1905" w:type="dxa"/>
            <w:tcBorders>
              <w:top w:val="single" w:sz="4" w:space="0" w:color="auto"/>
              <w:bottom w:val="single" w:sz="12" w:space="0" w:color="auto"/>
              <w:right w:val="single" w:sz="24" w:space="0" w:color="FFFFFF" w:themeColor="background1"/>
            </w:tcBorders>
            <w:shd w:val="clear" w:color="auto" w:fill="auto"/>
            <w:vAlign w:val="bottom"/>
          </w:tcPr>
          <w:p w14:paraId="4D4DFE7B" w14:textId="77777777" w:rsidR="007467BC" w:rsidRPr="00F90841" w:rsidRDefault="007467BC" w:rsidP="00C64FB2">
            <w:pPr>
              <w:suppressAutoHyphens w:val="0"/>
              <w:spacing w:before="80" w:after="80" w:line="200" w:lineRule="exact"/>
              <w:ind w:right="113"/>
              <w:jc w:val="right"/>
              <w:rPr>
                <w:i/>
                <w:iCs/>
                <w:sz w:val="16"/>
                <w:szCs w:val="16"/>
              </w:rPr>
            </w:pPr>
            <w:r w:rsidRPr="00F90841">
              <w:rPr>
                <w:i/>
                <w:iCs/>
                <w:sz w:val="16"/>
                <w:szCs w:val="16"/>
              </w:rPr>
              <w:t>Average hours</w:t>
            </w:r>
          </w:p>
        </w:tc>
        <w:tc>
          <w:tcPr>
            <w:tcW w:w="1905" w:type="dxa"/>
            <w:tcBorders>
              <w:top w:val="single" w:sz="4" w:space="0" w:color="auto"/>
              <w:left w:val="single" w:sz="24" w:space="0" w:color="FFFFFF" w:themeColor="background1"/>
              <w:bottom w:val="single" w:sz="12" w:space="0" w:color="auto"/>
            </w:tcBorders>
            <w:shd w:val="clear" w:color="auto" w:fill="auto"/>
            <w:vAlign w:val="bottom"/>
          </w:tcPr>
          <w:p w14:paraId="4428A53A" w14:textId="77777777" w:rsidR="007467BC" w:rsidRPr="00F90841" w:rsidRDefault="007467BC" w:rsidP="00C64FB2">
            <w:pPr>
              <w:suppressAutoHyphens w:val="0"/>
              <w:spacing w:before="80" w:after="80" w:line="200" w:lineRule="exact"/>
              <w:ind w:right="113"/>
              <w:jc w:val="right"/>
              <w:rPr>
                <w:i/>
                <w:iCs/>
                <w:sz w:val="16"/>
                <w:szCs w:val="16"/>
              </w:rPr>
            </w:pPr>
            <w:r w:rsidRPr="00F90841">
              <w:rPr>
                <w:i/>
                <w:iCs/>
                <w:sz w:val="16"/>
                <w:szCs w:val="16"/>
              </w:rPr>
              <w:t xml:space="preserve">Number </w:t>
            </w:r>
          </w:p>
        </w:tc>
        <w:tc>
          <w:tcPr>
            <w:tcW w:w="1905" w:type="dxa"/>
            <w:tcBorders>
              <w:top w:val="single" w:sz="4" w:space="0" w:color="auto"/>
              <w:bottom w:val="single" w:sz="12" w:space="0" w:color="auto"/>
            </w:tcBorders>
            <w:shd w:val="clear" w:color="auto" w:fill="auto"/>
            <w:vAlign w:val="bottom"/>
          </w:tcPr>
          <w:p w14:paraId="6657752A" w14:textId="77777777" w:rsidR="007467BC" w:rsidRPr="00F90841" w:rsidRDefault="007467BC" w:rsidP="00C64FB2">
            <w:pPr>
              <w:suppressAutoHyphens w:val="0"/>
              <w:spacing w:before="80" w:after="80" w:line="200" w:lineRule="exact"/>
              <w:ind w:right="113"/>
              <w:jc w:val="right"/>
              <w:rPr>
                <w:i/>
                <w:iCs/>
                <w:sz w:val="16"/>
                <w:szCs w:val="16"/>
              </w:rPr>
            </w:pPr>
            <w:r w:rsidRPr="00F90841">
              <w:rPr>
                <w:i/>
                <w:iCs/>
                <w:sz w:val="16"/>
                <w:szCs w:val="16"/>
              </w:rPr>
              <w:t xml:space="preserve">Average hours </w:t>
            </w:r>
          </w:p>
        </w:tc>
      </w:tr>
      <w:tr w:rsidR="007467BC" w:rsidRPr="00F90841" w14:paraId="5EC86FDF" w14:textId="77777777" w:rsidTr="00C64FB2">
        <w:tc>
          <w:tcPr>
            <w:tcW w:w="1999" w:type="dxa"/>
            <w:tcBorders>
              <w:top w:val="single" w:sz="12" w:space="0" w:color="auto"/>
            </w:tcBorders>
            <w:shd w:val="clear" w:color="auto" w:fill="auto"/>
          </w:tcPr>
          <w:p w14:paraId="0215A1A9" w14:textId="77777777" w:rsidR="007467BC" w:rsidRPr="00F90841" w:rsidRDefault="007467BC" w:rsidP="007D69B5">
            <w:pPr>
              <w:suppressAutoHyphens w:val="0"/>
              <w:spacing w:before="40" w:after="40" w:line="220" w:lineRule="exact"/>
              <w:ind w:right="113"/>
              <w:rPr>
                <w:sz w:val="18"/>
              </w:rPr>
            </w:pPr>
            <w:r w:rsidRPr="00F90841">
              <w:rPr>
                <w:sz w:val="18"/>
              </w:rPr>
              <w:t>2013/2014</w:t>
            </w:r>
          </w:p>
        </w:tc>
        <w:tc>
          <w:tcPr>
            <w:tcW w:w="1908" w:type="dxa"/>
            <w:tcBorders>
              <w:top w:val="single" w:sz="12" w:space="0" w:color="auto"/>
            </w:tcBorders>
            <w:shd w:val="clear" w:color="auto" w:fill="auto"/>
            <w:vAlign w:val="bottom"/>
          </w:tcPr>
          <w:p w14:paraId="12E77CE8" w14:textId="77777777" w:rsidR="007467BC" w:rsidRPr="00F90841" w:rsidRDefault="00B10D65" w:rsidP="007D69B5">
            <w:pPr>
              <w:suppressAutoHyphens w:val="0"/>
              <w:spacing w:before="40" w:after="40" w:line="220" w:lineRule="exact"/>
              <w:ind w:right="113"/>
              <w:jc w:val="right"/>
              <w:rPr>
                <w:sz w:val="18"/>
              </w:rPr>
            </w:pPr>
            <w:r w:rsidRPr="00F90841">
              <w:rPr>
                <w:sz w:val="18"/>
              </w:rPr>
              <w:t xml:space="preserve">4 </w:t>
            </w:r>
            <w:r w:rsidR="007467BC" w:rsidRPr="00F90841">
              <w:rPr>
                <w:sz w:val="18"/>
              </w:rPr>
              <w:t>413</w:t>
            </w:r>
          </w:p>
        </w:tc>
        <w:tc>
          <w:tcPr>
            <w:tcW w:w="1905" w:type="dxa"/>
            <w:tcBorders>
              <w:top w:val="single" w:sz="12" w:space="0" w:color="auto"/>
            </w:tcBorders>
            <w:shd w:val="clear" w:color="auto" w:fill="auto"/>
            <w:vAlign w:val="bottom"/>
          </w:tcPr>
          <w:p w14:paraId="55AF7FB6" w14:textId="77777777" w:rsidR="007467BC" w:rsidRPr="00F90841" w:rsidRDefault="00B10D65" w:rsidP="007D69B5">
            <w:pPr>
              <w:suppressAutoHyphens w:val="0"/>
              <w:spacing w:before="40" w:after="40" w:line="220" w:lineRule="exact"/>
              <w:ind w:right="113"/>
              <w:jc w:val="right"/>
              <w:rPr>
                <w:sz w:val="18"/>
              </w:rPr>
            </w:pPr>
            <w:r w:rsidRPr="00F90841">
              <w:rPr>
                <w:sz w:val="18"/>
              </w:rPr>
              <w:t>03.</w:t>
            </w:r>
            <w:r w:rsidR="007467BC" w:rsidRPr="00F90841">
              <w:rPr>
                <w:sz w:val="18"/>
              </w:rPr>
              <w:t>31</w:t>
            </w:r>
          </w:p>
        </w:tc>
        <w:tc>
          <w:tcPr>
            <w:tcW w:w="1905" w:type="dxa"/>
            <w:tcBorders>
              <w:top w:val="single" w:sz="12" w:space="0" w:color="auto"/>
            </w:tcBorders>
            <w:shd w:val="clear" w:color="auto" w:fill="auto"/>
            <w:vAlign w:val="bottom"/>
          </w:tcPr>
          <w:p w14:paraId="48C35923" w14:textId="77777777" w:rsidR="007467BC" w:rsidRPr="00F90841" w:rsidRDefault="007467BC" w:rsidP="007D69B5">
            <w:pPr>
              <w:suppressAutoHyphens w:val="0"/>
              <w:spacing w:before="40" w:after="40" w:line="220" w:lineRule="exact"/>
              <w:ind w:right="113"/>
              <w:jc w:val="right"/>
              <w:rPr>
                <w:sz w:val="18"/>
              </w:rPr>
            </w:pPr>
            <w:r w:rsidRPr="00F90841">
              <w:rPr>
                <w:sz w:val="18"/>
              </w:rPr>
              <w:t>350</w:t>
            </w:r>
          </w:p>
        </w:tc>
        <w:tc>
          <w:tcPr>
            <w:tcW w:w="1905" w:type="dxa"/>
            <w:tcBorders>
              <w:top w:val="single" w:sz="12" w:space="0" w:color="auto"/>
            </w:tcBorders>
            <w:shd w:val="clear" w:color="auto" w:fill="auto"/>
            <w:vAlign w:val="bottom"/>
          </w:tcPr>
          <w:p w14:paraId="093F5C66" w14:textId="77777777" w:rsidR="007467BC" w:rsidRPr="00F90841" w:rsidRDefault="00B10D65" w:rsidP="007D69B5">
            <w:pPr>
              <w:suppressAutoHyphens w:val="0"/>
              <w:spacing w:before="40" w:after="40" w:line="220" w:lineRule="exact"/>
              <w:ind w:right="113"/>
              <w:jc w:val="right"/>
              <w:rPr>
                <w:sz w:val="18"/>
              </w:rPr>
            </w:pPr>
            <w:r w:rsidRPr="00F90841">
              <w:rPr>
                <w:sz w:val="18"/>
              </w:rPr>
              <w:t>03.</w:t>
            </w:r>
            <w:r w:rsidR="007467BC" w:rsidRPr="00F90841">
              <w:rPr>
                <w:sz w:val="18"/>
              </w:rPr>
              <w:t>17</w:t>
            </w:r>
          </w:p>
        </w:tc>
      </w:tr>
      <w:tr w:rsidR="007467BC" w:rsidRPr="00F90841" w14:paraId="0EED4CAB" w14:textId="77777777" w:rsidTr="007D69B5">
        <w:tc>
          <w:tcPr>
            <w:tcW w:w="1999" w:type="dxa"/>
            <w:shd w:val="clear" w:color="auto" w:fill="auto"/>
          </w:tcPr>
          <w:p w14:paraId="4A78AE67" w14:textId="77777777" w:rsidR="007467BC" w:rsidRPr="00F90841" w:rsidRDefault="007467BC" w:rsidP="007D69B5">
            <w:pPr>
              <w:suppressAutoHyphens w:val="0"/>
              <w:spacing w:before="40" w:after="40" w:line="220" w:lineRule="exact"/>
              <w:ind w:right="113"/>
              <w:rPr>
                <w:sz w:val="18"/>
              </w:rPr>
            </w:pPr>
            <w:r w:rsidRPr="00F90841">
              <w:rPr>
                <w:sz w:val="18"/>
              </w:rPr>
              <w:t>2014/2015</w:t>
            </w:r>
          </w:p>
        </w:tc>
        <w:tc>
          <w:tcPr>
            <w:tcW w:w="1908" w:type="dxa"/>
            <w:shd w:val="clear" w:color="auto" w:fill="auto"/>
            <w:vAlign w:val="bottom"/>
          </w:tcPr>
          <w:p w14:paraId="12C790F1" w14:textId="77777777" w:rsidR="007467BC" w:rsidRPr="00F90841" w:rsidRDefault="007467BC" w:rsidP="00B10D65">
            <w:pPr>
              <w:suppressAutoHyphens w:val="0"/>
              <w:spacing w:before="40" w:after="40" w:line="220" w:lineRule="exact"/>
              <w:ind w:right="113"/>
              <w:jc w:val="right"/>
              <w:rPr>
                <w:sz w:val="18"/>
              </w:rPr>
            </w:pPr>
            <w:r w:rsidRPr="00F90841">
              <w:rPr>
                <w:sz w:val="18"/>
              </w:rPr>
              <w:t>4</w:t>
            </w:r>
            <w:r w:rsidR="00B10D65" w:rsidRPr="00F90841">
              <w:rPr>
                <w:sz w:val="18"/>
              </w:rPr>
              <w:t xml:space="preserve"> </w:t>
            </w:r>
            <w:r w:rsidRPr="00F90841">
              <w:rPr>
                <w:sz w:val="18"/>
              </w:rPr>
              <w:t>143</w:t>
            </w:r>
          </w:p>
        </w:tc>
        <w:tc>
          <w:tcPr>
            <w:tcW w:w="1905" w:type="dxa"/>
            <w:shd w:val="clear" w:color="auto" w:fill="auto"/>
            <w:vAlign w:val="bottom"/>
          </w:tcPr>
          <w:p w14:paraId="0D103A22" w14:textId="77777777" w:rsidR="007467BC" w:rsidRPr="00F90841" w:rsidRDefault="007467BC" w:rsidP="00B10D65">
            <w:pPr>
              <w:suppressAutoHyphens w:val="0"/>
              <w:spacing w:before="40" w:after="40" w:line="220" w:lineRule="exact"/>
              <w:ind w:right="113"/>
              <w:jc w:val="right"/>
              <w:rPr>
                <w:sz w:val="18"/>
              </w:rPr>
            </w:pPr>
            <w:r w:rsidRPr="00F90841">
              <w:rPr>
                <w:sz w:val="18"/>
              </w:rPr>
              <w:t>03</w:t>
            </w:r>
            <w:r w:rsidR="00B10D65" w:rsidRPr="00F90841">
              <w:rPr>
                <w:sz w:val="18"/>
              </w:rPr>
              <w:t>.</w:t>
            </w:r>
            <w:r w:rsidRPr="00F90841">
              <w:rPr>
                <w:sz w:val="18"/>
              </w:rPr>
              <w:t>15</w:t>
            </w:r>
          </w:p>
        </w:tc>
        <w:tc>
          <w:tcPr>
            <w:tcW w:w="1905" w:type="dxa"/>
            <w:shd w:val="clear" w:color="auto" w:fill="auto"/>
            <w:vAlign w:val="bottom"/>
          </w:tcPr>
          <w:p w14:paraId="4292CFE4" w14:textId="77777777" w:rsidR="007467BC" w:rsidRPr="00F90841" w:rsidRDefault="007467BC" w:rsidP="007D69B5">
            <w:pPr>
              <w:suppressAutoHyphens w:val="0"/>
              <w:spacing w:before="40" w:after="40" w:line="220" w:lineRule="exact"/>
              <w:ind w:right="113"/>
              <w:jc w:val="right"/>
              <w:rPr>
                <w:sz w:val="18"/>
              </w:rPr>
            </w:pPr>
            <w:r w:rsidRPr="00F90841">
              <w:rPr>
                <w:sz w:val="18"/>
              </w:rPr>
              <w:t>296</w:t>
            </w:r>
          </w:p>
        </w:tc>
        <w:tc>
          <w:tcPr>
            <w:tcW w:w="1905" w:type="dxa"/>
            <w:shd w:val="clear" w:color="auto" w:fill="auto"/>
            <w:vAlign w:val="bottom"/>
          </w:tcPr>
          <w:p w14:paraId="153E37BF" w14:textId="77777777" w:rsidR="007467BC" w:rsidRPr="00F90841" w:rsidRDefault="007467BC" w:rsidP="00B10D65">
            <w:pPr>
              <w:suppressAutoHyphens w:val="0"/>
              <w:spacing w:before="40" w:after="40" w:line="220" w:lineRule="exact"/>
              <w:ind w:right="113"/>
              <w:jc w:val="right"/>
              <w:rPr>
                <w:sz w:val="18"/>
              </w:rPr>
            </w:pPr>
            <w:r w:rsidRPr="00F90841">
              <w:rPr>
                <w:sz w:val="18"/>
              </w:rPr>
              <w:t>02</w:t>
            </w:r>
            <w:r w:rsidR="00B10D65" w:rsidRPr="00F90841">
              <w:rPr>
                <w:sz w:val="18"/>
              </w:rPr>
              <w:t>.</w:t>
            </w:r>
            <w:r w:rsidRPr="00F90841">
              <w:rPr>
                <w:sz w:val="18"/>
              </w:rPr>
              <w:t>51</w:t>
            </w:r>
          </w:p>
        </w:tc>
      </w:tr>
      <w:tr w:rsidR="007467BC" w:rsidRPr="00F90841" w14:paraId="4EC8305B" w14:textId="77777777" w:rsidTr="007D69B5">
        <w:tc>
          <w:tcPr>
            <w:tcW w:w="1999" w:type="dxa"/>
            <w:shd w:val="clear" w:color="auto" w:fill="auto"/>
          </w:tcPr>
          <w:p w14:paraId="40A2EB07" w14:textId="77777777" w:rsidR="007467BC" w:rsidRPr="00F90841" w:rsidRDefault="007467BC" w:rsidP="007D69B5">
            <w:pPr>
              <w:suppressAutoHyphens w:val="0"/>
              <w:spacing w:before="40" w:after="40" w:line="220" w:lineRule="exact"/>
              <w:ind w:right="113"/>
              <w:rPr>
                <w:sz w:val="18"/>
              </w:rPr>
            </w:pPr>
            <w:r w:rsidRPr="00F90841">
              <w:rPr>
                <w:sz w:val="18"/>
              </w:rPr>
              <w:t>2015/2016</w:t>
            </w:r>
          </w:p>
        </w:tc>
        <w:tc>
          <w:tcPr>
            <w:tcW w:w="1908" w:type="dxa"/>
            <w:shd w:val="clear" w:color="auto" w:fill="auto"/>
            <w:vAlign w:val="bottom"/>
          </w:tcPr>
          <w:p w14:paraId="451F3A25" w14:textId="77777777" w:rsidR="007467BC" w:rsidRPr="00F90841" w:rsidRDefault="007467BC" w:rsidP="00B10D65">
            <w:pPr>
              <w:suppressAutoHyphens w:val="0"/>
              <w:spacing w:before="40" w:after="40" w:line="220" w:lineRule="exact"/>
              <w:ind w:right="113"/>
              <w:jc w:val="right"/>
              <w:rPr>
                <w:sz w:val="18"/>
              </w:rPr>
            </w:pPr>
            <w:r w:rsidRPr="00F90841">
              <w:rPr>
                <w:sz w:val="18"/>
              </w:rPr>
              <w:t>2</w:t>
            </w:r>
            <w:r w:rsidR="00B10D65" w:rsidRPr="00F90841">
              <w:rPr>
                <w:sz w:val="18"/>
              </w:rPr>
              <w:t xml:space="preserve"> </w:t>
            </w:r>
            <w:r w:rsidRPr="00F90841">
              <w:rPr>
                <w:sz w:val="18"/>
              </w:rPr>
              <w:t>629</w:t>
            </w:r>
          </w:p>
        </w:tc>
        <w:tc>
          <w:tcPr>
            <w:tcW w:w="1905" w:type="dxa"/>
            <w:shd w:val="clear" w:color="auto" w:fill="auto"/>
            <w:vAlign w:val="bottom"/>
          </w:tcPr>
          <w:p w14:paraId="5A0665AC" w14:textId="77777777" w:rsidR="007467BC" w:rsidRPr="00F90841" w:rsidRDefault="00B10D65" w:rsidP="007D69B5">
            <w:pPr>
              <w:suppressAutoHyphens w:val="0"/>
              <w:spacing w:before="40" w:after="40" w:line="220" w:lineRule="exact"/>
              <w:ind w:right="113"/>
              <w:jc w:val="right"/>
              <w:rPr>
                <w:sz w:val="18"/>
              </w:rPr>
            </w:pPr>
            <w:r w:rsidRPr="00F90841">
              <w:rPr>
                <w:sz w:val="18"/>
              </w:rPr>
              <w:t>03.</w:t>
            </w:r>
            <w:r w:rsidR="007467BC" w:rsidRPr="00F90841">
              <w:rPr>
                <w:sz w:val="18"/>
              </w:rPr>
              <w:t>29</w:t>
            </w:r>
          </w:p>
        </w:tc>
        <w:tc>
          <w:tcPr>
            <w:tcW w:w="1905" w:type="dxa"/>
            <w:shd w:val="clear" w:color="auto" w:fill="auto"/>
            <w:vAlign w:val="bottom"/>
          </w:tcPr>
          <w:p w14:paraId="42775538" w14:textId="77777777" w:rsidR="007467BC" w:rsidRPr="00F90841" w:rsidRDefault="007467BC" w:rsidP="007D69B5">
            <w:pPr>
              <w:suppressAutoHyphens w:val="0"/>
              <w:spacing w:before="40" w:after="40" w:line="220" w:lineRule="exact"/>
              <w:ind w:right="113"/>
              <w:jc w:val="right"/>
              <w:rPr>
                <w:sz w:val="18"/>
              </w:rPr>
            </w:pPr>
            <w:r w:rsidRPr="00F90841">
              <w:rPr>
                <w:sz w:val="18"/>
              </w:rPr>
              <w:t>164</w:t>
            </w:r>
          </w:p>
        </w:tc>
        <w:tc>
          <w:tcPr>
            <w:tcW w:w="1905" w:type="dxa"/>
            <w:shd w:val="clear" w:color="auto" w:fill="auto"/>
            <w:vAlign w:val="bottom"/>
          </w:tcPr>
          <w:p w14:paraId="770D2819" w14:textId="77777777" w:rsidR="007467BC" w:rsidRPr="00F90841" w:rsidRDefault="007467BC" w:rsidP="00B10D65">
            <w:pPr>
              <w:suppressAutoHyphens w:val="0"/>
              <w:spacing w:before="40" w:after="40" w:line="220" w:lineRule="exact"/>
              <w:ind w:right="113"/>
              <w:jc w:val="right"/>
              <w:rPr>
                <w:sz w:val="18"/>
              </w:rPr>
            </w:pPr>
            <w:r w:rsidRPr="00F90841">
              <w:rPr>
                <w:sz w:val="18"/>
              </w:rPr>
              <w:t>03</w:t>
            </w:r>
            <w:r w:rsidR="00B10D65" w:rsidRPr="00F90841">
              <w:rPr>
                <w:sz w:val="18"/>
              </w:rPr>
              <w:t>.</w:t>
            </w:r>
            <w:r w:rsidRPr="00F90841">
              <w:rPr>
                <w:sz w:val="18"/>
              </w:rPr>
              <w:t>36</w:t>
            </w:r>
          </w:p>
        </w:tc>
      </w:tr>
      <w:tr w:rsidR="007467BC" w:rsidRPr="00F90841" w14:paraId="75D2F903" w14:textId="77777777" w:rsidTr="007D69B5">
        <w:tc>
          <w:tcPr>
            <w:tcW w:w="1999" w:type="dxa"/>
            <w:shd w:val="clear" w:color="auto" w:fill="auto"/>
          </w:tcPr>
          <w:p w14:paraId="70F3F4D6" w14:textId="77777777" w:rsidR="007467BC" w:rsidRPr="00F90841" w:rsidRDefault="007467BC" w:rsidP="007D69B5">
            <w:pPr>
              <w:suppressAutoHyphens w:val="0"/>
              <w:spacing w:before="40" w:after="40" w:line="220" w:lineRule="exact"/>
              <w:ind w:right="113"/>
              <w:rPr>
                <w:sz w:val="18"/>
              </w:rPr>
            </w:pPr>
            <w:r w:rsidRPr="00F90841">
              <w:rPr>
                <w:sz w:val="18"/>
              </w:rPr>
              <w:t>2016/2017</w:t>
            </w:r>
          </w:p>
        </w:tc>
        <w:tc>
          <w:tcPr>
            <w:tcW w:w="1908" w:type="dxa"/>
            <w:shd w:val="clear" w:color="auto" w:fill="auto"/>
            <w:vAlign w:val="bottom"/>
          </w:tcPr>
          <w:p w14:paraId="5A04B784" w14:textId="77777777" w:rsidR="007467BC" w:rsidRPr="00F90841" w:rsidRDefault="007467BC" w:rsidP="00B10D65">
            <w:pPr>
              <w:suppressAutoHyphens w:val="0"/>
              <w:spacing w:before="40" w:after="40" w:line="220" w:lineRule="exact"/>
              <w:ind w:right="113"/>
              <w:jc w:val="right"/>
              <w:rPr>
                <w:sz w:val="18"/>
              </w:rPr>
            </w:pPr>
            <w:r w:rsidRPr="00F90841">
              <w:rPr>
                <w:sz w:val="18"/>
              </w:rPr>
              <w:t>2</w:t>
            </w:r>
            <w:r w:rsidR="00B10D65" w:rsidRPr="00F90841">
              <w:rPr>
                <w:sz w:val="18"/>
              </w:rPr>
              <w:t xml:space="preserve"> </w:t>
            </w:r>
            <w:r w:rsidRPr="00F90841">
              <w:rPr>
                <w:sz w:val="18"/>
              </w:rPr>
              <w:t>248</w:t>
            </w:r>
          </w:p>
        </w:tc>
        <w:tc>
          <w:tcPr>
            <w:tcW w:w="1905" w:type="dxa"/>
            <w:shd w:val="clear" w:color="auto" w:fill="auto"/>
            <w:vAlign w:val="bottom"/>
          </w:tcPr>
          <w:p w14:paraId="020133E0" w14:textId="77777777" w:rsidR="007467BC" w:rsidRPr="00F90841" w:rsidRDefault="007467BC" w:rsidP="00B10D65">
            <w:pPr>
              <w:suppressAutoHyphens w:val="0"/>
              <w:spacing w:before="40" w:after="40" w:line="220" w:lineRule="exact"/>
              <w:ind w:right="113"/>
              <w:jc w:val="right"/>
              <w:rPr>
                <w:sz w:val="18"/>
              </w:rPr>
            </w:pPr>
            <w:r w:rsidRPr="00F90841">
              <w:rPr>
                <w:sz w:val="18"/>
              </w:rPr>
              <w:t>03</w:t>
            </w:r>
            <w:r w:rsidR="00B10D65" w:rsidRPr="00F90841">
              <w:rPr>
                <w:sz w:val="18"/>
              </w:rPr>
              <w:t>.</w:t>
            </w:r>
            <w:r w:rsidRPr="00F90841">
              <w:rPr>
                <w:sz w:val="18"/>
              </w:rPr>
              <w:t>45</w:t>
            </w:r>
          </w:p>
        </w:tc>
        <w:tc>
          <w:tcPr>
            <w:tcW w:w="1905" w:type="dxa"/>
            <w:shd w:val="clear" w:color="auto" w:fill="auto"/>
            <w:vAlign w:val="bottom"/>
          </w:tcPr>
          <w:p w14:paraId="032FC197" w14:textId="77777777" w:rsidR="007467BC" w:rsidRPr="00F90841" w:rsidRDefault="007467BC" w:rsidP="007D69B5">
            <w:pPr>
              <w:suppressAutoHyphens w:val="0"/>
              <w:spacing w:before="40" w:after="40" w:line="220" w:lineRule="exact"/>
              <w:ind w:right="113"/>
              <w:jc w:val="right"/>
              <w:rPr>
                <w:sz w:val="18"/>
              </w:rPr>
            </w:pPr>
            <w:r w:rsidRPr="00F90841">
              <w:rPr>
                <w:sz w:val="18"/>
              </w:rPr>
              <w:t>145</w:t>
            </w:r>
          </w:p>
        </w:tc>
        <w:tc>
          <w:tcPr>
            <w:tcW w:w="1905" w:type="dxa"/>
            <w:shd w:val="clear" w:color="auto" w:fill="auto"/>
            <w:vAlign w:val="bottom"/>
          </w:tcPr>
          <w:p w14:paraId="5A226D96" w14:textId="77777777" w:rsidR="007467BC" w:rsidRPr="00F90841" w:rsidRDefault="007467BC" w:rsidP="00B10D65">
            <w:pPr>
              <w:suppressAutoHyphens w:val="0"/>
              <w:spacing w:before="40" w:after="40" w:line="220" w:lineRule="exact"/>
              <w:ind w:right="113"/>
              <w:jc w:val="right"/>
              <w:rPr>
                <w:sz w:val="18"/>
              </w:rPr>
            </w:pPr>
            <w:r w:rsidRPr="00F90841">
              <w:rPr>
                <w:sz w:val="18"/>
              </w:rPr>
              <w:t>04</w:t>
            </w:r>
            <w:r w:rsidR="00B10D65" w:rsidRPr="00F90841">
              <w:rPr>
                <w:sz w:val="18"/>
              </w:rPr>
              <w:t>.</w:t>
            </w:r>
            <w:r w:rsidRPr="00F90841">
              <w:rPr>
                <w:sz w:val="18"/>
              </w:rPr>
              <w:t>02</w:t>
            </w:r>
          </w:p>
        </w:tc>
      </w:tr>
      <w:tr w:rsidR="007467BC" w:rsidRPr="00F90841" w14:paraId="4F57B8DE" w14:textId="77777777" w:rsidTr="007D69B5">
        <w:tc>
          <w:tcPr>
            <w:tcW w:w="1999" w:type="dxa"/>
            <w:shd w:val="clear" w:color="auto" w:fill="auto"/>
          </w:tcPr>
          <w:p w14:paraId="39A7E55F" w14:textId="77777777" w:rsidR="007467BC" w:rsidRPr="00F90841" w:rsidRDefault="007467BC" w:rsidP="007D69B5">
            <w:pPr>
              <w:suppressAutoHyphens w:val="0"/>
              <w:spacing w:before="40" w:after="40" w:line="220" w:lineRule="exact"/>
              <w:ind w:right="113"/>
              <w:rPr>
                <w:sz w:val="18"/>
              </w:rPr>
            </w:pPr>
            <w:r w:rsidRPr="00F90841">
              <w:rPr>
                <w:sz w:val="18"/>
              </w:rPr>
              <w:t>2017/2018</w:t>
            </w:r>
          </w:p>
        </w:tc>
        <w:tc>
          <w:tcPr>
            <w:tcW w:w="1908" w:type="dxa"/>
            <w:shd w:val="clear" w:color="auto" w:fill="auto"/>
            <w:vAlign w:val="bottom"/>
          </w:tcPr>
          <w:p w14:paraId="79173BF5" w14:textId="77777777" w:rsidR="007467BC" w:rsidRPr="00F90841" w:rsidRDefault="007467BC" w:rsidP="00B10D65">
            <w:pPr>
              <w:suppressAutoHyphens w:val="0"/>
              <w:spacing w:before="40" w:after="40" w:line="220" w:lineRule="exact"/>
              <w:ind w:right="113"/>
              <w:jc w:val="right"/>
              <w:rPr>
                <w:sz w:val="18"/>
              </w:rPr>
            </w:pPr>
            <w:r w:rsidRPr="00F90841">
              <w:rPr>
                <w:sz w:val="18"/>
              </w:rPr>
              <w:t>1</w:t>
            </w:r>
            <w:r w:rsidR="00B10D65" w:rsidRPr="00F90841">
              <w:rPr>
                <w:sz w:val="18"/>
              </w:rPr>
              <w:t xml:space="preserve"> </w:t>
            </w:r>
            <w:r w:rsidRPr="00F90841">
              <w:rPr>
                <w:sz w:val="18"/>
              </w:rPr>
              <w:t>826</w:t>
            </w:r>
          </w:p>
        </w:tc>
        <w:tc>
          <w:tcPr>
            <w:tcW w:w="1905" w:type="dxa"/>
            <w:shd w:val="clear" w:color="auto" w:fill="auto"/>
            <w:vAlign w:val="bottom"/>
          </w:tcPr>
          <w:p w14:paraId="0B642D07" w14:textId="77777777" w:rsidR="007467BC" w:rsidRPr="00F90841" w:rsidRDefault="007467BC" w:rsidP="00B10D65">
            <w:pPr>
              <w:suppressAutoHyphens w:val="0"/>
              <w:spacing w:before="40" w:after="40" w:line="220" w:lineRule="exact"/>
              <w:ind w:right="113"/>
              <w:jc w:val="right"/>
              <w:rPr>
                <w:sz w:val="18"/>
              </w:rPr>
            </w:pPr>
            <w:r w:rsidRPr="00F90841">
              <w:rPr>
                <w:sz w:val="18"/>
              </w:rPr>
              <w:t>03</w:t>
            </w:r>
            <w:r w:rsidR="00B10D65" w:rsidRPr="00F90841">
              <w:rPr>
                <w:sz w:val="18"/>
              </w:rPr>
              <w:t>.</w:t>
            </w:r>
            <w:r w:rsidRPr="00F90841">
              <w:rPr>
                <w:sz w:val="18"/>
              </w:rPr>
              <w:t>49</w:t>
            </w:r>
          </w:p>
        </w:tc>
        <w:tc>
          <w:tcPr>
            <w:tcW w:w="1905" w:type="dxa"/>
            <w:shd w:val="clear" w:color="auto" w:fill="auto"/>
            <w:vAlign w:val="bottom"/>
          </w:tcPr>
          <w:p w14:paraId="1D20254F" w14:textId="77777777" w:rsidR="007467BC" w:rsidRPr="00F90841" w:rsidRDefault="007467BC" w:rsidP="007D69B5">
            <w:pPr>
              <w:suppressAutoHyphens w:val="0"/>
              <w:spacing w:before="40" w:after="40" w:line="220" w:lineRule="exact"/>
              <w:ind w:right="113"/>
              <w:jc w:val="right"/>
              <w:rPr>
                <w:sz w:val="18"/>
              </w:rPr>
            </w:pPr>
            <w:r w:rsidRPr="00F90841">
              <w:rPr>
                <w:sz w:val="18"/>
              </w:rPr>
              <w:t>170</w:t>
            </w:r>
          </w:p>
        </w:tc>
        <w:tc>
          <w:tcPr>
            <w:tcW w:w="1905" w:type="dxa"/>
            <w:shd w:val="clear" w:color="auto" w:fill="auto"/>
            <w:vAlign w:val="bottom"/>
          </w:tcPr>
          <w:p w14:paraId="75441147" w14:textId="77777777" w:rsidR="007467BC" w:rsidRPr="00F90841" w:rsidRDefault="007467BC" w:rsidP="00B10D65">
            <w:pPr>
              <w:suppressAutoHyphens w:val="0"/>
              <w:spacing w:before="40" w:after="40" w:line="220" w:lineRule="exact"/>
              <w:ind w:right="113"/>
              <w:jc w:val="right"/>
              <w:rPr>
                <w:sz w:val="18"/>
              </w:rPr>
            </w:pPr>
            <w:r w:rsidRPr="00F90841">
              <w:rPr>
                <w:sz w:val="18"/>
              </w:rPr>
              <w:t>03</w:t>
            </w:r>
            <w:r w:rsidR="00B10D65" w:rsidRPr="00F90841">
              <w:rPr>
                <w:sz w:val="18"/>
              </w:rPr>
              <w:t>.</w:t>
            </w:r>
            <w:r w:rsidRPr="00F90841">
              <w:rPr>
                <w:sz w:val="18"/>
              </w:rPr>
              <w:t>21</w:t>
            </w:r>
          </w:p>
        </w:tc>
      </w:tr>
    </w:tbl>
    <w:p w14:paraId="735C0206" w14:textId="77777777" w:rsidR="007467BC" w:rsidRPr="00F90841" w:rsidRDefault="007467BC" w:rsidP="00C12652">
      <w:pPr>
        <w:spacing w:before="120" w:line="240" w:lineRule="atLeast"/>
        <w:ind w:left="1134" w:right="1134" w:firstLine="170"/>
        <w:rPr>
          <w:sz w:val="18"/>
        </w:rPr>
      </w:pPr>
      <w:r w:rsidRPr="00F90841">
        <w:rPr>
          <w:i/>
          <w:iCs/>
          <w:sz w:val="18"/>
        </w:rPr>
        <w:t>Note</w:t>
      </w:r>
      <w:r w:rsidRPr="00F90841">
        <w:rPr>
          <w:sz w:val="18"/>
        </w:rPr>
        <w:t xml:space="preserve">: </w:t>
      </w:r>
      <w:r w:rsidR="00C12652" w:rsidRPr="00F90841">
        <w:rPr>
          <w:sz w:val="18"/>
        </w:rPr>
        <w:t xml:space="preserve"> </w:t>
      </w:r>
      <w:r w:rsidRPr="00F90841">
        <w:rPr>
          <w:sz w:val="18"/>
        </w:rPr>
        <w:t>Youths in detention are discussed further under issue 20.</w:t>
      </w:r>
    </w:p>
    <w:p w14:paraId="2BC6972B" w14:textId="77777777" w:rsidR="007467BC" w:rsidRPr="00F90841" w:rsidRDefault="007467BC" w:rsidP="007D7547">
      <w:pPr>
        <w:pStyle w:val="H1G"/>
      </w:pPr>
      <w:bookmarkStart w:id="79" w:name="_Toc20139400"/>
      <w:r w:rsidRPr="00F90841">
        <w:tab/>
      </w:r>
      <w:r w:rsidRPr="00F90841">
        <w:tab/>
        <w:t>Articles 12</w:t>
      </w:r>
      <w:r w:rsidR="007D7547" w:rsidRPr="00F90841">
        <w:t>–</w:t>
      </w:r>
      <w:r w:rsidRPr="00F90841">
        <w:t>13</w:t>
      </w:r>
      <w:bookmarkEnd w:id="79"/>
    </w:p>
    <w:p w14:paraId="7CA2112D" w14:textId="77777777" w:rsidR="007467BC" w:rsidRPr="00F90841" w:rsidRDefault="007467BC" w:rsidP="007D7547">
      <w:pPr>
        <w:pStyle w:val="H1G"/>
      </w:pPr>
      <w:r w:rsidRPr="00F90841">
        <w:tab/>
      </w:r>
      <w:r w:rsidRPr="00F90841">
        <w:tab/>
        <w:t>Reply to paragraph 25 of the list of issues</w:t>
      </w:r>
    </w:p>
    <w:p w14:paraId="7079F344" w14:textId="77777777" w:rsidR="007467BC" w:rsidRPr="00F90841" w:rsidRDefault="007467BC" w:rsidP="007D7547">
      <w:pPr>
        <w:pStyle w:val="H23G"/>
      </w:pPr>
      <w:r w:rsidRPr="00F90841">
        <w:tab/>
      </w:r>
      <w:r w:rsidRPr="00F90841">
        <w:tab/>
        <w:t>Complaints, investigations, proceedings</w:t>
      </w:r>
    </w:p>
    <w:p w14:paraId="117664BA" w14:textId="77777777" w:rsidR="007467BC" w:rsidRPr="00F90841" w:rsidRDefault="007467BC" w:rsidP="007467BC">
      <w:pPr>
        <w:pStyle w:val="SingleTxtG"/>
      </w:pPr>
      <w:r w:rsidRPr="00F90841">
        <w:t>258.</w:t>
      </w:r>
      <w:r w:rsidRPr="00F90841">
        <w:tab/>
        <w:t>No prosecutions for torture were laid in the reporting period. Comprehensive, national data on complaints and investigations of detainees</w:t>
      </w:r>
      <w:r w:rsidR="00562737" w:rsidRPr="00F90841">
        <w:t>’</w:t>
      </w:r>
      <w:r w:rsidRPr="00F90841">
        <w:t xml:space="preserve"> ill-treatment is not available because there are several different complaints mechanisms and complaints are not always categorised relating to ill-treatment in detention. Therefore, the information provided here may not cover all complaints. For complaints mechanisms see issue 26.</w:t>
      </w:r>
    </w:p>
    <w:p w14:paraId="0602F224" w14:textId="77777777" w:rsidR="007467BC" w:rsidRPr="00F90841" w:rsidRDefault="007467BC" w:rsidP="00CF302B">
      <w:pPr>
        <w:pStyle w:val="H23G"/>
      </w:pPr>
      <w:r w:rsidRPr="00F90841">
        <w:tab/>
      </w:r>
      <w:r w:rsidRPr="00F90841">
        <w:tab/>
        <w:t>Complaints of excess force or ill-treatment in Police custody</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1134"/>
        <w:gridCol w:w="1559"/>
        <w:gridCol w:w="2410"/>
        <w:gridCol w:w="991"/>
      </w:tblGrid>
      <w:tr w:rsidR="007467BC" w:rsidRPr="00F90841" w14:paraId="5F106F47" w14:textId="77777777" w:rsidTr="00CF302B">
        <w:trPr>
          <w:tblHeader/>
        </w:trPr>
        <w:tc>
          <w:tcPr>
            <w:tcW w:w="1276" w:type="dxa"/>
            <w:tcBorders>
              <w:top w:val="single" w:sz="4" w:space="0" w:color="auto"/>
              <w:bottom w:val="single" w:sz="12" w:space="0" w:color="auto"/>
            </w:tcBorders>
            <w:shd w:val="clear" w:color="auto" w:fill="auto"/>
            <w:vAlign w:val="bottom"/>
            <w:hideMark/>
          </w:tcPr>
          <w:p w14:paraId="3A0FF5E4" w14:textId="77777777" w:rsidR="007467BC" w:rsidRPr="00F90841" w:rsidRDefault="007467BC" w:rsidP="007D7547">
            <w:pPr>
              <w:suppressAutoHyphens w:val="0"/>
              <w:spacing w:before="80" w:after="80" w:line="200" w:lineRule="exact"/>
              <w:ind w:right="113"/>
              <w:rPr>
                <w:i/>
                <w:sz w:val="16"/>
              </w:rPr>
            </w:pPr>
          </w:p>
        </w:tc>
        <w:tc>
          <w:tcPr>
            <w:tcW w:w="1134" w:type="dxa"/>
            <w:tcBorders>
              <w:top w:val="single" w:sz="4" w:space="0" w:color="auto"/>
              <w:bottom w:val="single" w:sz="12" w:space="0" w:color="auto"/>
            </w:tcBorders>
            <w:shd w:val="clear" w:color="auto" w:fill="auto"/>
            <w:vAlign w:val="bottom"/>
            <w:hideMark/>
          </w:tcPr>
          <w:p w14:paraId="1159091E" w14:textId="77777777" w:rsidR="007467BC" w:rsidRPr="00F90841" w:rsidRDefault="007467BC" w:rsidP="007D7547">
            <w:pPr>
              <w:suppressAutoHyphens w:val="0"/>
              <w:spacing w:before="80" w:after="80" w:line="200" w:lineRule="exact"/>
              <w:ind w:right="113"/>
              <w:jc w:val="right"/>
              <w:rPr>
                <w:i/>
                <w:sz w:val="16"/>
              </w:rPr>
            </w:pPr>
            <w:r w:rsidRPr="00F90841">
              <w:rPr>
                <w:i/>
                <w:sz w:val="16"/>
              </w:rPr>
              <w:t>Excess Force</w:t>
            </w:r>
          </w:p>
        </w:tc>
        <w:tc>
          <w:tcPr>
            <w:tcW w:w="1559" w:type="dxa"/>
            <w:tcBorders>
              <w:top w:val="single" w:sz="4" w:space="0" w:color="auto"/>
              <w:bottom w:val="single" w:sz="12" w:space="0" w:color="auto"/>
            </w:tcBorders>
            <w:shd w:val="clear" w:color="auto" w:fill="auto"/>
            <w:vAlign w:val="bottom"/>
            <w:hideMark/>
          </w:tcPr>
          <w:p w14:paraId="1FBF7CD9" w14:textId="77777777" w:rsidR="007467BC" w:rsidRPr="00F90841" w:rsidRDefault="007467BC" w:rsidP="007D7547">
            <w:pPr>
              <w:suppressAutoHyphens w:val="0"/>
              <w:spacing w:before="80" w:after="80" w:line="200" w:lineRule="exact"/>
              <w:ind w:right="113"/>
              <w:jc w:val="right"/>
              <w:rPr>
                <w:i/>
                <w:sz w:val="16"/>
              </w:rPr>
            </w:pPr>
            <w:r w:rsidRPr="00F90841">
              <w:rPr>
                <w:i/>
                <w:sz w:val="16"/>
              </w:rPr>
              <w:t>Ill-treatment</w:t>
            </w:r>
          </w:p>
        </w:tc>
        <w:tc>
          <w:tcPr>
            <w:tcW w:w="2410" w:type="dxa"/>
            <w:tcBorders>
              <w:top w:val="single" w:sz="4" w:space="0" w:color="auto"/>
              <w:bottom w:val="single" w:sz="12" w:space="0" w:color="auto"/>
            </w:tcBorders>
            <w:shd w:val="clear" w:color="auto" w:fill="auto"/>
            <w:vAlign w:val="bottom"/>
            <w:hideMark/>
          </w:tcPr>
          <w:p w14:paraId="1025461C" w14:textId="77777777" w:rsidR="007467BC" w:rsidRPr="00F90841" w:rsidRDefault="007467BC" w:rsidP="009653DC">
            <w:pPr>
              <w:suppressAutoHyphens w:val="0"/>
              <w:spacing w:before="80" w:after="80" w:line="200" w:lineRule="exact"/>
              <w:ind w:right="113"/>
              <w:jc w:val="right"/>
              <w:rPr>
                <w:i/>
                <w:sz w:val="16"/>
              </w:rPr>
            </w:pPr>
            <w:r w:rsidRPr="00F90841">
              <w:rPr>
                <w:i/>
                <w:sz w:val="16"/>
              </w:rPr>
              <w:t>Excess Force &amp;Ill-treatment</w:t>
            </w:r>
          </w:p>
        </w:tc>
        <w:tc>
          <w:tcPr>
            <w:tcW w:w="991" w:type="dxa"/>
            <w:tcBorders>
              <w:top w:val="single" w:sz="4" w:space="0" w:color="auto"/>
              <w:bottom w:val="single" w:sz="12" w:space="0" w:color="auto"/>
            </w:tcBorders>
            <w:shd w:val="clear" w:color="auto" w:fill="auto"/>
            <w:vAlign w:val="bottom"/>
            <w:hideMark/>
          </w:tcPr>
          <w:p w14:paraId="00FF5945" w14:textId="77777777" w:rsidR="007467BC" w:rsidRPr="00F90841" w:rsidRDefault="007467BC" w:rsidP="007D7547">
            <w:pPr>
              <w:suppressAutoHyphens w:val="0"/>
              <w:spacing w:before="80" w:after="80" w:line="200" w:lineRule="exact"/>
              <w:ind w:right="113"/>
              <w:jc w:val="right"/>
              <w:rPr>
                <w:i/>
                <w:sz w:val="16"/>
              </w:rPr>
            </w:pPr>
            <w:r w:rsidRPr="00F90841">
              <w:rPr>
                <w:i/>
                <w:sz w:val="16"/>
              </w:rPr>
              <w:t>Total</w:t>
            </w:r>
          </w:p>
        </w:tc>
      </w:tr>
      <w:tr w:rsidR="007467BC" w:rsidRPr="00F90841" w14:paraId="16706475" w14:textId="77777777" w:rsidTr="00CF302B">
        <w:tc>
          <w:tcPr>
            <w:tcW w:w="1276" w:type="dxa"/>
            <w:tcBorders>
              <w:top w:val="single" w:sz="12" w:space="0" w:color="auto"/>
            </w:tcBorders>
            <w:shd w:val="clear" w:color="auto" w:fill="auto"/>
            <w:hideMark/>
          </w:tcPr>
          <w:p w14:paraId="1489CE03" w14:textId="77777777" w:rsidR="007467BC" w:rsidRPr="00F90841" w:rsidRDefault="007467BC" w:rsidP="007D7547">
            <w:pPr>
              <w:suppressAutoHyphens w:val="0"/>
              <w:spacing w:before="40" w:after="40" w:line="220" w:lineRule="exact"/>
              <w:ind w:right="113"/>
              <w:rPr>
                <w:sz w:val="18"/>
              </w:rPr>
            </w:pPr>
            <w:r w:rsidRPr="00F90841">
              <w:rPr>
                <w:sz w:val="18"/>
              </w:rPr>
              <w:t>2013/2014</w:t>
            </w:r>
          </w:p>
        </w:tc>
        <w:tc>
          <w:tcPr>
            <w:tcW w:w="1134" w:type="dxa"/>
            <w:tcBorders>
              <w:top w:val="single" w:sz="12" w:space="0" w:color="auto"/>
            </w:tcBorders>
            <w:shd w:val="clear" w:color="auto" w:fill="auto"/>
            <w:vAlign w:val="bottom"/>
            <w:hideMark/>
          </w:tcPr>
          <w:p w14:paraId="05B11885" w14:textId="77777777" w:rsidR="007467BC" w:rsidRPr="00F90841" w:rsidRDefault="007467BC" w:rsidP="007D7547">
            <w:pPr>
              <w:suppressAutoHyphens w:val="0"/>
              <w:spacing w:before="40" w:after="40" w:line="220" w:lineRule="exact"/>
              <w:ind w:right="113"/>
              <w:jc w:val="right"/>
              <w:rPr>
                <w:sz w:val="18"/>
              </w:rPr>
            </w:pPr>
            <w:r w:rsidRPr="00F90841">
              <w:rPr>
                <w:sz w:val="18"/>
              </w:rPr>
              <w:t>8</w:t>
            </w:r>
          </w:p>
        </w:tc>
        <w:tc>
          <w:tcPr>
            <w:tcW w:w="1559" w:type="dxa"/>
            <w:tcBorders>
              <w:top w:val="single" w:sz="12" w:space="0" w:color="auto"/>
            </w:tcBorders>
            <w:shd w:val="clear" w:color="auto" w:fill="auto"/>
            <w:vAlign w:val="bottom"/>
            <w:hideMark/>
          </w:tcPr>
          <w:p w14:paraId="7606481B" w14:textId="77777777" w:rsidR="007467BC" w:rsidRPr="00F90841" w:rsidRDefault="007467BC" w:rsidP="007D7547">
            <w:pPr>
              <w:suppressAutoHyphens w:val="0"/>
              <w:spacing w:before="40" w:after="40" w:line="220" w:lineRule="exact"/>
              <w:ind w:right="113"/>
              <w:jc w:val="right"/>
              <w:rPr>
                <w:sz w:val="18"/>
              </w:rPr>
            </w:pPr>
            <w:r w:rsidRPr="00F90841">
              <w:rPr>
                <w:sz w:val="18"/>
              </w:rPr>
              <w:t>5</w:t>
            </w:r>
          </w:p>
        </w:tc>
        <w:tc>
          <w:tcPr>
            <w:tcW w:w="2410" w:type="dxa"/>
            <w:tcBorders>
              <w:top w:val="single" w:sz="12" w:space="0" w:color="auto"/>
            </w:tcBorders>
            <w:shd w:val="clear" w:color="auto" w:fill="auto"/>
            <w:vAlign w:val="bottom"/>
            <w:hideMark/>
          </w:tcPr>
          <w:p w14:paraId="6A0930F0" w14:textId="77777777" w:rsidR="007467BC" w:rsidRPr="00F90841" w:rsidRDefault="007467BC" w:rsidP="007D7547">
            <w:pPr>
              <w:suppressAutoHyphens w:val="0"/>
              <w:spacing w:before="40" w:after="40" w:line="220" w:lineRule="exact"/>
              <w:ind w:right="113"/>
              <w:jc w:val="right"/>
              <w:rPr>
                <w:sz w:val="18"/>
              </w:rPr>
            </w:pPr>
            <w:r w:rsidRPr="00F90841">
              <w:rPr>
                <w:sz w:val="18"/>
              </w:rPr>
              <w:t>1</w:t>
            </w:r>
          </w:p>
        </w:tc>
        <w:tc>
          <w:tcPr>
            <w:tcW w:w="991" w:type="dxa"/>
            <w:tcBorders>
              <w:top w:val="single" w:sz="12" w:space="0" w:color="auto"/>
            </w:tcBorders>
            <w:shd w:val="clear" w:color="auto" w:fill="auto"/>
            <w:vAlign w:val="bottom"/>
            <w:hideMark/>
          </w:tcPr>
          <w:p w14:paraId="7DA74E36" w14:textId="77777777" w:rsidR="007467BC" w:rsidRPr="00F90841" w:rsidRDefault="007467BC" w:rsidP="007D7547">
            <w:pPr>
              <w:suppressAutoHyphens w:val="0"/>
              <w:spacing w:before="40" w:after="40" w:line="220" w:lineRule="exact"/>
              <w:ind w:right="113"/>
              <w:jc w:val="right"/>
              <w:rPr>
                <w:sz w:val="18"/>
              </w:rPr>
            </w:pPr>
            <w:r w:rsidRPr="00F90841">
              <w:rPr>
                <w:sz w:val="18"/>
              </w:rPr>
              <w:t>14</w:t>
            </w:r>
          </w:p>
        </w:tc>
      </w:tr>
      <w:tr w:rsidR="007467BC" w:rsidRPr="00F90841" w14:paraId="1A65B4AB" w14:textId="77777777" w:rsidTr="00CF302B">
        <w:tc>
          <w:tcPr>
            <w:tcW w:w="1276" w:type="dxa"/>
            <w:shd w:val="clear" w:color="auto" w:fill="auto"/>
            <w:hideMark/>
          </w:tcPr>
          <w:p w14:paraId="70CA9346" w14:textId="77777777" w:rsidR="007467BC" w:rsidRPr="00F90841" w:rsidRDefault="007467BC" w:rsidP="007D7547">
            <w:pPr>
              <w:suppressAutoHyphens w:val="0"/>
              <w:spacing w:before="40" w:after="40" w:line="220" w:lineRule="exact"/>
              <w:ind w:right="113"/>
              <w:rPr>
                <w:sz w:val="18"/>
              </w:rPr>
            </w:pPr>
            <w:r w:rsidRPr="00F90841">
              <w:rPr>
                <w:sz w:val="18"/>
              </w:rPr>
              <w:t>2014/2015</w:t>
            </w:r>
          </w:p>
        </w:tc>
        <w:tc>
          <w:tcPr>
            <w:tcW w:w="1134" w:type="dxa"/>
            <w:shd w:val="clear" w:color="auto" w:fill="auto"/>
            <w:vAlign w:val="bottom"/>
            <w:hideMark/>
          </w:tcPr>
          <w:p w14:paraId="2680DC2B" w14:textId="77777777" w:rsidR="007467BC" w:rsidRPr="00F90841" w:rsidRDefault="007467BC" w:rsidP="007D7547">
            <w:pPr>
              <w:suppressAutoHyphens w:val="0"/>
              <w:spacing w:before="40" w:after="40" w:line="220" w:lineRule="exact"/>
              <w:ind w:right="113"/>
              <w:jc w:val="right"/>
              <w:rPr>
                <w:sz w:val="18"/>
              </w:rPr>
            </w:pPr>
            <w:r w:rsidRPr="00F90841">
              <w:rPr>
                <w:sz w:val="18"/>
              </w:rPr>
              <w:t>9</w:t>
            </w:r>
          </w:p>
        </w:tc>
        <w:tc>
          <w:tcPr>
            <w:tcW w:w="1559" w:type="dxa"/>
            <w:shd w:val="clear" w:color="auto" w:fill="auto"/>
            <w:vAlign w:val="bottom"/>
            <w:hideMark/>
          </w:tcPr>
          <w:p w14:paraId="388B1B4A" w14:textId="77777777" w:rsidR="007467BC" w:rsidRPr="00F90841" w:rsidRDefault="007467BC" w:rsidP="007D7547">
            <w:pPr>
              <w:suppressAutoHyphens w:val="0"/>
              <w:spacing w:before="40" w:after="40" w:line="220" w:lineRule="exact"/>
              <w:ind w:right="113"/>
              <w:jc w:val="right"/>
              <w:rPr>
                <w:sz w:val="18"/>
              </w:rPr>
            </w:pPr>
            <w:r w:rsidRPr="00F90841">
              <w:rPr>
                <w:sz w:val="18"/>
              </w:rPr>
              <w:t>4</w:t>
            </w:r>
          </w:p>
        </w:tc>
        <w:tc>
          <w:tcPr>
            <w:tcW w:w="2410" w:type="dxa"/>
            <w:shd w:val="clear" w:color="auto" w:fill="auto"/>
            <w:vAlign w:val="bottom"/>
            <w:hideMark/>
          </w:tcPr>
          <w:p w14:paraId="4BA2AC2A" w14:textId="77777777" w:rsidR="007467BC" w:rsidRPr="00F90841" w:rsidRDefault="007467BC" w:rsidP="007D7547">
            <w:pPr>
              <w:suppressAutoHyphens w:val="0"/>
              <w:spacing w:before="40" w:after="40" w:line="220" w:lineRule="exact"/>
              <w:ind w:right="113"/>
              <w:jc w:val="right"/>
              <w:rPr>
                <w:sz w:val="18"/>
              </w:rPr>
            </w:pPr>
            <w:r w:rsidRPr="00F90841">
              <w:rPr>
                <w:sz w:val="18"/>
              </w:rPr>
              <w:t>0</w:t>
            </w:r>
          </w:p>
        </w:tc>
        <w:tc>
          <w:tcPr>
            <w:tcW w:w="991" w:type="dxa"/>
            <w:shd w:val="clear" w:color="auto" w:fill="auto"/>
            <w:vAlign w:val="bottom"/>
            <w:hideMark/>
          </w:tcPr>
          <w:p w14:paraId="3AB3AFA2" w14:textId="77777777" w:rsidR="007467BC" w:rsidRPr="00F90841" w:rsidRDefault="007467BC" w:rsidP="007D7547">
            <w:pPr>
              <w:suppressAutoHyphens w:val="0"/>
              <w:spacing w:before="40" w:after="40" w:line="220" w:lineRule="exact"/>
              <w:ind w:right="113"/>
              <w:jc w:val="right"/>
              <w:rPr>
                <w:sz w:val="18"/>
              </w:rPr>
            </w:pPr>
            <w:r w:rsidRPr="00F90841">
              <w:rPr>
                <w:sz w:val="18"/>
              </w:rPr>
              <w:t>13</w:t>
            </w:r>
          </w:p>
        </w:tc>
      </w:tr>
      <w:tr w:rsidR="007467BC" w:rsidRPr="00F90841" w14:paraId="08C4268B" w14:textId="77777777" w:rsidTr="00CF302B">
        <w:tc>
          <w:tcPr>
            <w:tcW w:w="1276" w:type="dxa"/>
            <w:shd w:val="clear" w:color="auto" w:fill="auto"/>
            <w:hideMark/>
          </w:tcPr>
          <w:p w14:paraId="4AD0BD4B" w14:textId="77777777" w:rsidR="007467BC" w:rsidRPr="00F90841" w:rsidRDefault="007467BC" w:rsidP="007D7547">
            <w:pPr>
              <w:suppressAutoHyphens w:val="0"/>
              <w:spacing w:before="40" w:after="40" w:line="220" w:lineRule="exact"/>
              <w:ind w:right="113"/>
              <w:rPr>
                <w:sz w:val="18"/>
              </w:rPr>
            </w:pPr>
            <w:r w:rsidRPr="00F90841">
              <w:rPr>
                <w:sz w:val="18"/>
              </w:rPr>
              <w:t>2015/2016</w:t>
            </w:r>
          </w:p>
        </w:tc>
        <w:tc>
          <w:tcPr>
            <w:tcW w:w="1134" w:type="dxa"/>
            <w:shd w:val="clear" w:color="auto" w:fill="auto"/>
            <w:vAlign w:val="bottom"/>
            <w:hideMark/>
          </w:tcPr>
          <w:p w14:paraId="44FAB06D" w14:textId="77777777" w:rsidR="007467BC" w:rsidRPr="00F90841" w:rsidRDefault="007467BC" w:rsidP="007D7547">
            <w:pPr>
              <w:suppressAutoHyphens w:val="0"/>
              <w:spacing w:before="40" w:after="40" w:line="220" w:lineRule="exact"/>
              <w:ind w:right="113"/>
              <w:jc w:val="right"/>
              <w:rPr>
                <w:sz w:val="18"/>
              </w:rPr>
            </w:pPr>
            <w:r w:rsidRPr="00F90841">
              <w:rPr>
                <w:sz w:val="18"/>
              </w:rPr>
              <w:t>6</w:t>
            </w:r>
          </w:p>
        </w:tc>
        <w:tc>
          <w:tcPr>
            <w:tcW w:w="1559" w:type="dxa"/>
            <w:shd w:val="clear" w:color="auto" w:fill="auto"/>
            <w:vAlign w:val="bottom"/>
            <w:hideMark/>
          </w:tcPr>
          <w:p w14:paraId="604F18B1" w14:textId="77777777" w:rsidR="007467BC" w:rsidRPr="00F90841" w:rsidRDefault="007467BC" w:rsidP="007D7547">
            <w:pPr>
              <w:suppressAutoHyphens w:val="0"/>
              <w:spacing w:before="40" w:after="40" w:line="220" w:lineRule="exact"/>
              <w:ind w:right="113"/>
              <w:jc w:val="right"/>
              <w:rPr>
                <w:sz w:val="18"/>
              </w:rPr>
            </w:pPr>
            <w:r w:rsidRPr="00F90841">
              <w:rPr>
                <w:sz w:val="18"/>
              </w:rPr>
              <w:t>1</w:t>
            </w:r>
          </w:p>
        </w:tc>
        <w:tc>
          <w:tcPr>
            <w:tcW w:w="2410" w:type="dxa"/>
            <w:shd w:val="clear" w:color="auto" w:fill="auto"/>
            <w:vAlign w:val="bottom"/>
            <w:hideMark/>
          </w:tcPr>
          <w:p w14:paraId="557328FF" w14:textId="77777777" w:rsidR="007467BC" w:rsidRPr="00F90841" w:rsidRDefault="007467BC" w:rsidP="007D7547">
            <w:pPr>
              <w:suppressAutoHyphens w:val="0"/>
              <w:spacing w:before="40" w:after="40" w:line="220" w:lineRule="exact"/>
              <w:ind w:right="113"/>
              <w:jc w:val="right"/>
              <w:rPr>
                <w:sz w:val="18"/>
              </w:rPr>
            </w:pPr>
            <w:r w:rsidRPr="00F90841">
              <w:rPr>
                <w:sz w:val="18"/>
              </w:rPr>
              <w:t>0</w:t>
            </w:r>
          </w:p>
        </w:tc>
        <w:tc>
          <w:tcPr>
            <w:tcW w:w="991" w:type="dxa"/>
            <w:shd w:val="clear" w:color="auto" w:fill="auto"/>
            <w:vAlign w:val="bottom"/>
            <w:hideMark/>
          </w:tcPr>
          <w:p w14:paraId="3DF8B1A7" w14:textId="77777777" w:rsidR="007467BC" w:rsidRPr="00F90841" w:rsidRDefault="007467BC" w:rsidP="007D7547">
            <w:pPr>
              <w:suppressAutoHyphens w:val="0"/>
              <w:spacing w:before="40" w:after="40" w:line="220" w:lineRule="exact"/>
              <w:ind w:right="113"/>
              <w:jc w:val="right"/>
              <w:rPr>
                <w:sz w:val="18"/>
              </w:rPr>
            </w:pPr>
            <w:r w:rsidRPr="00F90841">
              <w:rPr>
                <w:sz w:val="18"/>
              </w:rPr>
              <w:t>7</w:t>
            </w:r>
          </w:p>
        </w:tc>
      </w:tr>
      <w:tr w:rsidR="007467BC" w:rsidRPr="00F90841" w14:paraId="603BB59E" w14:textId="77777777" w:rsidTr="00CF302B">
        <w:tc>
          <w:tcPr>
            <w:tcW w:w="1276" w:type="dxa"/>
            <w:shd w:val="clear" w:color="auto" w:fill="auto"/>
            <w:hideMark/>
          </w:tcPr>
          <w:p w14:paraId="680751EC" w14:textId="77777777" w:rsidR="007467BC" w:rsidRPr="00F90841" w:rsidRDefault="007467BC" w:rsidP="007D7547">
            <w:pPr>
              <w:suppressAutoHyphens w:val="0"/>
              <w:spacing w:before="40" w:after="40" w:line="220" w:lineRule="exact"/>
              <w:ind w:right="113"/>
              <w:rPr>
                <w:sz w:val="18"/>
              </w:rPr>
            </w:pPr>
            <w:r w:rsidRPr="00F90841">
              <w:rPr>
                <w:sz w:val="18"/>
              </w:rPr>
              <w:lastRenderedPageBreak/>
              <w:t>2016/2017</w:t>
            </w:r>
          </w:p>
        </w:tc>
        <w:tc>
          <w:tcPr>
            <w:tcW w:w="1134" w:type="dxa"/>
            <w:shd w:val="clear" w:color="auto" w:fill="auto"/>
            <w:vAlign w:val="bottom"/>
            <w:hideMark/>
          </w:tcPr>
          <w:p w14:paraId="7BDECA1C" w14:textId="77777777" w:rsidR="007467BC" w:rsidRPr="00F90841" w:rsidRDefault="007467BC" w:rsidP="007D7547">
            <w:pPr>
              <w:suppressAutoHyphens w:val="0"/>
              <w:spacing w:before="40" w:after="40" w:line="220" w:lineRule="exact"/>
              <w:ind w:right="113"/>
              <w:jc w:val="right"/>
              <w:rPr>
                <w:sz w:val="18"/>
              </w:rPr>
            </w:pPr>
            <w:r w:rsidRPr="00F90841">
              <w:rPr>
                <w:sz w:val="18"/>
              </w:rPr>
              <w:t>4</w:t>
            </w:r>
          </w:p>
        </w:tc>
        <w:tc>
          <w:tcPr>
            <w:tcW w:w="1559" w:type="dxa"/>
            <w:shd w:val="clear" w:color="auto" w:fill="auto"/>
            <w:vAlign w:val="bottom"/>
            <w:hideMark/>
          </w:tcPr>
          <w:p w14:paraId="2CFC8C49" w14:textId="77777777" w:rsidR="007467BC" w:rsidRPr="00F90841" w:rsidRDefault="007467BC" w:rsidP="007D7547">
            <w:pPr>
              <w:suppressAutoHyphens w:val="0"/>
              <w:spacing w:before="40" w:after="40" w:line="220" w:lineRule="exact"/>
              <w:ind w:right="113"/>
              <w:jc w:val="right"/>
              <w:rPr>
                <w:sz w:val="18"/>
              </w:rPr>
            </w:pPr>
            <w:r w:rsidRPr="00F90841">
              <w:rPr>
                <w:sz w:val="18"/>
              </w:rPr>
              <w:t>2</w:t>
            </w:r>
          </w:p>
        </w:tc>
        <w:tc>
          <w:tcPr>
            <w:tcW w:w="2410" w:type="dxa"/>
            <w:shd w:val="clear" w:color="auto" w:fill="auto"/>
            <w:vAlign w:val="bottom"/>
            <w:hideMark/>
          </w:tcPr>
          <w:p w14:paraId="6F9E8696" w14:textId="77777777" w:rsidR="007467BC" w:rsidRPr="00F90841" w:rsidRDefault="007467BC" w:rsidP="007D7547">
            <w:pPr>
              <w:suppressAutoHyphens w:val="0"/>
              <w:spacing w:before="40" w:after="40" w:line="220" w:lineRule="exact"/>
              <w:ind w:right="113"/>
              <w:jc w:val="right"/>
              <w:rPr>
                <w:sz w:val="18"/>
              </w:rPr>
            </w:pPr>
            <w:r w:rsidRPr="00F90841">
              <w:rPr>
                <w:sz w:val="18"/>
              </w:rPr>
              <w:t>0</w:t>
            </w:r>
          </w:p>
        </w:tc>
        <w:tc>
          <w:tcPr>
            <w:tcW w:w="991" w:type="dxa"/>
            <w:shd w:val="clear" w:color="auto" w:fill="auto"/>
            <w:vAlign w:val="bottom"/>
            <w:hideMark/>
          </w:tcPr>
          <w:p w14:paraId="2F9E1FEE" w14:textId="77777777" w:rsidR="007467BC" w:rsidRPr="00F90841" w:rsidRDefault="007467BC" w:rsidP="007D7547">
            <w:pPr>
              <w:suppressAutoHyphens w:val="0"/>
              <w:spacing w:before="40" w:after="40" w:line="220" w:lineRule="exact"/>
              <w:ind w:right="113"/>
              <w:jc w:val="right"/>
              <w:rPr>
                <w:sz w:val="18"/>
              </w:rPr>
            </w:pPr>
            <w:r w:rsidRPr="00F90841">
              <w:rPr>
                <w:sz w:val="18"/>
              </w:rPr>
              <w:t>6</w:t>
            </w:r>
          </w:p>
        </w:tc>
      </w:tr>
      <w:tr w:rsidR="007467BC" w:rsidRPr="00F90841" w14:paraId="16C43A85" w14:textId="77777777" w:rsidTr="00CF302B">
        <w:tc>
          <w:tcPr>
            <w:tcW w:w="1276" w:type="dxa"/>
            <w:tcBorders>
              <w:bottom w:val="single" w:sz="4" w:space="0" w:color="auto"/>
            </w:tcBorders>
            <w:shd w:val="clear" w:color="auto" w:fill="auto"/>
            <w:hideMark/>
          </w:tcPr>
          <w:p w14:paraId="6DB3452A" w14:textId="77777777" w:rsidR="007467BC" w:rsidRPr="00F90841" w:rsidRDefault="007467BC" w:rsidP="007D7547">
            <w:pPr>
              <w:suppressAutoHyphens w:val="0"/>
              <w:spacing w:before="40" w:after="40" w:line="220" w:lineRule="exact"/>
              <w:ind w:right="113"/>
              <w:rPr>
                <w:sz w:val="18"/>
              </w:rPr>
            </w:pPr>
            <w:r w:rsidRPr="00F90841">
              <w:rPr>
                <w:sz w:val="18"/>
              </w:rPr>
              <w:t>2017/2018</w:t>
            </w:r>
          </w:p>
        </w:tc>
        <w:tc>
          <w:tcPr>
            <w:tcW w:w="1134" w:type="dxa"/>
            <w:tcBorders>
              <w:bottom w:val="single" w:sz="4" w:space="0" w:color="auto"/>
            </w:tcBorders>
            <w:shd w:val="clear" w:color="auto" w:fill="auto"/>
            <w:vAlign w:val="bottom"/>
            <w:hideMark/>
          </w:tcPr>
          <w:p w14:paraId="11714323" w14:textId="77777777" w:rsidR="007467BC" w:rsidRPr="00F90841" w:rsidRDefault="007467BC" w:rsidP="007D7547">
            <w:pPr>
              <w:suppressAutoHyphens w:val="0"/>
              <w:spacing w:before="40" w:after="40" w:line="220" w:lineRule="exact"/>
              <w:ind w:right="113"/>
              <w:jc w:val="right"/>
              <w:rPr>
                <w:sz w:val="18"/>
              </w:rPr>
            </w:pPr>
            <w:r w:rsidRPr="00F90841">
              <w:rPr>
                <w:sz w:val="18"/>
              </w:rPr>
              <w:t>0</w:t>
            </w:r>
          </w:p>
        </w:tc>
        <w:tc>
          <w:tcPr>
            <w:tcW w:w="1559" w:type="dxa"/>
            <w:tcBorders>
              <w:bottom w:val="single" w:sz="4" w:space="0" w:color="auto"/>
            </w:tcBorders>
            <w:shd w:val="clear" w:color="auto" w:fill="auto"/>
            <w:vAlign w:val="bottom"/>
          </w:tcPr>
          <w:p w14:paraId="41295854" w14:textId="77777777" w:rsidR="007467BC" w:rsidRPr="00F90841" w:rsidRDefault="007467BC" w:rsidP="007D7547">
            <w:pPr>
              <w:suppressAutoHyphens w:val="0"/>
              <w:spacing w:before="40" w:after="40" w:line="220" w:lineRule="exact"/>
              <w:ind w:right="113"/>
              <w:jc w:val="right"/>
              <w:rPr>
                <w:sz w:val="18"/>
              </w:rPr>
            </w:pPr>
            <w:r w:rsidRPr="00F90841">
              <w:rPr>
                <w:sz w:val="18"/>
              </w:rPr>
              <w:t>0</w:t>
            </w:r>
          </w:p>
        </w:tc>
        <w:tc>
          <w:tcPr>
            <w:tcW w:w="2410" w:type="dxa"/>
            <w:tcBorders>
              <w:bottom w:val="single" w:sz="4" w:space="0" w:color="auto"/>
            </w:tcBorders>
            <w:shd w:val="clear" w:color="auto" w:fill="auto"/>
            <w:vAlign w:val="bottom"/>
            <w:hideMark/>
          </w:tcPr>
          <w:p w14:paraId="6A2E5459" w14:textId="77777777" w:rsidR="007467BC" w:rsidRPr="00F90841" w:rsidRDefault="007467BC" w:rsidP="007D7547">
            <w:pPr>
              <w:suppressAutoHyphens w:val="0"/>
              <w:spacing w:before="40" w:after="40" w:line="220" w:lineRule="exact"/>
              <w:ind w:right="113"/>
              <w:jc w:val="right"/>
              <w:rPr>
                <w:sz w:val="18"/>
              </w:rPr>
            </w:pPr>
            <w:r w:rsidRPr="00F90841">
              <w:rPr>
                <w:sz w:val="18"/>
              </w:rPr>
              <w:t>0</w:t>
            </w:r>
          </w:p>
        </w:tc>
        <w:tc>
          <w:tcPr>
            <w:tcW w:w="991" w:type="dxa"/>
            <w:tcBorders>
              <w:bottom w:val="single" w:sz="4" w:space="0" w:color="auto"/>
            </w:tcBorders>
            <w:shd w:val="clear" w:color="auto" w:fill="auto"/>
            <w:vAlign w:val="bottom"/>
            <w:hideMark/>
          </w:tcPr>
          <w:p w14:paraId="0E66BF44" w14:textId="77777777" w:rsidR="007467BC" w:rsidRPr="00F90841" w:rsidRDefault="007467BC" w:rsidP="007D7547">
            <w:pPr>
              <w:suppressAutoHyphens w:val="0"/>
              <w:spacing w:before="40" w:after="40" w:line="220" w:lineRule="exact"/>
              <w:ind w:right="113"/>
              <w:jc w:val="right"/>
              <w:rPr>
                <w:sz w:val="18"/>
              </w:rPr>
            </w:pPr>
            <w:r w:rsidRPr="00F90841">
              <w:rPr>
                <w:sz w:val="18"/>
              </w:rPr>
              <w:t>0</w:t>
            </w:r>
          </w:p>
        </w:tc>
      </w:tr>
      <w:tr w:rsidR="007467BC" w:rsidRPr="00F90841" w14:paraId="291BCAE8" w14:textId="77777777" w:rsidTr="00CF302B">
        <w:tc>
          <w:tcPr>
            <w:tcW w:w="1276" w:type="dxa"/>
            <w:tcBorders>
              <w:top w:val="single" w:sz="4" w:space="0" w:color="auto"/>
              <w:bottom w:val="single" w:sz="12" w:space="0" w:color="auto"/>
            </w:tcBorders>
            <w:shd w:val="clear" w:color="auto" w:fill="auto"/>
            <w:hideMark/>
          </w:tcPr>
          <w:p w14:paraId="0105B73E" w14:textId="77777777" w:rsidR="007467BC" w:rsidRPr="00F90841" w:rsidRDefault="007467BC" w:rsidP="009653DC">
            <w:pPr>
              <w:suppressAutoHyphens w:val="0"/>
              <w:spacing w:before="80" w:after="80" w:line="220" w:lineRule="exact"/>
              <w:ind w:left="283"/>
              <w:rPr>
                <w:b/>
                <w:sz w:val="18"/>
              </w:rPr>
            </w:pPr>
            <w:r w:rsidRPr="00F90841">
              <w:rPr>
                <w:b/>
                <w:sz w:val="18"/>
              </w:rPr>
              <w:t>Total</w:t>
            </w:r>
          </w:p>
        </w:tc>
        <w:tc>
          <w:tcPr>
            <w:tcW w:w="1134" w:type="dxa"/>
            <w:tcBorders>
              <w:top w:val="single" w:sz="4" w:space="0" w:color="auto"/>
              <w:bottom w:val="single" w:sz="12" w:space="0" w:color="auto"/>
            </w:tcBorders>
            <w:shd w:val="clear" w:color="auto" w:fill="auto"/>
            <w:vAlign w:val="bottom"/>
            <w:hideMark/>
          </w:tcPr>
          <w:p w14:paraId="53537E78" w14:textId="77777777" w:rsidR="007467BC" w:rsidRPr="00F90841" w:rsidRDefault="007467BC" w:rsidP="009653DC">
            <w:pPr>
              <w:suppressAutoHyphens w:val="0"/>
              <w:spacing w:before="80" w:after="80" w:line="220" w:lineRule="exact"/>
              <w:ind w:right="113"/>
              <w:jc w:val="right"/>
              <w:rPr>
                <w:b/>
                <w:sz w:val="18"/>
              </w:rPr>
            </w:pPr>
            <w:r w:rsidRPr="00F90841">
              <w:rPr>
                <w:b/>
                <w:sz w:val="18"/>
              </w:rPr>
              <w:t>27</w:t>
            </w:r>
          </w:p>
        </w:tc>
        <w:tc>
          <w:tcPr>
            <w:tcW w:w="1559" w:type="dxa"/>
            <w:tcBorders>
              <w:top w:val="single" w:sz="4" w:space="0" w:color="auto"/>
              <w:bottom w:val="single" w:sz="12" w:space="0" w:color="auto"/>
            </w:tcBorders>
            <w:shd w:val="clear" w:color="auto" w:fill="auto"/>
            <w:vAlign w:val="bottom"/>
            <w:hideMark/>
          </w:tcPr>
          <w:p w14:paraId="45279D3B" w14:textId="77777777" w:rsidR="007467BC" w:rsidRPr="00F90841" w:rsidRDefault="007467BC" w:rsidP="009653DC">
            <w:pPr>
              <w:suppressAutoHyphens w:val="0"/>
              <w:spacing w:before="80" w:after="80" w:line="220" w:lineRule="exact"/>
              <w:ind w:right="113"/>
              <w:jc w:val="right"/>
              <w:rPr>
                <w:b/>
                <w:sz w:val="18"/>
              </w:rPr>
            </w:pPr>
            <w:r w:rsidRPr="00F90841">
              <w:rPr>
                <w:b/>
                <w:sz w:val="18"/>
              </w:rPr>
              <w:t>12</w:t>
            </w:r>
          </w:p>
        </w:tc>
        <w:tc>
          <w:tcPr>
            <w:tcW w:w="2410" w:type="dxa"/>
            <w:tcBorders>
              <w:top w:val="single" w:sz="4" w:space="0" w:color="auto"/>
              <w:bottom w:val="single" w:sz="12" w:space="0" w:color="auto"/>
            </w:tcBorders>
            <w:shd w:val="clear" w:color="auto" w:fill="auto"/>
            <w:vAlign w:val="bottom"/>
            <w:hideMark/>
          </w:tcPr>
          <w:p w14:paraId="1BC7CB5C" w14:textId="77777777" w:rsidR="007467BC" w:rsidRPr="00F90841" w:rsidRDefault="007467BC" w:rsidP="009653DC">
            <w:pPr>
              <w:suppressAutoHyphens w:val="0"/>
              <w:spacing w:before="80" w:after="80" w:line="220" w:lineRule="exact"/>
              <w:ind w:right="113"/>
              <w:jc w:val="right"/>
              <w:rPr>
                <w:b/>
                <w:sz w:val="18"/>
              </w:rPr>
            </w:pPr>
            <w:r w:rsidRPr="00F90841">
              <w:rPr>
                <w:b/>
                <w:sz w:val="18"/>
              </w:rPr>
              <w:t>1</w:t>
            </w:r>
          </w:p>
        </w:tc>
        <w:tc>
          <w:tcPr>
            <w:tcW w:w="991" w:type="dxa"/>
            <w:tcBorders>
              <w:top w:val="single" w:sz="4" w:space="0" w:color="auto"/>
              <w:bottom w:val="single" w:sz="12" w:space="0" w:color="auto"/>
            </w:tcBorders>
            <w:shd w:val="clear" w:color="auto" w:fill="auto"/>
            <w:vAlign w:val="bottom"/>
            <w:hideMark/>
          </w:tcPr>
          <w:p w14:paraId="5AD1439D" w14:textId="77777777" w:rsidR="007467BC" w:rsidRPr="00F90841" w:rsidRDefault="007467BC" w:rsidP="009653DC">
            <w:pPr>
              <w:suppressAutoHyphens w:val="0"/>
              <w:spacing w:before="80" w:after="80" w:line="220" w:lineRule="exact"/>
              <w:ind w:right="113"/>
              <w:jc w:val="right"/>
              <w:rPr>
                <w:b/>
                <w:sz w:val="18"/>
              </w:rPr>
            </w:pPr>
            <w:r w:rsidRPr="00F90841">
              <w:rPr>
                <w:b/>
                <w:sz w:val="18"/>
              </w:rPr>
              <w:t>40</w:t>
            </w:r>
          </w:p>
        </w:tc>
      </w:tr>
    </w:tbl>
    <w:p w14:paraId="2A43FD33" w14:textId="77777777" w:rsidR="007467BC" w:rsidRPr="00F90841" w:rsidRDefault="007467BC" w:rsidP="009653DC">
      <w:pPr>
        <w:pStyle w:val="H23G"/>
      </w:pPr>
      <w:r w:rsidRPr="00F90841">
        <w:tab/>
      </w:r>
      <w:r w:rsidRPr="00F90841">
        <w:tab/>
        <w:t>Health places of detention</w:t>
      </w:r>
    </w:p>
    <w:p w14:paraId="0D555BFB" w14:textId="77777777" w:rsidR="007467BC" w:rsidRPr="00F90841" w:rsidRDefault="007467BC" w:rsidP="007467BC">
      <w:pPr>
        <w:pStyle w:val="SingleTxtG"/>
      </w:pPr>
      <w:bookmarkStart w:id="80" w:name="_Ref785491"/>
      <w:bookmarkStart w:id="81" w:name="_Hlk525736422"/>
      <w:r w:rsidRPr="00F90841">
        <w:t>259.</w:t>
      </w:r>
      <w:r w:rsidRPr="00F90841">
        <w:tab/>
        <w:t xml:space="preserve">The Ministry of Health does not collect data on all complaints of torture or ill-treatment in health facilities. Data is available on complaints to the Health and Disability Commissioner (HDC). HDC is the independent </w:t>
      </w:r>
      <w:r w:rsidR="00562737" w:rsidRPr="00F90841">
        <w:t>‘</w:t>
      </w:r>
      <w:r w:rsidRPr="00F90841">
        <w:t>watchdog</w:t>
      </w:r>
      <w:r w:rsidR="00562737" w:rsidRPr="00F90841">
        <w:t>’</w:t>
      </w:r>
      <w:r w:rsidRPr="00F90841">
        <w:t xml:space="preserve"> investigating complaints and making recommendations to health and disability service providers. HDC publishes annual reports.</w:t>
      </w:r>
      <w:bookmarkEnd w:id="80"/>
      <w:r w:rsidRPr="00F90841">
        <w:t xml:space="preserve"> In its 2017/18 report, HDC notes that </w:t>
      </w:r>
      <w:proofErr w:type="gramStart"/>
      <w:r w:rsidRPr="00F90841">
        <w:t>as a consequence of</w:t>
      </w:r>
      <w:proofErr w:type="gramEnd"/>
      <w:r w:rsidRPr="00F90841">
        <w:t xml:space="preserve"> actions taken on complaints, wide-reaching recommendations were made for improvements to health and disability services. </w:t>
      </w:r>
    </w:p>
    <w:p w14:paraId="1EB6667B" w14:textId="77777777" w:rsidR="007467BC" w:rsidRPr="00F90841" w:rsidRDefault="007467BC" w:rsidP="007467BC">
      <w:pPr>
        <w:pStyle w:val="SingleTxtG"/>
      </w:pPr>
      <w:r w:rsidRPr="00F90841">
        <w:t>260.</w:t>
      </w:r>
      <w:r w:rsidRPr="00F90841">
        <w:tab/>
        <w:t xml:space="preserve">Consumers can complain directly to HDC about a health or disability service they received. Complaints can be made by the person who received the care or a friend or family member of that person, a service provider, or any other concerned person. In 2017/18, HDC received 2,498 complaints (13% increase since 2016/17). These cover a wide range of issues. 102 formal investigations were completed, of which, 70 resulted in breach opinions. 11 providers were referred to the Director of Proceedings responsible for bringing cases to the Health Practitioners Disciplinary Tribunal or the Human Rights Review Tribunal. </w:t>
      </w:r>
    </w:p>
    <w:p w14:paraId="56863C4C" w14:textId="77777777" w:rsidR="007467BC" w:rsidRPr="00F90841" w:rsidRDefault="007467BC" w:rsidP="007467BC">
      <w:pPr>
        <w:pStyle w:val="SingleTxtG"/>
      </w:pPr>
      <w:r w:rsidRPr="00F90841">
        <w:t>261.</w:t>
      </w:r>
      <w:r w:rsidRPr="00F90841">
        <w:tab/>
        <w:t>Complaints to HDC relating to mental health inpatient units:</w:t>
      </w:r>
    </w:p>
    <w:p w14:paraId="76C4119D" w14:textId="77777777" w:rsidR="007467BC" w:rsidRPr="00F90841" w:rsidRDefault="007467BC" w:rsidP="009653DC">
      <w:pPr>
        <w:pStyle w:val="Bullet1G"/>
      </w:pPr>
      <w:r w:rsidRPr="00F90841">
        <w:t xml:space="preserve">2015/16: 69 </w:t>
      </w:r>
    </w:p>
    <w:p w14:paraId="5AE4A45A" w14:textId="77777777" w:rsidR="007467BC" w:rsidRPr="00F90841" w:rsidRDefault="007467BC" w:rsidP="009653DC">
      <w:pPr>
        <w:pStyle w:val="Bullet1G"/>
      </w:pPr>
      <w:r w:rsidRPr="00F90841">
        <w:t xml:space="preserve">2016/17: 85 </w:t>
      </w:r>
    </w:p>
    <w:p w14:paraId="1081F554" w14:textId="77777777" w:rsidR="007467BC" w:rsidRPr="00F90841" w:rsidRDefault="007467BC" w:rsidP="009653DC">
      <w:pPr>
        <w:pStyle w:val="Bullet1G"/>
      </w:pPr>
      <w:r w:rsidRPr="00F90841">
        <w:t xml:space="preserve">2017/18: 87 </w:t>
      </w:r>
    </w:p>
    <w:p w14:paraId="64AD48D1" w14:textId="77777777" w:rsidR="007467BC" w:rsidRPr="00F90841" w:rsidRDefault="007467BC" w:rsidP="007467BC">
      <w:pPr>
        <w:pStyle w:val="SingleTxtG"/>
      </w:pPr>
      <w:bookmarkStart w:id="82" w:name="_Ref785498"/>
      <w:r w:rsidRPr="00F90841">
        <w:t>262.</w:t>
      </w:r>
      <w:r w:rsidRPr="00F90841">
        <w:tab/>
        <w:t xml:space="preserve">In 2017/18, the Ombudsman conducted nine formal inspections and 17 informal visits </w:t>
      </w:r>
      <w:bookmarkEnd w:id="82"/>
      <w:r w:rsidRPr="00F90841">
        <w:t xml:space="preserve">in health and disability places of detention, as NPM for OPCAT. Following the inspections, the Ombudsman made 81 recommendations, of which, 74 were accepted or partially accepted. Areas of improvement included occupancy rates, seclusion rooms used as long-term bedrooms, and the use and recording of restrictive practices. </w:t>
      </w:r>
    </w:p>
    <w:p w14:paraId="66CF67B2" w14:textId="77777777" w:rsidR="007467BC" w:rsidRPr="00F90841" w:rsidRDefault="007467BC" w:rsidP="002E7F1E">
      <w:pPr>
        <w:pStyle w:val="H23G"/>
      </w:pPr>
      <w:bookmarkStart w:id="83" w:name="_Hlk525723093"/>
      <w:bookmarkEnd w:id="81"/>
      <w:r w:rsidRPr="00F90841">
        <w:tab/>
      </w:r>
      <w:r w:rsidRPr="00F90841">
        <w:tab/>
        <w:t>Prisons</w:t>
      </w:r>
    </w:p>
    <w:p w14:paraId="3DC9F57A" w14:textId="77777777" w:rsidR="007467BC" w:rsidRPr="00F90841" w:rsidRDefault="007467BC" w:rsidP="007467BC">
      <w:pPr>
        <w:pStyle w:val="SingleTxtG"/>
      </w:pPr>
      <w:r w:rsidRPr="00F90841">
        <w:t>263.</w:t>
      </w:r>
      <w:r w:rsidRPr="00F90841">
        <w:tab/>
        <w:t>In the reporting period, no New Zealand Court found a breach of s9 NZBORA (torture and cruel treatment). A breach of s23(5) (treatment without humanity and dignity) was found (see para</w:t>
      </w:r>
      <w:r w:rsidR="00DD1386">
        <w:t>.</w:t>
      </w:r>
      <w:r w:rsidRPr="00F90841">
        <w:t xml:space="preserve"> </w:t>
      </w:r>
      <w:r w:rsidRPr="00F90841">
        <w:rPr>
          <w:cs/>
        </w:rPr>
        <w:t>‎</w:t>
      </w:r>
      <w:r w:rsidRPr="00F90841">
        <w:t>0).</w:t>
      </w:r>
    </w:p>
    <w:p w14:paraId="07DB0CAF" w14:textId="77777777" w:rsidR="007467BC" w:rsidRPr="00F90841" w:rsidRDefault="007467BC" w:rsidP="007467BC">
      <w:pPr>
        <w:pStyle w:val="SingleTxtG"/>
      </w:pPr>
      <w:r w:rsidRPr="00F90841">
        <w:t>264.</w:t>
      </w:r>
      <w:r w:rsidRPr="00F90841">
        <w:tab/>
        <w:t xml:space="preserve">Following individual communications in 2014, the Human Rights Committee found in 2018 that the preventive detention of Messrs Miller and Carroll amounted to arbitrary detention breaching ICCPR due to its length, and failure to appropriately adjust conditions. The Committee called for a review of legislation. </w:t>
      </w:r>
    </w:p>
    <w:p w14:paraId="7982545C" w14:textId="77777777" w:rsidR="007467BC" w:rsidRPr="00F90841" w:rsidRDefault="007467BC" w:rsidP="007467BC">
      <w:pPr>
        <w:pStyle w:val="SingleTxtG"/>
      </w:pPr>
      <w:r w:rsidRPr="00F90841">
        <w:t>265.</w:t>
      </w:r>
      <w:r w:rsidRPr="00F90841">
        <w:tab/>
        <w:t>For Mr</w:t>
      </w:r>
      <w:r w:rsidR="00B50890">
        <w:t>.</w:t>
      </w:r>
      <w:r w:rsidRPr="00F90841">
        <w:t xml:space="preserve"> Vogel</w:t>
      </w:r>
      <w:r w:rsidR="00562737" w:rsidRPr="00F90841">
        <w:t>’</w:t>
      </w:r>
      <w:r w:rsidRPr="00F90841">
        <w:t>s communication and compensation payments see issue 29.</w:t>
      </w:r>
      <w:bookmarkEnd w:id="83"/>
    </w:p>
    <w:p w14:paraId="17EB55DE" w14:textId="77777777" w:rsidR="007467BC" w:rsidRPr="00F90841" w:rsidRDefault="007467BC" w:rsidP="002E7F1E">
      <w:pPr>
        <w:pStyle w:val="H23G"/>
      </w:pPr>
      <w:r w:rsidRPr="00F90841">
        <w:tab/>
      </w:r>
      <w:r w:rsidRPr="00F90841">
        <w:tab/>
      </w:r>
      <w:proofErr w:type="spellStart"/>
      <w:r w:rsidRPr="00F90841">
        <w:t>Oranga</w:t>
      </w:r>
      <w:proofErr w:type="spellEnd"/>
      <w:r w:rsidRPr="00F90841">
        <w:t xml:space="preserve"> Tamariki</w:t>
      </w:r>
      <w:r w:rsidR="00D60B68" w:rsidRPr="00F90841">
        <w:t xml:space="preserve"> </w:t>
      </w:r>
      <w:r w:rsidRPr="00F90841">
        <w:t>–</w:t>
      </w:r>
      <w:r w:rsidR="00D60B68" w:rsidRPr="00F90841">
        <w:t xml:space="preserve"> </w:t>
      </w:r>
      <w:r w:rsidRPr="00F90841">
        <w:t>Ministry for Children</w:t>
      </w:r>
    </w:p>
    <w:p w14:paraId="3A49F6A6" w14:textId="77777777" w:rsidR="007467BC" w:rsidRPr="00F90841" w:rsidRDefault="002E7F1E" w:rsidP="002E7F1E">
      <w:pPr>
        <w:pStyle w:val="H23G"/>
        <w:spacing w:after="240"/>
      </w:pPr>
      <w:r w:rsidRPr="00F90841">
        <w:tab/>
      </w:r>
      <w:r w:rsidRPr="00F90841">
        <w:tab/>
      </w:r>
      <w:r w:rsidR="007467BC" w:rsidRPr="00F90841">
        <w:t>Complaints escalated to residences</w:t>
      </w:r>
      <w:r w:rsidR="00562737" w:rsidRPr="00F90841">
        <w:t>’</w:t>
      </w:r>
      <w:r w:rsidR="007467BC" w:rsidRPr="00F90841">
        <w:t xml:space="preserve"> grievance panels 2014</w:t>
      </w:r>
      <w:r w:rsidRPr="00F90841">
        <w:t>–</w:t>
      </w:r>
      <w:r w:rsidR="007467BC" w:rsidRPr="00F90841">
        <w:t xml:space="preserve">2017 </w:t>
      </w:r>
    </w:p>
    <w:tbl>
      <w:tblPr>
        <w:tblStyle w:val="TableGrid2"/>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4"/>
        <w:gridCol w:w="1463"/>
        <w:gridCol w:w="1559"/>
        <w:gridCol w:w="1419"/>
        <w:gridCol w:w="1475"/>
      </w:tblGrid>
      <w:tr w:rsidR="007467BC" w:rsidRPr="00F90841" w14:paraId="5485E95B" w14:textId="77777777" w:rsidTr="00CF5BFF">
        <w:trPr>
          <w:cantSplit/>
          <w:tblHeader/>
        </w:trPr>
        <w:tc>
          <w:tcPr>
            <w:tcW w:w="986" w:type="pct"/>
            <w:vMerge w:val="restart"/>
            <w:tcBorders>
              <w:top w:val="single" w:sz="4" w:space="0" w:color="auto"/>
              <w:bottom w:val="single" w:sz="12" w:space="0" w:color="auto"/>
            </w:tcBorders>
            <w:shd w:val="clear" w:color="auto" w:fill="auto"/>
            <w:vAlign w:val="bottom"/>
          </w:tcPr>
          <w:p w14:paraId="4287FF58" w14:textId="77777777" w:rsidR="007467BC" w:rsidRPr="00F90841" w:rsidRDefault="007467BC" w:rsidP="002E7F1E">
            <w:pPr>
              <w:spacing w:before="80" w:after="80" w:line="200" w:lineRule="exact"/>
              <w:ind w:right="113"/>
              <w:rPr>
                <w:i/>
                <w:sz w:val="16"/>
                <w:lang w:val="en-GB"/>
              </w:rPr>
            </w:pPr>
          </w:p>
        </w:tc>
        <w:tc>
          <w:tcPr>
            <w:tcW w:w="2050" w:type="pct"/>
            <w:gridSpan w:val="2"/>
            <w:tcBorders>
              <w:top w:val="single" w:sz="4" w:space="0" w:color="auto"/>
              <w:bottom w:val="single" w:sz="4" w:space="0" w:color="auto"/>
              <w:right w:val="single" w:sz="24" w:space="0" w:color="FFFFFF" w:themeColor="background1"/>
            </w:tcBorders>
            <w:shd w:val="clear" w:color="auto" w:fill="auto"/>
            <w:vAlign w:val="bottom"/>
          </w:tcPr>
          <w:p w14:paraId="765B9FEB" w14:textId="77777777" w:rsidR="007467BC" w:rsidRPr="00F90841" w:rsidRDefault="007467BC" w:rsidP="002E7F1E">
            <w:pPr>
              <w:spacing w:before="80" w:after="80" w:line="200" w:lineRule="exact"/>
              <w:ind w:right="113"/>
              <w:jc w:val="center"/>
              <w:rPr>
                <w:i/>
                <w:sz w:val="16"/>
                <w:lang w:val="en-GB"/>
              </w:rPr>
            </w:pPr>
            <w:r w:rsidRPr="00F90841">
              <w:rPr>
                <w:i/>
                <w:sz w:val="16"/>
                <w:lang w:val="en-GB"/>
              </w:rPr>
              <w:t>Allegations</w:t>
            </w:r>
          </w:p>
        </w:tc>
        <w:tc>
          <w:tcPr>
            <w:tcW w:w="1965" w:type="pct"/>
            <w:gridSpan w:val="2"/>
            <w:tcBorders>
              <w:top w:val="single" w:sz="4" w:space="0" w:color="auto"/>
              <w:left w:val="single" w:sz="24" w:space="0" w:color="FFFFFF" w:themeColor="background1"/>
              <w:bottom w:val="single" w:sz="4" w:space="0" w:color="auto"/>
            </w:tcBorders>
            <w:shd w:val="clear" w:color="auto" w:fill="auto"/>
            <w:vAlign w:val="bottom"/>
          </w:tcPr>
          <w:p w14:paraId="3412E91E" w14:textId="77777777" w:rsidR="007467BC" w:rsidRPr="00F90841" w:rsidRDefault="007467BC" w:rsidP="002E7F1E">
            <w:pPr>
              <w:spacing w:before="80" w:after="80" w:line="200" w:lineRule="exact"/>
              <w:ind w:right="113"/>
              <w:jc w:val="center"/>
              <w:rPr>
                <w:i/>
                <w:sz w:val="16"/>
                <w:lang w:val="en-GB"/>
              </w:rPr>
            </w:pPr>
            <w:r w:rsidRPr="00F90841">
              <w:rPr>
                <w:i/>
                <w:sz w:val="16"/>
                <w:lang w:val="en-GB"/>
              </w:rPr>
              <w:t>Resolution process</w:t>
            </w:r>
          </w:p>
        </w:tc>
      </w:tr>
      <w:tr w:rsidR="007467BC" w:rsidRPr="00F90841" w14:paraId="743735B0" w14:textId="77777777" w:rsidTr="00CF5BFF">
        <w:trPr>
          <w:cantSplit/>
          <w:trHeight w:val="50"/>
          <w:tblHeader/>
        </w:trPr>
        <w:tc>
          <w:tcPr>
            <w:tcW w:w="986" w:type="pct"/>
            <w:vMerge/>
            <w:tcBorders>
              <w:top w:val="single" w:sz="12" w:space="0" w:color="auto"/>
              <w:bottom w:val="single" w:sz="4" w:space="0" w:color="auto"/>
            </w:tcBorders>
            <w:shd w:val="clear" w:color="auto" w:fill="auto"/>
            <w:vAlign w:val="bottom"/>
          </w:tcPr>
          <w:p w14:paraId="30563083" w14:textId="77777777" w:rsidR="007467BC" w:rsidRPr="00F90841" w:rsidRDefault="007467BC" w:rsidP="002E7F1E">
            <w:pPr>
              <w:spacing w:before="40" w:after="40" w:line="220" w:lineRule="exact"/>
              <w:ind w:right="113"/>
              <w:rPr>
                <w:sz w:val="18"/>
                <w:lang w:val="en-GB"/>
              </w:rPr>
            </w:pPr>
          </w:p>
        </w:tc>
        <w:tc>
          <w:tcPr>
            <w:tcW w:w="992" w:type="pct"/>
            <w:tcBorders>
              <w:top w:val="single" w:sz="4" w:space="0" w:color="auto"/>
              <w:bottom w:val="single" w:sz="4" w:space="0" w:color="auto"/>
            </w:tcBorders>
            <w:shd w:val="clear" w:color="auto" w:fill="auto"/>
            <w:vAlign w:val="bottom"/>
          </w:tcPr>
          <w:p w14:paraId="758FCD01" w14:textId="77777777" w:rsidR="007467BC" w:rsidRPr="00F90841" w:rsidRDefault="007467BC" w:rsidP="002E7F1E">
            <w:pPr>
              <w:spacing w:before="80" w:after="80" w:line="200" w:lineRule="exact"/>
              <w:ind w:right="113"/>
              <w:jc w:val="right"/>
              <w:rPr>
                <w:i/>
                <w:iCs/>
                <w:sz w:val="16"/>
                <w:szCs w:val="16"/>
                <w:lang w:val="en-GB"/>
              </w:rPr>
            </w:pPr>
            <w:r w:rsidRPr="00F90841">
              <w:rPr>
                <w:i/>
                <w:iCs/>
                <w:sz w:val="16"/>
                <w:szCs w:val="16"/>
                <w:lang w:val="en-GB"/>
              </w:rPr>
              <w:t>Justified</w:t>
            </w:r>
          </w:p>
        </w:tc>
        <w:tc>
          <w:tcPr>
            <w:tcW w:w="1057" w:type="pct"/>
            <w:tcBorders>
              <w:top w:val="single" w:sz="4" w:space="0" w:color="auto"/>
              <w:bottom w:val="single" w:sz="4" w:space="0" w:color="auto"/>
              <w:right w:val="single" w:sz="24" w:space="0" w:color="FFFFFF" w:themeColor="background1"/>
            </w:tcBorders>
            <w:shd w:val="clear" w:color="auto" w:fill="auto"/>
            <w:vAlign w:val="bottom"/>
          </w:tcPr>
          <w:p w14:paraId="28B8A124" w14:textId="77777777" w:rsidR="007467BC" w:rsidRPr="00F90841" w:rsidRDefault="007467BC" w:rsidP="002E7F1E">
            <w:pPr>
              <w:spacing w:before="80" w:after="80" w:line="200" w:lineRule="exact"/>
              <w:ind w:right="113"/>
              <w:jc w:val="right"/>
              <w:rPr>
                <w:i/>
                <w:iCs/>
                <w:sz w:val="16"/>
                <w:szCs w:val="16"/>
                <w:lang w:val="en-GB"/>
              </w:rPr>
            </w:pPr>
            <w:r w:rsidRPr="00F90841">
              <w:rPr>
                <w:i/>
                <w:iCs/>
                <w:sz w:val="16"/>
                <w:szCs w:val="16"/>
                <w:lang w:val="en-GB"/>
              </w:rPr>
              <w:t>Unjustified</w:t>
            </w:r>
          </w:p>
        </w:tc>
        <w:tc>
          <w:tcPr>
            <w:tcW w:w="963" w:type="pct"/>
            <w:tcBorders>
              <w:top w:val="single" w:sz="4" w:space="0" w:color="auto"/>
              <w:left w:val="single" w:sz="24" w:space="0" w:color="FFFFFF" w:themeColor="background1"/>
              <w:bottom w:val="single" w:sz="4" w:space="0" w:color="auto"/>
            </w:tcBorders>
            <w:shd w:val="clear" w:color="auto" w:fill="auto"/>
            <w:vAlign w:val="bottom"/>
          </w:tcPr>
          <w:p w14:paraId="4E0AACA2" w14:textId="77777777" w:rsidR="007467BC" w:rsidRPr="00F90841" w:rsidRDefault="007467BC" w:rsidP="002E7F1E">
            <w:pPr>
              <w:spacing w:before="80" w:after="80" w:line="200" w:lineRule="exact"/>
              <w:ind w:right="113"/>
              <w:jc w:val="right"/>
              <w:rPr>
                <w:i/>
                <w:iCs/>
                <w:sz w:val="16"/>
                <w:szCs w:val="16"/>
                <w:lang w:val="en-GB"/>
              </w:rPr>
            </w:pPr>
            <w:r w:rsidRPr="00F90841">
              <w:rPr>
                <w:i/>
                <w:iCs/>
                <w:sz w:val="16"/>
                <w:szCs w:val="16"/>
                <w:lang w:val="en-GB"/>
              </w:rPr>
              <w:t>Formal</w:t>
            </w:r>
          </w:p>
        </w:tc>
        <w:tc>
          <w:tcPr>
            <w:tcW w:w="1002" w:type="pct"/>
            <w:tcBorders>
              <w:top w:val="single" w:sz="4" w:space="0" w:color="auto"/>
              <w:bottom w:val="single" w:sz="4" w:space="0" w:color="auto"/>
            </w:tcBorders>
            <w:shd w:val="clear" w:color="auto" w:fill="auto"/>
            <w:vAlign w:val="bottom"/>
          </w:tcPr>
          <w:p w14:paraId="0A8D926E" w14:textId="77777777" w:rsidR="007467BC" w:rsidRPr="00F90841" w:rsidRDefault="007467BC" w:rsidP="002E7F1E">
            <w:pPr>
              <w:spacing w:before="80" w:after="80" w:line="200" w:lineRule="exact"/>
              <w:ind w:right="113"/>
              <w:jc w:val="right"/>
              <w:rPr>
                <w:i/>
                <w:iCs/>
                <w:sz w:val="16"/>
                <w:szCs w:val="16"/>
                <w:lang w:val="en-GB"/>
              </w:rPr>
            </w:pPr>
            <w:r w:rsidRPr="00F90841">
              <w:rPr>
                <w:i/>
                <w:iCs/>
                <w:sz w:val="16"/>
                <w:szCs w:val="16"/>
                <w:lang w:val="en-GB"/>
              </w:rPr>
              <w:t>Informal</w:t>
            </w:r>
          </w:p>
        </w:tc>
      </w:tr>
      <w:tr w:rsidR="007467BC" w:rsidRPr="00F90841" w14:paraId="5B67A747" w14:textId="77777777" w:rsidTr="00714FAF">
        <w:trPr>
          <w:cantSplit/>
        </w:trPr>
        <w:tc>
          <w:tcPr>
            <w:tcW w:w="5000" w:type="pct"/>
            <w:gridSpan w:val="5"/>
            <w:tcBorders>
              <w:top w:val="single" w:sz="4" w:space="0" w:color="auto"/>
              <w:bottom w:val="single" w:sz="4" w:space="0" w:color="auto"/>
            </w:tcBorders>
            <w:shd w:val="clear" w:color="auto" w:fill="auto"/>
          </w:tcPr>
          <w:p w14:paraId="051395D4" w14:textId="77777777" w:rsidR="007467BC" w:rsidRPr="00F90841" w:rsidRDefault="007467BC" w:rsidP="002212D2">
            <w:pPr>
              <w:spacing w:before="80" w:after="80" w:line="200" w:lineRule="exact"/>
              <w:ind w:right="113"/>
              <w:jc w:val="center"/>
              <w:rPr>
                <w:i/>
                <w:iCs/>
                <w:sz w:val="16"/>
                <w:szCs w:val="16"/>
                <w:lang w:val="en-GB"/>
              </w:rPr>
            </w:pPr>
            <w:r w:rsidRPr="00F90841">
              <w:rPr>
                <w:i/>
                <w:iCs/>
                <w:sz w:val="16"/>
                <w:szCs w:val="16"/>
                <w:lang w:val="en-GB"/>
              </w:rPr>
              <w:t>Youth justice residences</w:t>
            </w:r>
          </w:p>
        </w:tc>
      </w:tr>
      <w:tr w:rsidR="007467BC" w:rsidRPr="00F90841" w14:paraId="6307821E" w14:textId="77777777" w:rsidTr="002212D2">
        <w:trPr>
          <w:cantSplit/>
        </w:trPr>
        <w:tc>
          <w:tcPr>
            <w:tcW w:w="986" w:type="pct"/>
            <w:tcBorders>
              <w:top w:val="single" w:sz="4" w:space="0" w:color="auto"/>
            </w:tcBorders>
            <w:shd w:val="clear" w:color="auto" w:fill="auto"/>
          </w:tcPr>
          <w:p w14:paraId="328930A7" w14:textId="77777777" w:rsidR="007467BC" w:rsidRPr="00F90841" w:rsidRDefault="007467BC" w:rsidP="002E7F1E">
            <w:pPr>
              <w:spacing w:before="40" w:after="40" w:line="220" w:lineRule="exact"/>
              <w:ind w:right="113"/>
              <w:rPr>
                <w:sz w:val="18"/>
                <w:lang w:val="en-GB"/>
              </w:rPr>
            </w:pPr>
            <w:r w:rsidRPr="00F90841">
              <w:rPr>
                <w:sz w:val="18"/>
                <w:lang w:val="en-GB"/>
              </w:rPr>
              <w:t>Physical abuse</w:t>
            </w:r>
          </w:p>
        </w:tc>
        <w:tc>
          <w:tcPr>
            <w:tcW w:w="992" w:type="pct"/>
            <w:tcBorders>
              <w:top w:val="single" w:sz="4" w:space="0" w:color="auto"/>
            </w:tcBorders>
            <w:shd w:val="clear" w:color="auto" w:fill="auto"/>
            <w:vAlign w:val="bottom"/>
          </w:tcPr>
          <w:p w14:paraId="541C32AF" w14:textId="77777777" w:rsidR="007467BC" w:rsidRPr="00F90841" w:rsidRDefault="007467BC" w:rsidP="002E7F1E">
            <w:pPr>
              <w:spacing w:before="40" w:after="40" w:line="220" w:lineRule="exact"/>
              <w:ind w:right="113"/>
              <w:jc w:val="right"/>
              <w:rPr>
                <w:sz w:val="18"/>
                <w:lang w:val="en-GB"/>
              </w:rPr>
            </w:pPr>
            <w:r w:rsidRPr="00F90841">
              <w:rPr>
                <w:sz w:val="18"/>
                <w:lang w:val="en-GB"/>
              </w:rPr>
              <w:t>10</w:t>
            </w:r>
          </w:p>
        </w:tc>
        <w:tc>
          <w:tcPr>
            <w:tcW w:w="1057" w:type="pct"/>
            <w:tcBorders>
              <w:top w:val="single" w:sz="4" w:space="0" w:color="auto"/>
            </w:tcBorders>
            <w:shd w:val="clear" w:color="auto" w:fill="auto"/>
            <w:vAlign w:val="bottom"/>
          </w:tcPr>
          <w:p w14:paraId="58D1505E" w14:textId="77777777" w:rsidR="007467BC" w:rsidRPr="00F90841" w:rsidRDefault="007467BC" w:rsidP="002E7F1E">
            <w:pPr>
              <w:spacing w:before="40" w:after="40" w:line="220" w:lineRule="exact"/>
              <w:ind w:right="113"/>
              <w:jc w:val="right"/>
              <w:rPr>
                <w:sz w:val="18"/>
                <w:lang w:val="en-GB"/>
              </w:rPr>
            </w:pPr>
            <w:r w:rsidRPr="00F90841">
              <w:rPr>
                <w:sz w:val="18"/>
                <w:lang w:val="en-GB"/>
              </w:rPr>
              <w:t>5</w:t>
            </w:r>
          </w:p>
        </w:tc>
        <w:tc>
          <w:tcPr>
            <w:tcW w:w="963" w:type="pct"/>
            <w:tcBorders>
              <w:top w:val="single" w:sz="4" w:space="0" w:color="auto"/>
            </w:tcBorders>
            <w:shd w:val="clear" w:color="auto" w:fill="auto"/>
            <w:vAlign w:val="bottom"/>
          </w:tcPr>
          <w:p w14:paraId="71051C75" w14:textId="77777777" w:rsidR="007467BC" w:rsidRPr="00F90841" w:rsidRDefault="007467BC" w:rsidP="002E7F1E">
            <w:pPr>
              <w:spacing w:before="40" w:after="40" w:line="220" w:lineRule="exact"/>
              <w:ind w:right="113"/>
              <w:jc w:val="right"/>
              <w:rPr>
                <w:sz w:val="18"/>
                <w:lang w:val="en-GB"/>
              </w:rPr>
            </w:pPr>
            <w:r w:rsidRPr="00F90841">
              <w:rPr>
                <w:sz w:val="18"/>
                <w:lang w:val="en-GB"/>
              </w:rPr>
              <w:t>14</w:t>
            </w:r>
          </w:p>
        </w:tc>
        <w:tc>
          <w:tcPr>
            <w:tcW w:w="1002" w:type="pct"/>
            <w:tcBorders>
              <w:top w:val="single" w:sz="4" w:space="0" w:color="auto"/>
            </w:tcBorders>
            <w:shd w:val="clear" w:color="auto" w:fill="auto"/>
            <w:vAlign w:val="bottom"/>
          </w:tcPr>
          <w:p w14:paraId="6C21AD70" w14:textId="77777777" w:rsidR="007467BC" w:rsidRPr="00F90841" w:rsidRDefault="007467BC" w:rsidP="002E7F1E">
            <w:pPr>
              <w:spacing w:before="40" w:after="40" w:line="220" w:lineRule="exact"/>
              <w:ind w:right="113"/>
              <w:jc w:val="right"/>
              <w:rPr>
                <w:sz w:val="18"/>
                <w:lang w:val="en-GB"/>
              </w:rPr>
            </w:pPr>
            <w:r w:rsidRPr="00F90841">
              <w:rPr>
                <w:sz w:val="18"/>
                <w:lang w:val="en-GB"/>
              </w:rPr>
              <w:t>1</w:t>
            </w:r>
          </w:p>
        </w:tc>
      </w:tr>
      <w:tr w:rsidR="007467BC" w:rsidRPr="00F90841" w14:paraId="449718EE" w14:textId="77777777" w:rsidTr="002E7F1E">
        <w:trPr>
          <w:cantSplit/>
        </w:trPr>
        <w:tc>
          <w:tcPr>
            <w:tcW w:w="986" w:type="pct"/>
            <w:shd w:val="clear" w:color="auto" w:fill="auto"/>
          </w:tcPr>
          <w:p w14:paraId="3217B069" w14:textId="77777777" w:rsidR="007467BC" w:rsidRPr="00F90841" w:rsidRDefault="007467BC" w:rsidP="002E7F1E">
            <w:pPr>
              <w:spacing w:before="40" w:after="40" w:line="220" w:lineRule="exact"/>
              <w:ind w:right="113"/>
              <w:rPr>
                <w:sz w:val="18"/>
                <w:lang w:val="en-GB"/>
              </w:rPr>
            </w:pPr>
            <w:r w:rsidRPr="00F90841">
              <w:rPr>
                <w:sz w:val="18"/>
                <w:lang w:val="en-GB"/>
              </w:rPr>
              <w:t>Verbal abuse</w:t>
            </w:r>
          </w:p>
        </w:tc>
        <w:tc>
          <w:tcPr>
            <w:tcW w:w="992" w:type="pct"/>
            <w:shd w:val="clear" w:color="auto" w:fill="auto"/>
            <w:vAlign w:val="bottom"/>
          </w:tcPr>
          <w:p w14:paraId="51D77B1E" w14:textId="77777777" w:rsidR="007467BC" w:rsidRPr="00F90841" w:rsidRDefault="007467BC" w:rsidP="002E7F1E">
            <w:pPr>
              <w:spacing w:before="40" w:after="40" w:line="220" w:lineRule="exact"/>
              <w:ind w:right="113"/>
              <w:jc w:val="right"/>
              <w:rPr>
                <w:sz w:val="18"/>
                <w:lang w:val="en-GB"/>
              </w:rPr>
            </w:pPr>
            <w:r w:rsidRPr="00F90841">
              <w:rPr>
                <w:sz w:val="18"/>
                <w:lang w:val="en-GB"/>
              </w:rPr>
              <w:t>30</w:t>
            </w:r>
          </w:p>
        </w:tc>
        <w:tc>
          <w:tcPr>
            <w:tcW w:w="1057" w:type="pct"/>
            <w:shd w:val="clear" w:color="auto" w:fill="auto"/>
            <w:vAlign w:val="bottom"/>
          </w:tcPr>
          <w:p w14:paraId="529B18F8" w14:textId="77777777" w:rsidR="007467BC" w:rsidRPr="00F90841" w:rsidRDefault="007467BC" w:rsidP="002E7F1E">
            <w:pPr>
              <w:spacing w:before="40" w:after="40" w:line="220" w:lineRule="exact"/>
              <w:ind w:right="113"/>
              <w:jc w:val="right"/>
              <w:rPr>
                <w:sz w:val="18"/>
                <w:lang w:val="en-GB"/>
              </w:rPr>
            </w:pPr>
            <w:r w:rsidRPr="00F90841">
              <w:rPr>
                <w:sz w:val="18"/>
                <w:lang w:val="en-GB"/>
              </w:rPr>
              <w:t>4</w:t>
            </w:r>
          </w:p>
        </w:tc>
        <w:tc>
          <w:tcPr>
            <w:tcW w:w="963" w:type="pct"/>
            <w:shd w:val="clear" w:color="auto" w:fill="auto"/>
            <w:vAlign w:val="bottom"/>
          </w:tcPr>
          <w:p w14:paraId="2319D197" w14:textId="77777777" w:rsidR="007467BC" w:rsidRPr="00F90841" w:rsidRDefault="007467BC" w:rsidP="002E7F1E">
            <w:pPr>
              <w:spacing w:before="40" w:after="40" w:line="220" w:lineRule="exact"/>
              <w:ind w:right="113"/>
              <w:jc w:val="right"/>
              <w:rPr>
                <w:sz w:val="18"/>
                <w:lang w:val="en-GB"/>
              </w:rPr>
            </w:pPr>
            <w:r w:rsidRPr="00F90841">
              <w:rPr>
                <w:sz w:val="18"/>
                <w:lang w:val="en-GB"/>
              </w:rPr>
              <w:t>22</w:t>
            </w:r>
          </w:p>
        </w:tc>
        <w:tc>
          <w:tcPr>
            <w:tcW w:w="1002" w:type="pct"/>
            <w:shd w:val="clear" w:color="auto" w:fill="auto"/>
            <w:vAlign w:val="bottom"/>
          </w:tcPr>
          <w:p w14:paraId="308A4C1F" w14:textId="77777777" w:rsidR="007467BC" w:rsidRPr="00F90841" w:rsidRDefault="007467BC" w:rsidP="002E7F1E">
            <w:pPr>
              <w:spacing w:before="40" w:after="40" w:line="220" w:lineRule="exact"/>
              <w:ind w:right="113"/>
              <w:jc w:val="right"/>
              <w:rPr>
                <w:sz w:val="18"/>
                <w:lang w:val="en-GB"/>
              </w:rPr>
            </w:pPr>
            <w:r w:rsidRPr="00F90841">
              <w:rPr>
                <w:sz w:val="18"/>
                <w:lang w:val="en-GB"/>
              </w:rPr>
              <w:t>12</w:t>
            </w:r>
          </w:p>
        </w:tc>
      </w:tr>
      <w:tr w:rsidR="007467BC" w:rsidRPr="00F90841" w14:paraId="6E087332" w14:textId="77777777" w:rsidTr="002E7F1E">
        <w:trPr>
          <w:cantSplit/>
        </w:trPr>
        <w:tc>
          <w:tcPr>
            <w:tcW w:w="986" w:type="pct"/>
            <w:shd w:val="clear" w:color="auto" w:fill="auto"/>
          </w:tcPr>
          <w:p w14:paraId="73A429DD" w14:textId="77777777" w:rsidR="007467BC" w:rsidRPr="00F90841" w:rsidRDefault="007467BC" w:rsidP="002E7F1E">
            <w:pPr>
              <w:spacing w:before="40" w:after="40" w:line="220" w:lineRule="exact"/>
              <w:ind w:right="113"/>
              <w:rPr>
                <w:sz w:val="18"/>
                <w:lang w:val="en-GB"/>
              </w:rPr>
            </w:pPr>
            <w:r w:rsidRPr="00F90841">
              <w:rPr>
                <w:sz w:val="18"/>
                <w:lang w:val="en-GB"/>
              </w:rPr>
              <w:t>Other*</w:t>
            </w:r>
          </w:p>
        </w:tc>
        <w:tc>
          <w:tcPr>
            <w:tcW w:w="992" w:type="pct"/>
            <w:shd w:val="clear" w:color="auto" w:fill="auto"/>
            <w:vAlign w:val="bottom"/>
          </w:tcPr>
          <w:p w14:paraId="7BE70775" w14:textId="77777777" w:rsidR="007467BC" w:rsidRPr="00F90841" w:rsidRDefault="007467BC" w:rsidP="002E7F1E">
            <w:pPr>
              <w:spacing w:before="40" w:after="40" w:line="220" w:lineRule="exact"/>
              <w:ind w:right="113"/>
              <w:jc w:val="right"/>
              <w:rPr>
                <w:sz w:val="18"/>
                <w:lang w:val="en-GB"/>
              </w:rPr>
            </w:pPr>
            <w:r w:rsidRPr="00F90841">
              <w:rPr>
                <w:sz w:val="18"/>
                <w:lang w:val="en-GB"/>
              </w:rPr>
              <w:t>131</w:t>
            </w:r>
          </w:p>
        </w:tc>
        <w:tc>
          <w:tcPr>
            <w:tcW w:w="1057" w:type="pct"/>
            <w:shd w:val="clear" w:color="auto" w:fill="auto"/>
            <w:vAlign w:val="bottom"/>
          </w:tcPr>
          <w:p w14:paraId="6915FD3A" w14:textId="77777777" w:rsidR="007467BC" w:rsidRPr="00F90841" w:rsidRDefault="007467BC" w:rsidP="002E7F1E">
            <w:pPr>
              <w:spacing w:before="40" w:after="40" w:line="220" w:lineRule="exact"/>
              <w:ind w:right="113"/>
              <w:jc w:val="right"/>
              <w:rPr>
                <w:sz w:val="18"/>
                <w:lang w:val="en-GB"/>
              </w:rPr>
            </w:pPr>
            <w:r w:rsidRPr="00F90841">
              <w:rPr>
                <w:sz w:val="18"/>
                <w:lang w:val="en-GB"/>
              </w:rPr>
              <w:t>13</w:t>
            </w:r>
          </w:p>
        </w:tc>
        <w:tc>
          <w:tcPr>
            <w:tcW w:w="963" w:type="pct"/>
            <w:shd w:val="clear" w:color="auto" w:fill="auto"/>
            <w:vAlign w:val="bottom"/>
          </w:tcPr>
          <w:p w14:paraId="0BA07F4D" w14:textId="77777777" w:rsidR="007467BC" w:rsidRPr="00F90841" w:rsidRDefault="007467BC" w:rsidP="002E7F1E">
            <w:pPr>
              <w:spacing w:before="40" w:after="40" w:line="220" w:lineRule="exact"/>
              <w:ind w:right="113"/>
              <w:jc w:val="right"/>
              <w:rPr>
                <w:sz w:val="18"/>
                <w:lang w:val="en-GB"/>
              </w:rPr>
            </w:pPr>
            <w:r w:rsidRPr="00F90841">
              <w:rPr>
                <w:sz w:val="18"/>
                <w:lang w:val="en-GB"/>
              </w:rPr>
              <w:t>45</w:t>
            </w:r>
          </w:p>
        </w:tc>
        <w:tc>
          <w:tcPr>
            <w:tcW w:w="1002" w:type="pct"/>
            <w:shd w:val="clear" w:color="auto" w:fill="auto"/>
            <w:vAlign w:val="bottom"/>
          </w:tcPr>
          <w:p w14:paraId="27406FA9" w14:textId="77777777" w:rsidR="007467BC" w:rsidRPr="00F90841" w:rsidRDefault="007467BC" w:rsidP="002E7F1E">
            <w:pPr>
              <w:spacing w:before="40" w:after="40" w:line="220" w:lineRule="exact"/>
              <w:ind w:right="113"/>
              <w:jc w:val="right"/>
              <w:rPr>
                <w:sz w:val="18"/>
                <w:lang w:val="en-GB"/>
              </w:rPr>
            </w:pPr>
            <w:r w:rsidRPr="00F90841">
              <w:rPr>
                <w:sz w:val="18"/>
                <w:lang w:val="en-GB"/>
              </w:rPr>
              <w:t>99</w:t>
            </w:r>
          </w:p>
        </w:tc>
      </w:tr>
      <w:tr w:rsidR="007467BC" w:rsidRPr="00F90841" w14:paraId="19E9B33B" w14:textId="77777777" w:rsidTr="00714FAF">
        <w:trPr>
          <w:cantSplit/>
        </w:trPr>
        <w:tc>
          <w:tcPr>
            <w:tcW w:w="986" w:type="pct"/>
            <w:tcBorders>
              <w:bottom w:val="single" w:sz="4" w:space="0" w:color="auto"/>
            </w:tcBorders>
            <w:shd w:val="clear" w:color="auto" w:fill="auto"/>
          </w:tcPr>
          <w:p w14:paraId="553825F8" w14:textId="77777777" w:rsidR="007467BC" w:rsidRPr="00F90841" w:rsidRDefault="007467BC" w:rsidP="002E7F1E">
            <w:pPr>
              <w:spacing w:before="40" w:after="40" w:line="220" w:lineRule="exact"/>
              <w:ind w:right="113"/>
              <w:rPr>
                <w:sz w:val="18"/>
                <w:lang w:val="en-GB"/>
              </w:rPr>
            </w:pPr>
          </w:p>
        </w:tc>
        <w:tc>
          <w:tcPr>
            <w:tcW w:w="992" w:type="pct"/>
            <w:tcBorders>
              <w:bottom w:val="single" w:sz="4" w:space="0" w:color="auto"/>
            </w:tcBorders>
            <w:shd w:val="clear" w:color="auto" w:fill="auto"/>
            <w:vAlign w:val="bottom"/>
          </w:tcPr>
          <w:p w14:paraId="66158F01" w14:textId="77777777" w:rsidR="007467BC" w:rsidRPr="00F90841" w:rsidRDefault="007467BC" w:rsidP="002E7F1E">
            <w:pPr>
              <w:spacing w:before="40" w:after="40" w:line="220" w:lineRule="exact"/>
              <w:ind w:right="113"/>
              <w:jc w:val="right"/>
              <w:rPr>
                <w:sz w:val="18"/>
                <w:lang w:val="en-GB"/>
              </w:rPr>
            </w:pPr>
            <w:r w:rsidRPr="00F90841">
              <w:rPr>
                <w:sz w:val="18"/>
                <w:lang w:val="en-GB"/>
              </w:rPr>
              <w:t>171 (89%)</w:t>
            </w:r>
          </w:p>
        </w:tc>
        <w:tc>
          <w:tcPr>
            <w:tcW w:w="1057" w:type="pct"/>
            <w:tcBorders>
              <w:bottom w:val="single" w:sz="4" w:space="0" w:color="auto"/>
            </w:tcBorders>
            <w:shd w:val="clear" w:color="auto" w:fill="auto"/>
            <w:vAlign w:val="bottom"/>
          </w:tcPr>
          <w:p w14:paraId="641C197D" w14:textId="77777777" w:rsidR="007467BC" w:rsidRPr="00F90841" w:rsidRDefault="007467BC" w:rsidP="002E7F1E">
            <w:pPr>
              <w:spacing w:before="40" w:after="40" w:line="220" w:lineRule="exact"/>
              <w:ind w:right="113"/>
              <w:jc w:val="right"/>
              <w:rPr>
                <w:sz w:val="18"/>
                <w:lang w:val="en-GB"/>
              </w:rPr>
            </w:pPr>
            <w:r w:rsidRPr="00F90841">
              <w:rPr>
                <w:sz w:val="18"/>
                <w:lang w:val="en-GB"/>
              </w:rPr>
              <w:t>22 (11%)</w:t>
            </w:r>
          </w:p>
        </w:tc>
        <w:tc>
          <w:tcPr>
            <w:tcW w:w="963" w:type="pct"/>
            <w:tcBorders>
              <w:bottom w:val="single" w:sz="4" w:space="0" w:color="auto"/>
            </w:tcBorders>
            <w:shd w:val="clear" w:color="auto" w:fill="auto"/>
            <w:vAlign w:val="bottom"/>
          </w:tcPr>
          <w:p w14:paraId="250AC17B" w14:textId="77777777" w:rsidR="007467BC" w:rsidRPr="00F90841" w:rsidRDefault="007467BC" w:rsidP="002E7F1E">
            <w:pPr>
              <w:spacing w:before="40" w:after="40" w:line="220" w:lineRule="exact"/>
              <w:ind w:right="113"/>
              <w:jc w:val="right"/>
              <w:rPr>
                <w:sz w:val="18"/>
                <w:lang w:val="en-GB"/>
              </w:rPr>
            </w:pPr>
            <w:r w:rsidRPr="00F90841">
              <w:rPr>
                <w:sz w:val="18"/>
                <w:lang w:val="en-GB"/>
              </w:rPr>
              <w:t>81 (42%)</w:t>
            </w:r>
          </w:p>
        </w:tc>
        <w:tc>
          <w:tcPr>
            <w:tcW w:w="1002" w:type="pct"/>
            <w:tcBorders>
              <w:bottom w:val="single" w:sz="4" w:space="0" w:color="auto"/>
            </w:tcBorders>
            <w:shd w:val="clear" w:color="auto" w:fill="auto"/>
            <w:vAlign w:val="bottom"/>
          </w:tcPr>
          <w:p w14:paraId="28AD42D5" w14:textId="77777777" w:rsidR="007467BC" w:rsidRPr="00F90841" w:rsidRDefault="007467BC" w:rsidP="002E7F1E">
            <w:pPr>
              <w:spacing w:before="40" w:after="40" w:line="220" w:lineRule="exact"/>
              <w:ind w:right="113"/>
              <w:jc w:val="right"/>
              <w:rPr>
                <w:sz w:val="18"/>
                <w:lang w:val="en-GB"/>
              </w:rPr>
            </w:pPr>
            <w:r w:rsidRPr="00F90841">
              <w:rPr>
                <w:sz w:val="18"/>
                <w:lang w:val="en-GB"/>
              </w:rPr>
              <w:t>112 (58%)</w:t>
            </w:r>
          </w:p>
        </w:tc>
      </w:tr>
      <w:tr w:rsidR="007467BC" w:rsidRPr="00F90841" w14:paraId="174DD957" w14:textId="77777777" w:rsidTr="00714FAF">
        <w:trPr>
          <w:cantSplit/>
        </w:trPr>
        <w:tc>
          <w:tcPr>
            <w:tcW w:w="5000" w:type="pct"/>
            <w:gridSpan w:val="5"/>
            <w:tcBorders>
              <w:top w:val="single" w:sz="4" w:space="0" w:color="auto"/>
              <w:bottom w:val="single" w:sz="4" w:space="0" w:color="auto"/>
            </w:tcBorders>
            <w:shd w:val="clear" w:color="auto" w:fill="auto"/>
          </w:tcPr>
          <w:p w14:paraId="358DADB5" w14:textId="77777777" w:rsidR="007467BC" w:rsidRPr="00F90841" w:rsidRDefault="007467BC" w:rsidP="00714FAF">
            <w:pPr>
              <w:spacing w:before="80" w:after="80" w:line="200" w:lineRule="exact"/>
              <w:ind w:right="113"/>
              <w:jc w:val="center"/>
              <w:rPr>
                <w:i/>
                <w:iCs/>
                <w:sz w:val="16"/>
                <w:szCs w:val="16"/>
                <w:lang w:val="en-GB"/>
              </w:rPr>
            </w:pPr>
            <w:r w:rsidRPr="00F90841">
              <w:rPr>
                <w:i/>
                <w:iCs/>
                <w:sz w:val="16"/>
                <w:szCs w:val="16"/>
                <w:lang w:val="en-GB"/>
              </w:rPr>
              <w:lastRenderedPageBreak/>
              <w:t>Care and Protection residences</w:t>
            </w:r>
          </w:p>
        </w:tc>
      </w:tr>
      <w:tr w:rsidR="007467BC" w:rsidRPr="00F90841" w14:paraId="585B5AA4" w14:textId="77777777" w:rsidTr="00714FAF">
        <w:trPr>
          <w:cantSplit/>
        </w:trPr>
        <w:tc>
          <w:tcPr>
            <w:tcW w:w="986" w:type="pct"/>
            <w:tcBorders>
              <w:top w:val="single" w:sz="4" w:space="0" w:color="auto"/>
            </w:tcBorders>
            <w:shd w:val="clear" w:color="auto" w:fill="auto"/>
          </w:tcPr>
          <w:p w14:paraId="20979741" w14:textId="77777777" w:rsidR="007467BC" w:rsidRPr="00F90841" w:rsidRDefault="007467BC" w:rsidP="002E7F1E">
            <w:pPr>
              <w:spacing w:before="40" w:after="40" w:line="220" w:lineRule="exact"/>
              <w:ind w:right="113"/>
              <w:rPr>
                <w:sz w:val="18"/>
                <w:lang w:val="en-GB"/>
              </w:rPr>
            </w:pPr>
            <w:r w:rsidRPr="00F90841">
              <w:rPr>
                <w:sz w:val="18"/>
                <w:lang w:val="en-GB"/>
              </w:rPr>
              <w:t>Physical abuse</w:t>
            </w:r>
          </w:p>
        </w:tc>
        <w:tc>
          <w:tcPr>
            <w:tcW w:w="992" w:type="pct"/>
            <w:tcBorders>
              <w:top w:val="single" w:sz="4" w:space="0" w:color="auto"/>
            </w:tcBorders>
            <w:shd w:val="clear" w:color="auto" w:fill="auto"/>
            <w:vAlign w:val="bottom"/>
          </w:tcPr>
          <w:p w14:paraId="72925860" w14:textId="77777777" w:rsidR="007467BC" w:rsidRPr="00F90841" w:rsidRDefault="007467BC" w:rsidP="002E7F1E">
            <w:pPr>
              <w:spacing w:before="40" w:after="40" w:line="220" w:lineRule="exact"/>
              <w:ind w:right="113"/>
              <w:jc w:val="right"/>
              <w:rPr>
                <w:sz w:val="18"/>
                <w:lang w:val="en-GB"/>
              </w:rPr>
            </w:pPr>
            <w:r w:rsidRPr="00F90841">
              <w:rPr>
                <w:sz w:val="18"/>
                <w:lang w:val="en-GB"/>
              </w:rPr>
              <w:t>9</w:t>
            </w:r>
          </w:p>
        </w:tc>
        <w:tc>
          <w:tcPr>
            <w:tcW w:w="1057" w:type="pct"/>
            <w:tcBorders>
              <w:top w:val="single" w:sz="4" w:space="0" w:color="auto"/>
            </w:tcBorders>
            <w:shd w:val="clear" w:color="auto" w:fill="auto"/>
            <w:vAlign w:val="bottom"/>
          </w:tcPr>
          <w:p w14:paraId="73554AD1" w14:textId="77777777" w:rsidR="007467BC" w:rsidRPr="00F90841" w:rsidRDefault="007467BC" w:rsidP="002E7F1E">
            <w:pPr>
              <w:spacing w:before="40" w:after="40" w:line="220" w:lineRule="exact"/>
              <w:ind w:right="113"/>
              <w:jc w:val="right"/>
              <w:rPr>
                <w:sz w:val="18"/>
                <w:lang w:val="en-GB"/>
              </w:rPr>
            </w:pPr>
            <w:r w:rsidRPr="00F90841">
              <w:rPr>
                <w:sz w:val="18"/>
                <w:lang w:val="en-GB"/>
              </w:rPr>
              <w:t>9</w:t>
            </w:r>
          </w:p>
        </w:tc>
        <w:tc>
          <w:tcPr>
            <w:tcW w:w="963" w:type="pct"/>
            <w:tcBorders>
              <w:top w:val="single" w:sz="4" w:space="0" w:color="auto"/>
            </w:tcBorders>
            <w:shd w:val="clear" w:color="auto" w:fill="auto"/>
            <w:vAlign w:val="bottom"/>
          </w:tcPr>
          <w:p w14:paraId="2A241C27" w14:textId="77777777" w:rsidR="007467BC" w:rsidRPr="00F90841" w:rsidRDefault="007467BC" w:rsidP="002E7F1E">
            <w:pPr>
              <w:spacing w:before="40" w:after="40" w:line="220" w:lineRule="exact"/>
              <w:ind w:right="113"/>
              <w:jc w:val="right"/>
              <w:rPr>
                <w:sz w:val="18"/>
                <w:lang w:val="en-GB"/>
              </w:rPr>
            </w:pPr>
            <w:r w:rsidRPr="00F90841">
              <w:rPr>
                <w:sz w:val="18"/>
                <w:lang w:val="en-GB"/>
              </w:rPr>
              <w:t>6</w:t>
            </w:r>
          </w:p>
        </w:tc>
        <w:tc>
          <w:tcPr>
            <w:tcW w:w="1002" w:type="pct"/>
            <w:tcBorders>
              <w:top w:val="single" w:sz="4" w:space="0" w:color="auto"/>
            </w:tcBorders>
            <w:shd w:val="clear" w:color="auto" w:fill="auto"/>
            <w:vAlign w:val="bottom"/>
          </w:tcPr>
          <w:p w14:paraId="4658D11F" w14:textId="77777777" w:rsidR="007467BC" w:rsidRPr="00F90841" w:rsidRDefault="007467BC" w:rsidP="002E7F1E">
            <w:pPr>
              <w:spacing w:before="40" w:after="40" w:line="220" w:lineRule="exact"/>
              <w:ind w:right="113"/>
              <w:jc w:val="right"/>
              <w:rPr>
                <w:sz w:val="18"/>
                <w:lang w:val="en-GB"/>
              </w:rPr>
            </w:pPr>
            <w:r w:rsidRPr="00F90841">
              <w:rPr>
                <w:sz w:val="18"/>
                <w:lang w:val="en-GB"/>
              </w:rPr>
              <w:t>12</w:t>
            </w:r>
          </w:p>
        </w:tc>
      </w:tr>
      <w:tr w:rsidR="007467BC" w:rsidRPr="00F90841" w14:paraId="5E7B3CB0" w14:textId="77777777" w:rsidTr="002E7F1E">
        <w:trPr>
          <w:cantSplit/>
        </w:trPr>
        <w:tc>
          <w:tcPr>
            <w:tcW w:w="986" w:type="pct"/>
            <w:shd w:val="clear" w:color="auto" w:fill="auto"/>
          </w:tcPr>
          <w:p w14:paraId="43B13140" w14:textId="77777777" w:rsidR="007467BC" w:rsidRPr="00F90841" w:rsidRDefault="007467BC" w:rsidP="002E7F1E">
            <w:pPr>
              <w:spacing w:before="40" w:after="40" w:line="220" w:lineRule="exact"/>
              <w:ind w:right="113"/>
              <w:rPr>
                <w:sz w:val="18"/>
                <w:lang w:val="en-GB"/>
              </w:rPr>
            </w:pPr>
            <w:r w:rsidRPr="00F90841">
              <w:rPr>
                <w:sz w:val="18"/>
                <w:lang w:val="en-GB"/>
              </w:rPr>
              <w:t>Verbal abuse</w:t>
            </w:r>
          </w:p>
        </w:tc>
        <w:tc>
          <w:tcPr>
            <w:tcW w:w="992" w:type="pct"/>
            <w:shd w:val="clear" w:color="auto" w:fill="auto"/>
            <w:vAlign w:val="bottom"/>
          </w:tcPr>
          <w:p w14:paraId="7FBB3EC3" w14:textId="77777777" w:rsidR="007467BC" w:rsidRPr="00F90841" w:rsidRDefault="007467BC" w:rsidP="002E7F1E">
            <w:pPr>
              <w:spacing w:before="40" w:after="40" w:line="220" w:lineRule="exact"/>
              <w:ind w:right="113"/>
              <w:jc w:val="right"/>
              <w:rPr>
                <w:sz w:val="18"/>
                <w:lang w:val="en-GB"/>
              </w:rPr>
            </w:pPr>
            <w:r w:rsidRPr="00F90841">
              <w:rPr>
                <w:sz w:val="18"/>
                <w:lang w:val="en-GB"/>
              </w:rPr>
              <w:t>23</w:t>
            </w:r>
          </w:p>
        </w:tc>
        <w:tc>
          <w:tcPr>
            <w:tcW w:w="1057" w:type="pct"/>
            <w:shd w:val="clear" w:color="auto" w:fill="auto"/>
            <w:vAlign w:val="bottom"/>
          </w:tcPr>
          <w:p w14:paraId="4D63A8DD" w14:textId="77777777" w:rsidR="007467BC" w:rsidRPr="00F90841" w:rsidRDefault="007467BC" w:rsidP="002E7F1E">
            <w:pPr>
              <w:spacing w:before="40" w:after="40" w:line="220" w:lineRule="exact"/>
              <w:ind w:right="113"/>
              <w:jc w:val="right"/>
              <w:rPr>
                <w:sz w:val="18"/>
                <w:lang w:val="en-GB"/>
              </w:rPr>
            </w:pPr>
            <w:r w:rsidRPr="00F90841">
              <w:rPr>
                <w:sz w:val="18"/>
                <w:lang w:val="en-GB"/>
              </w:rPr>
              <w:t>5</w:t>
            </w:r>
          </w:p>
        </w:tc>
        <w:tc>
          <w:tcPr>
            <w:tcW w:w="963" w:type="pct"/>
            <w:shd w:val="clear" w:color="auto" w:fill="auto"/>
            <w:vAlign w:val="bottom"/>
          </w:tcPr>
          <w:p w14:paraId="03520107" w14:textId="77777777" w:rsidR="007467BC" w:rsidRPr="00F90841" w:rsidRDefault="007467BC" w:rsidP="002E7F1E">
            <w:pPr>
              <w:spacing w:before="40" w:after="40" w:line="220" w:lineRule="exact"/>
              <w:ind w:right="113"/>
              <w:jc w:val="right"/>
              <w:rPr>
                <w:sz w:val="18"/>
                <w:lang w:val="en-GB"/>
              </w:rPr>
            </w:pPr>
            <w:r w:rsidRPr="00F90841">
              <w:rPr>
                <w:sz w:val="18"/>
                <w:lang w:val="en-GB"/>
              </w:rPr>
              <w:t>1</w:t>
            </w:r>
          </w:p>
        </w:tc>
        <w:tc>
          <w:tcPr>
            <w:tcW w:w="1002" w:type="pct"/>
            <w:shd w:val="clear" w:color="auto" w:fill="auto"/>
            <w:vAlign w:val="bottom"/>
          </w:tcPr>
          <w:p w14:paraId="7BFE1BBE" w14:textId="77777777" w:rsidR="007467BC" w:rsidRPr="00F90841" w:rsidRDefault="007467BC" w:rsidP="002E7F1E">
            <w:pPr>
              <w:spacing w:before="40" w:after="40" w:line="220" w:lineRule="exact"/>
              <w:ind w:right="113"/>
              <w:jc w:val="right"/>
              <w:rPr>
                <w:sz w:val="18"/>
                <w:lang w:val="en-GB"/>
              </w:rPr>
            </w:pPr>
            <w:r w:rsidRPr="00F90841">
              <w:rPr>
                <w:sz w:val="18"/>
                <w:lang w:val="en-GB"/>
              </w:rPr>
              <w:t>28</w:t>
            </w:r>
          </w:p>
        </w:tc>
      </w:tr>
      <w:tr w:rsidR="007467BC" w:rsidRPr="00F90841" w14:paraId="16D4E5DE" w14:textId="77777777" w:rsidTr="002E7F1E">
        <w:trPr>
          <w:cantSplit/>
        </w:trPr>
        <w:tc>
          <w:tcPr>
            <w:tcW w:w="986" w:type="pct"/>
            <w:shd w:val="clear" w:color="auto" w:fill="auto"/>
          </w:tcPr>
          <w:p w14:paraId="38D415A9" w14:textId="77777777" w:rsidR="007467BC" w:rsidRPr="00F90841" w:rsidRDefault="007467BC" w:rsidP="002E7F1E">
            <w:pPr>
              <w:spacing w:before="40" w:after="40" w:line="220" w:lineRule="exact"/>
              <w:ind w:right="113"/>
              <w:rPr>
                <w:sz w:val="18"/>
                <w:lang w:val="en-GB"/>
              </w:rPr>
            </w:pPr>
            <w:r w:rsidRPr="00F90841">
              <w:rPr>
                <w:sz w:val="18"/>
                <w:lang w:val="en-GB"/>
              </w:rPr>
              <w:t>Other*</w:t>
            </w:r>
          </w:p>
        </w:tc>
        <w:tc>
          <w:tcPr>
            <w:tcW w:w="992" w:type="pct"/>
            <w:shd w:val="clear" w:color="auto" w:fill="auto"/>
            <w:vAlign w:val="bottom"/>
          </w:tcPr>
          <w:p w14:paraId="3B4FD98C" w14:textId="77777777" w:rsidR="007467BC" w:rsidRPr="00F90841" w:rsidRDefault="007467BC" w:rsidP="002E7F1E">
            <w:pPr>
              <w:spacing w:before="40" w:after="40" w:line="220" w:lineRule="exact"/>
              <w:ind w:right="113"/>
              <w:jc w:val="right"/>
              <w:rPr>
                <w:sz w:val="18"/>
                <w:lang w:val="en-GB"/>
              </w:rPr>
            </w:pPr>
            <w:r w:rsidRPr="00F90841">
              <w:rPr>
                <w:sz w:val="18"/>
                <w:lang w:val="en-GB"/>
              </w:rPr>
              <w:t>120</w:t>
            </w:r>
          </w:p>
        </w:tc>
        <w:tc>
          <w:tcPr>
            <w:tcW w:w="1057" w:type="pct"/>
            <w:shd w:val="clear" w:color="auto" w:fill="auto"/>
            <w:vAlign w:val="bottom"/>
          </w:tcPr>
          <w:p w14:paraId="0159B1F2" w14:textId="77777777" w:rsidR="007467BC" w:rsidRPr="00F90841" w:rsidRDefault="007467BC" w:rsidP="002E7F1E">
            <w:pPr>
              <w:spacing w:before="40" w:after="40" w:line="220" w:lineRule="exact"/>
              <w:ind w:right="113"/>
              <w:jc w:val="right"/>
              <w:rPr>
                <w:sz w:val="18"/>
                <w:lang w:val="en-GB"/>
              </w:rPr>
            </w:pPr>
            <w:r w:rsidRPr="00F90841">
              <w:rPr>
                <w:sz w:val="18"/>
                <w:lang w:val="en-GB"/>
              </w:rPr>
              <w:t>17</w:t>
            </w:r>
          </w:p>
        </w:tc>
        <w:tc>
          <w:tcPr>
            <w:tcW w:w="963" w:type="pct"/>
            <w:shd w:val="clear" w:color="auto" w:fill="auto"/>
            <w:vAlign w:val="bottom"/>
          </w:tcPr>
          <w:p w14:paraId="690C3B79" w14:textId="77777777" w:rsidR="007467BC" w:rsidRPr="00F90841" w:rsidRDefault="007467BC" w:rsidP="002E7F1E">
            <w:pPr>
              <w:spacing w:before="40" w:after="40" w:line="220" w:lineRule="exact"/>
              <w:ind w:right="113"/>
              <w:jc w:val="right"/>
              <w:rPr>
                <w:sz w:val="18"/>
                <w:lang w:val="en-GB"/>
              </w:rPr>
            </w:pPr>
            <w:r w:rsidRPr="00F90841">
              <w:rPr>
                <w:sz w:val="18"/>
                <w:lang w:val="en-GB"/>
              </w:rPr>
              <w:t>3</w:t>
            </w:r>
          </w:p>
        </w:tc>
        <w:tc>
          <w:tcPr>
            <w:tcW w:w="1002" w:type="pct"/>
            <w:shd w:val="clear" w:color="auto" w:fill="auto"/>
            <w:vAlign w:val="bottom"/>
          </w:tcPr>
          <w:p w14:paraId="15527165" w14:textId="77777777" w:rsidR="007467BC" w:rsidRPr="00F90841" w:rsidRDefault="007467BC" w:rsidP="002E7F1E">
            <w:pPr>
              <w:spacing w:before="40" w:after="40" w:line="220" w:lineRule="exact"/>
              <w:ind w:right="113"/>
              <w:jc w:val="right"/>
              <w:rPr>
                <w:sz w:val="18"/>
                <w:lang w:val="en-GB"/>
              </w:rPr>
            </w:pPr>
            <w:r w:rsidRPr="00F90841">
              <w:rPr>
                <w:sz w:val="18"/>
                <w:lang w:val="en-GB"/>
              </w:rPr>
              <w:t>134</w:t>
            </w:r>
          </w:p>
        </w:tc>
      </w:tr>
      <w:tr w:rsidR="007467BC" w:rsidRPr="00F90841" w14:paraId="5F877646" w14:textId="77777777" w:rsidTr="002E7F1E">
        <w:trPr>
          <w:cantSplit/>
        </w:trPr>
        <w:tc>
          <w:tcPr>
            <w:tcW w:w="986" w:type="pct"/>
            <w:shd w:val="clear" w:color="auto" w:fill="auto"/>
          </w:tcPr>
          <w:p w14:paraId="008335A4" w14:textId="77777777" w:rsidR="007467BC" w:rsidRPr="00F90841" w:rsidRDefault="007467BC" w:rsidP="002E7F1E">
            <w:pPr>
              <w:spacing w:before="40" w:after="40" w:line="220" w:lineRule="exact"/>
              <w:ind w:right="113"/>
              <w:rPr>
                <w:sz w:val="18"/>
                <w:lang w:val="en-GB"/>
              </w:rPr>
            </w:pPr>
          </w:p>
        </w:tc>
        <w:tc>
          <w:tcPr>
            <w:tcW w:w="992" w:type="pct"/>
            <w:shd w:val="clear" w:color="auto" w:fill="auto"/>
            <w:vAlign w:val="bottom"/>
          </w:tcPr>
          <w:p w14:paraId="44AD8CB3" w14:textId="77777777" w:rsidR="007467BC" w:rsidRPr="00F90841" w:rsidRDefault="007467BC" w:rsidP="002E7F1E">
            <w:pPr>
              <w:spacing w:before="40" w:after="40" w:line="220" w:lineRule="exact"/>
              <w:ind w:right="113"/>
              <w:jc w:val="right"/>
              <w:rPr>
                <w:sz w:val="18"/>
                <w:lang w:val="en-GB"/>
              </w:rPr>
            </w:pPr>
            <w:r w:rsidRPr="00F90841">
              <w:rPr>
                <w:sz w:val="18"/>
                <w:lang w:val="en-GB"/>
              </w:rPr>
              <w:t>152 (83%)</w:t>
            </w:r>
          </w:p>
        </w:tc>
        <w:tc>
          <w:tcPr>
            <w:tcW w:w="1057" w:type="pct"/>
            <w:shd w:val="clear" w:color="auto" w:fill="auto"/>
            <w:vAlign w:val="bottom"/>
          </w:tcPr>
          <w:p w14:paraId="50FB8ABD" w14:textId="77777777" w:rsidR="007467BC" w:rsidRPr="00F90841" w:rsidRDefault="007467BC" w:rsidP="002E7F1E">
            <w:pPr>
              <w:spacing w:before="40" w:after="40" w:line="220" w:lineRule="exact"/>
              <w:ind w:right="113"/>
              <w:jc w:val="right"/>
              <w:rPr>
                <w:sz w:val="18"/>
                <w:lang w:val="en-GB"/>
              </w:rPr>
            </w:pPr>
            <w:r w:rsidRPr="00F90841">
              <w:rPr>
                <w:sz w:val="18"/>
                <w:lang w:val="en-GB"/>
              </w:rPr>
              <w:t>31 (17%)</w:t>
            </w:r>
          </w:p>
        </w:tc>
        <w:tc>
          <w:tcPr>
            <w:tcW w:w="963" w:type="pct"/>
            <w:shd w:val="clear" w:color="auto" w:fill="auto"/>
            <w:vAlign w:val="bottom"/>
          </w:tcPr>
          <w:p w14:paraId="5D06668D" w14:textId="77777777" w:rsidR="007467BC" w:rsidRPr="00F90841" w:rsidRDefault="007467BC" w:rsidP="002E7F1E">
            <w:pPr>
              <w:spacing w:before="40" w:after="40" w:line="220" w:lineRule="exact"/>
              <w:ind w:right="113"/>
              <w:jc w:val="right"/>
              <w:rPr>
                <w:sz w:val="18"/>
                <w:lang w:val="en-GB"/>
              </w:rPr>
            </w:pPr>
            <w:r w:rsidRPr="00F90841">
              <w:rPr>
                <w:sz w:val="18"/>
                <w:lang w:val="en-GB"/>
              </w:rPr>
              <w:t>10 (5%)</w:t>
            </w:r>
          </w:p>
        </w:tc>
        <w:tc>
          <w:tcPr>
            <w:tcW w:w="1002" w:type="pct"/>
            <w:shd w:val="clear" w:color="auto" w:fill="auto"/>
            <w:vAlign w:val="bottom"/>
          </w:tcPr>
          <w:p w14:paraId="59990CA8" w14:textId="77777777" w:rsidR="007467BC" w:rsidRPr="00F90841" w:rsidRDefault="007467BC" w:rsidP="002E7F1E">
            <w:pPr>
              <w:spacing w:before="40" w:after="40" w:line="220" w:lineRule="exact"/>
              <w:ind w:right="113"/>
              <w:jc w:val="right"/>
              <w:rPr>
                <w:sz w:val="18"/>
                <w:lang w:val="en-GB"/>
              </w:rPr>
            </w:pPr>
            <w:r w:rsidRPr="00F90841">
              <w:rPr>
                <w:sz w:val="18"/>
                <w:lang w:val="en-GB"/>
              </w:rPr>
              <w:t>174</w:t>
            </w:r>
            <w:r w:rsidR="00B50890">
              <w:rPr>
                <w:sz w:val="18"/>
                <w:lang w:val="en-GB"/>
              </w:rPr>
              <w:t xml:space="preserve"> </w:t>
            </w:r>
            <w:r w:rsidRPr="00F90841">
              <w:rPr>
                <w:sz w:val="18"/>
                <w:lang w:val="en-GB"/>
              </w:rPr>
              <w:t>(95%)</w:t>
            </w:r>
          </w:p>
        </w:tc>
      </w:tr>
    </w:tbl>
    <w:p w14:paraId="6AD15530" w14:textId="77777777" w:rsidR="007467BC" w:rsidRPr="00F90841" w:rsidRDefault="007467BC" w:rsidP="0052507E">
      <w:pPr>
        <w:spacing w:before="120" w:line="240" w:lineRule="atLeast"/>
        <w:ind w:left="1134" w:right="1134" w:firstLine="170"/>
        <w:rPr>
          <w:sz w:val="18"/>
        </w:rPr>
      </w:pPr>
      <w:r w:rsidRPr="00F90841">
        <w:t>*</w:t>
      </w:r>
      <w:r w:rsidR="0052507E" w:rsidRPr="00F90841">
        <w:t xml:space="preserve"> </w:t>
      </w:r>
      <w:r w:rsidRPr="00F90841">
        <w:rPr>
          <w:sz w:val="18"/>
        </w:rPr>
        <w:t xml:space="preserve"> Compliance with other policies</w:t>
      </w:r>
      <w:r w:rsidR="0052507E" w:rsidRPr="00F90841">
        <w:rPr>
          <w:sz w:val="18"/>
        </w:rPr>
        <w:t>.</w:t>
      </w:r>
    </w:p>
    <w:p w14:paraId="7BBDF2A4" w14:textId="77777777" w:rsidR="007467BC" w:rsidRPr="00F90841" w:rsidRDefault="007467BC" w:rsidP="0052507E">
      <w:pPr>
        <w:pStyle w:val="SingleTxtG"/>
        <w:spacing w:before="240"/>
      </w:pPr>
      <w:bookmarkStart w:id="84" w:name="_GoBack"/>
      <w:bookmarkEnd w:id="84"/>
      <w:r w:rsidRPr="00F90841">
        <w:t>266.</w:t>
      </w:r>
      <w:r w:rsidRPr="00F90841">
        <w:tab/>
        <w:t>This table does not include complaints escalated to other bodies such as the Children</w:t>
      </w:r>
      <w:r w:rsidR="00562737" w:rsidRPr="00F90841">
        <w:t>’</w:t>
      </w:r>
      <w:r w:rsidRPr="00F90841">
        <w:t>s Commissioner. In the year to June 2017, 91 grievances (28% of all complaints) were referred to a grievance panel, with 28 found to be justified and 16 escalated to the Children</w:t>
      </w:r>
      <w:r w:rsidR="00562737" w:rsidRPr="00F90841">
        <w:t>’</w:t>
      </w:r>
      <w:r w:rsidRPr="00F90841">
        <w:t>s Commissioner. A complaint may have been justified in the initial investigation but escalated as the complainant was not satisfied with the outcome.</w:t>
      </w:r>
    </w:p>
    <w:p w14:paraId="41128679" w14:textId="77777777" w:rsidR="007467BC" w:rsidRPr="00F90841" w:rsidRDefault="007467BC" w:rsidP="007467BC">
      <w:pPr>
        <w:pStyle w:val="SingleTxtG"/>
      </w:pPr>
      <w:r w:rsidRPr="00F90841">
        <w:t>267.</w:t>
      </w:r>
      <w:r w:rsidRPr="00F90841">
        <w:tab/>
        <w:t xml:space="preserve">If allegations of abuse are made against youth justice residence staff, Police may also investigate. </w:t>
      </w:r>
    </w:p>
    <w:p w14:paraId="7EBDA466" w14:textId="77777777" w:rsidR="007467BC" w:rsidRPr="00F90841" w:rsidRDefault="007467BC" w:rsidP="0052507E">
      <w:pPr>
        <w:pStyle w:val="H1G"/>
      </w:pPr>
      <w:r w:rsidRPr="00F90841">
        <w:tab/>
      </w:r>
      <w:r w:rsidRPr="00F90841">
        <w:tab/>
        <w:t>Reply to paragraph 26 of the list of issues</w:t>
      </w:r>
    </w:p>
    <w:p w14:paraId="4C58D218" w14:textId="77777777" w:rsidR="007467BC" w:rsidRPr="00F90841" w:rsidRDefault="007467BC" w:rsidP="0052507E">
      <w:pPr>
        <w:pStyle w:val="H23G"/>
      </w:pPr>
      <w:r w:rsidRPr="00F90841">
        <w:tab/>
      </w:r>
      <w:r w:rsidRPr="00F90841">
        <w:tab/>
        <w:t>Independent Police Conduct Authority (IPCA); complaints mechanisms; discretion to prosecute</w:t>
      </w:r>
    </w:p>
    <w:p w14:paraId="0680B212" w14:textId="77777777" w:rsidR="007467BC" w:rsidRPr="00F90841" w:rsidRDefault="007467BC" w:rsidP="0052507E">
      <w:pPr>
        <w:pStyle w:val="H23G"/>
      </w:pPr>
      <w:r w:rsidRPr="00F90841">
        <w:tab/>
      </w:r>
      <w:r w:rsidRPr="00F90841">
        <w:tab/>
        <w:t>Independence of IPCA</w:t>
      </w:r>
    </w:p>
    <w:p w14:paraId="123C1DBB" w14:textId="77777777" w:rsidR="007467BC" w:rsidRPr="00F90841" w:rsidRDefault="007467BC" w:rsidP="007467BC">
      <w:pPr>
        <w:pStyle w:val="SingleTxtG"/>
      </w:pPr>
      <w:r w:rsidRPr="00F90841">
        <w:t>268.</w:t>
      </w:r>
      <w:r w:rsidRPr="00F90841">
        <w:tab/>
        <w:t xml:space="preserve">IPCA is an independent Crown entity. Under the Independent Police Conduct Authority Act 1988, IPCA must </w:t>
      </w:r>
      <w:r w:rsidR="00562737" w:rsidRPr="00F90841">
        <w:t>“</w:t>
      </w:r>
      <w:r w:rsidRPr="00F90841">
        <w:t>act independently in performing its statutory functions and duties and exercising its statutory powers</w:t>
      </w:r>
      <w:r w:rsidR="00562737" w:rsidRPr="00F90841">
        <w:t>”</w:t>
      </w:r>
      <w:r w:rsidRPr="00F90841">
        <w:t xml:space="preserve">. </w:t>
      </w:r>
    </w:p>
    <w:p w14:paraId="274D4376" w14:textId="77777777" w:rsidR="007467BC" w:rsidRPr="00F90841" w:rsidRDefault="007467BC" w:rsidP="007467BC">
      <w:pPr>
        <w:pStyle w:val="SingleTxtG"/>
      </w:pPr>
      <w:r w:rsidRPr="00F90841">
        <w:t>269.</w:t>
      </w:r>
      <w:r w:rsidRPr="00F90841">
        <w:tab/>
        <w:t>IPCA has revised its processes in response to the Committee</w:t>
      </w:r>
      <w:r w:rsidR="00562737" w:rsidRPr="00F90841">
        <w:t>’</w:t>
      </w:r>
      <w:r w:rsidRPr="00F90841">
        <w:t xml:space="preserve">s concerns that most of investigations were conducted by Police rather than IPCA. Previously, some complaints were </w:t>
      </w:r>
      <w:proofErr w:type="gramStart"/>
      <w:r w:rsidRPr="00F90841">
        <w:t>referred back</w:t>
      </w:r>
      <w:proofErr w:type="gramEnd"/>
      <w:r w:rsidRPr="00F90841">
        <w:t xml:space="preserve"> to Police for investigation and IPCA had no involvement until it reviewed the outcome. That is no longer the case. </w:t>
      </w:r>
    </w:p>
    <w:p w14:paraId="5A21C601" w14:textId="77777777" w:rsidR="007467BC" w:rsidRPr="00F90841" w:rsidRDefault="007467BC" w:rsidP="007467BC">
      <w:pPr>
        <w:pStyle w:val="SingleTxtG"/>
      </w:pPr>
      <w:r w:rsidRPr="00F90841">
        <w:t>270.</w:t>
      </w:r>
      <w:r w:rsidRPr="00F90841">
        <w:tab/>
        <w:t>If a person deprived of liberty wishes to complain about treatment by Police, they can complain to IPCA or Police. Information is available online and in all Police stations. Frontline staff also receive training on dealing with complainants. If a person wishes to complain to Police rather than IPCA, legislation requires the complaint be referred to IPCA within five days.</w:t>
      </w:r>
    </w:p>
    <w:p w14:paraId="5CB600C8" w14:textId="77777777" w:rsidR="007467BC" w:rsidRPr="00F90841" w:rsidRDefault="007467BC" w:rsidP="007467BC">
      <w:pPr>
        <w:pStyle w:val="SingleTxtG"/>
      </w:pPr>
      <w:r w:rsidRPr="00F90841">
        <w:t>271.</w:t>
      </w:r>
      <w:r w:rsidRPr="00F90841">
        <w:tab/>
        <w:t>When a complaint is received, IPCA obtains all information from the complainant and Police and determines whether there is an issue that needs to be addressed. In making that decision, IPCA considers whether the person has a reasonable grievance (including whether an officer may have engaged in misconduct or neglect of duty).</w:t>
      </w:r>
    </w:p>
    <w:p w14:paraId="4D48F27D" w14:textId="77777777" w:rsidR="007467BC" w:rsidRPr="00F90841" w:rsidRDefault="007467BC" w:rsidP="007467BC">
      <w:pPr>
        <w:pStyle w:val="SingleTxtG"/>
      </w:pPr>
      <w:r w:rsidRPr="00F90841">
        <w:t>272.</w:t>
      </w:r>
      <w:r w:rsidRPr="00F90841">
        <w:tab/>
        <w:t xml:space="preserve">Where IPCA determines that a complaint raises a potential issue, the case is managed through either: </w:t>
      </w:r>
    </w:p>
    <w:p w14:paraId="028B8C97" w14:textId="77777777" w:rsidR="007467BC" w:rsidRPr="00F90841" w:rsidRDefault="007467BC" w:rsidP="0052507E">
      <w:pPr>
        <w:pStyle w:val="Bullet1G"/>
      </w:pPr>
      <w:r w:rsidRPr="00F90841">
        <w:t>Independent investigation by IPCA, making findings and recommendations</w:t>
      </w:r>
    </w:p>
    <w:p w14:paraId="3E9D34E7" w14:textId="77777777" w:rsidR="007467BC" w:rsidRPr="00F90841" w:rsidRDefault="007467BC" w:rsidP="0052507E">
      <w:pPr>
        <w:pStyle w:val="Bullet1G"/>
      </w:pPr>
      <w:r w:rsidRPr="00F90841">
        <w:t>Referral back to Police</w:t>
      </w:r>
      <w:r w:rsidR="00562737" w:rsidRPr="00F90841">
        <w:t>’</w:t>
      </w:r>
      <w:r w:rsidRPr="00F90841">
        <w:t>s Professional Conduct Group for investigation with active IPCA oversight and review</w:t>
      </w:r>
    </w:p>
    <w:p w14:paraId="300356AA" w14:textId="77777777" w:rsidR="007467BC" w:rsidRPr="00F90841" w:rsidRDefault="007467BC" w:rsidP="0052507E">
      <w:pPr>
        <w:pStyle w:val="Bullet1G"/>
      </w:pPr>
      <w:r w:rsidRPr="00F90841">
        <w:t>Resolution through agreed redress to the complainant.</w:t>
      </w:r>
    </w:p>
    <w:p w14:paraId="0B2092F3" w14:textId="77777777" w:rsidR="007467BC" w:rsidRPr="00F90841" w:rsidRDefault="007467BC" w:rsidP="007467BC">
      <w:pPr>
        <w:pStyle w:val="SingleTxtG"/>
      </w:pPr>
      <w:r w:rsidRPr="00F90841">
        <w:t>273.</w:t>
      </w:r>
      <w:r w:rsidRPr="00F90841">
        <w:tab/>
        <w:t xml:space="preserve">An IPCA investigation will usually be accompanied by a parallel investigation by Police, since only Police can initiate criminal or employment proceedings. </w:t>
      </w:r>
    </w:p>
    <w:p w14:paraId="7BB229EC" w14:textId="77777777" w:rsidR="007467BC" w:rsidRPr="00F90841" w:rsidRDefault="007467BC" w:rsidP="007467BC">
      <w:pPr>
        <w:pStyle w:val="SingleTxtG"/>
      </w:pPr>
      <w:r w:rsidRPr="00F90841">
        <w:t>274.</w:t>
      </w:r>
      <w:r w:rsidRPr="00F90841">
        <w:tab/>
        <w:t xml:space="preserve">When matters are </w:t>
      </w:r>
      <w:proofErr w:type="gramStart"/>
      <w:r w:rsidRPr="00F90841">
        <w:t>referred back</w:t>
      </w:r>
      <w:proofErr w:type="gramEnd"/>
      <w:r w:rsidRPr="00F90841">
        <w:t xml:space="preserve"> to Police, IPCA maintains in contact with the investigating officer. Issues and timeframes are agreed at the outset. All documentation, including interview statements, are reviewed when available, and any concerns about the direction or scope of investigations are discussed and escalated if necessary. If Police </w:t>
      </w:r>
      <w:r w:rsidRPr="00F90841">
        <w:lastRenderedPageBreak/>
        <w:t>investigations are not conducted robustly, that may result in an IPCA investigation and lead to public scrutiny.</w:t>
      </w:r>
    </w:p>
    <w:p w14:paraId="7CFF4508" w14:textId="77777777" w:rsidR="007467BC" w:rsidRPr="00F90841" w:rsidRDefault="007467BC" w:rsidP="007467BC">
      <w:pPr>
        <w:pStyle w:val="SingleTxtG"/>
      </w:pPr>
      <w:r w:rsidRPr="00F90841">
        <w:t>275.</w:t>
      </w:r>
      <w:r w:rsidRPr="00F90841">
        <w:tab/>
        <w:t>IPCA is funded through the Ministry of Justice budget. As discussed under issue 4, IPCA has received increased funding to undertake its functions. IPCA is nearing completion of an intensive programme of inspections of all Police cells where detainees are held overnight ($160,000 of funding received). It is also conducting quarterly audits of Police detention records to ensure proper management processes are followed and issues can be raised.</w:t>
      </w:r>
    </w:p>
    <w:p w14:paraId="68083F50" w14:textId="77777777" w:rsidR="007467BC" w:rsidRPr="00F90841" w:rsidRDefault="007467BC" w:rsidP="007F3852">
      <w:pPr>
        <w:pStyle w:val="H23G"/>
      </w:pPr>
      <w:r w:rsidRPr="00F90841">
        <w:tab/>
      </w:r>
      <w:r w:rsidRPr="00F90841">
        <w:tab/>
        <w:t>Effective Complaints Mechanisms</w:t>
      </w:r>
    </w:p>
    <w:p w14:paraId="1F71C033" w14:textId="77777777" w:rsidR="007467BC" w:rsidRPr="00F90841" w:rsidRDefault="007467BC" w:rsidP="007467BC">
      <w:pPr>
        <w:pStyle w:val="SingleTxtG"/>
      </w:pPr>
      <w:r w:rsidRPr="00F90841">
        <w:t>276.</w:t>
      </w:r>
      <w:r w:rsidRPr="00F90841">
        <w:tab/>
        <w:t>Complaints of ill-treatment may be received by the responsible agencies or oversight mechanism such as:</w:t>
      </w:r>
    </w:p>
    <w:p w14:paraId="69E719B9" w14:textId="77777777" w:rsidR="007467BC" w:rsidRPr="00F90841" w:rsidRDefault="007467BC" w:rsidP="007F3852">
      <w:pPr>
        <w:pStyle w:val="Bullet1G"/>
      </w:pPr>
      <w:r w:rsidRPr="00F90841">
        <w:t>Office of the Inspectorate (for prisons);</w:t>
      </w:r>
    </w:p>
    <w:p w14:paraId="61D2CD0F" w14:textId="77777777" w:rsidR="007467BC" w:rsidRPr="00F90841" w:rsidRDefault="007467BC" w:rsidP="007F3852">
      <w:pPr>
        <w:pStyle w:val="Bullet1G"/>
      </w:pPr>
      <w:r w:rsidRPr="00F90841">
        <w:t>Ombudsman (conduct of public sector agencies);</w:t>
      </w:r>
    </w:p>
    <w:p w14:paraId="6F11A624" w14:textId="77777777" w:rsidR="007467BC" w:rsidRPr="00F90841" w:rsidRDefault="007467BC" w:rsidP="007F3852">
      <w:pPr>
        <w:pStyle w:val="Bullet1G"/>
      </w:pPr>
      <w:r w:rsidRPr="00F90841">
        <w:t>District Inspectors (for Mental Health, Substance Addiction and Intellectual Disability Acts);</w:t>
      </w:r>
    </w:p>
    <w:p w14:paraId="131FB049" w14:textId="77777777" w:rsidR="007467BC" w:rsidRPr="00F90841" w:rsidRDefault="007467BC" w:rsidP="007F3852">
      <w:pPr>
        <w:pStyle w:val="Bullet1G"/>
      </w:pPr>
      <w:r w:rsidRPr="00F90841">
        <w:t>Health and Disability Commissioner;</w:t>
      </w:r>
    </w:p>
    <w:p w14:paraId="41BAA814" w14:textId="77777777" w:rsidR="007467BC" w:rsidRPr="00F90841" w:rsidRDefault="007467BC" w:rsidP="007F3852">
      <w:pPr>
        <w:pStyle w:val="Bullet1G"/>
      </w:pPr>
      <w:r w:rsidRPr="00F90841">
        <w:t>Mental Health Review Tribunal;</w:t>
      </w:r>
    </w:p>
    <w:p w14:paraId="30CECCA7" w14:textId="77777777" w:rsidR="007467BC" w:rsidRPr="00F90841" w:rsidRDefault="007467BC" w:rsidP="007F3852">
      <w:pPr>
        <w:pStyle w:val="Bullet1G"/>
      </w:pPr>
      <w:r w:rsidRPr="00F90841">
        <w:t>Children</w:t>
      </w:r>
      <w:r w:rsidR="00562737" w:rsidRPr="00F90841">
        <w:t>’</w:t>
      </w:r>
      <w:r w:rsidRPr="00F90841">
        <w:t>s Commissioner;</w:t>
      </w:r>
    </w:p>
    <w:p w14:paraId="088DDDCA" w14:textId="77777777" w:rsidR="007467BC" w:rsidRPr="00F90841" w:rsidRDefault="007467BC" w:rsidP="007F3852">
      <w:pPr>
        <w:pStyle w:val="Bullet1G"/>
      </w:pPr>
      <w:r w:rsidRPr="00F90841">
        <w:t>IPCA.</w:t>
      </w:r>
    </w:p>
    <w:p w14:paraId="45824DEC" w14:textId="77777777" w:rsidR="007467BC" w:rsidRPr="00F90841" w:rsidRDefault="007467BC" w:rsidP="00EE6848">
      <w:pPr>
        <w:pStyle w:val="H4G"/>
      </w:pPr>
      <w:bookmarkStart w:id="85" w:name="_Hlk525723525"/>
      <w:r w:rsidRPr="00F90841">
        <w:tab/>
      </w:r>
      <w:r w:rsidRPr="00F90841">
        <w:tab/>
        <w:t>Prisons</w:t>
      </w:r>
    </w:p>
    <w:p w14:paraId="32F431C6" w14:textId="77777777" w:rsidR="007467BC" w:rsidRPr="00F90841" w:rsidRDefault="007467BC" w:rsidP="007467BC">
      <w:pPr>
        <w:pStyle w:val="SingleTxtG"/>
      </w:pPr>
      <w:r w:rsidRPr="00F90841">
        <w:t>277.</w:t>
      </w:r>
      <w:r w:rsidRPr="00F90841">
        <w:tab/>
        <w:t>Corrections aims to resolve complaints informally. If this is not possible, a tiered process is used:</w:t>
      </w:r>
    </w:p>
    <w:p w14:paraId="5D264701" w14:textId="77777777" w:rsidR="007467BC" w:rsidRPr="00F90841" w:rsidRDefault="007467BC" w:rsidP="00EE6848">
      <w:pPr>
        <w:pStyle w:val="Bullet1G"/>
      </w:pPr>
      <w:r w:rsidRPr="00F90841">
        <w:t>At the prison site;</w:t>
      </w:r>
    </w:p>
    <w:p w14:paraId="207ED58B" w14:textId="77777777" w:rsidR="007467BC" w:rsidRPr="00F90841" w:rsidRDefault="007467BC" w:rsidP="00EE6848">
      <w:pPr>
        <w:pStyle w:val="Bullet1G"/>
      </w:pPr>
      <w:r w:rsidRPr="00F90841">
        <w:t>Through corrections</w:t>
      </w:r>
      <w:r w:rsidR="00562737" w:rsidRPr="00F90841">
        <w:t>’</w:t>
      </w:r>
      <w:r w:rsidRPr="00F90841">
        <w:t xml:space="preserve"> national complaints response desk;</w:t>
      </w:r>
    </w:p>
    <w:p w14:paraId="3CD309B7" w14:textId="77777777" w:rsidR="007467BC" w:rsidRPr="00F90841" w:rsidRDefault="007467BC" w:rsidP="00EE6848">
      <w:pPr>
        <w:pStyle w:val="Bullet1G"/>
      </w:pPr>
      <w:r w:rsidRPr="00F90841">
        <w:t xml:space="preserve">Through the office of the inspectorate. </w:t>
      </w:r>
    </w:p>
    <w:p w14:paraId="0728919E" w14:textId="77777777" w:rsidR="007467BC" w:rsidRPr="00F90841" w:rsidRDefault="007467BC" w:rsidP="007467BC">
      <w:pPr>
        <w:pStyle w:val="SingleTxtG"/>
      </w:pPr>
      <w:r w:rsidRPr="00F90841">
        <w:t>278.</w:t>
      </w:r>
      <w:r w:rsidRPr="00F90841">
        <w:tab/>
        <w:t>Complaints that are not resolved informally are maintained in the Integrated Offender Management System database (except if made to the Inspectorate). There are strict timeframes for progressing complaints and duties to update the complainant.</w:t>
      </w:r>
    </w:p>
    <w:p w14:paraId="3A670F99" w14:textId="77777777" w:rsidR="007467BC" w:rsidRPr="00F90841" w:rsidRDefault="007467BC" w:rsidP="007467BC">
      <w:pPr>
        <w:pStyle w:val="SingleTxtG"/>
      </w:pPr>
      <w:r w:rsidRPr="00F90841">
        <w:t>279.</w:t>
      </w:r>
      <w:r w:rsidRPr="00F90841">
        <w:tab/>
        <w:t xml:space="preserve">In 2018, Corrections sought an external review of its complaints system. The primary issues found were access to the process and that it was paper-based. An Enhancing Complaints Resolution project is underway to improve the system. </w:t>
      </w:r>
    </w:p>
    <w:p w14:paraId="1ECE3913" w14:textId="77777777" w:rsidR="007467BC" w:rsidRPr="00F90841" w:rsidRDefault="007467BC" w:rsidP="00EE6848">
      <w:pPr>
        <w:pStyle w:val="H4G"/>
      </w:pPr>
      <w:r w:rsidRPr="00F90841">
        <w:tab/>
      </w:r>
      <w:r w:rsidRPr="00F90841">
        <w:tab/>
        <w:t>Office of the Inspectorate</w:t>
      </w:r>
    </w:p>
    <w:p w14:paraId="6870553B" w14:textId="77777777" w:rsidR="007467BC" w:rsidRPr="00F90841" w:rsidRDefault="007467BC" w:rsidP="007467BC">
      <w:pPr>
        <w:pStyle w:val="SingleTxtG"/>
      </w:pPr>
      <w:r w:rsidRPr="00F90841">
        <w:t>280.</w:t>
      </w:r>
      <w:r w:rsidRPr="00F90841">
        <w:tab/>
        <w:t>Inspectors are employed by Corrections but are independent of activities and complaints they investigate.</w:t>
      </w:r>
    </w:p>
    <w:p w14:paraId="3882B5A4" w14:textId="77777777" w:rsidR="007467BC" w:rsidRPr="00F90841" w:rsidRDefault="007467BC" w:rsidP="007467BC">
      <w:pPr>
        <w:pStyle w:val="SingleTxtG"/>
      </w:pPr>
      <w:r w:rsidRPr="00F90841">
        <w:t>281.</w:t>
      </w:r>
      <w:r w:rsidRPr="00F90841">
        <w:tab/>
        <w:t xml:space="preserve">In 2017, the function of the Inspectorate was strengthened and received increased funding. Its role has expanded from focusing on complaints to include regular prison inspections. Since 2017, inspections were carried out at all 18 prisons and inspection reports are published. The Office has created a </w:t>
      </w:r>
      <w:r w:rsidR="00562737" w:rsidRPr="00F90841">
        <w:t>‘</w:t>
      </w:r>
      <w:r w:rsidRPr="00F90841">
        <w:t>Standards</w:t>
      </w:r>
      <w:r w:rsidR="00562737" w:rsidRPr="00F90841">
        <w:t>’</w:t>
      </w:r>
      <w:r w:rsidRPr="00F90841">
        <w:t xml:space="preserve"> inspections framework based on the UN International Minimum Standards for Imprisonment (</w:t>
      </w:r>
      <w:r w:rsidR="00562737" w:rsidRPr="00F90841">
        <w:t>‘</w:t>
      </w:r>
      <w:r w:rsidRPr="00F90841">
        <w:t>Mandela Rules</w:t>
      </w:r>
      <w:r w:rsidR="00562737" w:rsidRPr="00F90841">
        <w:t>’</w:t>
      </w:r>
      <w:r w:rsidRPr="00F90841">
        <w:t>).</w:t>
      </w:r>
    </w:p>
    <w:p w14:paraId="097F1C10" w14:textId="77777777" w:rsidR="007467BC" w:rsidRPr="00F90841" w:rsidRDefault="007467BC" w:rsidP="007467BC">
      <w:pPr>
        <w:pStyle w:val="SingleTxtG"/>
      </w:pPr>
      <w:r w:rsidRPr="00F90841">
        <w:t>282.</w:t>
      </w:r>
      <w:r w:rsidRPr="00F90841">
        <w:tab/>
        <w:t>Prisoners are notified through posters and brochures that they can complain to an Inspector, including, in cases of urgency, without going through lower-tier processes, for example:</w:t>
      </w:r>
    </w:p>
    <w:p w14:paraId="6C64503A" w14:textId="77777777" w:rsidR="007467BC" w:rsidRPr="00F90841" w:rsidRDefault="007467BC" w:rsidP="00EE6848">
      <w:pPr>
        <w:pStyle w:val="Bullet1G"/>
      </w:pPr>
      <w:r w:rsidRPr="00F90841">
        <w:t>Situations concerning the immediate safety of individuals, including complaints about medication;</w:t>
      </w:r>
    </w:p>
    <w:p w14:paraId="5F66A6AC" w14:textId="77777777" w:rsidR="007467BC" w:rsidRPr="00F90841" w:rsidRDefault="007467BC" w:rsidP="00EE6848">
      <w:pPr>
        <w:pStyle w:val="Bullet1G"/>
      </w:pPr>
      <w:r w:rsidRPr="00F90841">
        <w:t xml:space="preserve">Decisions about temporary compassionate release. </w:t>
      </w:r>
    </w:p>
    <w:p w14:paraId="0014FA04" w14:textId="77777777" w:rsidR="007467BC" w:rsidRPr="00F90841" w:rsidRDefault="007467BC" w:rsidP="007467BC">
      <w:pPr>
        <w:pStyle w:val="SingleTxtG"/>
      </w:pPr>
      <w:r w:rsidRPr="00F90841">
        <w:t>283.</w:t>
      </w:r>
      <w:r w:rsidRPr="00F90841">
        <w:tab/>
        <w:t xml:space="preserve">An Inspector must be given unrestricted access to persons, facilities and records. </w:t>
      </w:r>
    </w:p>
    <w:bookmarkEnd w:id="85"/>
    <w:p w14:paraId="3FC823A6" w14:textId="77777777" w:rsidR="007467BC" w:rsidRPr="00F90841" w:rsidRDefault="007467BC" w:rsidP="00EE6848">
      <w:pPr>
        <w:pStyle w:val="H4G"/>
      </w:pPr>
      <w:r w:rsidRPr="00F90841">
        <w:lastRenderedPageBreak/>
        <w:tab/>
      </w:r>
      <w:r w:rsidRPr="00F90841">
        <w:tab/>
        <w:t>Ombudsman</w:t>
      </w:r>
    </w:p>
    <w:p w14:paraId="7C0C79FC" w14:textId="77777777" w:rsidR="007467BC" w:rsidRPr="00F90841" w:rsidRDefault="007467BC" w:rsidP="007467BC">
      <w:pPr>
        <w:pStyle w:val="SingleTxtG"/>
      </w:pPr>
      <w:r w:rsidRPr="00F90841">
        <w:t>284.</w:t>
      </w:r>
      <w:r w:rsidRPr="00F90841">
        <w:tab/>
        <w:t>Prisoners can complain to the Ombudsman. If the Ombudsman finds a breach or unlawful behaviour, they will report their recommendations to the Government. The Ombudsman deals with hundreds of complaints every year, including many from detainees.</w:t>
      </w:r>
    </w:p>
    <w:p w14:paraId="05B0A87E" w14:textId="77777777" w:rsidR="007467BC" w:rsidRPr="00F90841" w:rsidRDefault="007467BC" w:rsidP="00EE6848">
      <w:pPr>
        <w:pStyle w:val="H4G"/>
      </w:pPr>
      <w:r w:rsidRPr="00F90841">
        <w:tab/>
      </w:r>
      <w:r w:rsidRPr="00F90841">
        <w:tab/>
        <w:t>Health facilities</w:t>
      </w:r>
    </w:p>
    <w:p w14:paraId="653CABA2" w14:textId="77777777" w:rsidR="007467BC" w:rsidRPr="00F90841" w:rsidRDefault="007467BC" w:rsidP="007467BC">
      <w:pPr>
        <w:pStyle w:val="SingleTxtG"/>
      </w:pPr>
      <w:r w:rsidRPr="00F90841">
        <w:t>285.</w:t>
      </w:r>
      <w:r w:rsidRPr="00F90841">
        <w:tab/>
        <w:t>Patients who feel that they were unjustly deprived of their liberty, or ill-treated, can complain directly to the relevant District Health Board. The Nationwide Health and Disability Advocacy Service provides free and independent assistance during the complaint process.</w:t>
      </w:r>
    </w:p>
    <w:p w14:paraId="63915917" w14:textId="77777777" w:rsidR="007467BC" w:rsidRPr="00F90841" w:rsidRDefault="007467BC" w:rsidP="007467BC">
      <w:pPr>
        <w:pStyle w:val="SingleTxtG"/>
      </w:pPr>
      <w:bookmarkStart w:id="86" w:name="_Ref348634"/>
      <w:r w:rsidRPr="00F90841">
        <w:t>286.</w:t>
      </w:r>
      <w:r w:rsidRPr="00F90841">
        <w:tab/>
        <w:t>People who feel they were unjustly deprived of their liberty under mental health legislation or the Intellectual Disability Act may also complain to one of 34 Mental Health District Inspectors. District Inspectors are lawyers appointed by the Minister of Health and are required to report to the Ministry monthly. They handle complaints of rights breaches, inspect facilities, conduct inquiries and investigations, and assist patients to apply for a judge</w:t>
      </w:r>
      <w:r w:rsidR="00562737" w:rsidRPr="00F90841">
        <w:t>’</w:t>
      </w:r>
      <w:r w:rsidRPr="00F90841">
        <w:t>s review.</w:t>
      </w:r>
      <w:bookmarkEnd w:id="86"/>
    </w:p>
    <w:p w14:paraId="5A13AF21" w14:textId="77777777" w:rsidR="007467BC" w:rsidRPr="00F90841" w:rsidRDefault="007467BC" w:rsidP="007467BC">
      <w:pPr>
        <w:pStyle w:val="SingleTxtG"/>
      </w:pPr>
      <w:r w:rsidRPr="00F90841">
        <w:t>287.</w:t>
      </w:r>
      <w:r w:rsidRPr="00F90841">
        <w:tab/>
        <w:t>A complaint to an Inspector can be escalated to the Mental Health Review Tribunal. The Tribunal must report breaches and make recommendations to the relevant Director of Area Mental Health Services who must resolve the problem. The Tribunal</w:t>
      </w:r>
      <w:r w:rsidR="00562737" w:rsidRPr="00F90841">
        <w:t>’</w:t>
      </w:r>
      <w:r w:rsidRPr="00F90841">
        <w:t>s reports are published in the annual Mental Health report.</w:t>
      </w:r>
    </w:p>
    <w:p w14:paraId="403274C8" w14:textId="77777777" w:rsidR="007467BC" w:rsidRPr="00F90841" w:rsidRDefault="007467BC" w:rsidP="00D60B68">
      <w:pPr>
        <w:pStyle w:val="SingleTxtG"/>
      </w:pPr>
      <w:r w:rsidRPr="00F90841">
        <w:t>288.</w:t>
      </w:r>
      <w:r w:rsidRPr="00F90841">
        <w:tab/>
        <w:t xml:space="preserve">If a patient is unhappy with the handling of a complaint, they may also complain to the Ombudsman. For the Health and Disability Commissioner see paras. </w:t>
      </w:r>
      <w:r w:rsidRPr="00F90841">
        <w:rPr>
          <w:cs/>
        </w:rPr>
        <w:t>‎</w:t>
      </w:r>
      <w:r w:rsidRPr="00F90841">
        <w:t>0</w:t>
      </w:r>
      <w:r w:rsidR="00D60B68" w:rsidRPr="00F90841">
        <w:t>–</w:t>
      </w:r>
      <w:r w:rsidRPr="00F90841">
        <w:rPr>
          <w:cs/>
        </w:rPr>
        <w:t>‎</w:t>
      </w:r>
      <w:r w:rsidRPr="00F90841">
        <w:t>0.</w:t>
      </w:r>
    </w:p>
    <w:p w14:paraId="6AB6F6CB" w14:textId="77777777" w:rsidR="007467BC" w:rsidRPr="00F90841" w:rsidRDefault="007467BC" w:rsidP="00EE6848">
      <w:pPr>
        <w:pStyle w:val="H4G"/>
      </w:pPr>
      <w:r w:rsidRPr="00F90841">
        <w:tab/>
      </w:r>
      <w:r w:rsidRPr="00F90841">
        <w:tab/>
      </w:r>
      <w:proofErr w:type="spellStart"/>
      <w:r w:rsidRPr="00F90841">
        <w:t>Oranga</w:t>
      </w:r>
      <w:proofErr w:type="spellEnd"/>
      <w:r w:rsidRPr="00F90841">
        <w:t xml:space="preserve"> Tamariki residences</w:t>
      </w:r>
    </w:p>
    <w:p w14:paraId="0826B74C" w14:textId="77777777" w:rsidR="007467BC" w:rsidRPr="00F90841" w:rsidRDefault="007467BC" w:rsidP="007467BC">
      <w:pPr>
        <w:pStyle w:val="SingleTxtG"/>
      </w:pPr>
      <w:r w:rsidRPr="00F90841">
        <w:t>289.</w:t>
      </w:r>
      <w:r w:rsidRPr="00F90841">
        <w:tab/>
        <w:t xml:space="preserve">If a child or young person is unhappy with any issue, they can use the internal </w:t>
      </w:r>
      <w:proofErr w:type="spellStart"/>
      <w:r w:rsidRPr="00F90841">
        <w:t>Oranga</w:t>
      </w:r>
      <w:proofErr w:type="spellEnd"/>
      <w:r w:rsidRPr="00F90841">
        <w:t xml:space="preserve"> Tamariki grievance process. If they are unhappy with the outcome of the investigation, the complaint or grievance can be escalated to a grievance panel, and in turn the Children</w:t>
      </w:r>
      <w:r w:rsidR="00562737" w:rsidRPr="00F90841">
        <w:t>’</w:t>
      </w:r>
      <w:r w:rsidRPr="00F90841">
        <w:t xml:space="preserve">s Commissioner or Ombudsman. </w:t>
      </w:r>
    </w:p>
    <w:p w14:paraId="50528127" w14:textId="77777777" w:rsidR="007467BC" w:rsidRPr="00F90841" w:rsidRDefault="007467BC" w:rsidP="007467BC">
      <w:pPr>
        <w:pStyle w:val="SingleTxtG"/>
      </w:pPr>
      <w:r w:rsidRPr="00F90841">
        <w:t>290.</w:t>
      </w:r>
      <w:r w:rsidRPr="00F90841">
        <w:tab/>
        <w:t>Each residence has an independent grievance panel that young people can complain to if they feel they were treated unreasonably or illegally. They can access independent advocacy from a lawyer or family member and usually also from residence-recruited grievance advocates. The grievance process is explained on entry to a residence. It was redeveloped in 2015 making it more child friendly, less complicated and more accessible. VOYCE, an independent advocacy and connection service for young people, can also provide grievance advocacy. The effectiveness of the grievance process is monitored closely. Analysis shows that since the changes, young people more readily understand the process.</w:t>
      </w:r>
    </w:p>
    <w:p w14:paraId="083184E5" w14:textId="77777777" w:rsidR="007467BC" w:rsidRPr="00F90841" w:rsidRDefault="007467BC" w:rsidP="007467BC">
      <w:pPr>
        <w:pStyle w:val="SingleTxtG"/>
      </w:pPr>
      <w:r w:rsidRPr="00F90841">
        <w:t>291.</w:t>
      </w:r>
      <w:r w:rsidRPr="00F90841">
        <w:tab/>
        <w:t xml:space="preserve">If a grievance relates to harm to a young person, a disciplinary process will be initiated. This may include standing the staff member down while an investigation is carried out, warnings and dismissal. Complaints about any form of harm are reviewed by the Police who determine whether a criminal investigation is required. </w:t>
      </w:r>
    </w:p>
    <w:p w14:paraId="6EC402DB" w14:textId="77777777" w:rsidR="007467BC" w:rsidRPr="00F90841" w:rsidRDefault="007467BC" w:rsidP="007467BC">
      <w:pPr>
        <w:pStyle w:val="SingleTxtG"/>
      </w:pPr>
      <w:r w:rsidRPr="00F90841">
        <w:t>292.</w:t>
      </w:r>
      <w:r w:rsidRPr="00F90841">
        <w:tab/>
        <w:t xml:space="preserve">In March 2019, the Government agreed to strengthen oversight of the </w:t>
      </w:r>
      <w:proofErr w:type="spellStart"/>
      <w:r w:rsidRPr="00F90841">
        <w:t>Oranga</w:t>
      </w:r>
      <w:proofErr w:type="spellEnd"/>
      <w:r w:rsidRPr="00F90841">
        <w:t xml:space="preserve"> Tamariki system and children</w:t>
      </w:r>
      <w:r w:rsidR="00562737" w:rsidRPr="00F90841">
        <w:t>’</w:t>
      </w:r>
      <w:r w:rsidRPr="00F90841">
        <w:t xml:space="preserve">s issues. The Ministry of Social Development is establishing an independent monitoring function for the </w:t>
      </w:r>
      <w:proofErr w:type="spellStart"/>
      <w:r w:rsidRPr="00F90841">
        <w:t>Oranga</w:t>
      </w:r>
      <w:proofErr w:type="spellEnd"/>
      <w:r w:rsidRPr="00F90841">
        <w:t xml:space="preserve"> Tamariki system, with the intention to eventually transfer it to the Children</w:t>
      </w:r>
      <w:r w:rsidR="00562737" w:rsidRPr="00F90841">
        <w:t>’</w:t>
      </w:r>
      <w:r w:rsidRPr="00F90841">
        <w:t>s Commissioner.</w:t>
      </w:r>
    </w:p>
    <w:p w14:paraId="70AE7834" w14:textId="77777777" w:rsidR="007467BC" w:rsidRPr="00F90841" w:rsidRDefault="007467BC" w:rsidP="004E3FEE">
      <w:pPr>
        <w:pStyle w:val="H4G"/>
      </w:pPr>
      <w:bookmarkStart w:id="87" w:name="_Hlk16764132"/>
      <w:bookmarkStart w:id="88" w:name="_Hlk16672974"/>
      <w:r w:rsidRPr="00F90841">
        <w:tab/>
      </w:r>
      <w:r w:rsidRPr="00F90841">
        <w:tab/>
        <w:t>Royal prerogative of mercy and the Criminal Cases Review Commission</w:t>
      </w:r>
    </w:p>
    <w:p w14:paraId="70464B6A" w14:textId="77777777" w:rsidR="007467BC" w:rsidRPr="00F90841" w:rsidRDefault="007467BC" w:rsidP="007467BC">
      <w:pPr>
        <w:pStyle w:val="SingleTxtG"/>
      </w:pPr>
      <w:bookmarkStart w:id="89" w:name="_Ref536617351"/>
      <w:r w:rsidRPr="00F90841">
        <w:t>293.</w:t>
      </w:r>
      <w:r w:rsidRPr="00F90841">
        <w:tab/>
        <w:t xml:space="preserve">A person who believes they have suffered a miscarriage of justice may apply to the Governor-General for the exercise of the Royal prerogative of mercy, to grant a pardon, or refer a case back to the courts for reconsideration. The Governor-General acts on the advice of the Minister of Justice. </w:t>
      </w:r>
    </w:p>
    <w:p w14:paraId="53C80A55" w14:textId="77777777" w:rsidR="007467BC" w:rsidRPr="00F90841" w:rsidRDefault="007467BC" w:rsidP="007467BC">
      <w:pPr>
        <w:pStyle w:val="SingleTxtG"/>
      </w:pPr>
      <w:r w:rsidRPr="00F90841">
        <w:t>294.</w:t>
      </w:r>
      <w:r w:rsidRPr="00F90841">
        <w:tab/>
        <w:t>Parliament is considering a Bill that would establish the Criminal Cases Review Commission. If established, the Commission would replace the Governor-General</w:t>
      </w:r>
      <w:r w:rsidR="00562737" w:rsidRPr="00F90841">
        <w:t>’</w:t>
      </w:r>
      <w:r w:rsidRPr="00F90841">
        <w:t>s referral power. Establishing the Commission could enhance the existing system by having an independent body with dedicated staff focused on identifying and responding to possible miscarriages of justice.</w:t>
      </w:r>
      <w:bookmarkEnd w:id="87"/>
      <w:bookmarkEnd w:id="88"/>
      <w:bookmarkEnd w:id="89"/>
    </w:p>
    <w:p w14:paraId="3C413D37" w14:textId="77777777" w:rsidR="007467BC" w:rsidRPr="00F90841" w:rsidRDefault="007467BC" w:rsidP="004E3FEE">
      <w:pPr>
        <w:pStyle w:val="H23G"/>
      </w:pPr>
      <w:r w:rsidRPr="00F90841">
        <w:lastRenderedPageBreak/>
        <w:tab/>
      </w:r>
      <w:r w:rsidRPr="00F90841">
        <w:tab/>
        <w:t xml:space="preserve">Attorney-General discretion to prosecute </w:t>
      </w:r>
    </w:p>
    <w:p w14:paraId="2DD634C2" w14:textId="77777777" w:rsidR="007467BC" w:rsidRPr="00F90841" w:rsidRDefault="007467BC" w:rsidP="007467BC">
      <w:pPr>
        <w:pStyle w:val="SingleTxtG"/>
      </w:pPr>
      <w:r w:rsidRPr="00F90841">
        <w:t>295.</w:t>
      </w:r>
      <w:r w:rsidRPr="00F90841">
        <w:tab/>
        <w:t>We do not consider that restricting the Attorney-General</w:t>
      </w:r>
      <w:r w:rsidR="00562737" w:rsidRPr="00F90841">
        <w:t>’</w:t>
      </w:r>
      <w:r w:rsidRPr="00F90841">
        <w:t>s discretion relating to prosecutorial decisions for crimes of torture is necessary. While s12 of the Crimes of Torture Act requires the Attorney-General</w:t>
      </w:r>
      <w:r w:rsidR="00562737" w:rsidRPr="00F90841">
        <w:t>’</w:t>
      </w:r>
      <w:r w:rsidRPr="00F90841">
        <w:t>s consent to prosecute, in practice, that function is exercised by the Solicitor-General, the highest non-political law officer.</w:t>
      </w:r>
      <w:r w:rsidRPr="00F90841" w:rsidDel="00A91320">
        <w:t xml:space="preserve"> </w:t>
      </w:r>
      <w:r w:rsidRPr="00F90841">
        <w:t>The Solicitor-General</w:t>
      </w:r>
      <w:r w:rsidR="00562737" w:rsidRPr="00F90841">
        <w:t>’</w:t>
      </w:r>
      <w:r w:rsidRPr="00F90841">
        <w:t>s responsibility for public prosecutions has been codified in the Criminal Procedure Act.</w:t>
      </w:r>
    </w:p>
    <w:p w14:paraId="0DB2BEC9" w14:textId="77777777" w:rsidR="007467BC" w:rsidRPr="00F90841" w:rsidRDefault="007467BC" w:rsidP="007467BC">
      <w:pPr>
        <w:pStyle w:val="SingleTxtG"/>
      </w:pPr>
      <w:r w:rsidRPr="00F90841">
        <w:t>296.</w:t>
      </w:r>
      <w:r w:rsidRPr="00F90841">
        <w:tab/>
        <w:t>The Prosecution Guidelines emphasise the universally central tenet of a prosecution system under the rule of law in a democracy: the independence of the prosecutor from persons or agencies that are not properly part of the prosecution decision-making process.</w:t>
      </w:r>
      <w:r w:rsidR="0009789F" w:rsidRPr="00F90841">
        <w:t xml:space="preserve"> </w:t>
      </w:r>
      <w:r w:rsidRPr="00F90841">
        <w:t>This independence refers to freedom from undue or improper pressure from any source, political or otherwise.</w:t>
      </w:r>
    </w:p>
    <w:p w14:paraId="1D4DE35D" w14:textId="77777777" w:rsidR="007467BC" w:rsidRPr="00F90841" w:rsidRDefault="007467BC" w:rsidP="004E3FEE">
      <w:pPr>
        <w:pStyle w:val="H1G"/>
      </w:pPr>
      <w:r w:rsidRPr="00F90841">
        <w:tab/>
      </w:r>
      <w:r w:rsidRPr="00F90841">
        <w:tab/>
        <w:t>Reply to paragraph 27 of the list of issues</w:t>
      </w:r>
    </w:p>
    <w:p w14:paraId="50181F0E" w14:textId="77777777" w:rsidR="007467BC" w:rsidRPr="00F90841" w:rsidRDefault="007467BC" w:rsidP="004E3FEE">
      <w:pPr>
        <w:pStyle w:val="H23G"/>
      </w:pPr>
      <w:r w:rsidRPr="00F90841">
        <w:tab/>
      </w:r>
      <w:r w:rsidRPr="00F90841">
        <w:tab/>
        <w:t xml:space="preserve">Investigating </w:t>
      </w:r>
      <w:r w:rsidR="00562737" w:rsidRPr="00F90841">
        <w:t>‘</w:t>
      </w:r>
      <w:r w:rsidRPr="00F90841">
        <w:t>Operation Burnham</w:t>
      </w:r>
      <w:r w:rsidR="00562737" w:rsidRPr="00F90841">
        <w:t>’</w:t>
      </w:r>
    </w:p>
    <w:p w14:paraId="486C45BC" w14:textId="77777777" w:rsidR="007467BC" w:rsidRPr="00F90841" w:rsidRDefault="007467BC" w:rsidP="007467BC">
      <w:pPr>
        <w:pStyle w:val="SingleTxtG"/>
      </w:pPr>
      <w:r w:rsidRPr="00F90841">
        <w:t>297.</w:t>
      </w:r>
      <w:r w:rsidRPr="00F90841">
        <w:tab/>
        <w:t>In 2018, the Attorney-General announced a Government inquiry under the Inquiries Act 2013 into allegations relating to Operation Burnham and related matters. Sir Terence Arnold (a former Supreme Court judge) and Rt Hon Sir Geoffrey Palmer (a barrister, legal academic and former Prime Minister) were appointed to lead the Inquiry.</w:t>
      </w:r>
    </w:p>
    <w:p w14:paraId="7CBC1B7A" w14:textId="77777777" w:rsidR="007467BC" w:rsidRPr="00F90841" w:rsidRDefault="007467BC" w:rsidP="007467BC">
      <w:pPr>
        <w:pStyle w:val="SingleTxtG"/>
      </w:pPr>
      <w:r w:rsidRPr="00F90841">
        <w:t>298.</w:t>
      </w:r>
      <w:r w:rsidRPr="00F90841">
        <w:tab/>
        <w:t>The Inquiry seeks to establish the facts in connection with the allegations, examine the treatment by New Zealand Defence Force (NZDF) personnel of reports of civilian casualties following the operation, and assess the conduct of NZDF personnel, including compliance with rules of engagement, international humanitarian law and military and political authorisations. The Inquiry does not have jurisdiction to make determinations about other nations</w:t>
      </w:r>
      <w:r w:rsidR="00562737" w:rsidRPr="00F90841">
        <w:t>’</w:t>
      </w:r>
      <w:r w:rsidRPr="00F90841">
        <w:t xml:space="preserve"> actions or civil, criminal, or disciplinary liability of individuals. However, it may make findings of fault and recommend further steps to determine liability.</w:t>
      </w:r>
    </w:p>
    <w:p w14:paraId="577723E2" w14:textId="77777777" w:rsidR="007467BC" w:rsidRPr="00F90841" w:rsidRDefault="007467BC" w:rsidP="007467BC">
      <w:pPr>
        <w:pStyle w:val="SingleTxtG"/>
      </w:pPr>
      <w:r w:rsidRPr="00F90841">
        <w:t>299.</w:t>
      </w:r>
      <w:r w:rsidRPr="00F90841">
        <w:tab/>
        <w:t xml:space="preserve">NZDF fully cooperates with the Inquiry and has established a Special Inquiry Office to coordinate NZDF participation and provide support to the Inquiry. The Inquiry is due to report to the Government in December 2019. </w:t>
      </w:r>
    </w:p>
    <w:p w14:paraId="10A88C04" w14:textId="77777777" w:rsidR="007467BC" w:rsidRPr="00F90841" w:rsidRDefault="007467BC" w:rsidP="007467BC">
      <w:pPr>
        <w:pStyle w:val="SingleTxtG"/>
      </w:pPr>
      <w:r w:rsidRPr="00F90841">
        <w:t>300.</w:t>
      </w:r>
      <w:r w:rsidRPr="00F90841">
        <w:tab/>
        <w:t>The Inspector-General of Intelligence and Security has recently concluded an inquiry (the CIA Inquiry) into the role or connection of New Zealand intelligence agencies over the period 2001 to 2009 with a partner agency, the CIA, that engaged in detainee torture. No direct connection with the CIA</w:t>
      </w:r>
      <w:r w:rsidR="00562737" w:rsidRPr="00F90841">
        <w:t>’</w:t>
      </w:r>
      <w:r w:rsidRPr="00F90841">
        <w:t>s programme was identified but there was insufficient awareness of risk arising from close partner engagement and receipt of intelligence reports. A further similar inquiry (</w:t>
      </w:r>
      <w:r w:rsidRPr="000D1511">
        <w:rPr>
          <w:i/>
          <w:iCs/>
        </w:rPr>
        <w:t>the Afghanistan Inquiry</w:t>
      </w:r>
      <w:r w:rsidRPr="00F90841">
        <w:t>) addresses events in the period 2009 to 2013. Factual matters for the Government Inquiry into Operation Burnham potentially overlap with the latter inquiry.</w:t>
      </w:r>
    </w:p>
    <w:p w14:paraId="2D10330C" w14:textId="77777777" w:rsidR="007467BC" w:rsidRPr="00F90841" w:rsidRDefault="007467BC" w:rsidP="004E3FEE">
      <w:pPr>
        <w:pStyle w:val="H1G"/>
      </w:pPr>
      <w:bookmarkStart w:id="90" w:name="_Toc20139401"/>
      <w:r w:rsidRPr="00F90841">
        <w:tab/>
      </w:r>
      <w:r w:rsidRPr="00F90841">
        <w:tab/>
        <w:t>Article 14</w:t>
      </w:r>
      <w:bookmarkEnd w:id="90"/>
    </w:p>
    <w:p w14:paraId="618312AC" w14:textId="77777777" w:rsidR="007467BC" w:rsidRPr="00F90841" w:rsidRDefault="007467BC" w:rsidP="004E3FEE">
      <w:pPr>
        <w:pStyle w:val="H1G"/>
      </w:pPr>
      <w:r w:rsidRPr="00F90841">
        <w:tab/>
      </w:r>
      <w:r w:rsidRPr="00F90841">
        <w:tab/>
        <w:t>Reply to paragraph 28 of the list of issues</w:t>
      </w:r>
    </w:p>
    <w:p w14:paraId="7C703CFA" w14:textId="77777777" w:rsidR="007467BC" w:rsidRPr="00F90841" w:rsidRDefault="007467BC" w:rsidP="004E3FEE">
      <w:pPr>
        <w:pStyle w:val="H23G"/>
      </w:pPr>
      <w:bookmarkStart w:id="91" w:name="_Hlk525805595"/>
      <w:r w:rsidRPr="00F90841">
        <w:tab/>
      </w:r>
      <w:r w:rsidRPr="00F90841">
        <w:tab/>
        <w:t>Historic ill-treatment</w:t>
      </w:r>
    </w:p>
    <w:p w14:paraId="78E0439E" w14:textId="77777777" w:rsidR="007467BC" w:rsidRPr="00F90841" w:rsidRDefault="007467BC" w:rsidP="004E3FEE">
      <w:pPr>
        <w:pStyle w:val="H23G"/>
      </w:pPr>
      <w:r w:rsidRPr="00F90841">
        <w:tab/>
      </w:r>
      <w:r w:rsidRPr="00F90841">
        <w:tab/>
        <w:t>Royal Commission into Historical Abuse in State Care and in the Care of Faith-based Institutions</w:t>
      </w:r>
    </w:p>
    <w:p w14:paraId="4E8F0DE4" w14:textId="77777777" w:rsidR="007467BC" w:rsidRPr="00F90841" w:rsidRDefault="007467BC" w:rsidP="007467BC">
      <w:pPr>
        <w:pStyle w:val="SingleTxtG"/>
      </w:pPr>
      <w:r w:rsidRPr="00F90841">
        <w:t>301.</w:t>
      </w:r>
      <w:r w:rsidRPr="00F90841">
        <w:tab/>
        <w:t>In 2018, the Government established the Royal Commission (Inquiry). Royal Commissions are reserved for the most serious issues of public importance.</w:t>
      </w:r>
      <w:r w:rsidR="0009789F" w:rsidRPr="00F90841">
        <w:t xml:space="preserve"> </w:t>
      </w:r>
      <w:r w:rsidRPr="00F90841">
        <w:t xml:space="preserve">Establishing this Inquiry acknowledges that historic abuse has occurred and marks an important step forward for victims/survivors. It also responds to public calls for an independent inquiry, including from the Human Rights Commission and the Committee on the Elimination of Racial Discrimination. </w:t>
      </w:r>
    </w:p>
    <w:p w14:paraId="6114C9A7" w14:textId="77777777" w:rsidR="007467BC" w:rsidRPr="00F90841" w:rsidRDefault="007467BC" w:rsidP="007467BC">
      <w:pPr>
        <w:pStyle w:val="SingleTxtG"/>
      </w:pPr>
      <w:r w:rsidRPr="00F90841">
        <w:t>302.</w:t>
      </w:r>
      <w:r w:rsidRPr="00F90841">
        <w:tab/>
        <w:t>Following extensive public consultation, the finalised terms of reference acknowledge and reaffirm New Zealand</w:t>
      </w:r>
      <w:r w:rsidR="00562737" w:rsidRPr="00F90841">
        <w:t>’</w:t>
      </w:r>
      <w:r w:rsidRPr="00F90841">
        <w:t xml:space="preserve">s international obligations to take appropriate </w:t>
      </w:r>
      <w:r w:rsidRPr="00F90841">
        <w:lastRenderedPageBreak/>
        <w:t xml:space="preserve">legislative, administrative, judicial or other measures to protect people from abuse and recognise that abuse warrants prompt and impartial examination. </w:t>
      </w:r>
    </w:p>
    <w:p w14:paraId="75890619" w14:textId="77777777" w:rsidR="007467BC" w:rsidRPr="00F90841" w:rsidRDefault="007467BC" w:rsidP="008836B8">
      <w:pPr>
        <w:pStyle w:val="SingleTxtG"/>
      </w:pPr>
      <w:r w:rsidRPr="00F90841">
        <w:t>303.</w:t>
      </w:r>
      <w:r w:rsidRPr="00F90841">
        <w:tab/>
        <w:t xml:space="preserve">The Inquiry is examining the abuse of children, young persons, and vulnerable adults in state care and in the care of faith-based institutions occurring between 1950 and 1999, with some discretion to look beyond these dates. It will consider physical, emotional and sexual abuse and neglect, as defined domestically and internationally. A key focus for the Inquiry is to examine the differential impacts of abuse, for example, for Māori and Pacific people, LGBTQI people, and people with disabilities or mental health issues. The Inquiry will examine the nature and extent of abuse, its immediate and long-term impacts on individuals, families and communities, contributing factors, and lessons for the future. It will also examine current settings to prevent and respond to abuse, including existing redress processes. </w:t>
      </w:r>
    </w:p>
    <w:p w14:paraId="24BBE5A5" w14:textId="77777777" w:rsidR="007467BC" w:rsidRPr="00F90841" w:rsidRDefault="007467BC" w:rsidP="007467BC">
      <w:pPr>
        <w:pStyle w:val="SingleTxtG"/>
      </w:pPr>
      <w:r w:rsidRPr="00F90841">
        <w:t>304.</w:t>
      </w:r>
      <w:r w:rsidRPr="00F90841">
        <w:tab/>
        <w:t>The Inquiry</w:t>
      </w:r>
      <w:r w:rsidR="00562737" w:rsidRPr="00F90841">
        <w:t>’</w:t>
      </w:r>
      <w:r w:rsidRPr="00F90841">
        <w:t>s recommendations may concern legislative, administrative, policy, practice, or procedural change. It will make recommendations on appropriate steps to address the harm caused, including whether the State should issue an apology. Under the Inquiries Act, the Inquiry cannot make findings of civil, criminal or disciplinary liability, but can make findings of fault and recommend steps be taken to determine liability.</w:t>
      </w:r>
    </w:p>
    <w:p w14:paraId="5765A875" w14:textId="77777777" w:rsidR="007467BC" w:rsidRPr="00F90841" w:rsidRDefault="007467BC" w:rsidP="004E3FEE">
      <w:pPr>
        <w:pStyle w:val="H23G"/>
      </w:pPr>
      <w:bookmarkStart w:id="92" w:name="_Hlk525737018"/>
      <w:bookmarkEnd w:id="91"/>
      <w:r w:rsidRPr="00F90841">
        <w:tab/>
      </w:r>
      <w:r w:rsidRPr="00F90841">
        <w:tab/>
        <w:t>Existing avenues for redress</w:t>
      </w:r>
    </w:p>
    <w:p w14:paraId="71FC6F36" w14:textId="77777777" w:rsidR="007467BC" w:rsidRPr="00F90841" w:rsidRDefault="007467BC" w:rsidP="004E3FEE">
      <w:pPr>
        <w:pStyle w:val="H4G"/>
      </w:pPr>
      <w:bookmarkStart w:id="93" w:name="_Hlk532372880"/>
      <w:r w:rsidRPr="00F90841">
        <w:tab/>
      </w:r>
      <w:r w:rsidRPr="00F90841">
        <w:tab/>
        <w:t>Ministry of Social Development (MSD) Historic Claims Team</w:t>
      </w:r>
    </w:p>
    <w:p w14:paraId="7C435B3B" w14:textId="77777777" w:rsidR="007467BC" w:rsidRPr="00F90841" w:rsidRDefault="007467BC" w:rsidP="007467BC">
      <w:pPr>
        <w:pStyle w:val="SingleTxtG"/>
      </w:pPr>
      <w:r w:rsidRPr="00F90841">
        <w:t>305.</w:t>
      </w:r>
      <w:r w:rsidRPr="00F90841">
        <w:tab/>
        <w:t xml:space="preserve">This team works with people who were abused or neglected in care, custody or guardianship. As at 31 March 2019, MSD had resolved 1,794 of the 3,667 claims received, and made apologies and payments totalling approximately $27.6 million to 1,450 people. Individual payments range between $1,150 and $80,000 with the most common payments sitting in the $10,000 to $25,000 range. Another 1,870 claims were waiting to be resolved at the same date. </w:t>
      </w:r>
    </w:p>
    <w:p w14:paraId="3F0FE6F0" w14:textId="77777777" w:rsidR="007467BC" w:rsidRPr="00F90841" w:rsidRDefault="007467BC" w:rsidP="007467BC">
      <w:pPr>
        <w:pStyle w:val="SingleTxtG"/>
      </w:pPr>
      <w:r w:rsidRPr="00F90841">
        <w:t>306.</w:t>
      </w:r>
      <w:r w:rsidRPr="00F90841">
        <w:tab/>
        <w:t>MSD</w:t>
      </w:r>
      <w:r w:rsidR="00562737" w:rsidRPr="00F90841">
        <w:t>’</w:t>
      </w:r>
      <w:r w:rsidRPr="00F90841">
        <w:t xml:space="preserve">s claims process is resource-intensive and takes considerable time to complete, leading to an increasing backlog of claims. A review was undertaken in 2018, focusing on feedback from those involved in the process about what they need (including consultation with Māori). In November 2018, MSD began implementing a new, streamlined operating model. Central to the assessment process remains the importance of meeting face-to-face with people to hear about their concerns. </w:t>
      </w:r>
    </w:p>
    <w:bookmarkEnd w:id="93"/>
    <w:p w14:paraId="601B4C71" w14:textId="77777777" w:rsidR="007467BC" w:rsidRPr="00F90841" w:rsidRDefault="007467BC" w:rsidP="004E3FEE">
      <w:pPr>
        <w:pStyle w:val="H4G"/>
      </w:pPr>
      <w:r w:rsidRPr="00F90841">
        <w:tab/>
      </w:r>
      <w:r w:rsidRPr="00F90841">
        <w:tab/>
        <w:t xml:space="preserve">Historic Abuse Resolution Service (HARS) </w:t>
      </w:r>
    </w:p>
    <w:p w14:paraId="1250814A" w14:textId="77777777" w:rsidR="007467BC" w:rsidRPr="00F90841" w:rsidRDefault="007467BC" w:rsidP="007467BC">
      <w:pPr>
        <w:pStyle w:val="SingleTxtG"/>
      </w:pPr>
      <w:r w:rsidRPr="00F90841">
        <w:t>307.</w:t>
      </w:r>
      <w:r w:rsidRPr="00F90841">
        <w:tab/>
        <w:t>In 2012, the Ministry of Health established HARS to support the resolution of historic claims of ill-treatment without the need for court proceedings. HARS considers allegations of abuse in state-run psychiatric facilities prior to 1993 and, in appropriate cases, approves an apology and ex-gratia payment up to $9,000.</w:t>
      </w:r>
    </w:p>
    <w:p w14:paraId="357CBF7D" w14:textId="77777777" w:rsidR="007467BC" w:rsidRPr="00F90841" w:rsidRDefault="007467BC" w:rsidP="007467BC">
      <w:pPr>
        <w:pStyle w:val="SingleTxtG"/>
      </w:pPr>
      <w:r w:rsidRPr="00F90841">
        <w:t>308.</w:t>
      </w:r>
      <w:r w:rsidRPr="00F90841">
        <w:tab/>
        <w:t xml:space="preserve">Following allegations of abuse, the Government offered apologies and compensation. Between July 2012 and July 2018, 191 claims were settled, and compensation of $1.145m paid. </w:t>
      </w:r>
    </w:p>
    <w:p w14:paraId="0DCADC74" w14:textId="77777777" w:rsidR="007467BC" w:rsidRPr="00F90841" w:rsidRDefault="007467BC" w:rsidP="007467BC">
      <w:pPr>
        <w:pStyle w:val="SingleTxtG"/>
      </w:pPr>
      <w:r w:rsidRPr="00F90841">
        <w:t>309.</w:t>
      </w:r>
      <w:r w:rsidRPr="00F90841">
        <w:tab/>
        <w:t>Since 2014, three new claims were made by former patients of Lake Alice. Two were settled, the other is underway. In addition, two top-up claims were made and settled. The amount of compensation is withheld for privacy reasons.</w:t>
      </w:r>
    </w:p>
    <w:bookmarkEnd w:id="92"/>
    <w:p w14:paraId="3A7810E7" w14:textId="77777777" w:rsidR="007467BC" w:rsidRPr="00F90841" w:rsidRDefault="007467BC" w:rsidP="007467BC">
      <w:pPr>
        <w:pStyle w:val="SingleTxtG"/>
      </w:pPr>
      <w:r w:rsidRPr="00F90841">
        <w:t>310.</w:t>
      </w:r>
      <w:r w:rsidRPr="00F90841">
        <w:tab/>
        <w:t>Mr</w:t>
      </w:r>
      <w:r w:rsidR="000D1511">
        <w:t>.</w:t>
      </w:r>
      <w:r w:rsidRPr="00F90841">
        <w:t xml:space="preserve"> </w:t>
      </w:r>
      <w:proofErr w:type="spellStart"/>
      <w:r w:rsidRPr="00F90841">
        <w:t>Zentveld</w:t>
      </w:r>
      <w:r w:rsidR="00562737" w:rsidRPr="00F90841">
        <w:t>’</w:t>
      </w:r>
      <w:r w:rsidRPr="00F90841">
        <w:t>s</w:t>
      </w:r>
      <w:proofErr w:type="spellEnd"/>
      <w:r w:rsidRPr="00F90841">
        <w:t xml:space="preserve"> communication to the Committee relates to Lake Alice hospital. The Royal Commission will also cover events at Lake Alice.</w:t>
      </w:r>
    </w:p>
    <w:p w14:paraId="2B2D41B0" w14:textId="77777777" w:rsidR="007467BC" w:rsidRPr="00F90841" w:rsidRDefault="007467BC" w:rsidP="00316C8F">
      <w:pPr>
        <w:pStyle w:val="H1G"/>
      </w:pPr>
      <w:r w:rsidRPr="00F90841">
        <w:tab/>
      </w:r>
      <w:r w:rsidRPr="00F90841">
        <w:tab/>
        <w:t>Reply to paragraph 29 of the list of issues</w:t>
      </w:r>
    </w:p>
    <w:p w14:paraId="023DD9A1" w14:textId="77777777" w:rsidR="007467BC" w:rsidRPr="00F90841" w:rsidRDefault="007467BC" w:rsidP="00316C8F">
      <w:pPr>
        <w:pStyle w:val="H23G"/>
      </w:pPr>
      <w:r w:rsidRPr="00F90841">
        <w:tab/>
      </w:r>
      <w:r w:rsidRPr="00F90841">
        <w:tab/>
        <w:t>Redress and compensation</w:t>
      </w:r>
    </w:p>
    <w:p w14:paraId="19D29D0E" w14:textId="77777777" w:rsidR="007467BC" w:rsidRPr="00F90841" w:rsidRDefault="007467BC" w:rsidP="00316C8F">
      <w:pPr>
        <w:pStyle w:val="H23G"/>
      </w:pPr>
      <w:r w:rsidRPr="00F90841">
        <w:tab/>
      </w:r>
      <w:r w:rsidRPr="00F90841">
        <w:tab/>
        <w:t>Prisoners and Victims Claims (Continuation and Amendment) Act 2013 (PVCA)</w:t>
      </w:r>
    </w:p>
    <w:p w14:paraId="3FDFD1F8" w14:textId="77777777" w:rsidR="007467BC" w:rsidRPr="00F90841" w:rsidRDefault="007467BC" w:rsidP="007467BC">
      <w:pPr>
        <w:pStyle w:val="SingleTxtG"/>
      </w:pPr>
      <w:r w:rsidRPr="00F90841">
        <w:t>311.</w:t>
      </w:r>
      <w:r w:rsidRPr="00F90841">
        <w:tab/>
        <w:t>In the reporting period, there were no steps taken to amend this Act. The requirement that damages may only be awarded after consideration of a range of factors is consistent with the court</w:t>
      </w:r>
      <w:r w:rsidR="00562737" w:rsidRPr="00F90841">
        <w:t>’</w:t>
      </w:r>
      <w:r w:rsidRPr="00F90841">
        <w:t xml:space="preserve">s approach to awarding damages for rights breaches. Courts can, </w:t>
      </w:r>
      <w:r w:rsidRPr="00F90841">
        <w:lastRenderedPageBreak/>
        <w:t>and have awarded, compensation or other remedies for breaches of NZBORA, which includes the right not to be subjected to torture or cruel treatment, and to be treated with dignity (para</w:t>
      </w:r>
      <w:r w:rsidR="00536B5A">
        <w:t>.</w:t>
      </w:r>
      <w:r w:rsidRPr="00F90841">
        <w:t xml:space="preserve"> </w:t>
      </w:r>
      <w:r w:rsidRPr="00F90841">
        <w:rPr>
          <w:cs/>
        </w:rPr>
        <w:t>‎</w:t>
      </w:r>
      <w:r w:rsidRPr="00F90841">
        <w:t>0).</w:t>
      </w:r>
    </w:p>
    <w:p w14:paraId="0886E433" w14:textId="77777777" w:rsidR="007467BC" w:rsidRPr="00F90841" w:rsidRDefault="007467BC" w:rsidP="00316C8F">
      <w:pPr>
        <w:pStyle w:val="H23G"/>
      </w:pPr>
      <w:r w:rsidRPr="00F90841">
        <w:tab/>
      </w:r>
      <w:r w:rsidRPr="00F90841">
        <w:tab/>
        <w:t>Redress and compensation</w:t>
      </w:r>
    </w:p>
    <w:p w14:paraId="39ED287B" w14:textId="77777777" w:rsidR="007467BC" w:rsidRPr="00F90841" w:rsidRDefault="007467BC" w:rsidP="007467BC">
      <w:pPr>
        <w:pStyle w:val="SingleTxtG"/>
      </w:pPr>
      <w:r w:rsidRPr="00F90841">
        <w:t>312.</w:t>
      </w:r>
      <w:r w:rsidRPr="00F90841">
        <w:tab/>
        <w:t>The Royal Commission (issue 28) may make recommendations concerning the current redress and compensation regime.</w:t>
      </w:r>
    </w:p>
    <w:p w14:paraId="5A36DA1D" w14:textId="77777777" w:rsidR="007467BC" w:rsidRPr="00F90841" w:rsidRDefault="007467BC" w:rsidP="00316C8F">
      <w:pPr>
        <w:pStyle w:val="H4G"/>
      </w:pPr>
      <w:r w:rsidRPr="00F90841">
        <w:tab/>
      </w:r>
      <w:r w:rsidRPr="00F90841">
        <w:tab/>
        <w:t>Prisons</w:t>
      </w:r>
    </w:p>
    <w:p w14:paraId="055A65CD" w14:textId="77777777" w:rsidR="007467BC" w:rsidRPr="00F90841" w:rsidRDefault="007467BC" w:rsidP="007467BC">
      <w:pPr>
        <w:pStyle w:val="SingleTxtG"/>
      </w:pPr>
      <w:bookmarkStart w:id="94" w:name="_Hlk525723837"/>
      <w:r w:rsidRPr="00F90841">
        <w:t>313.</w:t>
      </w:r>
      <w:r w:rsidRPr="00F90841">
        <w:tab/>
        <w:t>There were some instances during the reporting period where Corrections settled claims of alleged ill-treatment. Settlements do not indicate acceptance that ill-treatment occurred. One payment was made for application of restraint. A payment has also been made under the PVCA.</w:t>
      </w:r>
    </w:p>
    <w:p w14:paraId="78002616" w14:textId="77777777" w:rsidR="007467BC" w:rsidRPr="00F90841" w:rsidRDefault="007467BC" w:rsidP="007467BC">
      <w:pPr>
        <w:pStyle w:val="SingleTxtG"/>
      </w:pPr>
      <w:bookmarkStart w:id="95" w:name="_Ref530991452"/>
      <w:r w:rsidRPr="00F90841">
        <w:t>314.</w:t>
      </w:r>
      <w:r w:rsidRPr="00F90841">
        <w:tab/>
        <w:t>In 2017, following Communication No. 672/2015 filed by Mr</w:t>
      </w:r>
      <w:r w:rsidR="004E5AB8">
        <w:t>.</w:t>
      </w:r>
      <w:r w:rsidRPr="00F90841">
        <w:t xml:space="preserve"> Vogel, the Committee against Torture found a violation of Article 16. This case related to an event of prolonged seclusion for disciplinary purposes in 2000. The Committee did not find Article 14 was breached. In 2018, the Government granted an ex-gratia payment of $10,000 plus contribution to legal cost to Mr</w:t>
      </w:r>
      <w:r w:rsidR="004E5AB8">
        <w:t>.</w:t>
      </w:r>
      <w:r w:rsidRPr="00F90841">
        <w:t xml:space="preserve"> Vogel. This is the first time the Government has given compensation for a breach of a human rights treaty following a treaty body</w:t>
      </w:r>
      <w:r w:rsidR="00562737" w:rsidRPr="00F90841">
        <w:t>’</w:t>
      </w:r>
      <w:r w:rsidRPr="00F90841">
        <w:t>s finding.</w:t>
      </w:r>
      <w:bookmarkEnd w:id="95"/>
    </w:p>
    <w:p w14:paraId="38C2182C" w14:textId="77777777" w:rsidR="007467BC" w:rsidRPr="00F90841" w:rsidRDefault="007467BC" w:rsidP="00316C8F">
      <w:pPr>
        <w:pStyle w:val="H4G"/>
      </w:pPr>
      <w:r w:rsidRPr="00F90841">
        <w:tab/>
      </w:r>
      <w:r w:rsidRPr="00F90841">
        <w:tab/>
        <w:t>Compensation for wrongful conviction and imprisonment</w:t>
      </w:r>
    </w:p>
    <w:p w14:paraId="09262555" w14:textId="77777777" w:rsidR="007467BC" w:rsidRPr="00F90841" w:rsidRDefault="007467BC" w:rsidP="007467BC">
      <w:pPr>
        <w:pStyle w:val="SingleTxtG"/>
      </w:pPr>
      <w:r w:rsidRPr="00F90841">
        <w:t>315.</w:t>
      </w:r>
      <w:r w:rsidRPr="00F90841">
        <w:tab/>
        <w:t>Under Cabinet Guidelines, the Government may pay compensation on an ex-gratia basis to persons wrongfully convicted and imprisoned. Claims accepted for consideration are usually referred to a retired judge or an eminent lawyer for independent assessment. They will assess whether the claimant is innocent on the balance of probabilities. If so, they will ordinarily recommend an appropriate amount of compensation.</w:t>
      </w:r>
    </w:p>
    <w:p w14:paraId="1772DD16" w14:textId="77777777" w:rsidR="007467BC" w:rsidRPr="00F90841" w:rsidRDefault="007467BC" w:rsidP="007467BC">
      <w:pPr>
        <w:pStyle w:val="SingleTxtG"/>
      </w:pPr>
      <w:r w:rsidRPr="00F90841">
        <w:t>316.</w:t>
      </w:r>
      <w:r w:rsidRPr="00F90841">
        <w:tab/>
        <w:t xml:space="preserve">In the reporting period, the Government compensated two claimants under the Guidelines ($3.5m and $550,000). The first claimant, </w:t>
      </w:r>
      <w:proofErr w:type="spellStart"/>
      <w:r w:rsidRPr="00F90841">
        <w:t>Teina</w:t>
      </w:r>
      <w:proofErr w:type="spellEnd"/>
      <w:r w:rsidRPr="00F90841">
        <w:t xml:space="preserve"> </w:t>
      </w:r>
      <w:proofErr w:type="spellStart"/>
      <w:r w:rsidRPr="00F90841">
        <w:t>Pora</w:t>
      </w:r>
      <w:proofErr w:type="spellEnd"/>
      <w:r w:rsidRPr="00F90841">
        <w:t>, spent almost 20 years in prison and the Government initially awarded compensation of approximately $2.5m. Following his successful judicial review, the Government awarded an additional $1m to adjust compensation for inflation.</w:t>
      </w:r>
      <w:bookmarkEnd w:id="94"/>
      <w:r w:rsidRPr="00F90841">
        <w:t xml:space="preserve"> </w:t>
      </w:r>
    </w:p>
    <w:p w14:paraId="2C98591B" w14:textId="77777777" w:rsidR="007467BC" w:rsidRPr="00F90841" w:rsidRDefault="007467BC" w:rsidP="00316C8F">
      <w:pPr>
        <w:pStyle w:val="H4G"/>
      </w:pPr>
      <w:r w:rsidRPr="00F90841">
        <w:tab/>
      </w:r>
      <w:r w:rsidRPr="00F90841">
        <w:tab/>
      </w:r>
      <w:proofErr w:type="spellStart"/>
      <w:r w:rsidRPr="00F90841">
        <w:t>Oranga</w:t>
      </w:r>
      <w:proofErr w:type="spellEnd"/>
      <w:r w:rsidRPr="00F90841">
        <w:t xml:space="preserve"> Tamariki state care</w:t>
      </w:r>
    </w:p>
    <w:p w14:paraId="6B9F188E" w14:textId="77777777" w:rsidR="007467BC" w:rsidRPr="00F90841" w:rsidRDefault="007467BC" w:rsidP="007467BC">
      <w:pPr>
        <w:pStyle w:val="SingleTxtG"/>
      </w:pPr>
      <w:r w:rsidRPr="00F90841">
        <w:t>317.</w:t>
      </w:r>
      <w:r w:rsidRPr="00F90841">
        <w:tab/>
        <w:t xml:space="preserve">Compensation may be available to persons filing a civil claim against </w:t>
      </w:r>
      <w:proofErr w:type="spellStart"/>
      <w:r w:rsidRPr="00F90841">
        <w:t>Oranga</w:t>
      </w:r>
      <w:proofErr w:type="spellEnd"/>
      <w:r w:rsidRPr="00F90841">
        <w:t xml:space="preserve"> Tamariki. Alternatively, </w:t>
      </w:r>
      <w:proofErr w:type="spellStart"/>
      <w:r w:rsidRPr="00F90841">
        <w:t>Oranga</w:t>
      </w:r>
      <w:proofErr w:type="spellEnd"/>
      <w:r w:rsidRPr="00F90841">
        <w:t xml:space="preserve"> Tamariki may decide to make an ex-gratia payment as a mark of goodwill or moral obligation where no legal liability is recognised. If a child were to suffer abuse within </w:t>
      </w:r>
      <w:proofErr w:type="spellStart"/>
      <w:r w:rsidRPr="00F90841">
        <w:t>Oranga</w:t>
      </w:r>
      <w:proofErr w:type="spellEnd"/>
      <w:r w:rsidRPr="00F90841">
        <w:t xml:space="preserve"> Tamariki care, </w:t>
      </w:r>
      <w:proofErr w:type="spellStart"/>
      <w:r w:rsidRPr="00F90841">
        <w:t>Oranga</w:t>
      </w:r>
      <w:proofErr w:type="spellEnd"/>
      <w:r w:rsidRPr="00F90841">
        <w:t xml:space="preserve"> Tamariki would also consider providing access to specialist services like counselling.</w:t>
      </w:r>
    </w:p>
    <w:p w14:paraId="517DDED2" w14:textId="77777777" w:rsidR="007467BC" w:rsidRPr="00F90841" w:rsidRDefault="007467BC" w:rsidP="00316C8F">
      <w:pPr>
        <w:pStyle w:val="H4G"/>
      </w:pPr>
      <w:r w:rsidRPr="00F90841">
        <w:tab/>
      </w:r>
      <w:r w:rsidRPr="00F90841">
        <w:tab/>
        <w:t>Health services</w:t>
      </w:r>
    </w:p>
    <w:p w14:paraId="64D9F308" w14:textId="77777777" w:rsidR="007467BC" w:rsidRPr="00F90841" w:rsidRDefault="007467BC" w:rsidP="007467BC">
      <w:pPr>
        <w:pStyle w:val="SingleTxtG"/>
      </w:pPr>
      <w:r w:rsidRPr="00F90841">
        <w:t>318.</w:t>
      </w:r>
      <w:r w:rsidRPr="00F90841">
        <w:tab/>
        <w:t>Comprehensive information on redress and compensation for ill-treatment in health places of detention is not available. For historic ill-treatment in psychiatric facilities see issue 28.</w:t>
      </w:r>
    </w:p>
    <w:p w14:paraId="184D6475" w14:textId="77777777" w:rsidR="007467BC" w:rsidRPr="00F90841" w:rsidRDefault="007467BC" w:rsidP="007467BC">
      <w:pPr>
        <w:pStyle w:val="SingleTxtG"/>
      </w:pPr>
      <w:r w:rsidRPr="00F90841">
        <w:t>319.</w:t>
      </w:r>
      <w:r w:rsidRPr="00F90841">
        <w:tab/>
        <w:t xml:space="preserve">Persons who have experienced trauma can access services through the public health system. Services are free or subsidised and increasingly take a </w:t>
      </w:r>
      <w:r w:rsidR="00562737" w:rsidRPr="00F90841">
        <w:t>‘</w:t>
      </w:r>
      <w:r w:rsidRPr="00F90841">
        <w:t>trauma-informed</w:t>
      </w:r>
      <w:r w:rsidR="00562737" w:rsidRPr="00F90841">
        <w:t>’</w:t>
      </w:r>
      <w:r w:rsidRPr="00F90841">
        <w:t xml:space="preserve"> approach. People who experience a mental injury, such as trauma resulting from physical injury, may also be eligible for compensation or funding for treatment through the Accident Compensation Corporation, a no-fault public insurance scheme.</w:t>
      </w:r>
    </w:p>
    <w:p w14:paraId="6C139B37" w14:textId="77777777" w:rsidR="007467BC" w:rsidRPr="00F90841" w:rsidRDefault="007467BC" w:rsidP="007467BC">
      <w:pPr>
        <w:pStyle w:val="SingleTxtG"/>
      </w:pPr>
      <w:r w:rsidRPr="00F90841">
        <w:t>320.</w:t>
      </w:r>
      <w:r w:rsidRPr="00F90841">
        <w:tab/>
        <w:t xml:space="preserve">There is room to improve services. Health workforce centres offer training and resources on trauma informed care to improve responses to trauma. He Ara </w:t>
      </w:r>
      <w:proofErr w:type="spellStart"/>
      <w:r w:rsidRPr="00F90841">
        <w:t>Oranga</w:t>
      </w:r>
      <w:proofErr w:type="spellEnd"/>
      <w:r w:rsidRPr="00F90841">
        <w:t xml:space="preserve">: Report of the Government Inquiry into Mental Health and </w:t>
      </w:r>
      <w:r w:rsidRPr="00536B5A">
        <w:rPr>
          <w:i/>
          <w:iCs/>
        </w:rPr>
        <w:t>Addiction</w:t>
      </w:r>
      <w:r w:rsidRPr="00F90841">
        <w:t xml:space="preserve"> emphasises the importance of a trauma-informed approach.</w:t>
      </w:r>
    </w:p>
    <w:p w14:paraId="47368E75" w14:textId="77777777" w:rsidR="007467BC" w:rsidRPr="00F90841" w:rsidRDefault="007467BC" w:rsidP="00316C8F">
      <w:pPr>
        <w:pStyle w:val="H4G"/>
      </w:pPr>
      <w:r w:rsidRPr="00F90841">
        <w:tab/>
      </w:r>
      <w:r w:rsidRPr="00F90841">
        <w:tab/>
        <w:t>Victims</w:t>
      </w:r>
      <w:r w:rsidR="00562737" w:rsidRPr="00F90841">
        <w:t>’</w:t>
      </w:r>
      <w:r w:rsidRPr="00F90841">
        <w:t xml:space="preserve"> Rights</w:t>
      </w:r>
    </w:p>
    <w:p w14:paraId="1303F38D" w14:textId="77777777" w:rsidR="007467BC" w:rsidRPr="00F90841" w:rsidRDefault="007467BC" w:rsidP="007467BC">
      <w:pPr>
        <w:pStyle w:val="SingleTxtG"/>
      </w:pPr>
      <w:bookmarkStart w:id="96" w:name="_Ref531090345"/>
      <w:r w:rsidRPr="00F90841">
        <w:t>321.</w:t>
      </w:r>
      <w:r w:rsidRPr="00F90841">
        <w:tab/>
        <w:t>The previous periodic report included information on support for victims of crime (para</w:t>
      </w:r>
      <w:r w:rsidR="00536B5A">
        <w:t>.</w:t>
      </w:r>
      <w:r w:rsidRPr="00F90841">
        <w:t xml:space="preserve"> 224). In 2014, the Victims</w:t>
      </w:r>
      <w:r w:rsidR="00562737" w:rsidRPr="00F90841">
        <w:t>’</w:t>
      </w:r>
      <w:r w:rsidRPr="00F90841">
        <w:t xml:space="preserve"> Rights Act 2002 was amended to strengthen victims</w:t>
      </w:r>
      <w:r w:rsidR="00562737" w:rsidRPr="00F90841">
        <w:t>’</w:t>
      </w:r>
      <w:r w:rsidRPr="00F90841">
        <w:t xml:space="preserve"> </w:t>
      </w:r>
      <w:r w:rsidRPr="00F90841">
        <w:lastRenderedPageBreak/>
        <w:t>rights. This includes better services and more opportunities for involvement in criminal justice processes. In 2015, the role of Chief Victims Adviser, an independent advisor to the Minister of Justice, was established. In 2015, the Victims</w:t>
      </w:r>
      <w:r w:rsidR="00562737" w:rsidRPr="00F90841">
        <w:t>’</w:t>
      </w:r>
      <w:r w:rsidRPr="00F90841">
        <w:t xml:space="preserve"> Rights Code was approved. It includes detailed information on rights, duties and complaints mechanisms</w:t>
      </w:r>
      <w:bookmarkEnd w:id="96"/>
      <w:r w:rsidRPr="00F90841">
        <w:t xml:space="preserve">. </w:t>
      </w:r>
    </w:p>
    <w:p w14:paraId="19A321EC" w14:textId="77777777" w:rsidR="007467BC" w:rsidRPr="00F90841" w:rsidRDefault="007467BC" w:rsidP="00316C8F">
      <w:pPr>
        <w:pStyle w:val="H1G"/>
      </w:pPr>
      <w:r w:rsidRPr="00F90841">
        <w:tab/>
      </w:r>
      <w:r w:rsidRPr="00F90841">
        <w:tab/>
        <w:t>Reply to paragraph 30 of the list of issues</w:t>
      </w:r>
    </w:p>
    <w:p w14:paraId="225908F8" w14:textId="77777777" w:rsidR="007467BC" w:rsidRPr="00F90841" w:rsidRDefault="007467BC" w:rsidP="00677737">
      <w:pPr>
        <w:pStyle w:val="H23G"/>
      </w:pPr>
      <w:r w:rsidRPr="00F90841">
        <w:tab/>
      </w:r>
      <w:r w:rsidRPr="00F90841">
        <w:tab/>
        <w:t>Reservation to Article 14</w:t>
      </w:r>
    </w:p>
    <w:p w14:paraId="4CB9C857" w14:textId="77777777" w:rsidR="007467BC" w:rsidRPr="00F90841" w:rsidRDefault="007467BC" w:rsidP="008836B8">
      <w:pPr>
        <w:pStyle w:val="SingleTxtG"/>
      </w:pPr>
      <w:r w:rsidRPr="00F90841">
        <w:t>322.</w:t>
      </w:r>
      <w:r w:rsidRPr="00F90841">
        <w:tab/>
        <w:t>New Zealand reserved the right to award compensation to torture victims referred to in Article 14 of the Convention only at the discretion of the Attorney-General. At the time of the reservation, there was no statutory remedy for torture victims. Since then, NZBORA was enacted and courts have held that they can award compensation for breaches of the Act (para</w:t>
      </w:r>
      <w:r w:rsidR="00536B5A">
        <w:t>.</w:t>
      </w:r>
      <w:r w:rsidRPr="00F90841">
        <w:t xml:space="preserve"> 14).</w:t>
      </w:r>
    </w:p>
    <w:p w14:paraId="0E479EEE" w14:textId="77777777" w:rsidR="007467BC" w:rsidRPr="00F90841" w:rsidRDefault="007467BC" w:rsidP="00677737">
      <w:pPr>
        <w:pStyle w:val="H1G"/>
      </w:pPr>
      <w:bookmarkStart w:id="97" w:name="_Toc20139402"/>
      <w:r w:rsidRPr="00F90841">
        <w:tab/>
      </w:r>
      <w:r w:rsidRPr="00F90841">
        <w:tab/>
        <w:t>Article 15</w:t>
      </w:r>
      <w:bookmarkEnd w:id="97"/>
    </w:p>
    <w:p w14:paraId="6CA8C475" w14:textId="77777777" w:rsidR="007467BC" w:rsidRPr="00F90841" w:rsidRDefault="007467BC" w:rsidP="00677737">
      <w:pPr>
        <w:pStyle w:val="H1G"/>
      </w:pPr>
      <w:r w:rsidRPr="00F90841">
        <w:tab/>
      </w:r>
      <w:r w:rsidRPr="00F90841">
        <w:tab/>
        <w:t>Reply to paragraph 31 of the list of issues</w:t>
      </w:r>
    </w:p>
    <w:p w14:paraId="2185BEF5" w14:textId="77777777" w:rsidR="007467BC" w:rsidRPr="00F90841" w:rsidRDefault="007467BC" w:rsidP="00677737">
      <w:pPr>
        <w:pStyle w:val="H23G"/>
      </w:pPr>
      <w:r w:rsidRPr="00F90841">
        <w:tab/>
      </w:r>
      <w:r w:rsidRPr="00F90841">
        <w:tab/>
        <w:t>Admissibility of evidence</w:t>
      </w:r>
    </w:p>
    <w:p w14:paraId="22FB799F" w14:textId="77777777" w:rsidR="007467BC" w:rsidRPr="00F90841" w:rsidRDefault="007467BC" w:rsidP="007467BC">
      <w:pPr>
        <w:pStyle w:val="SingleTxtG"/>
      </w:pPr>
      <w:r w:rsidRPr="00F90841">
        <w:t>323.</w:t>
      </w:r>
      <w:r w:rsidRPr="00F90841">
        <w:tab/>
        <w:t>NZBORA affirms the right not to be subjected to torture or ill-treatment. In 2017, the Supreme Court stated that information obtained in circumstances such as torture could not be used by enforcement authorities for any purpose.</w:t>
      </w:r>
      <w:r w:rsidRPr="00F90841">
        <w:rPr>
          <w:rStyle w:val="FootnoteReference"/>
        </w:rPr>
        <w:footnoteReference w:id="9"/>
      </w:r>
    </w:p>
    <w:p w14:paraId="2475A094" w14:textId="77777777" w:rsidR="007467BC" w:rsidRPr="00F90841" w:rsidRDefault="007467BC" w:rsidP="007467BC">
      <w:pPr>
        <w:pStyle w:val="SingleTxtG"/>
      </w:pPr>
      <w:r w:rsidRPr="00F90841">
        <w:t>324.</w:t>
      </w:r>
      <w:r w:rsidRPr="00F90841">
        <w:tab/>
        <w:t>Section 29 of the Evidence Act 2006 provides that a defendant</w:t>
      </w:r>
      <w:r w:rsidR="00562737" w:rsidRPr="00F90841">
        <w:t>’</w:t>
      </w:r>
      <w:r w:rsidRPr="00F90841">
        <w:t>s statement must be excluded if it was influenced by oppressive, violent, inhuman, or degrading conduct towards or treatment of any person, or threats thereof. This discourages oppressive interrogation. Where this issue is raised, a statement may be admitted only if the Court is satisfied, beyond reasonable doubt, that the statement was not influenced by oppression.</w:t>
      </w:r>
    </w:p>
    <w:p w14:paraId="4F9E231C" w14:textId="77777777" w:rsidR="007467BC" w:rsidRPr="00F90841" w:rsidRDefault="007467BC" w:rsidP="007467BC">
      <w:pPr>
        <w:pStyle w:val="SingleTxtG"/>
      </w:pPr>
      <w:r w:rsidRPr="00F90841">
        <w:t>325.</w:t>
      </w:r>
      <w:r w:rsidRPr="00F90841">
        <w:tab/>
        <w:t>Under s28, a statement must be excluded if it is unreliable. Where reliability is in issue, the statement can only be admitted if the Court is satisfied, on the balance of probabilities, that the circumstances surrounding the statement were not likely to have affected its reliability.</w:t>
      </w:r>
    </w:p>
    <w:p w14:paraId="00B5BEBF" w14:textId="77777777" w:rsidR="007467BC" w:rsidRPr="00F90841" w:rsidRDefault="007467BC" w:rsidP="007467BC">
      <w:pPr>
        <w:pStyle w:val="SingleTxtG"/>
      </w:pPr>
      <w:r w:rsidRPr="00F90841">
        <w:t>326.</w:t>
      </w:r>
      <w:r w:rsidRPr="00F90841">
        <w:tab/>
        <w:t>Section 30 applies where a question is raised as to the propriety of h</w:t>
      </w:r>
      <w:r w:rsidR="008836B8" w:rsidRPr="00F90841">
        <w:t xml:space="preserve">ow evidence has been obtained. </w:t>
      </w:r>
      <w:r w:rsidRPr="00F90841">
        <w:t>The Court must consider whether, on the balance of probabilities, evidence was improperly obtained; and if so, whether the evidence be excluded. The Chief Justice has issued guidance on Police questioning that Courts must consider when determining whether Police have improperly obtained a statement.</w:t>
      </w:r>
    </w:p>
    <w:p w14:paraId="57634322" w14:textId="77777777" w:rsidR="007467BC" w:rsidRPr="00F90841" w:rsidRDefault="007467BC" w:rsidP="000B61BA">
      <w:pPr>
        <w:pStyle w:val="H23G"/>
      </w:pPr>
      <w:r w:rsidRPr="00F90841">
        <w:tab/>
      </w:r>
      <w:r w:rsidRPr="00F90841">
        <w:tab/>
        <w:t xml:space="preserve">Case law </w:t>
      </w:r>
    </w:p>
    <w:p w14:paraId="16134D77" w14:textId="77777777" w:rsidR="007467BC" w:rsidRPr="00F90841" w:rsidRDefault="007467BC" w:rsidP="007467BC">
      <w:pPr>
        <w:pStyle w:val="SingleTxtG"/>
      </w:pPr>
      <w:r w:rsidRPr="00F90841">
        <w:t>327.</w:t>
      </w:r>
      <w:r w:rsidRPr="00F90841">
        <w:tab/>
        <w:t xml:space="preserve">In 2012, the Supreme Court emphasised in </w:t>
      </w:r>
      <w:r w:rsidRPr="00F90841">
        <w:rPr>
          <w:i/>
          <w:iCs/>
        </w:rPr>
        <w:t>R v</w:t>
      </w:r>
      <w:r w:rsidR="00536B5A">
        <w:rPr>
          <w:i/>
          <w:iCs/>
        </w:rPr>
        <w:t>.</w:t>
      </w:r>
      <w:r w:rsidRPr="00F90841">
        <w:rPr>
          <w:i/>
          <w:iCs/>
        </w:rPr>
        <w:t xml:space="preserve"> Hamed</w:t>
      </w:r>
      <w:r w:rsidRPr="00F90841">
        <w:rPr>
          <w:rStyle w:val="FootnoteReference"/>
        </w:rPr>
        <w:footnoteReference w:id="10"/>
      </w:r>
      <w:r w:rsidRPr="00F90841">
        <w:t xml:space="preserve"> that s30 must be interpreted in a manner consistent with fundamental human rights. </w:t>
      </w:r>
    </w:p>
    <w:p w14:paraId="7D8F9290" w14:textId="77777777" w:rsidR="007467BC" w:rsidRPr="00F90841" w:rsidRDefault="007467BC" w:rsidP="007467BC">
      <w:pPr>
        <w:pStyle w:val="SingleTxtG"/>
      </w:pPr>
      <w:bookmarkStart w:id="98" w:name="_Hlk528832446"/>
      <w:bookmarkStart w:id="99" w:name="_Ref531000672"/>
      <w:r w:rsidRPr="00F90841">
        <w:t>328.</w:t>
      </w:r>
      <w:r w:rsidRPr="00F90841">
        <w:tab/>
        <w:t xml:space="preserve">In the 2018 case of </w:t>
      </w:r>
      <w:r w:rsidRPr="00F90841">
        <w:rPr>
          <w:i/>
          <w:iCs/>
        </w:rPr>
        <w:t>S v</w:t>
      </w:r>
      <w:r w:rsidR="00536B5A">
        <w:rPr>
          <w:i/>
          <w:iCs/>
        </w:rPr>
        <w:t>.</w:t>
      </w:r>
      <w:r w:rsidRPr="00F90841">
        <w:rPr>
          <w:i/>
          <w:iCs/>
        </w:rPr>
        <w:t xml:space="preserve"> NZ Police</w:t>
      </w:r>
      <w:r w:rsidRPr="00F90841">
        <w:t>,</w:t>
      </w:r>
      <w:r w:rsidRPr="00F90841">
        <w:rPr>
          <w:rStyle w:val="FootnoteReference"/>
        </w:rPr>
        <w:footnoteReference w:id="11"/>
      </w:r>
      <w:r w:rsidRPr="00F90841">
        <w:t xml:space="preserve"> the High Court excluded evidence as being obtained improperly. The case concerned an appeal of a conviction for driving with excess blood alcohol content. During the collection of the blood specimen, the Police refused the appellant</w:t>
      </w:r>
      <w:r w:rsidR="00562737" w:rsidRPr="00F90841">
        <w:t>’</w:t>
      </w:r>
      <w:r w:rsidRPr="00F90841">
        <w:t>s request to use the bathroom and the appellant suffered discomfort and embarrassment. The appeals court concluded the sample was obtained in consequence of a breach of the appellant</w:t>
      </w:r>
      <w:r w:rsidR="00562737" w:rsidRPr="00F90841">
        <w:t>’</w:t>
      </w:r>
      <w:r w:rsidRPr="00F90841">
        <w:t>s rights under NZBORA and must be excluded. As there was no longer any evidence to support the conviction, it was set aside</w:t>
      </w:r>
      <w:bookmarkEnd w:id="98"/>
      <w:r w:rsidRPr="00F90841">
        <w:t>.</w:t>
      </w:r>
      <w:bookmarkEnd w:id="99"/>
      <w:r w:rsidRPr="00F90841">
        <w:t xml:space="preserve"> </w:t>
      </w:r>
    </w:p>
    <w:p w14:paraId="07F69155" w14:textId="77777777" w:rsidR="007467BC" w:rsidRPr="00F90841" w:rsidRDefault="007467BC" w:rsidP="000B61BA">
      <w:pPr>
        <w:pStyle w:val="H1G"/>
      </w:pPr>
      <w:bookmarkStart w:id="100" w:name="_Toc20139403"/>
      <w:r w:rsidRPr="00F90841">
        <w:lastRenderedPageBreak/>
        <w:tab/>
      </w:r>
      <w:r w:rsidRPr="00F90841">
        <w:tab/>
        <w:t>Article 16</w:t>
      </w:r>
      <w:bookmarkEnd w:id="100"/>
    </w:p>
    <w:p w14:paraId="19321677" w14:textId="77777777" w:rsidR="007467BC" w:rsidRPr="00F90841" w:rsidRDefault="007467BC" w:rsidP="000B61BA">
      <w:pPr>
        <w:pStyle w:val="H1G"/>
      </w:pPr>
      <w:r w:rsidRPr="00F90841">
        <w:tab/>
      </w:r>
      <w:r w:rsidRPr="00F90841">
        <w:tab/>
        <w:t>Reply to paragraph 32 of the list of issues</w:t>
      </w:r>
    </w:p>
    <w:p w14:paraId="319489A1" w14:textId="77777777" w:rsidR="007467BC" w:rsidRPr="00F90841" w:rsidRDefault="007467BC" w:rsidP="000B61BA">
      <w:pPr>
        <w:pStyle w:val="H23G"/>
      </w:pPr>
      <w:bookmarkStart w:id="101" w:name="_Hlk525737172"/>
      <w:r w:rsidRPr="00F90841">
        <w:tab/>
      </w:r>
      <w:r w:rsidRPr="00F90841">
        <w:tab/>
        <w:t>Intersex children</w:t>
      </w:r>
    </w:p>
    <w:p w14:paraId="2A70BA62" w14:textId="77777777" w:rsidR="007467BC" w:rsidRPr="00F90841" w:rsidRDefault="007467BC" w:rsidP="007467BC">
      <w:pPr>
        <w:pStyle w:val="SingleTxtG"/>
      </w:pPr>
      <w:r w:rsidRPr="00F90841">
        <w:t>329.</w:t>
      </w:r>
      <w:r w:rsidRPr="00F90841">
        <w:tab/>
        <w:t xml:space="preserve">The Government is unaware of any cases of sex assignment surgery on intersex children during the reporting period. Since 2014, seven children with an intersex condition underwent limited surgery. In each case, surgery was undertaken to resolve a specific functional problem and did not involve sex assignment or re-assignment. Prior to 2007, some children were sent to Australia for treatment funded through a Special Fund. </w:t>
      </w:r>
    </w:p>
    <w:p w14:paraId="41AB13B9" w14:textId="77777777" w:rsidR="007467BC" w:rsidRPr="00F90841" w:rsidRDefault="007467BC" w:rsidP="007467BC">
      <w:pPr>
        <w:pStyle w:val="SingleTxtG"/>
      </w:pPr>
      <w:r w:rsidRPr="00F90841">
        <w:t>330.</w:t>
      </w:r>
      <w:r w:rsidRPr="00F90841">
        <w:tab/>
        <w:t>In 2017, the Ministry of Health initiated the establishment of a Child and Youth Intersex Clinical Network to develop best practice guidelines, protocols and care pathways for intersex children up to 18 years. The Network</w:t>
      </w:r>
      <w:r w:rsidR="00562737" w:rsidRPr="00F90841">
        <w:t>’</w:t>
      </w:r>
      <w:r w:rsidRPr="00F90841">
        <w:t>s Clinical Reference Group includes an endocrinologist, psychiatrist, Human Rights Commissioner, parent advocate, psychotherapist, midwife, paediatric surgeon and intersex advocates. The Network is Government-funded for two years.</w:t>
      </w:r>
    </w:p>
    <w:p w14:paraId="5B207D0B" w14:textId="77777777" w:rsidR="007467BC" w:rsidRPr="00F90841" w:rsidRDefault="007467BC" w:rsidP="005D0741">
      <w:pPr>
        <w:pStyle w:val="HChG"/>
      </w:pPr>
      <w:bookmarkStart w:id="102" w:name="_Toc20139404"/>
      <w:r w:rsidRPr="00F90841">
        <w:tab/>
        <w:t>III.</w:t>
      </w:r>
      <w:r w:rsidRPr="00F90841">
        <w:tab/>
        <w:t>Other issues/general information</w:t>
      </w:r>
      <w:bookmarkEnd w:id="102"/>
    </w:p>
    <w:p w14:paraId="0869EADD" w14:textId="77777777" w:rsidR="007467BC" w:rsidRPr="00F90841" w:rsidRDefault="007467BC" w:rsidP="005D0741">
      <w:pPr>
        <w:pStyle w:val="H1G"/>
      </w:pPr>
      <w:r w:rsidRPr="00F90841">
        <w:tab/>
      </w:r>
      <w:r w:rsidRPr="00F90841">
        <w:tab/>
        <w:t>Reply to paragraph 33 of the list of issues</w:t>
      </w:r>
    </w:p>
    <w:bookmarkEnd w:id="101"/>
    <w:p w14:paraId="6263C7EC" w14:textId="77777777" w:rsidR="007467BC" w:rsidRPr="00F90841" w:rsidRDefault="007467BC" w:rsidP="005D0741">
      <w:pPr>
        <w:pStyle w:val="H23G"/>
      </w:pPr>
      <w:r w:rsidRPr="00F90841">
        <w:tab/>
      </w:r>
      <w:r w:rsidRPr="00F90841">
        <w:tab/>
      </w:r>
      <w:bookmarkStart w:id="103" w:name="_Hlk16768498"/>
      <w:r w:rsidRPr="00F90841">
        <w:t>Protecting human rights under anti-terrorism legislation</w:t>
      </w:r>
    </w:p>
    <w:p w14:paraId="28F985F2" w14:textId="77777777" w:rsidR="007467BC" w:rsidRPr="00F90841" w:rsidRDefault="007467BC" w:rsidP="007467BC">
      <w:pPr>
        <w:pStyle w:val="SingleTxtG"/>
      </w:pPr>
      <w:r w:rsidRPr="00F90841">
        <w:t>331.</w:t>
      </w:r>
      <w:r w:rsidRPr="00F90841">
        <w:tab/>
        <w:t xml:space="preserve">New Zealand experienced an unprecedented act of terrorism against our Muslim community in Christchurch on 15 March 2019. The Government has zero tolerance for violence and extremism of any kind and New Zealand condemns all acts of terrorism. </w:t>
      </w:r>
      <w:proofErr w:type="gramStart"/>
      <w:r w:rsidRPr="00F90841">
        <w:t>In light of</w:t>
      </w:r>
      <w:proofErr w:type="gramEnd"/>
      <w:r w:rsidRPr="00F90841">
        <w:t xml:space="preserve"> these events, the Government is assessing whether current counter-terrorism legislation is adequate. </w:t>
      </w:r>
    </w:p>
    <w:p w14:paraId="07946D42" w14:textId="77777777" w:rsidR="007467BC" w:rsidRPr="00F90841" w:rsidRDefault="007467BC" w:rsidP="007467BC">
      <w:pPr>
        <w:pStyle w:val="SingleTxtG"/>
      </w:pPr>
      <w:r w:rsidRPr="00F90841">
        <w:t>332.</w:t>
      </w:r>
      <w:r w:rsidRPr="00F90841">
        <w:tab/>
        <w:t>New Zealand has a range of measures to prevent and respond to the threat of terrorism, including specialist law, the general criminal law, and other policy and administrative measures. The Terrorism Suppression Act 2002 provides offences relating to certain terrorist activities, but the general criminal law and other legislative regimes are also important as they provide for the investigation, prosecution and prevention of terrorism-related offending. Further information regarding the Terrorism Suppression Act is in our previous report (para</w:t>
      </w:r>
      <w:r w:rsidR="00536B5A">
        <w:t>.</w:t>
      </w:r>
      <w:r w:rsidRPr="00F90841">
        <w:t xml:space="preserve"> 82).</w:t>
      </w:r>
    </w:p>
    <w:p w14:paraId="6430365F" w14:textId="77777777" w:rsidR="007467BC" w:rsidRPr="00F90841" w:rsidRDefault="007467BC" w:rsidP="007467BC">
      <w:pPr>
        <w:pStyle w:val="SingleTxtG"/>
      </w:pPr>
      <w:r w:rsidRPr="00F90841">
        <w:t>333.</w:t>
      </w:r>
      <w:r w:rsidRPr="00F90841">
        <w:tab/>
        <w:t>Key developments in the reporting period include enactment of the Intelligence and Security Act 2017. One purpose of this Act is to ensure the functions of relevant agencies are performed in accordance with New Zealand law and all human rights obligations recognised by New Zealand law.</w:t>
      </w:r>
    </w:p>
    <w:p w14:paraId="28A2B999" w14:textId="77777777" w:rsidR="007467BC" w:rsidRPr="00F90841" w:rsidRDefault="007467BC" w:rsidP="007467BC">
      <w:pPr>
        <w:pStyle w:val="SingleTxtG"/>
      </w:pPr>
      <w:r w:rsidRPr="00F90841">
        <w:t>334.</w:t>
      </w:r>
      <w:r w:rsidRPr="00F90841">
        <w:tab/>
        <w:t>Legislation has been designed to be exercised in a way that is proportionate to a domestic terrorist threat, and consistent with human rights. As with other legislation, legislative proposals to counter terrorism must also be vetted for compliance with the rights a</w:t>
      </w:r>
      <w:r w:rsidR="008836B8" w:rsidRPr="00F90841">
        <w:t>nd freedoms set out in NZBORA.</w:t>
      </w:r>
    </w:p>
    <w:p w14:paraId="05B6E951" w14:textId="77777777" w:rsidR="007467BC" w:rsidRPr="00F90841" w:rsidRDefault="007467BC" w:rsidP="007467BC">
      <w:pPr>
        <w:pStyle w:val="SingleTxtG"/>
      </w:pPr>
      <w:r w:rsidRPr="00F90841">
        <w:t>335.</w:t>
      </w:r>
      <w:r w:rsidRPr="00F90841">
        <w:tab/>
        <w:t>Where legislation provides for intrusive powers to deal with the threat of terrorism, human rights safeguards are built into the legislation. For example, the purpose of the Search and Surveillance Act 2012 is to facilitate investigation and prosecution in a manner consistent with human rights values. Enforcement officer training references the Crimes of Torture Act 1989, which enshrines Article 4 of the Convention and the Optional Protocol.</w:t>
      </w:r>
    </w:p>
    <w:p w14:paraId="55218DE2" w14:textId="77777777" w:rsidR="007467BC" w:rsidRPr="00F90841" w:rsidRDefault="007467BC" w:rsidP="007467BC">
      <w:pPr>
        <w:pStyle w:val="SingleTxtG"/>
      </w:pPr>
      <w:r w:rsidRPr="00F90841">
        <w:t>336.</w:t>
      </w:r>
      <w:r w:rsidRPr="00F90841">
        <w:tab/>
        <w:t xml:space="preserve">No one has been convicted of terrorism-specific offending, although a small number have been convicted under objectionable publications legislation for terrorism-related material. The courts are currently considering the first case taken under section 6A of the Terrorism Suppression Act 2002 after the attack on Christchurch mosques on March </w:t>
      </w:r>
      <w:proofErr w:type="gramStart"/>
      <w:r w:rsidRPr="00F90841">
        <w:t>15</w:t>
      </w:r>
      <w:proofErr w:type="gramEnd"/>
      <w:r w:rsidRPr="00F90841">
        <w:t xml:space="preserve"> 2019.</w:t>
      </w:r>
    </w:p>
    <w:p w14:paraId="034CFF8E" w14:textId="77777777" w:rsidR="007467BC" w:rsidRPr="00F90841" w:rsidRDefault="007467BC" w:rsidP="007467BC">
      <w:pPr>
        <w:pStyle w:val="SingleTxtG"/>
      </w:pPr>
      <w:r w:rsidRPr="00F90841">
        <w:lastRenderedPageBreak/>
        <w:t>337.</w:t>
      </w:r>
      <w:r w:rsidRPr="00F90841">
        <w:tab/>
        <w:t xml:space="preserve">Legal avenues and remedies are available to persons subjected to anti-terrorism measures. </w:t>
      </w:r>
      <w:bookmarkStart w:id="104" w:name="_Hlk530660479"/>
      <w:r w:rsidRPr="00F90841">
        <w:t>The Government is not aware of any complaints of non-observance of international standards relating to terrorism-linked offending within New Zealand.</w:t>
      </w:r>
    </w:p>
    <w:p w14:paraId="3BF4A601" w14:textId="77777777" w:rsidR="007467BC" w:rsidRPr="00F90841" w:rsidRDefault="007467BC" w:rsidP="007467BC">
      <w:pPr>
        <w:pStyle w:val="SingleTxtG"/>
      </w:pPr>
      <w:r w:rsidRPr="00F90841">
        <w:t>338.</w:t>
      </w:r>
      <w:r w:rsidRPr="00F90841">
        <w:tab/>
        <w:t xml:space="preserve">New Zealand is also investigating options to better ensure international compliance with, and enforcement of, suppression orders. Compliance with suppression laws is important to ensure fair trial rights for all defendants, but particularly in the case of high-profile cases such as alleged terrorism-related offending. </w:t>
      </w:r>
      <w:bookmarkEnd w:id="103"/>
      <w:bookmarkEnd w:id="104"/>
    </w:p>
    <w:p w14:paraId="33914FC7" w14:textId="77777777" w:rsidR="007467BC" w:rsidRPr="00F90841" w:rsidRDefault="007467BC" w:rsidP="00C525AB">
      <w:pPr>
        <w:pStyle w:val="H1G"/>
      </w:pPr>
      <w:r w:rsidRPr="00F90841">
        <w:tab/>
      </w:r>
      <w:r w:rsidRPr="00F90841">
        <w:tab/>
        <w:t>Reply to paragraph 34 of the list of issues</w:t>
      </w:r>
    </w:p>
    <w:p w14:paraId="68AE66D9" w14:textId="77777777" w:rsidR="007467BC" w:rsidRPr="00F90841" w:rsidRDefault="007467BC" w:rsidP="00C525AB">
      <w:pPr>
        <w:pStyle w:val="H23G"/>
      </w:pPr>
      <w:r w:rsidRPr="00F90841">
        <w:tab/>
      </w:r>
      <w:r w:rsidRPr="00F90841">
        <w:tab/>
        <w:t>General information</w:t>
      </w:r>
    </w:p>
    <w:p w14:paraId="05AC7FB5" w14:textId="77777777" w:rsidR="007467BC" w:rsidRPr="00F90841" w:rsidRDefault="007467BC" w:rsidP="007467BC">
      <w:pPr>
        <w:pStyle w:val="SingleTxtG"/>
      </w:pPr>
      <w:r w:rsidRPr="00F90841">
        <w:t>339.</w:t>
      </w:r>
      <w:r w:rsidRPr="00F90841">
        <w:tab/>
        <w:t>Any other relevant information is covered in the report.</w:t>
      </w:r>
    </w:p>
    <w:p w14:paraId="45ABF34F" w14:textId="77777777" w:rsidR="00C525AB" w:rsidRPr="00F90841" w:rsidRDefault="00C525AB" w:rsidP="00B96BA3">
      <w:pPr>
        <w:pStyle w:val="SingleTxtG"/>
        <w:spacing w:before="240"/>
        <w:jc w:val="center"/>
      </w:pPr>
      <w:r w:rsidRPr="00F90841">
        <w:rPr>
          <w:u w:val="single"/>
        </w:rPr>
        <w:tab/>
      </w:r>
      <w:r w:rsidRPr="00F90841">
        <w:rPr>
          <w:u w:val="single"/>
        </w:rPr>
        <w:tab/>
      </w:r>
      <w:r w:rsidRPr="00F90841">
        <w:rPr>
          <w:u w:val="single"/>
        </w:rPr>
        <w:tab/>
      </w:r>
    </w:p>
    <w:sectPr w:rsidR="00C525AB" w:rsidRPr="00F9084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DC8B" w14:textId="77777777" w:rsidR="0026296C" w:rsidRPr="008779DC" w:rsidRDefault="0026296C" w:rsidP="008779DC">
      <w:pPr>
        <w:pStyle w:val="Footer"/>
      </w:pPr>
    </w:p>
  </w:endnote>
  <w:endnote w:type="continuationSeparator" w:id="0">
    <w:p w14:paraId="55C6D48C" w14:textId="77777777" w:rsidR="0026296C" w:rsidRPr="008779DC" w:rsidRDefault="0026296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Grande Bold">
    <w:altName w:val="Segoe UI"/>
    <w:charset w:val="00"/>
    <w:family w:val="swiss"/>
    <w:pitch w:val="variable"/>
    <w:sig w:usb0="E0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ource Sans Pro Light">
    <w:charset w:val="00"/>
    <w:family w:val="swiss"/>
    <w:pitch w:val="variable"/>
    <w:sig w:usb0="600002F7" w:usb1="02000001" w:usb2="00000000" w:usb3="00000000" w:csb0="0000019F" w:csb1="00000000"/>
  </w:font>
  <w:font w:name="Gravity">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4B8B" w14:textId="77777777" w:rsidR="0026296C" w:rsidRDefault="0026296C" w:rsidP="00205BD8">
    <w:pPr>
      <w:pStyle w:val="Footer"/>
      <w:tabs>
        <w:tab w:val="right" w:pos="9638"/>
      </w:tabs>
    </w:pPr>
    <w:r w:rsidRPr="007467BC">
      <w:rPr>
        <w:b/>
        <w:bCs/>
        <w:sz w:val="18"/>
      </w:rPr>
      <w:fldChar w:fldCharType="begin"/>
    </w:r>
    <w:r w:rsidRPr="007467BC">
      <w:rPr>
        <w:b/>
        <w:bCs/>
        <w:sz w:val="18"/>
      </w:rPr>
      <w:instrText xml:space="preserve"> PAGE  \* MERGEFORMAT </w:instrText>
    </w:r>
    <w:r w:rsidRPr="007467BC">
      <w:rPr>
        <w:b/>
        <w:bCs/>
        <w:sz w:val="18"/>
      </w:rPr>
      <w:fldChar w:fldCharType="separate"/>
    </w:r>
    <w:r>
      <w:rPr>
        <w:b/>
        <w:bCs/>
        <w:noProof/>
        <w:sz w:val="18"/>
      </w:rPr>
      <w:t>2</w:t>
    </w:r>
    <w:r w:rsidRPr="007467B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2C2D" w14:textId="77777777" w:rsidR="0026296C" w:rsidRDefault="0026296C" w:rsidP="007467BC">
    <w:pPr>
      <w:pStyle w:val="Footer"/>
      <w:tabs>
        <w:tab w:val="right" w:pos="9638"/>
      </w:tabs>
    </w:pPr>
    <w:r>
      <w:tab/>
    </w:r>
    <w:r w:rsidRPr="007467BC">
      <w:rPr>
        <w:b/>
        <w:bCs/>
        <w:sz w:val="18"/>
      </w:rPr>
      <w:fldChar w:fldCharType="begin"/>
    </w:r>
    <w:r w:rsidRPr="007467BC">
      <w:rPr>
        <w:b/>
        <w:bCs/>
        <w:sz w:val="18"/>
      </w:rPr>
      <w:instrText xml:space="preserve"> PAGE  \* MERGEFORMAT </w:instrText>
    </w:r>
    <w:r w:rsidRPr="007467BC">
      <w:rPr>
        <w:b/>
        <w:bCs/>
        <w:sz w:val="18"/>
      </w:rPr>
      <w:fldChar w:fldCharType="separate"/>
    </w:r>
    <w:r>
      <w:rPr>
        <w:b/>
        <w:bCs/>
        <w:noProof/>
        <w:sz w:val="18"/>
      </w:rPr>
      <w:t>19</w:t>
    </w:r>
    <w:r w:rsidRPr="007467B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BED4" w14:textId="77777777" w:rsidR="0026296C" w:rsidRDefault="0026296C" w:rsidP="005D53C1">
    <w:pPr>
      <w:pStyle w:val="Footer"/>
    </w:pPr>
    <w:r>
      <w:rPr>
        <w:noProof/>
      </w:rPr>
      <w:drawing>
        <wp:anchor distT="0" distB="0" distL="114300" distR="114300" simplePos="0" relativeHeight="251659264" behindDoc="1" locked="1" layoutInCell="1" allowOverlap="1" wp14:anchorId="165089C3" wp14:editId="2AC1BD9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54CFB8" w14:textId="77777777" w:rsidR="0026296C" w:rsidRDefault="0026296C" w:rsidP="005D53C1">
    <w:pPr>
      <w:pStyle w:val="Footer"/>
      <w:ind w:right="1134"/>
      <w:rPr>
        <w:sz w:val="20"/>
      </w:rPr>
    </w:pPr>
    <w:r>
      <w:rPr>
        <w:sz w:val="20"/>
      </w:rPr>
      <w:t>GE.20-04019(E)</w:t>
    </w:r>
  </w:p>
  <w:p w14:paraId="43B16D55" w14:textId="77777777" w:rsidR="0026296C" w:rsidRPr="005D53C1" w:rsidRDefault="0026296C" w:rsidP="005D53C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593ACE3" wp14:editId="6D5C688A">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NZL/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NZL/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1CB3" w14:textId="77777777" w:rsidR="0026296C" w:rsidRPr="008779DC" w:rsidRDefault="0026296C" w:rsidP="008779DC">
      <w:pPr>
        <w:tabs>
          <w:tab w:val="right" w:pos="2155"/>
        </w:tabs>
        <w:spacing w:after="80"/>
        <w:ind w:left="680"/>
      </w:pPr>
      <w:r>
        <w:rPr>
          <w:u w:val="single"/>
        </w:rPr>
        <w:tab/>
      </w:r>
    </w:p>
  </w:footnote>
  <w:footnote w:type="continuationSeparator" w:id="0">
    <w:p w14:paraId="276C69FF" w14:textId="77777777" w:rsidR="0026296C" w:rsidRPr="008779DC" w:rsidRDefault="0026296C" w:rsidP="008779DC">
      <w:pPr>
        <w:tabs>
          <w:tab w:val="right" w:pos="2155"/>
        </w:tabs>
        <w:spacing w:after="80"/>
        <w:ind w:left="680"/>
      </w:pPr>
      <w:r>
        <w:rPr>
          <w:u w:val="single"/>
        </w:rPr>
        <w:tab/>
      </w:r>
    </w:p>
  </w:footnote>
  <w:footnote w:id="1">
    <w:p w14:paraId="0D235B70" w14:textId="77777777" w:rsidR="0026296C" w:rsidRDefault="0026296C" w:rsidP="000B61BA">
      <w:pPr>
        <w:pStyle w:val="FootnoteText"/>
        <w:rPr>
          <w:sz w:val="20"/>
        </w:rPr>
      </w:pPr>
      <w:r w:rsidRPr="007467BC">
        <w:rPr>
          <w:sz w:val="20"/>
        </w:rPr>
        <w:tab/>
      </w:r>
      <w:r w:rsidRPr="007467BC">
        <w:rPr>
          <w:rStyle w:val="FootnoteReference"/>
          <w:sz w:val="20"/>
          <w:vertAlign w:val="baseline"/>
        </w:rPr>
        <w:t>*</w:t>
      </w:r>
      <w:r w:rsidRPr="007467BC">
        <w:rPr>
          <w:sz w:val="20"/>
        </w:rPr>
        <w:tab/>
      </w:r>
      <w:r>
        <w:t>The present document is being issued without formal editing.</w:t>
      </w:r>
    </w:p>
  </w:footnote>
  <w:footnote w:id="2">
    <w:p w14:paraId="2077A158" w14:textId="77777777" w:rsidR="0026296C" w:rsidRPr="00205BD8" w:rsidRDefault="0026296C" w:rsidP="000B61BA">
      <w:pPr>
        <w:pStyle w:val="FootnoteText"/>
      </w:pPr>
      <w:r w:rsidRPr="00205BD8">
        <w:rPr>
          <w:rStyle w:val="FootnoteReference"/>
          <w:sz w:val="20"/>
          <w:vertAlign w:val="baseline"/>
        </w:rPr>
        <w:tab/>
        <w:t>**</w:t>
      </w:r>
      <w:r w:rsidRPr="00205BD8">
        <w:rPr>
          <w:rStyle w:val="FootnoteReference"/>
          <w:sz w:val="20"/>
          <w:vertAlign w:val="baseline"/>
        </w:rPr>
        <w:tab/>
      </w:r>
      <w:r w:rsidRPr="00205BD8">
        <w:rPr>
          <w:rStyle w:val="FootnoteReference"/>
          <w:vertAlign w:val="baseline"/>
        </w:rPr>
        <w:t>The annexes to the present report may be accessed from the web page of the Committee.</w:t>
      </w:r>
    </w:p>
  </w:footnote>
  <w:footnote w:id="3">
    <w:p w14:paraId="287575A7" w14:textId="77777777" w:rsidR="0026296C" w:rsidRPr="009200B5" w:rsidRDefault="0026296C" w:rsidP="000B61BA">
      <w:pPr>
        <w:pStyle w:val="FootnoteText"/>
      </w:pPr>
      <w:r>
        <w:tab/>
      </w:r>
      <w:r w:rsidRPr="00436790">
        <w:rPr>
          <w:rStyle w:val="FootnoteReference"/>
        </w:rPr>
        <w:footnoteRef/>
      </w:r>
      <w:r>
        <w:tab/>
      </w:r>
      <w:proofErr w:type="spellStart"/>
      <w:r>
        <w:t>W</w:t>
      </w:r>
      <w:r w:rsidRPr="009200B5">
        <w:t>hānau</w:t>
      </w:r>
      <w:proofErr w:type="spellEnd"/>
      <w:r w:rsidRPr="009200B5">
        <w:t xml:space="preserve"> – extended family, family group, a familiar term of address to </w:t>
      </w:r>
      <w:proofErr w:type="gramStart"/>
      <w:r w:rsidRPr="009200B5">
        <w:t>a number of</w:t>
      </w:r>
      <w:proofErr w:type="gramEnd"/>
      <w:r w:rsidRPr="009200B5">
        <w:t xml:space="preserve"> people </w:t>
      </w:r>
      <w:r>
        <w:t>–</w:t>
      </w:r>
      <w:r w:rsidRPr="009200B5">
        <w:t xml:space="preserve"> the primary economic unit of traditional Māori society. In the modern context the term is sometimes used to include friends who may not have any kinship ties to other members.</w:t>
      </w:r>
    </w:p>
  </w:footnote>
  <w:footnote w:id="4">
    <w:p w14:paraId="3D2F427D" w14:textId="77777777" w:rsidR="0026296C" w:rsidRPr="00F06EFE" w:rsidRDefault="0026296C" w:rsidP="000B61BA">
      <w:pPr>
        <w:pStyle w:val="FootnoteText"/>
        <w:rPr>
          <w:lang w:val="en-NZ"/>
        </w:rPr>
      </w:pPr>
      <w:r>
        <w:tab/>
      </w:r>
      <w:r w:rsidRPr="00436790">
        <w:rPr>
          <w:rStyle w:val="FootnoteReference"/>
        </w:rPr>
        <w:footnoteRef/>
      </w:r>
      <w:r>
        <w:tab/>
      </w:r>
      <w:proofErr w:type="spellStart"/>
      <w:r>
        <w:t>K</w:t>
      </w:r>
      <w:r w:rsidRPr="009200B5">
        <w:t>aupapa</w:t>
      </w:r>
      <w:proofErr w:type="spellEnd"/>
      <w:r w:rsidRPr="009200B5">
        <w:t xml:space="preserve"> Māori – Māori approach, Māori topic, Māori customary practice, Māori institution, Māori agenda, Māori principles, Māori ideology – a philosophical doctrine, incorporating the knowledge, skills, attitudes and values of Māori</w:t>
      </w:r>
      <w:r w:rsidRPr="00F06EFE">
        <w:t xml:space="preserve"> society.</w:t>
      </w:r>
    </w:p>
  </w:footnote>
  <w:footnote w:id="5">
    <w:p w14:paraId="59167F70" w14:textId="77777777" w:rsidR="0026296C" w:rsidRPr="00AE30D3" w:rsidRDefault="0026296C" w:rsidP="000B61BA">
      <w:pPr>
        <w:pStyle w:val="FootnoteText"/>
        <w:rPr>
          <w:lang w:val="en-NZ"/>
        </w:rPr>
      </w:pPr>
      <w:r>
        <w:rPr>
          <w:lang w:val="en-NZ"/>
        </w:rPr>
        <w:tab/>
      </w:r>
      <w:r w:rsidRPr="00436790">
        <w:rPr>
          <w:rStyle w:val="FootnoteReference"/>
        </w:rPr>
        <w:footnoteRef/>
      </w:r>
      <w:r>
        <w:rPr>
          <w:lang w:val="en-NZ"/>
        </w:rPr>
        <w:tab/>
        <w:t xml:space="preserve">These numbers vary on a day-to-day basis, so caution should be exercised if they are being used to inform decision-making. </w:t>
      </w:r>
    </w:p>
  </w:footnote>
  <w:footnote w:id="6">
    <w:p w14:paraId="4F23D736" w14:textId="77777777" w:rsidR="0026296C" w:rsidRPr="00FB076C" w:rsidRDefault="0026296C" w:rsidP="000B61BA">
      <w:pPr>
        <w:pStyle w:val="FootnoteText"/>
        <w:rPr>
          <w:lang w:val="mi-NZ"/>
        </w:rPr>
      </w:pPr>
      <w:r>
        <w:rPr>
          <w:i/>
        </w:rPr>
        <w:tab/>
      </w:r>
      <w:r w:rsidRPr="00436790">
        <w:rPr>
          <w:rStyle w:val="FootnoteReference"/>
        </w:rPr>
        <w:footnoteRef/>
      </w:r>
      <w:r>
        <w:rPr>
          <w:i/>
        </w:rPr>
        <w:tab/>
      </w:r>
      <w:proofErr w:type="spellStart"/>
      <w:r w:rsidRPr="00FB076C">
        <w:rPr>
          <w:i/>
        </w:rPr>
        <w:t>Kīngitanga</w:t>
      </w:r>
      <w:proofErr w:type="spellEnd"/>
      <w:r>
        <w:t xml:space="preserve"> – Māori King Movement –</w:t>
      </w:r>
      <w:r w:rsidRPr="00FB076C">
        <w:t xml:space="preserve"> a movement which developed in the 1850s, culminating in the anointing of </w:t>
      </w:r>
      <w:proofErr w:type="spellStart"/>
      <w:r w:rsidRPr="00FB076C">
        <w:t>Pōtatau</w:t>
      </w:r>
      <w:proofErr w:type="spellEnd"/>
      <w:r w:rsidRPr="00FB076C">
        <w:t xml:space="preserve"> </w:t>
      </w:r>
      <w:proofErr w:type="spellStart"/>
      <w:r w:rsidRPr="00FB076C">
        <w:t>Te</w:t>
      </w:r>
      <w:proofErr w:type="spellEnd"/>
      <w:r w:rsidRPr="00FB076C">
        <w:t xml:space="preserve"> </w:t>
      </w:r>
      <w:proofErr w:type="spellStart"/>
      <w:r w:rsidRPr="00FB076C">
        <w:t>Wherowhero</w:t>
      </w:r>
      <w:proofErr w:type="spellEnd"/>
      <w:r w:rsidRPr="00FB076C">
        <w:t xml:space="preserve"> as King. Established to stop the loss of land to the colonists, to maintain law and order, and to promote traditional values and culture.</w:t>
      </w:r>
    </w:p>
  </w:footnote>
  <w:footnote w:id="7">
    <w:p w14:paraId="2D03FF32" w14:textId="77777777" w:rsidR="0026296C" w:rsidRPr="00381771" w:rsidRDefault="0026296C" w:rsidP="000B61BA">
      <w:pPr>
        <w:pStyle w:val="FootnoteText"/>
      </w:pPr>
      <w:r>
        <w:tab/>
      </w:r>
      <w:r w:rsidRPr="00436790">
        <w:rPr>
          <w:rStyle w:val="FootnoteReference"/>
        </w:rPr>
        <w:footnoteRef/>
      </w:r>
      <w:r>
        <w:tab/>
      </w:r>
      <w:r w:rsidRPr="00381771">
        <w:t>The IMM consists of the Human Rights Commission, Ombudsman and a coalition of Disabled Persons Organisations, and is responsible for monitoring and supporting implementation of New Zealand</w:t>
      </w:r>
      <w:r>
        <w:t>’</w:t>
      </w:r>
      <w:r w:rsidRPr="00381771">
        <w:t xml:space="preserve">s compliance with the Convention on the Rights of Persons with Disabilities. </w:t>
      </w:r>
    </w:p>
  </w:footnote>
  <w:footnote w:id="8">
    <w:p w14:paraId="0D61ED12" w14:textId="77777777" w:rsidR="0026296C" w:rsidRPr="00101E08" w:rsidRDefault="0026296C" w:rsidP="00101E08">
      <w:pPr>
        <w:pStyle w:val="FootnoteText"/>
      </w:pPr>
      <w:r>
        <w:rPr>
          <w:lang w:val="en-NZ"/>
        </w:rPr>
        <w:tab/>
      </w:r>
      <w:r w:rsidRPr="00436790">
        <w:rPr>
          <w:rStyle w:val="FootnoteReference"/>
        </w:rPr>
        <w:footnoteRef/>
      </w:r>
      <w:r>
        <w:rPr>
          <w:lang w:val="en-NZ"/>
        </w:rPr>
        <w:tab/>
      </w:r>
      <w:r w:rsidRPr="00101E08">
        <w:t xml:space="preserve">The </w:t>
      </w:r>
      <w:r w:rsidRPr="00101E08">
        <w:rPr>
          <w:i/>
        </w:rPr>
        <w:t>current</w:t>
      </w:r>
      <w:r w:rsidRPr="00101E08">
        <w:t xml:space="preserve"> simplified working definitions used for the </w:t>
      </w:r>
      <w:proofErr w:type="spellStart"/>
      <w:r w:rsidRPr="00101E08">
        <w:t>Whakamana</w:t>
      </w:r>
      <w:proofErr w:type="spellEnd"/>
      <w:r w:rsidRPr="00101E08">
        <w:t xml:space="preserve"> </w:t>
      </w:r>
      <w:proofErr w:type="spellStart"/>
      <w:r w:rsidRPr="00101E08">
        <w:t>Tangata</w:t>
      </w:r>
      <w:proofErr w:type="spellEnd"/>
      <w:r w:rsidRPr="00101E08">
        <w:t xml:space="preserve"> pilot programme are: </w:t>
      </w:r>
      <w:r w:rsidRPr="00101E08">
        <w:rPr>
          <w:i/>
        </w:rPr>
        <w:t>mana</w:t>
      </w:r>
      <w:r w:rsidRPr="00101E08">
        <w:t xml:space="preserve"> – the respect people deserve from others and give to others by virtue of the dignity a person is born with, </w:t>
      </w:r>
      <w:proofErr w:type="spellStart"/>
      <w:r w:rsidRPr="00101E08">
        <w:rPr>
          <w:i/>
        </w:rPr>
        <w:t>tapu</w:t>
      </w:r>
      <w:proofErr w:type="spellEnd"/>
      <w:r w:rsidRPr="00101E08">
        <w:t xml:space="preserve"> – the boundaries necessary for protecting mana, </w:t>
      </w:r>
      <w:r w:rsidRPr="00101E08">
        <w:rPr>
          <w:i/>
        </w:rPr>
        <w:t xml:space="preserve">mauri </w:t>
      </w:r>
      <w:proofErr w:type="spellStart"/>
      <w:r w:rsidRPr="00101E08">
        <w:rPr>
          <w:i/>
        </w:rPr>
        <w:t>ora</w:t>
      </w:r>
      <w:proofErr w:type="spellEnd"/>
      <w:r w:rsidRPr="00101E08">
        <w:rPr>
          <w:i/>
        </w:rPr>
        <w:t xml:space="preserve"> </w:t>
      </w:r>
      <w:r w:rsidRPr="00101E08">
        <w:t xml:space="preserve">– the vitality and fullness of an active life, </w:t>
      </w:r>
      <w:proofErr w:type="spellStart"/>
      <w:r w:rsidRPr="00101E08">
        <w:rPr>
          <w:i/>
        </w:rPr>
        <w:t>piringa</w:t>
      </w:r>
      <w:proofErr w:type="spellEnd"/>
      <w:r w:rsidRPr="00101E08">
        <w:t xml:space="preserve"> – the process of building and restoring connection through face-to-face discussion, </w:t>
      </w:r>
      <w:proofErr w:type="spellStart"/>
      <w:r w:rsidRPr="00101E08">
        <w:rPr>
          <w:i/>
        </w:rPr>
        <w:t>ara</w:t>
      </w:r>
      <w:proofErr w:type="spellEnd"/>
      <w:r w:rsidRPr="00101E08">
        <w:rPr>
          <w:i/>
        </w:rPr>
        <w:t xml:space="preserve"> tikanga</w:t>
      </w:r>
      <w:r w:rsidRPr="00101E08">
        <w:t xml:space="preserve"> – the call to the right path. </w:t>
      </w:r>
    </w:p>
  </w:footnote>
  <w:footnote w:id="9">
    <w:p w14:paraId="00D07F18" w14:textId="77777777" w:rsidR="0026296C" w:rsidRPr="00101E08" w:rsidRDefault="0026296C" w:rsidP="005D0741">
      <w:pPr>
        <w:pStyle w:val="FootnoteText"/>
      </w:pPr>
      <w:r w:rsidRPr="00101E08">
        <w:rPr>
          <w:i/>
        </w:rPr>
        <w:tab/>
      </w:r>
      <w:r w:rsidRPr="00101E08">
        <w:rPr>
          <w:rStyle w:val="FootnoteReference"/>
        </w:rPr>
        <w:footnoteRef/>
      </w:r>
      <w:r w:rsidRPr="00101E08">
        <w:rPr>
          <w:i/>
        </w:rPr>
        <w:tab/>
        <w:t>R v</w:t>
      </w:r>
      <w:r>
        <w:rPr>
          <w:i/>
        </w:rPr>
        <w:t>.</w:t>
      </w:r>
      <w:r w:rsidRPr="00101E08">
        <w:rPr>
          <w:i/>
        </w:rPr>
        <w:t xml:space="preserve"> Alford </w:t>
      </w:r>
      <w:r w:rsidRPr="00101E08">
        <w:t>[2017] 1 NZLR 710.</w:t>
      </w:r>
    </w:p>
  </w:footnote>
  <w:footnote w:id="10">
    <w:p w14:paraId="59A86DFF" w14:textId="77777777" w:rsidR="0026296C" w:rsidRPr="00101E08" w:rsidRDefault="0026296C" w:rsidP="000B61BA">
      <w:pPr>
        <w:pStyle w:val="FootnoteText"/>
      </w:pPr>
      <w:r w:rsidRPr="00101E08">
        <w:rPr>
          <w:i/>
        </w:rPr>
        <w:tab/>
      </w:r>
      <w:r w:rsidRPr="00101E08">
        <w:rPr>
          <w:rStyle w:val="FootnoteReference"/>
        </w:rPr>
        <w:footnoteRef/>
      </w:r>
      <w:r w:rsidRPr="00101E08">
        <w:rPr>
          <w:i/>
        </w:rPr>
        <w:tab/>
        <w:t>R v</w:t>
      </w:r>
      <w:r>
        <w:rPr>
          <w:i/>
        </w:rPr>
        <w:t>.</w:t>
      </w:r>
      <w:r w:rsidRPr="00101E08">
        <w:rPr>
          <w:i/>
        </w:rPr>
        <w:t xml:space="preserve"> Hamed </w:t>
      </w:r>
      <w:r w:rsidRPr="00101E08">
        <w:t>[2012] 2 NZLR 305.</w:t>
      </w:r>
    </w:p>
  </w:footnote>
  <w:footnote w:id="11">
    <w:p w14:paraId="2D90A4E8" w14:textId="77777777" w:rsidR="0026296C" w:rsidRPr="00101E08" w:rsidRDefault="0026296C" w:rsidP="000B61BA">
      <w:pPr>
        <w:pStyle w:val="FootnoteText"/>
      </w:pPr>
      <w:r w:rsidRPr="00101E08">
        <w:rPr>
          <w:i/>
        </w:rPr>
        <w:tab/>
      </w:r>
      <w:r w:rsidRPr="00101E08">
        <w:rPr>
          <w:rStyle w:val="FootnoteReference"/>
        </w:rPr>
        <w:footnoteRef/>
      </w:r>
      <w:r w:rsidRPr="00101E08">
        <w:rPr>
          <w:i/>
        </w:rPr>
        <w:tab/>
        <w:t>S v</w:t>
      </w:r>
      <w:r>
        <w:rPr>
          <w:i/>
        </w:rPr>
        <w:t>.</w:t>
      </w:r>
      <w:r w:rsidRPr="00101E08">
        <w:rPr>
          <w:i/>
        </w:rPr>
        <w:t xml:space="preserve"> NZ Police</w:t>
      </w:r>
      <w:r w:rsidRPr="00101E08">
        <w:t xml:space="preserve"> [2018] NZHC 1582.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EC12" w14:textId="77777777" w:rsidR="0026296C" w:rsidRDefault="0026296C" w:rsidP="007467BC">
    <w:pPr>
      <w:pStyle w:val="Header"/>
    </w:pPr>
    <w:r>
      <w:t>CAT/C/NZL/7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1B56" w14:textId="77777777" w:rsidR="0026296C" w:rsidRDefault="0026296C" w:rsidP="007467BC">
    <w:pPr>
      <w:pStyle w:val="Header"/>
      <w:jc w:val="right"/>
    </w:pPr>
    <w:r>
      <w:t>CAT/C/NZL/7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1A45"/>
    <w:multiLevelType w:val="multilevel"/>
    <w:tmpl w:val="72EC24EE"/>
    <w:styleLink w:val="DOCNumbering"/>
    <w:lvl w:ilvl="0">
      <w:start w:val="1"/>
      <w:numFmt w:val="decimal"/>
      <w:lvlText w:val="%1."/>
      <w:lvlJc w:val="left"/>
      <w:pPr>
        <w:ind w:left="567" w:hanging="567"/>
      </w:pPr>
      <w:rPr>
        <w:rFonts w:ascii="Arial" w:hAnsi="Arial"/>
        <w:color w:val="auto"/>
        <w:sz w:val="24"/>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Calibri" w:hAnsi="Calibri"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8475EB"/>
    <w:multiLevelType w:val="multilevel"/>
    <w:tmpl w:val="6D921C46"/>
    <w:styleLink w:val="DOCLegalNumb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B2772BC"/>
    <w:multiLevelType w:val="multilevel"/>
    <w:tmpl w:val="FD007BB4"/>
    <w:styleLink w:val="DOCBullets"/>
    <w:lvl w:ilvl="0">
      <w:start w:val="1"/>
      <w:numFmt w:val="bullet"/>
      <w:lvlText w:val=""/>
      <w:lvlJc w:val="left"/>
      <w:pPr>
        <w:ind w:left="567" w:hanging="567"/>
      </w:pPr>
      <w:rPr>
        <w:rFonts w:ascii="Symbol" w:hAnsi="Symbol" w:hint="default"/>
      </w:rPr>
    </w:lvl>
    <w:lvl w:ilvl="1">
      <w:start w:val="1"/>
      <w:numFmt w:val="bullet"/>
      <w:lvlText w:val="-"/>
      <w:lvlJc w:val="left"/>
      <w:pPr>
        <w:ind w:left="1134" w:hanging="567"/>
      </w:pPr>
      <w:rPr>
        <w:rFonts w:ascii="Calibri" w:hAnsi="Calibri"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Calibri" w:hAnsi="Calibri"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Calibri" w:hAnsi="Calibri"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Calibri" w:hAnsi="Calibri" w:hint="default"/>
      </w:rPr>
    </w:lvl>
    <w:lvl w:ilvl="8">
      <w:start w:val="1"/>
      <w:numFmt w:val="bullet"/>
      <w:lvlText w:val=""/>
      <w:lvlJc w:val="left"/>
      <w:pPr>
        <w:ind w:left="5103" w:hanging="567"/>
      </w:pPr>
      <w:rPr>
        <w:rFonts w:ascii="Symbol" w:hAnsi="Symbol" w:hint="default"/>
      </w:rPr>
    </w:lvl>
  </w:abstractNum>
  <w:abstractNum w:abstractNumId="10" w15:restartNumberingAfterBreak="0">
    <w:nsid w:val="703146D8"/>
    <w:multiLevelType w:val="multilevel"/>
    <w:tmpl w:val="368606EE"/>
    <w:name w:val="MOJList"/>
    <w:lvl w:ilvl="0">
      <w:start w:val="1"/>
      <w:numFmt w:val="decimal"/>
      <w:pStyle w:val="MOJNumPara"/>
      <w:isLgl/>
      <w:lvlText w:val="%1."/>
      <w:lvlJc w:val="left"/>
      <w:pPr>
        <w:tabs>
          <w:tab w:val="num" w:pos="709"/>
        </w:tabs>
        <w:ind w:left="709" w:hanging="709"/>
      </w:pPr>
    </w:lvl>
    <w:lvl w:ilvl="1">
      <w:start w:val="1"/>
      <w:numFmt w:val="decimal"/>
      <w:pStyle w:val="MOJLevel2NumPara"/>
      <w:isLgl/>
      <w:lvlText w:val="%1.%2."/>
      <w:lvlJc w:val="left"/>
      <w:pPr>
        <w:tabs>
          <w:tab w:val="num" w:pos="1702"/>
        </w:tabs>
        <w:ind w:left="1702" w:hanging="709"/>
      </w:pPr>
    </w:lvl>
    <w:lvl w:ilvl="2">
      <w:start w:val="1"/>
      <w:numFmt w:val="decimal"/>
      <w:pStyle w:val="MOJLevel3NumPara"/>
      <w:isLgl/>
      <w:lvlText w:val="%1.%2.%3."/>
      <w:lvlJc w:val="left"/>
      <w:pPr>
        <w:tabs>
          <w:tab w:val="num" w:pos="2268"/>
        </w:tabs>
        <w:ind w:left="2268" w:hanging="850"/>
      </w:pPr>
    </w:lvl>
    <w:lvl w:ilvl="3">
      <w:start w:val="1"/>
      <w:numFmt w:val="decimal"/>
      <w:pStyle w:val="MOJLevel4NumPara"/>
      <w:isLgl/>
      <w:lvlText w:val="%1.%2.%3.%4."/>
      <w:lvlJc w:val="left"/>
      <w:pPr>
        <w:tabs>
          <w:tab w:val="num" w:pos="3119"/>
        </w:tabs>
        <w:ind w:left="3119" w:hanging="851"/>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0"/>
  </w:num>
  <w:num w:numId="4">
    <w:abstractNumId w:val="7"/>
  </w:num>
  <w:num w:numId="5">
    <w:abstractNumId w:val="8"/>
  </w:num>
  <w:num w:numId="6">
    <w:abstractNumId w:val="11"/>
  </w:num>
  <w:num w:numId="7">
    <w:abstractNumId w:val="2"/>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97"/>
    <w:rsid w:val="000068AE"/>
    <w:rsid w:val="00046E92"/>
    <w:rsid w:val="00051662"/>
    <w:rsid w:val="00062024"/>
    <w:rsid w:val="00066F53"/>
    <w:rsid w:val="0009789F"/>
    <w:rsid w:val="000B61BA"/>
    <w:rsid w:val="000D0958"/>
    <w:rsid w:val="000D1511"/>
    <w:rsid w:val="000F0DEC"/>
    <w:rsid w:val="00101E08"/>
    <w:rsid w:val="0011190E"/>
    <w:rsid w:val="00113E7B"/>
    <w:rsid w:val="00121F90"/>
    <w:rsid w:val="001405F8"/>
    <w:rsid w:val="00172581"/>
    <w:rsid w:val="00173842"/>
    <w:rsid w:val="001939AE"/>
    <w:rsid w:val="001B60A5"/>
    <w:rsid w:val="001C5C56"/>
    <w:rsid w:val="001D3E26"/>
    <w:rsid w:val="001F1806"/>
    <w:rsid w:val="00205BD8"/>
    <w:rsid w:val="002212D2"/>
    <w:rsid w:val="002361B4"/>
    <w:rsid w:val="00247E2C"/>
    <w:rsid w:val="00250BE2"/>
    <w:rsid w:val="00254A4D"/>
    <w:rsid w:val="0026296C"/>
    <w:rsid w:val="00282AE0"/>
    <w:rsid w:val="002D2A54"/>
    <w:rsid w:val="002D5C23"/>
    <w:rsid w:val="002D6C53"/>
    <w:rsid w:val="002E7F1E"/>
    <w:rsid w:val="002F5595"/>
    <w:rsid w:val="002F7D86"/>
    <w:rsid w:val="00301676"/>
    <w:rsid w:val="003033E4"/>
    <w:rsid w:val="00304994"/>
    <w:rsid w:val="00306153"/>
    <w:rsid w:val="00313981"/>
    <w:rsid w:val="00316C8F"/>
    <w:rsid w:val="003174BD"/>
    <w:rsid w:val="00324676"/>
    <w:rsid w:val="00334F6A"/>
    <w:rsid w:val="00342AC8"/>
    <w:rsid w:val="00343409"/>
    <w:rsid w:val="00373839"/>
    <w:rsid w:val="003A2B9F"/>
    <w:rsid w:val="003B4550"/>
    <w:rsid w:val="003B4764"/>
    <w:rsid w:val="003C6CE7"/>
    <w:rsid w:val="00400663"/>
    <w:rsid w:val="00405A9B"/>
    <w:rsid w:val="00427FEF"/>
    <w:rsid w:val="0043320E"/>
    <w:rsid w:val="00436790"/>
    <w:rsid w:val="00461253"/>
    <w:rsid w:val="00490A7A"/>
    <w:rsid w:val="004A5613"/>
    <w:rsid w:val="004A6B08"/>
    <w:rsid w:val="004B18CD"/>
    <w:rsid w:val="004B3E69"/>
    <w:rsid w:val="004D2653"/>
    <w:rsid w:val="004E3FEE"/>
    <w:rsid w:val="004E5AB8"/>
    <w:rsid w:val="004F1DCF"/>
    <w:rsid w:val="005042C2"/>
    <w:rsid w:val="00507CF5"/>
    <w:rsid w:val="00515BD1"/>
    <w:rsid w:val="0052507E"/>
    <w:rsid w:val="00536B5A"/>
    <w:rsid w:val="0055269D"/>
    <w:rsid w:val="00561E27"/>
    <w:rsid w:val="00562737"/>
    <w:rsid w:val="00563EB9"/>
    <w:rsid w:val="0059095F"/>
    <w:rsid w:val="005B6E5C"/>
    <w:rsid w:val="005D0741"/>
    <w:rsid w:val="005D53C1"/>
    <w:rsid w:val="005E3E34"/>
    <w:rsid w:val="005E70BA"/>
    <w:rsid w:val="005E73EF"/>
    <w:rsid w:val="00614548"/>
    <w:rsid w:val="00633271"/>
    <w:rsid w:val="006365DF"/>
    <w:rsid w:val="00671529"/>
    <w:rsid w:val="00677737"/>
    <w:rsid w:val="006B70F5"/>
    <w:rsid w:val="006C3770"/>
    <w:rsid w:val="006D41DD"/>
    <w:rsid w:val="006E05BA"/>
    <w:rsid w:val="006E1B45"/>
    <w:rsid w:val="00714FAF"/>
    <w:rsid w:val="007251DD"/>
    <w:rsid w:val="007268F9"/>
    <w:rsid w:val="007309C0"/>
    <w:rsid w:val="007467BC"/>
    <w:rsid w:val="00747FEC"/>
    <w:rsid w:val="007709A6"/>
    <w:rsid w:val="00794DDD"/>
    <w:rsid w:val="007B1A80"/>
    <w:rsid w:val="007C52B0"/>
    <w:rsid w:val="007D4323"/>
    <w:rsid w:val="007D69B5"/>
    <w:rsid w:val="007D7547"/>
    <w:rsid w:val="007F2864"/>
    <w:rsid w:val="007F3260"/>
    <w:rsid w:val="007F3852"/>
    <w:rsid w:val="00817125"/>
    <w:rsid w:val="008206A2"/>
    <w:rsid w:val="008779DC"/>
    <w:rsid w:val="008836B8"/>
    <w:rsid w:val="008B5F85"/>
    <w:rsid w:val="008C39E6"/>
    <w:rsid w:val="00932D74"/>
    <w:rsid w:val="0093545A"/>
    <w:rsid w:val="009411B4"/>
    <w:rsid w:val="00951AFF"/>
    <w:rsid w:val="009653DC"/>
    <w:rsid w:val="0096637C"/>
    <w:rsid w:val="00976628"/>
    <w:rsid w:val="0099513F"/>
    <w:rsid w:val="009A2177"/>
    <w:rsid w:val="009D0139"/>
    <w:rsid w:val="009D05C1"/>
    <w:rsid w:val="009F5CDC"/>
    <w:rsid w:val="00A16EF8"/>
    <w:rsid w:val="00A43F01"/>
    <w:rsid w:val="00A775CF"/>
    <w:rsid w:val="00A95DF7"/>
    <w:rsid w:val="00A96FA1"/>
    <w:rsid w:val="00B06045"/>
    <w:rsid w:val="00B10D65"/>
    <w:rsid w:val="00B318F2"/>
    <w:rsid w:val="00B32E94"/>
    <w:rsid w:val="00B50890"/>
    <w:rsid w:val="00B551E7"/>
    <w:rsid w:val="00B61AC1"/>
    <w:rsid w:val="00B85775"/>
    <w:rsid w:val="00B96BA3"/>
    <w:rsid w:val="00BA1F5C"/>
    <w:rsid w:val="00BD000F"/>
    <w:rsid w:val="00C12652"/>
    <w:rsid w:val="00C27CE2"/>
    <w:rsid w:val="00C35A27"/>
    <w:rsid w:val="00C42523"/>
    <w:rsid w:val="00C46FB7"/>
    <w:rsid w:val="00C47540"/>
    <w:rsid w:val="00C525AB"/>
    <w:rsid w:val="00C64FB2"/>
    <w:rsid w:val="00C77619"/>
    <w:rsid w:val="00C9269A"/>
    <w:rsid w:val="00C94EC2"/>
    <w:rsid w:val="00CD13C7"/>
    <w:rsid w:val="00CF302B"/>
    <w:rsid w:val="00CF5BFF"/>
    <w:rsid w:val="00D0257E"/>
    <w:rsid w:val="00D17A9A"/>
    <w:rsid w:val="00D22328"/>
    <w:rsid w:val="00D60B68"/>
    <w:rsid w:val="00D873D9"/>
    <w:rsid w:val="00D91269"/>
    <w:rsid w:val="00D92FBF"/>
    <w:rsid w:val="00D94897"/>
    <w:rsid w:val="00D94CF2"/>
    <w:rsid w:val="00D96172"/>
    <w:rsid w:val="00DD1386"/>
    <w:rsid w:val="00DD449F"/>
    <w:rsid w:val="00DE706A"/>
    <w:rsid w:val="00E02C2B"/>
    <w:rsid w:val="00E4053C"/>
    <w:rsid w:val="00E40C22"/>
    <w:rsid w:val="00E51A46"/>
    <w:rsid w:val="00E67FFB"/>
    <w:rsid w:val="00E8257B"/>
    <w:rsid w:val="00EA0BC0"/>
    <w:rsid w:val="00EA0EE9"/>
    <w:rsid w:val="00EC05B3"/>
    <w:rsid w:val="00EC34D4"/>
    <w:rsid w:val="00ED6C48"/>
    <w:rsid w:val="00EE6848"/>
    <w:rsid w:val="00EF3559"/>
    <w:rsid w:val="00F022BB"/>
    <w:rsid w:val="00F04DB0"/>
    <w:rsid w:val="00F3613F"/>
    <w:rsid w:val="00F406DB"/>
    <w:rsid w:val="00F52D40"/>
    <w:rsid w:val="00F65F5D"/>
    <w:rsid w:val="00F76CFD"/>
    <w:rsid w:val="00F86A3A"/>
    <w:rsid w:val="00F90841"/>
    <w:rsid w:val="00FA0A8C"/>
    <w:rsid w:val="00FA6B47"/>
    <w:rsid w:val="00FC1527"/>
    <w:rsid w:val="00FC74C0"/>
    <w:rsid w:val="00FD0033"/>
    <w:rsid w:val="00FD1289"/>
    <w:rsid w:val="00FE66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4DC07E3"/>
  <w15:docId w15:val="{B2EBE9AC-0915-43D8-A745-294468A9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CE7"/>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uiPriority w:val="9"/>
    <w:qFormat/>
    <w:rsid w:val="007268F9"/>
    <w:pPr>
      <w:spacing w:after="0"/>
      <w:ind w:right="0"/>
      <w:jc w:val="left"/>
      <w:outlineLvl w:val="0"/>
    </w:pPr>
  </w:style>
  <w:style w:type="paragraph" w:styleId="Heading2">
    <w:name w:val="heading 2"/>
    <w:basedOn w:val="Normal"/>
    <w:next w:val="Normal"/>
    <w:link w:val="Heading2Char"/>
    <w:uiPriority w:val="9"/>
    <w:qFormat/>
    <w:rsid w:val="007268F9"/>
    <w:pPr>
      <w:outlineLvl w:val="1"/>
    </w:pPr>
  </w:style>
  <w:style w:type="paragraph" w:styleId="Heading3">
    <w:name w:val="heading 3"/>
    <w:basedOn w:val="Normal"/>
    <w:next w:val="Normal"/>
    <w:link w:val="Heading3Char"/>
    <w:uiPriority w:val="9"/>
    <w:qFormat/>
    <w:rsid w:val="007268F9"/>
    <w:pPr>
      <w:outlineLvl w:val="2"/>
    </w:pPr>
  </w:style>
  <w:style w:type="paragraph" w:styleId="Heading4">
    <w:name w:val="heading 4"/>
    <w:basedOn w:val="Normal"/>
    <w:next w:val="Normal"/>
    <w:link w:val="Heading4Char"/>
    <w:uiPriority w:val="9"/>
    <w:qFormat/>
    <w:rsid w:val="007268F9"/>
    <w:pPr>
      <w:outlineLvl w:val="3"/>
    </w:pPr>
  </w:style>
  <w:style w:type="paragraph" w:styleId="Heading5">
    <w:name w:val="heading 5"/>
    <w:basedOn w:val="Normal"/>
    <w:next w:val="Normal"/>
    <w:link w:val="Heading5Char"/>
    <w:semiHidden/>
    <w:qFormat/>
    <w:rsid w:val="007268F9"/>
    <w:pPr>
      <w:outlineLvl w:val="4"/>
    </w:pPr>
  </w:style>
  <w:style w:type="paragraph" w:styleId="Heading6">
    <w:name w:val="heading 6"/>
    <w:basedOn w:val="Normal"/>
    <w:next w:val="Normal"/>
    <w:link w:val="Heading6Char"/>
    <w:semiHidden/>
    <w:qFormat/>
    <w:rsid w:val="007268F9"/>
    <w:pPr>
      <w:outlineLvl w:val="5"/>
    </w:pPr>
  </w:style>
  <w:style w:type="paragraph" w:styleId="Heading7">
    <w:name w:val="heading 7"/>
    <w:basedOn w:val="Normal"/>
    <w:next w:val="Normal"/>
    <w:link w:val="Heading7Char"/>
    <w:semiHidden/>
    <w:qFormat/>
    <w:rsid w:val="007268F9"/>
    <w:pPr>
      <w:outlineLvl w:val="6"/>
    </w:pPr>
  </w:style>
  <w:style w:type="paragraph" w:styleId="Heading8">
    <w:name w:val="heading 8"/>
    <w:basedOn w:val="Normal"/>
    <w:next w:val="Normal"/>
    <w:link w:val="Heading8Char"/>
    <w:semiHidden/>
    <w:qFormat/>
    <w:rsid w:val="007268F9"/>
    <w:pPr>
      <w:outlineLvl w:val="7"/>
    </w:pPr>
  </w:style>
  <w:style w:type="paragraph" w:styleId="Heading9">
    <w:name w:val="heading 9"/>
    <w:basedOn w:val="Normal"/>
    <w:next w:val="Normal"/>
    <w:link w:val="Heading9Char"/>
    <w:semiHidden/>
    <w:qFormat/>
    <w:rsid w:val="007268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pPr>
    <w:rPr>
      <w:b/>
      <w:sz w:val="18"/>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rPr>
      <w:sz w:val="16"/>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rsid w:val="00436790"/>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36790"/>
    <w:rPr>
      <w:rFonts w:ascii="Times New Roma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436790"/>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uiPriority w:val="39"/>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customStyle="1" w:styleId="ParNoG">
    <w:name w:val="_ParNo_G"/>
    <w:basedOn w:val="Normal"/>
    <w:qFormat/>
    <w:rsid w:val="007467BC"/>
    <w:pPr>
      <w:numPr>
        <w:numId w:val="8"/>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llowedHyperlink">
    <w:name w:val="FollowedHyperlink"/>
    <w:basedOn w:val="DefaultParagraphFont"/>
    <w:uiPriority w:val="99"/>
    <w:semiHidden/>
    <w:rsid w:val="007467BC"/>
    <w:rPr>
      <w:color w:val="0000FF"/>
      <w:u w:val="none"/>
    </w:rPr>
  </w:style>
  <w:style w:type="table" w:customStyle="1" w:styleId="TableGrid1">
    <w:name w:val="Table Grid1"/>
    <w:basedOn w:val="TableNormal"/>
    <w:uiPriority w:val="39"/>
    <w:rsid w:val="007467BC"/>
    <w:pPr>
      <w:suppressAutoHyphens/>
      <w:spacing w:after="0" w:line="240" w:lineRule="atLeast"/>
    </w:pPr>
    <w:rPr>
      <w:rFonts w:ascii="Times New Roman" w:eastAsiaTheme="minorHAnsi" w:hAnsi="Times New Roman" w:cs="Times New Roman"/>
      <w:sz w:val="20"/>
      <w:szCs w:val="20"/>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Rec para,List Paragraph1,Recommendation,List Paragraph11,Dot pt,F5 List Paragraph,No Spacing1,List Paragraph Char Char Char,Indicator Text,Numbered Para 1,Colorful List - Accent 11,Bullet 1,MAIN CONTENT,List Paragraph12,List Paragraph2,L"/>
    <w:basedOn w:val="Normal"/>
    <w:link w:val="ListParagraphChar"/>
    <w:uiPriority w:val="34"/>
    <w:qFormat/>
    <w:rsid w:val="007467BC"/>
    <w:pPr>
      <w:spacing w:after="200" w:line="276" w:lineRule="auto"/>
      <w:ind w:left="720"/>
      <w:contextualSpacing/>
    </w:pPr>
  </w:style>
  <w:style w:type="character" w:styleId="CommentReference">
    <w:name w:val="annotation reference"/>
    <w:basedOn w:val="DefaultParagraphFont"/>
    <w:uiPriority w:val="99"/>
    <w:semiHidden/>
    <w:unhideWhenUsed/>
    <w:rsid w:val="007467BC"/>
    <w:rPr>
      <w:sz w:val="16"/>
      <w:szCs w:val="16"/>
    </w:rPr>
  </w:style>
  <w:style w:type="paragraph" w:styleId="CommentText">
    <w:name w:val="annotation text"/>
    <w:basedOn w:val="Normal"/>
    <w:link w:val="CommentTextChar"/>
    <w:uiPriority w:val="99"/>
    <w:unhideWhenUsed/>
    <w:rsid w:val="007467BC"/>
    <w:pPr>
      <w:spacing w:after="200"/>
    </w:pPr>
    <w:rPr>
      <w:rFonts w:asciiTheme="minorHAnsi" w:eastAsiaTheme="minorHAnsi" w:hAnsiTheme="minorHAnsi" w:cstheme="minorBidi"/>
      <w:lang w:val="en-NZ"/>
    </w:rPr>
  </w:style>
  <w:style w:type="character" w:customStyle="1" w:styleId="CommentTextChar">
    <w:name w:val="Comment Text Char"/>
    <w:basedOn w:val="DefaultParagraphFont"/>
    <w:link w:val="CommentText"/>
    <w:uiPriority w:val="99"/>
    <w:rsid w:val="007467BC"/>
    <w:rPr>
      <w:rFonts w:eastAsiaTheme="minorHAnsi"/>
      <w:sz w:val="20"/>
      <w:szCs w:val="20"/>
      <w:lang w:val="en-NZ" w:eastAsia="en-US"/>
    </w:rPr>
  </w:style>
  <w:style w:type="character" w:customStyle="1" w:styleId="UnresolvedMention1">
    <w:name w:val="Unresolved Mention1"/>
    <w:basedOn w:val="DefaultParagraphFont"/>
    <w:uiPriority w:val="99"/>
    <w:semiHidden/>
    <w:unhideWhenUsed/>
    <w:rsid w:val="007467BC"/>
    <w:rPr>
      <w:color w:val="808080"/>
      <w:shd w:val="clear" w:color="auto" w:fill="E6E6E6"/>
    </w:rPr>
  </w:style>
  <w:style w:type="character" w:customStyle="1" w:styleId="ListParagraphChar">
    <w:name w:val="List Paragraph Char"/>
    <w:aliases w:val="Rec para Char,List Paragraph1 Char,Recommendation Char,List Paragraph11 Char,Dot pt Char,F5 List Paragraph Char,No Spacing1 Char,List Paragraph Char Char Char Char,Indicator Text Char,Numbered Para 1 Char,Bullet 1 Char,L Char"/>
    <w:basedOn w:val="DefaultParagraphFont"/>
    <w:link w:val="ListParagraph"/>
    <w:uiPriority w:val="34"/>
    <w:qFormat/>
    <w:locked/>
    <w:rsid w:val="007467BC"/>
    <w:rPr>
      <w:rFonts w:ascii="Times New Roman" w:eastAsia="Times New Roman" w:hAnsi="Times New Roman" w:cs="Times New Roman"/>
      <w:sz w:val="20"/>
      <w:szCs w:val="20"/>
      <w:lang w:eastAsia="en-US"/>
    </w:rPr>
  </w:style>
  <w:style w:type="paragraph" w:styleId="Title">
    <w:name w:val="Title"/>
    <w:basedOn w:val="Normal"/>
    <w:next w:val="Normal"/>
    <w:link w:val="TitleChar"/>
    <w:uiPriority w:val="10"/>
    <w:qFormat/>
    <w:rsid w:val="007467BC"/>
    <w:pPr>
      <w:spacing w:after="200"/>
      <w:jc w:val="both"/>
    </w:pPr>
    <w:rPr>
      <w:rFonts w:ascii="Calibri" w:eastAsiaTheme="majorEastAsia" w:hAnsi="Calibri" w:cstheme="majorBidi"/>
      <w:b/>
      <w:color w:val="17365D" w:themeColor="text2" w:themeShade="BF"/>
      <w:spacing w:val="5"/>
      <w:kern w:val="28"/>
      <w:sz w:val="32"/>
      <w:szCs w:val="52"/>
      <w:lang w:val="en-NZ"/>
    </w:rPr>
  </w:style>
  <w:style w:type="character" w:customStyle="1" w:styleId="TitleChar">
    <w:name w:val="Title Char"/>
    <w:basedOn w:val="DefaultParagraphFont"/>
    <w:link w:val="Title"/>
    <w:uiPriority w:val="10"/>
    <w:rsid w:val="007467BC"/>
    <w:rPr>
      <w:rFonts w:ascii="Calibri" w:eastAsiaTheme="majorEastAsia" w:hAnsi="Calibri" w:cstheme="majorBidi"/>
      <w:b/>
      <w:color w:val="17365D" w:themeColor="text2" w:themeShade="BF"/>
      <w:spacing w:val="5"/>
      <w:kern w:val="28"/>
      <w:sz w:val="32"/>
      <w:szCs w:val="52"/>
      <w:lang w:val="en-NZ" w:eastAsia="en-US"/>
    </w:rPr>
  </w:style>
  <w:style w:type="paragraph" w:styleId="CommentSubject">
    <w:name w:val="annotation subject"/>
    <w:basedOn w:val="CommentText"/>
    <w:next w:val="CommentText"/>
    <w:link w:val="CommentSubjectChar"/>
    <w:uiPriority w:val="99"/>
    <w:semiHidden/>
    <w:unhideWhenUsed/>
    <w:rsid w:val="007467BC"/>
    <w:pPr>
      <w:spacing w:before="200" w:after="0"/>
      <w:jc w:val="both"/>
    </w:pPr>
    <w:rPr>
      <w:b/>
      <w:bCs/>
    </w:rPr>
  </w:style>
  <w:style w:type="character" w:customStyle="1" w:styleId="CommentSubjectChar">
    <w:name w:val="Comment Subject Char"/>
    <w:basedOn w:val="CommentTextChar"/>
    <w:link w:val="CommentSubject"/>
    <w:uiPriority w:val="99"/>
    <w:semiHidden/>
    <w:rsid w:val="007467BC"/>
    <w:rPr>
      <w:rFonts w:eastAsiaTheme="minorHAnsi"/>
      <w:b/>
      <w:bCs/>
      <w:sz w:val="20"/>
      <w:szCs w:val="20"/>
      <w:lang w:val="en-NZ" w:eastAsia="en-US"/>
    </w:rPr>
  </w:style>
  <w:style w:type="table" w:styleId="LightList-Accent1">
    <w:name w:val="Light List Accent 1"/>
    <w:basedOn w:val="TableNormal"/>
    <w:uiPriority w:val="61"/>
    <w:rsid w:val="007467BC"/>
    <w:pPr>
      <w:spacing w:after="0" w:line="240" w:lineRule="auto"/>
    </w:pPr>
    <w:rPr>
      <w:rFonts w:eastAsiaTheme="minorHAnsi"/>
      <w:lang w:val="en-NZ"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
    <w:name w:val="Paragraph"/>
    <w:basedOn w:val="Heading2"/>
    <w:rsid w:val="007467BC"/>
    <w:pPr>
      <w:spacing w:before="300" w:after="160" w:line="259" w:lineRule="auto"/>
      <w:outlineLvl w:val="9"/>
    </w:pPr>
    <w:rPr>
      <w:rFonts w:asciiTheme="minorHAnsi" w:eastAsia="Times New Roman" w:hAnsiTheme="minorHAnsi"/>
      <w:sz w:val="22"/>
      <w:lang w:eastAsia="en-NZ"/>
    </w:rPr>
  </w:style>
  <w:style w:type="table" w:styleId="LightShading-Accent1">
    <w:name w:val="Light Shading Accent 1"/>
    <w:basedOn w:val="TableNormal"/>
    <w:uiPriority w:val="60"/>
    <w:rsid w:val="007467BC"/>
    <w:pPr>
      <w:spacing w:after="0" w:line="240" w:lineRule="auto"/>
    </w:pPr>
    <w:rPr>
      <w:rFonts w:eastAsiaTheme="minorHAnsi"/>
      <w:color w:val="365F91" w:themeColor="accent1" w:themeShade="BF"/>
      <w:lang w:val="en-NZ"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OJRLevel2">
    <w:name w:val="MOJ R Level 2"/>
    <w:basedOn w:val="Normal"/>
    <w:rsid w:val="007467BC"/>
    <w:pPr>
      <w:numPr>
        <w:ilvl w:val="1"/>
      </w:numPr>
      <w:tabs>
        <w:tab w:val="num" w:pos="1986"/>
      </w:tabs>
      <w:spacing w:before="230" w:after="200"/>
      <w:ind w:left="1986" w:hanging="709"/>
      <w:jc w:val="both"/>
    </w:pPr>
    <w:rPr>
      <w:rFonts w:ascii="Calibri" w:hAnsi="Calibri"/>
      <w:sz w:val="22"/>
      <w:szCs w:val="24"/>
      <w:lang w:val="en-NZ"/>
    </w:rPr>
  </w:style>
  <w:style w:type="paragraph" w:customStyle="1" w:styleId="MOJNumPara">
    <w:name w:val="MOJ Num Para"/>
    <w:basedOn w:val="Normal"/>
    <w:qFormat/>
    <w:rsid w:val="007467BC"/>
    <w:pPr>
      <w:numPr>
        <w:numId w:val="9"/>
      </w:numPr>
      <w:spacing w:before="230" w:after="200"/>
    </w:pPr>
    <w:rPr>
      <w:rFonts w:ascii="Calibri" w:eastAsiaTheme="minorHAnsi" w:hAnsi="Calibri" w:cs="Calibri"/>
      <w:sz w:val="24"/>
      <w:szCs w:val="24"/>
      <w:lang w:val="en-NZ"/>
    </w:rPr>
  </w:style>
  <w:style w:type="character" w:customStyle="1" w:styleId="MOJLevel2NumParaChar">
    <w:name w:val="MOJ Level 2 Num Para Char"/>
    <w:basedOn w:val="DefaultParagraphFont"/>
    <w:link w:val="MOJLevel2NumPara"/>
    <w:locked/>
    <w:rsid w:val="007467BC"/>
  </w:style>
  <w:style w:type="paragraph" w:customStyle="1" w:styleId="MOJLevel2NumPara">
    <w:name w:val="MOJ Level 2 Num Para"/>
    <w:basedOn w:val="Normal"/>
    <w:link w:val="MOJLevel2NumParaChar"/>
    <w:qFormat/>
    <w:rsid w:val="007467BC"/>
    <w:pPr>
      <w:numPr>
        <w:ilvl w:val="1"/>
        <w:numId w:val="9"/>
      </w:numPr>
      <w:spacing w:before="230" w:after="200"/>
      <w:ind w:left="1418"/>
    </w:pPr>
    <w:rPr>
      <w:rFonts w:asciiTheme="minorHAnsi" w:hAnsiTheme="minorHAnsi" w:cstheme="minorBidi"/>
      <w:sz w:val="22"/>
      <w:szCs w:val="22"/>
    </w:rPr>
  </w:style>
  <w:style w:type="paragraph" w:customStyle="1" w:styleId="MOJLevel3NumPara">
    <w:name w:val="MOJ Level 3 Num Para"/>
    <w:basedOn w:val="Normal"/>
    <w:qFormat/>
    <w:rsid w:val="007467BC"/>
    <w:pPr>
      <w:numPr>
        <w:ilvl w:val="2"/>
        <w:numId w:val="9"/>
      </w:numPr>
      <w:spacing w:before="230" w:after="200"/>
      <w:ind w:left="1800" w:hanging="180"/>
    </w:pPr>
    <w:rPr>
      <w:rFonts w:eastAsiaTheme="minorHAnsi"/>
      <w:sz w:val="24"/>
      <w:szCs w:val="24"/>
      <w:lang w:val="en-NZ" w:eastAsia="en-NZ"/>
    </w:rPr>
  </w:style>
  <w:style w:type="paragraph" w:customStyle="1" w:styleId="MOJLevel4NumPara">
    <w:name w:val="MOJ Level 4 Num Para"/>
    <w:basedOn w:val="Normal"/>
    <w:qFormat/>
    <w:rsid w:val="007467BC"/>
    <w:pPr>
      <w:numPr>
        <w:ilvl w:val="3"/>
        <w:numId w:val="9"/>
      </w:numPr>
      <w:spacing w:before="230" w:after="200"/>
      <w:ind w:left="2520" w:hanging="360"/>
    </w:pPr>
    <w:rPr>
      <w:rFonts w:eastAsiaTheme="minorHAnsi"/>
      <w:sz w:val="24"/>
      <w:szCs w:val="24"/>
      <w:lang w:val="en-NZ" w:eastAsia="en-NZ"/>
    </w:rPr>
  </w:style>
  <w:style w:type="character" w:styleId="Strong">
    <w:name w:val="Strong"/>
    <w:basedOn w:val="DefaultParagraphFont"/>
    <w:uiPriority w:val="22"/>
    <w:qFormat/>
    <w:rsid w:val="007467BC"/>
    <w:rPr>
      <w:b/>
      <w:bCs/>
    </w:rPr>
  </w:style>
  <w:style w:type="numbering" w:customStyle="1" w:styleId="DOCNumbering">
    <w:name w:val="DOC Numbering"/>
    <w:uiPriority w:val="99"/>
    <w:rsid w:val="007467BC"/>
    <w:pPr>
      <w:numPr>
        <w:numId w:val="10"/>
      </w:numPr>
    </w:pPr>
  </w:style>
  <w:style w:type="numbering" w:customStyle="1" w:styleId="DOCBullets">
    <w:name w:val="DOC Bullets"/>
    <w:uiPriority w:val="99"/>
    <w:rsid w:val="007467BC"/>
    <w:pPr>
      <w:numPr>
        <w:numId w:val="11"/>
      </w:numPr>
    </w:pPr>
  </w:style>
  <w:style w:type="numbering" w:customStyle="1" w:styleId="DOCLegalNumbering">
    <w:name w:val="DOC Legal Numbering"/>
    <w:uiPriority w:val="99"/>
    <w:rsid w:val="007467BC"/>
    <w:pPr>
      <w:numPr>
        <w:numId w:val="12"/>
      </w:numPr>
    </w:pPr>
  </w:style>
  <w:style w:type="paragraph" w:customStyle="1" w:styleId="xl63">
    <w:name w:val="xl63"/>
    <w:basedOn w:val="Normal"/>
    <w:rsid w:val="007467BC"/>
    <w:pPr>
      <w:pBdr>
        <w:top w:val="single" w:sz="8" w:space="0" w:color="auto"/>
        <w:left w:val="single" w:sz="8" w:space="0" w:color="auto"/>
        <w:bottom w:val="single" w:sz="8" w:space="0" w:color="305496"/>
      </w:pBdr>
      <w:shd w:val="clear" w:color="000000" w:fill="305496"/>
      <w:spacing w:before="100" w:beforeAutospacing="1" w:after="100" w:afterAutospacing="1"/>
      <w:textAlignment w:val="center"/>
    </w:pPr>
    <w:rPr>
      <w:b/>
      <w:bCs/>
      <w:color w:val="FFFFFF"/>
      <w:lang w:val="en-NZ" w:eastAsia="en-NZ"/>
    </w:rPr>
  </w:style>
  <w:style w:type="paragraph" w:customStyle="1" w:styleId="xl64">
    <w:name w:val="xl64"/>
    <w:basedOn w:val="Normal"/>
    <w:rsid w:val="007467BC"/>
    <w:pPr>
      <w:pBdr>
        <w:top w:val="single" w:sz="8" w:space="0" w:color="auto"/>
        <w:bottom w:val="single" w:sz="8" w:space="0" w:color="305496"/>
      </w:pBdr>
      <w:shd w:val="clear" w:color="000000" w:fill="305496"/>
      <w:spacing w:before="100" w:beforeAutospacing="1" w:after="100" w:afterAutospacing="1"/>
      <w:textAlignment w:val="center"/>
    </w:pPr>
    <w:rPr>
      <w:b/>
      <w:bCs/>
      <w:color w:val="FFFFFF"/>
      <w:lang w:val="en-NZ" w:eastAsia="en-NZ"/>
    </w:rPr>
  </w:style>
  <w:style w:type="paragraph" w:customStyle="1" w:styleId="xl65">
    <w:name w:val="xl65"/>
    <w:basedOn w:val="Normal"/>
    <w:rsid w:val="007467BC"/>
    <w:pPr>
      <w:pBdr>
        <w:top w:val="single" w:sz="8" w:space="0" w:color="auto"/>
        <w:bottom w:val="single" w:sz="8" w:space="0" w:color="305496"/>
      </w:pBdr>
      <w:shd w:val="clear" w:color="000000" w:fill="305496"/>
      <w:spacing w:before="100" w:beforeAutospacing="1" w:after="100" w:afterAutospacing="1"/>
      <w:textAlignment w:val="center"/>
    </w:pPr>
    <w:rPr>
      <w:color w:val="FFFFFF"/>
      <w:lang w:val="en-NZ" w:eastAsia="en-NZ"/>
    </w:rPr>
  </w:style>
  <w:style w:type="paragraph" w:customStyle="1" w:styleId="xl66">
    <w:name w:val="xl66"/>
    <w:basedOn w:val="Normal"/>
    <w:rsid w:val="007467BC"/>
    <w:pPr>
      <w:pBdr>
        <w:top w:val="single" w:sz="8" w:space="0" w:color="auto"/>
        <w:bottom w:val="single" w:sz="8" w:space="0" w:color="305496"/>
        <w:right w:val="single" w:sz="8" w:space="0" w:color="auto"/>
      </w:pBdr>
      <w:shd w:val="clear" w:color="000000" w:fill="305496"/>
      <w:spacing w:before="100" w:beforeAutospacing="1" w:after="100" w:afterAutospacing="1"/>
      <w:textAlignment w:val="center"/>
    </w:pPr>
    <w:rPr>
      <w:color w:val="FFFFFF"/>
      <w:lang w:val="en-NZ" w:eastAsia="en-NZ"/>
    </w:rPr>
  </w:style>
  <w:style w:type="paragraph" w:customStyle="1" w:styleId="xl67">
    <w:name w:val="xl67"/>
    <w:basedOn w:val="Normal"/>
    <w:rsid w:val="007467BC"/>
    <w:pPr>
      <w:pBdr>
        <w:left w:val="single" w:sz="8" w:space="0" w:color="auto"/>
        <w:bottom w:val="single" w:sz="8" w:space="0" w:color="D9E1F2"/>
      </w:pBdr>
      <w:shd w:val="clear" w:color="000000" w:fill="305496"/>
      <w:spacing w:before="100" w:beforeAutospacing="1" w:after="100" w:afterAutospacing="1"/>
      <w:textAlignment w:val="center"/>
    </w:pPr>
    <w:rPr>
      <w:b/>
      <w:bCs/>
      <w:color w:val="FFFFFF"/>
      <w:sz w:val="24"/>
      <w:szCs w:val="24"/>
      <w:lang w:val="en-NZ" w:eastAsia="en-NZ"/>
    </w:rPr>
  </w:style>
  <w:style w:type="paragraph" w:customStyle="1" w:styleId="xl68">
    <w:name w:val="xl68"/>
    <w:basedOn w:val="Normal"/>
    <w:rsid w:val="007467BC"/>
    <w:pPr>
      <w:pBdr>
        <w:bottom w:val="single" w:sz="8" w:space="0" w:color="D9E1F2"/>
      </w:pBdr>
      <w:shd w:val="clear" w:color="000000" w:fill="305496"/>
      <w:spacing w:before="100" w:beforeAutospacing="1" w:after="100" w:afterAutospacing="1"/>
      <w:textAlignment w:val="center"/>
    </w:pPr>
    <w:rPr>
      <w:b/>
      <w:bCs/>
      <w:color w:val="FFFFFF"/>
      <w:sz w:val="24"/>
      <w:szCs w:val="24"/>
      <w:lang w:val="en-NZ" w:eastAsia="en-NZ"/>
    </w:rPr>
  </w:style>
  <w:style w:type="paragraph" w:customStyle="1" w:styleId="xl69">
    <w:name w:val="xl69"/>
    <w:basedOn w:val="Normal"/>
    <w:rsid w:val="007467BC"/>
    <w:pPr>
      <w:pBdr>
        <w:bottom w:val="single" w:sz="8" w:space="0" w:color="D9E1F2"/>
      </w:pBdr>
      <w:shd w:val="clear" w:color="000000" w:fill="305496"/>
      <w:spacing w:before="100" w:beforeAutospacing="1" w:after="100" w:afterAutospacing="1"/>
      <w:textAlignment w:val="center"/>
    </w:pPr>
    <w:rPr>
      <w:color w:val="FFFFFF"/>
      <w:lang w:val="en-NZ" w:eastAsia="en-NZ"/>
    </w:rPr>
  </w:style>
  <w:style w:type="paragraph" w:customStyle="1" w:styleId="xl70">
    <w:name w:val="xl70"/>
    <w:basedOn w:val="Normal"/>
    <w:rsid w:val="007467BC"/>
    <w:pPr>
      <w:pBdr>
        <w:bottom w:val="single" w:sz="8" w:space="0" w:color="B4C6E7"/>
      </w:pBdr>
      <w:shd w:val="clear" w:color="000000" w:fill="305496"/>
      <w:spacing w:before="100" w:beforeAutospacing="1" w:after="100" w:afterAutospacing="1"/>
      <w:textAlignment w:val="center"/>
    </w:pPr>
    <w:rPr>
      <w:b/>
      <w:bCs/>
      <w:color w:val="FFFFFF"/>
      <w:sz w:val="24"/>
      <w:szCs w:val="24"/>
      <w:lang w:val="en-NZ" w:eastAsia="en-NZ"/>
    </w:rPr>
  </w:style>
  <w:style w:type="paragraph" w:customStyle="1" w:styleId="xl71">
    <w:name w:val="xl71"/>
    <w:basedOn w:val="Normal"/>
    <w:rsid w:val="007467BC"/>
    <w:pPr>
      <w:pBdr>
        <w:bottom w:val="single" w:sz="8" w:space="0" w:color="D9E1F2"/>
        <w:right w:val="single" w:sz="8" w:space="0" w:color="auto"/>
      </w:pBdr>
      <w:shd w:val="clear" w:color="000000" w:fill="305496"/>
      <w:spacing w:before="100" w:beforeAutospacing="1" w:after="100" w:afterAutospacing="1"/>
      <w:jc w:val="right"/>
      <w:textAlignment w:val="center"/>
    </w:pPr>
    <w:rPr>
      <w:b/>
      <w:bCs/>
      <w:color w:val="FFFFFF"/>
      <w:sz w:val="24"/>
      <w:szCs w:val="24"/>
      <w:lang w:val="en-NZ" w:eastAsia="en-NZ"/>
    </w:rPr>
  </w:style>
  <w:style w:type="paragraph" w:customStyle="1" w:styleId="xl72">
    <w:name w:val="xl72"/>
    <w:basedOn w:val="Normal"/>
    <w:rsid w:val="007467BC"/>
    <w:pPr>
      <w:pBdr>
        <w:left w:val="single" w:sz="8" w:space="0" w:color="auto"/>
        <w:bottom w:val="single" w:sz="8" w:space="0" w:color="8EA9DB"/>
      </w:pBdr>
      <w:shd w:val="clear" w:color="000000" w:fill="8EA9DB"/>
      <w:spacing w:before="100" w:beforeAutospacing="1" w:after="100" w:afterAutospacing="1"/>
      <w:textAlignment w:val="center"/>
    </w:pPr>
    <w:rPr>
      <w:b/>
      <w:bCs/>
      <w:color w:val="FFFFFF"/>
      <w:sz w:val="24"/>
      <w:szCs w:val="24"/>
      <w:lang w:val="en-NZ" w:eastAsia="en-NZ"/>
    </w:rPr>
  </w:style>
  <w:style w:type="paragraph" w:customStyle="1" w:styleId="xl73">
    <w:name w:val="xl73"/>
    <w:basedOn w:val="Normal"/>
    <w:rsid w:val="007467BC"/>
    <w:pPr>
      <w:pBdr>
        <w:bottom w:val="single" w:sz="8" w:space="0" w:color="4472C4"/>
      </w:pBdr>
      <w:shd w:val="clear" w:color="000000" w:fill="D9E1F2"/>
      <w:spacing w:before="100" w:beforeAutospacing="1" w:after="100" w:afterAutospacing="1"/>
      <w:textAlignment w:val="center"/>
    </w:pPr>
    <w:rPr>
      <w:color w:val="000000"/>
      <w:lang w:val="en-NZ" w:eastAsia="en-NZ"/>
    </w:rPr>
  </w:style>
  <w:style w:type="paragraph" w:customStyle="1" w:styleId="xl74">
    <w:name w:val="xl74"/>
    <w:basedOn w:val="Normal"/>
    <w:rsid w:val="007467BC"/>
    <w:pPr>
      <w:pBdr>
        <w:bottom w:val="single" w:sz="8" w:space="0" w:color="305496"/>
      </w:pBdr>
      <w:spacing w:before="100" w:beforeAutospacing="1" w:after="100" w:afterAutospacing="1"/>
      <w:jc w:val="right"/>
      <w:textAlignment w:val="center"/>
    </w:pPr>
    <w:rPr>
      <w:color w:val="000000"/>
      <w:lang w:val="en-NZ" w:eastAsia="en-NZ"/>
    </w:rPr>
  </w:style>
  <w:style w:type="paragraph" w:customStyle="1" w:styleId="xl75">
    <w:name w:val="xl75"/>
    <w:basedOn w:val="Normal"/>
    <w:rsid w:val="007467BC"/>
    <w:pPr>
      <w:pBdr>
        <w:bottom w:val="single" w:sz="8" w:space="0" w:color="305496"/>
      </w:pBdr>
      <w:spacing w:before="100" w:beforeAutospacing="1" w:after="100" w:afterAutospacing="1"/>
      <w:textAlignment w:val="center"/>
    </w:pPr>
    <w:rPr>
      <w:color w:val="000000"/>
      <w:lang w:val="en-NZ" w:eastAsia="en-NZ"/>
    </w:rPr>
  </w:style>
  <w:style w:type="paragraph" w:customStyle="1" w:styleId="xl76">
    <w:name w:val="xl76"/>
    <w:basedOn w:val="Normal"/>
    <w:rsid w:val="007467BC"/>
    <w:pPr>
      <w:pBdr>
        <w:left w:val="single" w:sz="8" w:space="0" w:color="305496"/>
        <w:bottom w:val="single" w:sz="8" w:space="0" w:color="305496"/>
        <w:right w:val="single" w:sz="8" w:space="0" w:color="305496"/>
      </w:pBdr>
      <w:spacing w:before="100" w:beforeAutospacing="1" w:after="100" w:afterAutospacing="1"/>
      <w:jc w:val="right"/>
      <w:textAlignment w:val="center"/>
    </w:pPr>
    <w:rPr>
      <w:color w:val="000000"/>
      <w:lang w:val="en-NZ" w:eastAsia="en-NZ"/>
    </w:rPr>
  </w:style>
  <w:style w:type="paragraph" w:customStyle="1" w:styleId="xl77">
    <w:name w:val="xl77"/>
    <w:basedOn w:val="Normal"/>
    <w:rsid w:val="007467BC"/>
    <w:pPr>
      <w:pBdr>
        <w:bottom w:val="single" w:sz="8" w:space="0" w:color="305496"/>
      </w:pBdr>
      <w:spacing w:before="100" w:beforeAutospacing="1" w:after="100" w:afterAutospacing="1"/>
    </w:pPr>
    <w:rPr>
      <w:lang w:val="en-NZ" w:eastAsia="en-NZ"/>
    </w:rPr>
  </w:style>
  <w:style w:type="paragraph" w:customStyle="1" w:styleId="xl78">
    <w:name w:val="xl78"/>
    <w:basedOn w:val="Normal"/>
    <w:rsid w:val="007467BC"/>
    <w:pPr>
      <w:pBdr>
        <w:left w:val="single" w:sz="8" w:space="0" w:color="305496"/>
        <w:bottom w:val="single" w:sz="8" w:space="0" w:color="305496"/>
        <w:right w:val="single" w:sz="8" w:space="0" w:color="305496"/>
      </w:pBdr>
      <w:spacing w:before="100" w:beforeAutospacing="1" w:after="100" w:afterAutospacing="1"/>
    </w:pPr>
    <w:rPr>
      <w:lang w:val="en-NZ" w:eastAsia="en-NZ"/>
    </w:rPr>
  </w:style>
  <w:style w:type="paragraph" w:customStyle="1" w:styleId="xl79">
    <w:name w:val="xl79"/>
    <w:basedOn w:val="Normal"/>
    <w:rsid w:val="007467BC"/>
    <w:pPr>
      <w:pBdr>
        <w:bottom w:val="single" w:sz="8" w:space="0" w:color="305496"/>
        <w:right w:val="single" w:sz="8" w:space="0" w:color="auto"/>
      </w:pBdr>
      <w:spacing w:before="100" w:beforeAutospacing="1" w:after="100" w:afterAutospacing="1"/>
      <w:jc w:val="right"/>
      <w:textAlignment w:val="center"/>
    </w:pPr>
    <w:rPr>
      <w:color w:val="000000"/>
      <w:lang w:val="en-NZ" w:eastAsia="en-NZ"/>
    </w:rPr>
  </w:style>
  <w:style w:type="paragraph" w:customStyle="1" w:styleId="xl80">
    <w:name w:val="xl80"/>
    <w:basedOn w:val="Normal"/>
    <w:rsid w:val="007467BC"/>
    <w:pPr>
      <w:pBdr>
        <w:bottom w:val="single" w:sz="8" w:space="0" w:color="D9E1F2"/>
      </w:pBdr>
      <w:shd w:val="clear" w:color="000000" w:fill="D9D9D9"/>
      <w:spacing w:before="100" w:beforeAutospacing="1" w:after="100" w:afterAutospacing="1"/>
      <w:textAlignment w:val="center"/>
    </w:pPr>
    <w:rPr>
      <w:b/>
      <w:bCs/>
      <w:color w:val="000000"/>
      <w:lang w:val="en-NZ" w:eastAsia="en-NZ"/>
    </w:rPr>
  </w:style>
  <w:style w:type="paragraph" w:customStyle="1" w:styleId="xl81">
    <w:name w:val="xl81"/>
    <w:basedOn w:val="Normal"/>
    <w:rsid w:val="007467BC"/>
    <w:pPr>
      <w:pBdr>
        <w:bottom w:val="single" w:sz="8" w:space="0" w:color="D9E1F2"/>
      </w:pBdr>
      <w:shd w:val="clear" w:color="000000" w:fill="D9D9D9"/>
      <w:spacing w:before="100" w:beforeAutospacing="1" w:after="100" w:afterAutospacing="1"/>
    </w:pPr>
    <w:rPr>
      <w:lang w:val="en-NZ" w:eastAsia="en-NZ"/>
    </w:rPr>
  </w:style>
  <w:style w:type="paragraph" w:customStyle="1" w:styleId="xl82">
    <w:name w:val="xl82"/>
    <w:basedOn w:val="Normal"/>
    <w:rsid w:val="007467BC"/>
    <w:pPr>
      <w:pBdr>
        <w:left w:val="single" w:sz="8" w:space="0" w:color="305496"/>
        <w:bottom w:val="single" w:sz="8" w:space="0" w:color="D9E1F2"/>
        <w:right w:val="single" w:sz="8" w:space="0" w:color="305496"/>
      </w:pBdr>
      <w:shd w:val="clear" w:color="000000" w:fill="D9D9D9"/>
      <w:spacing w:before="100" w:beforeAutospacing="1" w:after="100" w:afterAutospacing="1"/>
      <w:jc w:val="right"/>
      <w:textAlignment w:val="center"/>
    </w:pPr>
    <w:rPr>
      <w:b/>
      <w:bCs/>
      <w:color w:val="000000"/>
      <w:lang w:val="en-NZ" w:eastAsia="en-NZ"/>
    </w:rPr>
  </w:style>
  <w:style w:type="paragraph" w:customStyle="1" w:styleId="xl83">
    <w:name w:val="xl83"/>
    <w:basedOn w:val="Normal"/>
    <w:rsid w:val="007467BC"/>
    <w:pPr>
      <w:pBdr>
        <w:left w:val="single" w:sz="8" w:space="0" w:color="305496"/>
        <w:bottom w:val="single" w:sz="8" w:space="0" w:color="D9E1F2"/>
        <w:right w:val="single" w:sz="8" w:space="0" w:color="305496"/>
      </w:pBdr>
      <w:shd w:val="clear" w:color="000000" w:fill="D9D9D9"/>
      <w:spacing w:before="100" w:beforeAutospacing="1" w:after="100" w:afterAutospacing="1"/>
    </w:pPr>
    <w:rPr>
      <w:lang w:val="en-NZ" w:eastAsia="en-NZ"/>
    </w:rPr>
  </w:style>
  <w:style w:type="paragraph" w:customStyle="1" w:styleId="xl84">
    <w:name w:val="xl84"/>
    <w:basedOn w:val="Normal"/>
    <w:rsid w:val="007467BC"/>
    <w:pPr>
      <w:pBdr>
        <w:bottom w:val="single" w:sz="8" w:space="0" w:color="D9E1F2"/>
        <w:right w:val="single" w:sz="8" w:space="0" w:color="auto"/>
      </w:pBdr>
      <w:shd w:val="clear" w:color="000000" w:fill="D9D9D9"/>
      <w:spacing w:before="100" w:beforeAutospacing="1" w:after="100" w:afterAutospacing="1"/>
      <w:jc w:val="right"/>
      <w:textAlignment w:val="center"/>
    </w:pPr>
    <w:rPr>
      <w:b/>
      <w:bCs/>
      <w:color w:val="000000"/>
      <w:lang w:val="en-NZ" w:eastAsia="en-NZ"/>
    </w:rPr>
  </w:style>
  <w:style w:type="paragraph" w:customStyle="1" w:styleId="xl85">
    <w:name w:val="xl85"/>
    <w:basedOn w:val="Normal"/>
    <w:rsid w:val="007467BC"/>
    <w:pPr>
      <w:pBdr>
        <w:bottom w:val="single" w:sz="8" w:space="0" w:color="305496"/>
      </w:pBdr>
      <w:shd w:val="clear" w:color="000000" w:fill="D9E1F2"/>
      <w:spacing w:before="100" w:beforeAutospacing="1" w:after="100" w:afterAutospacing="1"/>
      <w:textAlignment w:val="center"/>
    </w:pPr>
    <w:rPr>
      <w:color w:val="000000"/>
      <w:lang w:val="en-NZ" w:eastAsia="en-NZ"/>
    </w:rPr>
  </w:style>
  <w:style w:type="paragraph" w:customStyle="1" w:styleId="xl86">
    <w:name w:val="xl86"/>
    <w:basedOn w:val="Normal"/>
    <w:rsid w:val="007467BC"/>
    <w:pPr>
      <w:pBdr>
        <w:bottom w:val="single" w:sz="8" w:space="0" w:color="D9E1F2"/>
      </w:pBdr>
      <w:shd w:val="clear" w:color="000000" w:fill="D9E1F2"/>
      <w:spacing w:before="100" w:beforeAutospacing="1" w:after="100" w:afterAutospacing="1"/>
    </w:pPr>
    <w:rPr>
      <w:lang w:val="en-NZ" w:eastAsia="en-NZ"/>
    </w:rPr>
  </w:style>
  <w:style w:type="paragraph" w:customStyle="1" w:styleId="xl87">
    <w:name w:val="xl87"/>
    <w:basedOn w:val="Normal"/>
    <w:rsid w:val="007467BC"/>
    <w:pPr>
      <w:pBdr>
        <w:bottom w:val="single" w:sz="8" w:space="0" w:color="D9E1F2"/>
      </w:pBdr>
      <w:spacing w:before="100" w:beforeAutospacing="1" w:after="100" w:afterAutospacing="1"/>
      <w:jc w:val="right"/>
      <w:textAlignment w:val="center"/>
    </w:pPr>
    <w:rPr>
      <w:color w:val="000000"/>
      <w:lang w:val="en-NZ" w:eastAsia="en-NZ"/>
    </w:rPr>
  </w:style>
  <w:style w:type="paragraph" w:customStyle="1" w:styleId="xl88">
    <w:name w:val="xl88"/>
    <w:basedOn w:val="Normal"/>
    <w:rsid w:val="007467BC"/>
    <w:pPr>
      <w:pBdr>
        <w:bottom w:val="single" w:sz="8" w:space="0" w:color="D9E1F2"/>
      </w:pBdr>
      <w:spacing w:before="100" w:beforeAutospacing="1" w:after="100" w:afterAutospacing="1"/>
      <w:textAlignment w:val="center"/>
    </w:pPr>
    <w:rPr>
      <w:color w:val="000000"/>
      <w:lang w:val="en-NZ" w:eastAsia="en-NZ"/>
    </w:rPr>
  </w:style>
  <w:style w:type="paragraph" w:customStyle="1" w:styleId="xl89">
    <w:name w:val="xl89"/>
    <w:basedOn w:val="Normal"/>
    <w:rsid w:val="007467BC"/>
    <w:pPr>
      <w:pBdr>
        <w:left w:val="single" w:sz="8" w:space="0" w:color="305496"/>
        <w:bottom w:val="single" w:sz="8" w:space="0" w:color="D9E1F2"/>
        <w:right w:val="single" w:sz="8" w:space="0" w:color="305496"/>
      </w:pBdr>
      <w:spacing w:before="100" w:beforeAutospacing="1" w:after="100" w:afterAutospacing="1"/>
    </w:pPr>
    <w:rPr>
      <w:lang w:val="en-NZ" w:eastAsia="en-NZ"/>
    </w:rPr>
  </w:style>
  <w:style w:type="paragraph" w:customStyle="1" w:styleId="xl90">
    <w:name w:val="xl90"/>
    <w:basedOn w:val="Normal"/>
    <w:rsid w:val="007467BC"/>
    <w:pPr>
      <w:pBdr>
        <w:bottom w:val="single" w:sz="8" w:space="0" w:color="D9E1F2"/>
      </w:pBdr>
      <w:spacing w:before="100" w:beforeAutospacing="1" w:after="100" w:afterAutospacing="1"/>
    </w:pPr>
    <w:rPr>
      <w:lang w:val="en-NZ" w:eastAsia="en-NZ"/>
    </w:rPr>
  </w:style>
  <w:style w:type="paragraph" w:customStyle="1" w:styleId="xl91">
    <w:name w:val="xl91"/>
    <w:basedOn w:val="Normal"/>
    <w:rsid w:val="007467BC"/>
    <w:pPr>
      <w:pBdr>
        <w:bottom w:val="single" w:sz="8" w:space="0" w:color="D9E1F2"/>
        <w:right w:val="single" w:sz="8" w:space="0" w:color="auto"/>
      </w:pBdr>
      <w:spacing w:before="100" w:beforeAutospacing="1" w:after="100" w:afterAutospacing="1"/>
      <w:jc w:val="right"/>
      <w:textAlignment w:val="center"/>
    </w:pPr>
    <w:rPr>
      <w:color w:val="000000"/>
      <w:lang w:val="en-NZ" w:eastAsia="en-NZ"/>
    </w:rPr>
  </w:style>
  <w:style w:type="paragraph" w:customStyle="1" w:styleId="xl92">
    <w:name w:val="xl92"/>
    <w:basedOn w:val="Normal"/>
    <w:rsid w:val="007467BC"/>
    <w:pPr>
      <w:pBdr>
        <w:bottom w:val="single" w:sz="8" w:space="0" w:color="4472C4"/>
      </w:pBdr>
      <w:shd w:val="clear" w:color="000000" w:fill="D9E1F2"/>
      <w:spacing w:before="100" w:beforeAutospacing="1" w:after="100" w:afterAutospacing="1"/>
    </w:pPr>
    <w:rPr>
      <w:lang w:val="en-NZ" w:eastAsia="en-NZ"/>
    </w:rPr>
  </w:style>
  <w:style w:type="paragraph" w:customStyle="1" w:styleId="xl93">
    <w:name w:val="xl93"/>
    <w:basedOn w:val="Normal"/>
    <w:rsid w:val="007467BC"/>
    <w:pPr>
      <w:pBdr>
        <w:bottom w:val="single" w:sz="8" w:space="0" w:color="D9E1F2"/>
      </w:pBdr>
      <w:shd w:val="clear" w:color="000000" w:fill="D9D9D9"/>
      <w:spacing w:before="100" w:beforeAutospacing="1" w:after="100" w:afterAutospacing="1"/>
      <w:jc w:val="right"/>
      <w:textAlignment w:val="center"/>
    </w:pPr>
    <w:rPr>
      <w:b/>
      <w:bCs/>
      <w:color w:val="000000"/>
      <w:lang w:val="en-NZ" w:eastAsia="en-NZ"/>
    </w:rPr>
  </w:style>
  <w:style w:type="paragraph" w:customStyle="1" w:styleId="xl94">
    <w:name w:val="xl94"/>
    <w:basedOn w:val="Normal"/>
    <w:rsid w:val="007467BC"/>
    <w:pPr>
      <w:pBdr>
        <w:left w:val="single" w:sz="8" w:space="0" w:color="305496"/>
        <w:bottom w:val="single" w:sz="8" w:space="0" w:color="D9E1F2"/>
        <w:right w:val="single" w:sz="8" w:space="0" w:color="305496"/>
      </w:pBdr>
      <w:spacing w:before="100" w:beforeAutospacing="1" w:after="100" w:afterAutospacing="1"/>
      <w:jc w:val="right"/>
      <w:textAlignment w:val="center"/>
    </w:pPr>
    <w:rPr>
      <w:color w:val="000000"/>
      <w:lang w:val="en-NZ" w:eastAsia="en-NZ"/>
    </w:rPr>
  </w:style>
  <w:style w:type="paragraph" w:customStyle="1" w:styleId="xl95">
    <w:name w:val="xl95"/>
    <w:basedOn w:val="Normal"/>
    <w:rsid w:val="007467BC"/>
    <w:pPr>
      <w:pBdr>
        <w:bottom w:val="single" w:sz="8" w:space="0" w:color="305496"/>
      </w:pBdr>
      <w:shd w:val="clear" w:color="000000" w:fill="D9E1F2"/>
      <w:spacing w:before="100" w:beforeAutospacing="1" w:after="100" w:afterAutospacing="1"/>
    </w:pPr>
    <w:rPr>
      <w:lang w:val="en-NZ" w:eastAsia="en-NZ"/>
    </w:rPr>
  </w:style>
  <w:style w:type="paragraph" w:customStyle="1" w:styleId="xl96">
    <w:name w:val="xl96"/>
    <w:basedOn w:val="Normal"/>
    <w:rsid w:val="007467BC"/>
    <w:pPr>
      <w:pBdr>
        <w:bottom w:val="single" w:sz="8" w:space="0" w:color="305496"/>
      </w:pBdr>
      <w:spacing w:before="100" w:beforeAutospacing="1" w:after="100" w:afterAutospacing="1"/>
      <w:ind w:firstLineChars="500" w:firstLine="500"/>
      <w:textAlignment w:val="center"/>
    </w:pPr>
    <w:rPr>
      <w:color w:val="000000"/>
      <w:lang w:val="en-NZ" w:eastAsia="en-NZ"/>
    </w:rPr>
  </w:style>
  <w:style w:type="paragraph" w:customStyle="1" w:styleId="xl97">
    <w:name w:val="xl97"/>
    <w:basedOn w:val="Normal"/>
    <w:rsid w:val="007467BC"/>
    <w:pPr>
      <w:pBdr>
        <w:bottom w:val="single" w:sz="8" w:space="0" w:color="305496"/>
      </w:pBdr>
      <w:shd w:val="clear" w:color="000000" w:fill="D9D9D9"/>
      <w:spacing w:before="100" w:beforeAutospacing="1" w:after="100" w:afterAutospacing="1"/>
      <w:textAlignment w:val="center"/>
    </w:pPr>
    <w:rPr>
      <w:b/>
      <w:bCs/>
      <w:color w:val="000000"/>
      <w:lang w:val="en-NZ" w:eastAsia="en-NZ"/>
    </w:rPr>
  </w:style>
  <w:style w:type="paragraph" w:customStyle="1" w:styleId="xl98">
    <w:name w:val="xl98"/>
    <w:basedOn w:val="Normal"/>
    <w:rsid w:val="007467BC"/>
    <w:pPr>
      <w:pBdr>
        <w:bottom w:val="single" w:sz="8" w:space="0" w:color="305496"/>
      </w:pBdr>
      <w:shd w:val="clear" w:color="000000" w:fill="D9D9D9"/>
      <w:spacing w:before="100" w:beforeAutospacing="1" w:after="100" w:afterAutospacing="1"/>
    </w:pPr>
    <w:rPr>
      <w:lang w:val="en-NZ" w:eastAsia="en-NZ"/>
    </w:rPr>
  </w:style>
  <w:style w:type="paragraph" w:customStyle="1" w:styleId="xl99">
    <w:name w:val="xl99"/>
    <w:basedOn w:val="Normal"/>
    <w:rsid w:val="007467BC"/>
    <w:pPr>
      <w:pBdr>
        <w:left w:val="single" w:sz="8" w:space="0" w:color="305496"/>
        <w:bottom w:val="single" w:sz="8" w:space="0" w:color="305496"/>
        <w:right w:val="single" w:sz="8" w:space="0" w:color="305496"/>
      </w:pBdr>
      <w:shd w:val="clear" w:color="000000" w:fill="D9D9D9"/>
      <w:spacing w:before="100" w:beforeAutospacing="1" w:after="100" w:afterAutospacing="1"/>
    </w:pPr>
    <w:rPr>
      <w:lang w:val="en-NZ" w:eastAsia="en-NZ"/>
    </w:rPr>
  </w:style>
  <w:style w:type="paragraph" w:customStyle="1" w:styleId="xl100">
    <w:name w:val="xl100"/>
    <w:basedOn w:val="Normal"/>
    <w:rsid w:val="007467BC"/>
    <w:pPr>
      <w:pBdr>
        <w:left w:val="single" w:sz="8" w:space="0" w:color="305496"/>
        <w:bottom w:val="single" w:sz="8" w:space="0" w:color="305496"/>
        <w:right w:val="single" w:sz="8" w:space="0" w:color="305496"/>
      </w:pBdr>
      <w:shd w:val="clear" w:color="000000" w:fill="D9D9D9"/>
      <w:spacing w:before="100" w:beforeAutospacing="1" w:after="100" w:afterAutospacing="1"/>
      <w:jc w:val="right"/>
      <w:textAlignment w:val="center"/>
    </w:pPr>
    <w:rPr>
      <w:b/>
      <w:bCs/>
      <w:color w:val="000000"/>
      <w:lang w:val="en-NZ" w:eastAsia="en-NZ"/>
    </w:rPr>
  </w:style>
  <w:style w:type="paragraph" w:customStyle="1" w:styleId="xl101">
    <w:name w:val="xl101"/>
    <w:basedOn w:val="Normal"/>
    <w:rsid w:val="007467BC"/>
    <w:pPr>
      <w:pBdr>
        <w:bottom w:val="single" w:sz="8" w:space="0" w:color="305496"/>
      </w:pBdr>
      <w:shd w:val="clear" w:color="000000" w:fill="D9D9D9"/>
      <w:spacing w:before="100" w:beforeAutospacing="1" w:after="100" w:afterAutospacing="1"/>
      <w:jc w:val="right"/>
      <w:textAlignment w:val="center"/>
    </w:pPr>
    <w:rPr>
      <w:b/>
      <w:bCs/>
      <w:color w:val="000000"/>
      <w:lang w:val="en-NZ" w:eastAsia="en-NZ"/>
    </w:rPr>
  </w:style>
  <w:style w:type="paragraph" w:customStyle="1" w:styleId="xl102">
    <w:name w:val="xl102"/>
    <w:basedOn w:val="Normal"/>
    <w:rsid w:val="007467BC"/>
    <w:pPr>
      <w:pBdr>
        <w:bottom w:val="single" w:sz="8" w:space="0" w:color="305496"/>
        <w:right w:val="single" w:sz="8" w:space="0" w:color="auto"/>
      </w:pBdr>
      <w:shd w:val="clear" w:color="000000" w:fill="D9D9D9"/>
      <w:spacing w:before="100" w:beforeAutospacing="1" w:after="100" w:afterAutospacing="1"/>
      <w:jc w:val="right"/>
      <w:textAlignment w:val="center"/>
    </w:pPr>
    <w:rPr>
      <w:b/>
      <w:bCs/>
      <w:color w:val="000000"/>
      <w:lang w:val="en-NZ" w:eastAsia="en-NZ"/>
    </w:rPr>
  </w:style>
  <w:style w:type="paragraph" w:customStyle="1" w:styleId="xl103">
    <w:name w:val="xl103"/>
    <w:basedOn w:val="Normal"/>
    <w:rsid w:val="007467BC"/>
    <w:pPr>
      <w:pBdr>
        <w:bottom w:val="single" w:sz="8" w:space="0" w:color="D9E1F2"/>
      </w:pBdr>
      <w:shd w:val="clear" w:color="000000" w:fill="D9E1F2"/>
      <w:spacing w:before="100" w:beforeAutospacing="1" w:after="100" w:afterAutospacing="1"/>
      <w:textAlignment w:val="center"/>
    </w:pPr>
    <w:rPr>
      <w:color w:val="000000"/>
      <w:lang w:val="en-NZ" w:eastAsia="en-NZ"/>
    </w:rPr>
  </w:style>
  <w:style w:type="paragraph" w:customStyle="1" w:styleId="xl104">
    <w:name w:val="xl104"/>
    <w:basedOn w:val="Normal"/>
    <w:rsid w:val="007467BC"/>
    <w:pPr>
      <w:pBdr>
        <w:left w:val="single" w:sz="8" w:space="0" w:color="auto"/>
        <w:bottom w:val="single" w:sz="8" w:space="0" w:color="D9E1F2"/>
      </w:pBdr>
      <w:shd w:val="clear" w:color="000000" w:fill="8EA9DB"/>
      <w:spacing w:before="100" w:beforeAutospacing="1" w:after="100" w:afterAutospacing="1"/>
      <w:textAlignment w:val="center"/>
    </w:pPr>
    <w:rPr>
      <w:b/>
      <w:bCs/>
      <w:color w:val="FFFFFF"/>
      <w:sz w:val="24"/>
      <w:szCs w:val="24"/>
      <w:lang w:val="en-NZ" w:eastAsia="en-NZ"/>
    </w:rPr>
  </w:style>
  <w:style w:type="paragraph" w:customStyle="1" w:styleId="xl105">
    <w:name w:val="xl105"/>
    <w:basedOn w:val="Normal"/>
    <w:rsid w:val="007467BC"/>
    <w:pPr>
      <w:pBdr>
        <w:left w:val="single" w:sz="8" w:space="0" w:color="auto"/>
        <w:bottom w:val="single" w:sz="8" w:space="0" w:color="305496"/>
      </w:pBdr>
      <w:shd w:val="clear" w:color="000000" w:fill="8EA9DB"/>
      <w:spacing w:before="100" w:beforeAutospacing="1" w:after="100" w:afterAutospacing="1"/>
      <w:textAlignment w:val="center"/>
    </w:pPr>
    <w:rPr>
      <w:b/>
      <w:bCs/>
      <w:color w:val="FFFFFF"/>
      <w:lang w:val="en-NZ" w:eastAsia="en-NZ"/>
    </w:rPr>
  </w:style>
  <w:style w:type="paragraph" w:customStyle="1" w:styleId="xl106">
    <w:name w:val="xl106"/>
    <w:basedOn w:val="Normal"/>
    <w:rsid w:val="007467BC"/>
    <w:pPr>
      <w:pBdr>
        <w:bottom w:val="single" w:sz="8" w:space="0" w:color="305496"/>
      </w:pBdr>
      <w:shd w:val="clear" w:color="000000" w:fill="8EA9DB"/>
      <w:spacing w:before="100" w:beforeAutospacing="1" w:after="100" w:afterAutospacing="1"/>
    </w:pPr>
    <w:rPr>
      <w:lang w:val="en-NZ" w:eastAsia="en-NZ"/>
    </w:rPr>
  </w:style>
  <w:style w:type="paragraph" w:customStyle="1" w:styleId="xl107">
    <w:name w:val="xl107"/>
    <w:basedOn w:val="Normal"/>
    <w:rsid w:val="007467BC"/>
    <w:pPr>
      <w:pBdr>
        <w:left w:val="single" w:sz="8" w:space="0" w:color="305496"/>
        <w:bottom w:val="single" w:sz="8" w:space="0" w:color="305496"/>
        <w:right w:val="single" w:sz="8" w:space="0" w:color="305496"/>
      </w:pBdr>
      <w:shd w:val="clear" w:color="000000" w:fill="8EA9DB"/>
      <w:spacing w:before="100" w:beforeAutospacing="1" w:after="100" w:afterAutospacing="1"/>
      <w:jc w:val="right"/>
      <w:textAlignment w:val="center"/>
    </w:pPr>
    <w:rPr>
      <w:b/>
      <w:bCs/>
      <w:color w:val="FFFFFF"/>
      <w:lang w:val="en-NZ" w:eastAsia="en-NZ"/>
    </w:rPr>
  </w:style>
  <w:style w:type="paragraph" w:customStyle="1" w:styleId="xl108">
    <w:name w:val="xl108"/>
    <w:basedOn w:val="Normal"/>
    <w:rsid w:val="007467BC"/>
    <w:pPr>
      <w:pBdr>
        <w:bottom w:val="single" w:sz="8" w:space="0" w:color="305496"/>
      </w:pBdr>
      <w:shd w:val="clear" w:color="000000" w:fill="8EA9DB"/>
      <w:spacing w:before="100" w:beforeAutospacing="1" w:after="100" w:afterAutospacing="1"/>
      <w:jc w:val="right"/>
      <w:textAlignment w:val="center"/>
    </w:pPr>
    <w:rPr>
      <w:b/>
      <w:bCs/>
      <w:color w:val="FFFFFF"/>
      <w:lang w:val="en-NZ" w:eastAsia="en-NZ"/>
    </w:rPr>
  </w:style>
  <w:style w:type="paragraph" w:customStyle="1" w:styleId="xl109">
    <w:name w:val="xl109"/>
    <w:basedOn w:val="Normal"/>
    <w:rsid w:val="007467BC"/>
    <w:pPr>
      <w:pBdr>
        <w:bottom w:val="single" w:sz="8" w:space="0" w:color="305496"/>
        <w:right w:val="single" w:sz="8" w:space="0" w:color="auto"/>
      </w:pBdr>
      <w:shd w:val="clear" w:color="000000" w:fill="8EA9DB"/>
      <w:spacing w:before="100" w:beforeAutospacing="1" w:after="100" w:afterAutospacing="1"/>
      <w:jc w:val="right"/>
      <w:textAlignment w:val="center"/>
    </w:pPr>
    <w:rPr>
      <w:b/>
      <w:bCs/>
      <w:color w:val="FFFFFF"/>
      <w:lang w:val="en-NZ" w:eastAsia="en-NZ"/>
    </w:rPr>
  </w:style>
  <w:style w:type="paragraph" w:customStyle="1" w:styleId="xl110">
    <w:name w:val="xl110"/>
    <w:basedOn w:val="Normal"/>
    <w:rsid w:val="007467BC"/>
    <w:pPr>
      <w:pBdr>
        <w:top w:val="single" w:sz="8" w:space="0" w:color="auto"/>
        <w:bottom w:val="single" w:sz="8" w:space="0" w:color="305496"/>
      </w:pBdr>
      <w:shd w:val="clear" w:color="000000" w:fill="305496"/>
      <w:spacing w:before="100" w:beforeAutospacing="1" w:after="100" w:afterAutospacing="1"/>
    </w:pPr>
    <w:rPr>
      <w:b/>
      <w:bCs/>
      <w:color w:val="FFFFFF"/>
      <w:lang w:val="en-NZ" w:eastAsia="en-NZ"/>
    </w:rPr>
  </w:style>
  <w:style w:type="table" w:customStyle="1" w:styleId="TableGrid2">
    <w:name w:val="Table Grid2"/>
    <w:basedOn w:val="TableNormal"/>
    <w:next w:val="TableGrid"/>
    <w:uiPriority w:val="59"/>
    <w:rsid w:val="007467BC"/>
    <w:pPr>
      <w:spacing w:after="0" w:line="240" w:lineRule="auto"/>
    </w:pPr>
    <w:rPr>
      <w:rFonts w:eastAsia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7BC"/>
    <w:pPr>
      <w:autoSpaceDE w:val="0"/>
      <w:autoSpaceDN w:val="0"/>
      <w:adjustRightInd w:val="0"/>
      <w:spacing w:after="0" w:line="240" w:lineRule="auto"/>
    </w:pPr>
    <w:rPr>
      <w:rFonts w:ascii="Calibri" w:hAnsi="Calibri" w:cs="Calibri"/>
      <w:color w:val="000000"/>
      <w:sz w:val="24"/>
      <w:szCs w:val="24"/>
      <w:lang w:val="en-NZ"/>
    </w:rPr>
  </w:style>
  <w:style w:type="paragraph" w:customStyle="1" w:styleId="TableheadingTable">
    <w:name w:val="Table heading (Table)"/>
    <w:basedOn w:val="Normal"/>
    <w:uiPriority w:val="99"/>
    <w:rsid w:val="007467BC"/>
    <w:pPr>
      <w:autoSpaceDE w:val="0"/>
      <w:autoSpaceDN w:val="0"/>
      <w:adjustRightInd w:val="0"/>
      <w:spacing w:after="227" w:line="276" w:lineRule="auto"/>
      <w:textAlignment w:val="center"/>
    </w:pPr>
    <w:rPr>
      <w:rFonts w:ascii="Lucida Sans" w:eastAsia="Calibri" w:hAnsi="Lucida Sans" w:cs="Lucida Grande Bold"/>
      <w:b/>
      <w:bCs/>
      <w:color w:val="000000"/>
      <w:sz w:val="17"/>
      <w:szCs w:val="17"/>
    </w:rPr>
  </w:style>
  <w:style w:type="paragraph" w:styleId="NormalWeb">
    <w:name w:val="Normal (Web)"/>
    <w:basedOn w:val="Normal"/>
    <w:uiPriority w:val="99"/>
    <w:unhideWhenUsed/>
    <w:rsid w:val="007467BC"/>
    <w:pPr>
      <w:spacing w:before="100" w:beforeAutospacing="1" w:after="100" w:afterAutospacing="1"/>
    </w:pPr>
    <w:rPr>
      <w:sz w:val="24"/>
      <w:szCs w:val="24"/>
      <w:lang w:val="en-NZ" w:eastAsia="en-NZ"/>
    </w:rPr>
  </w:style>
  <w:style w:type="paragraph" w:customStyle="1" w:styleId="Bullet">
    <w:name w:val="Bullet"/>
    <w:basedOn w:val="Normal"/>
    <w:rsid w:val="007467BC"/>
    <w:pPr>
      <w:numPr>
        <w:numId w:val="13"/>
      </w:numPr>
      <w:spacing w:before="120" w:after="200" w:line="264" w:lineRule="auto"/>
    </w:pPr>
    <w:rPr>
      <w:rFonts w:ascii="Georgia" w:hAnsi="Georgia"/>
      <w:sz w:val="22"/>
      <w:lang w:val="en-NZ" w:eastAsia="en-GB"/>
    </w:rPr>
  </w:style>
  <w:style w:type="paragraph" w:customStyle="1" w:styleId="NumberedContent">
    <w:name w:val="Numbered Content"/>
    <w:basedOn w:val="Normal"/>
    <w:qFormat/>
    <w:rsid w:val="007467BC"/>
    <w:pPr>
      <w:spacing w:after="240"/>
      <w:jc w:val="both"/>
    </w:pPr>
    <w:rPr>
      <w:rFonts w:ascii="Arial" w:eastAsiaTheme="minorEastAsia" w:hAnsi="Arial" w:cstheme="minorBidi"/>
      <w:sz w:val="24"/>
      <w:szCs w:val="22"/>
      <w:lang w:val="en-AU" w:eastAsia="en-GB"/>
    </w:rPr>
  </w:style>
  <w:style w:type="numbering" w:customStyle="1" w:styleId="DOCBullets1">
    <w:name w:val="DOC Bullets1"/>
    <w:uiPriority w:val="99"/>
    <w:rsid w:val="007467BC"/>
  </w:style>
  <w:style w:type="paragraph" w:styleId="BodyText">
    <w:name w:val="Body Text"/>
    <w:basedOn w:val="Normal"/>
    <w:link w:val="BodyTextChar"/>
    <w:uiPriority w:val="2"/>
    <w:semiHidden/>
    <w:unhideWhenUsed/>
    <w:rsid w:val="007467BC"/>
    <w:pPr>
      <w:spacing w:after="160" w:line="300" w:lineRule="atLeast"/>
    </w:pPr>
    <w:rPr>
      <w:rFonts w:ascii="Calibri" w:eastAsiaTheme="minorHAnsi" w:hAnsi="Calibri" w:cstheme="minorBidi"/>
      <w:color w:val="1E1E1E"/>
      <w:sz w:val="24"/>
      <w:szCs w:val="22"/>
      <w:lang w:val="en-NZ"/>
    </w:rPr>
  </w:style>
  <w:style w:type="character" w:customStyle="1" w:styleId="BodyTextChar">
    <w:name w:val="Body Text Char"/>
    <w:basedOn w:val="DefaultParagraphFont"/>
    <w:link w:val="BodyText"/>
    <w:uiPriority w:val="2"/>
    <w:semiHidden/>
    <w:rsid w:val="007467BC"/>
    <w:rPr>
      <w:rFonts w:ascii="Calibri" w:eastAsiaTheme="minorHAnsi" w:hAnsi="Calibri"/>
      <w:color w:val="1E1E1E"/>
      <w:sz w:val="24"/>
      <w:lang w:val="en-NZ" w:eastAsia="en-US"/>
    </w:rPr>
  </w:style>
  <w:style w:type="character" w:customStyle="1" w:styleId="ScriptChar">
    <w:name w:val="Script Char"/>
    <w:basedOn w:val="DefaultParagraphFont"/>
    <w:link w:val="Script"/>
    <w:uiPriority w:val="99"/>
    <w:locked/>
    <w:rsid w:val="007467BC"/>
    <w:rPr>
      <w:rFonts w:ascii="Palatino Linotype" w:eastAsia="Times New Roman" w:hAnsi="Palatino Linotype" w:cs="Palatino Linotype"/>
      <w:color w:val="244061"/>
      <w:sz w:val="24"/>
      <w:szCs w:val="24"/>
      <w:lang w:val="en-AU" w:eastAsia="en-NZ"/>
    </w:rPr>
  </w:style>
  <w:style w:type="paragraph" w:customStyle="1" w:styleId="Script">
    <w:name w:val="Script"/>
    <w:basedOn w:val="BodyText"/>
    <w:link w:val="ScriptChar"/>
    <w:uiPriority w:val="99"/>
    <w:qFormat/>
    <w:rsid w:val="007467BC"/>
    <w:pPr>
      <w:framePr w:hSpace="180" w:wrap="auto" w:vAnchor="text" w:hAnchor="margin" w:y="170"/>
      <w:spacing w:after="120" w:line="240" w:lineRule="auto"/>
    </w:pPr>
    <w:rPr>
      <w:rFonts w:ascii="Palatino Linotype" w:eastAsia="Times New Roman" w:hAnsi="Palatino Linotype" w:cs="Palatino Linotype"/>
      <w:color w:val="244061"/>
      <w:szCs w:val="24"/>
      <w:lang w:val="en-AU" w:eastAsia="en-NZ"/>
    </w:rPr>
  </w:style>
  <w:style w:type="paragraph" w:customStyle="1" w:styleId="Pa7">
    <w:name w:val="Pa7"/>
    <w:basedOn w:val="Normal"/>
    <w:next w:val="Normal"/>
    <w:uiPriority w:val="99"/>
    <w:rsid w:val="007467BC"/>
    <w:pPr>
      <w:autoSpaceDE w:val="0"/>
      <w:autoSpaceDN w:val="0"/>
      <w:adjustRightInd w:val="0"/>
      <w:spacing w:after="200" w:line="181" w:lineRule="atLeast"/>
    </w:pPr>
    <w:rPr>
      <w:rFonts w:ascii="Source Sans Pro Light" w:eastAsia="Calibri" w:hAnsi="Source Sans Pro Light"/>
      <w:sz w:val="24"/>
      <w:szCs w:val="24"/>
      <w:lang w:val="en-NZ"/>
    </w:rPr>
  </w:style>
  <w:style w:type="character" w:customStyle="1" w:styleId="A1">
    <w:name w:val="A1"/>
    <w:basedOn w:val="DefaultParagraphFont"/>
    <w:uiPriority w:val="99"/>
    <w:rsid w:val="007467BC"/>
    <w:rPr>
      <w:rFonts w:ascii="Gravity" w:hAnsi="Gravity" w:hint="default"/>
      <w:b/>
      <w:bCs/>
      <w:color w:val="000000"/>
    </w:rPr>
  </w:style>
  <w:style w:type="character" w:customStyle="1" w:styleId="st1">
    <w:name w:val="st1"/>
    <w:basedOn w:val="DefaultParagraphFont"/>
    <w:rsid w:val="007467BC"/>
  </w:style>
  <w:style w:type="paragraph" w:styleId="TOCHeading">
    <w:name w:val="TOC Heading"/>
    <w:basedOn w:val="Heading1"/>
    <w:next w:val="Normal"/>
    <w:uiPriority w:val="39"/>
    <w:unhideWhenUsed/>
    <w:qFormat/>
    <w:rsid w:val="007467BC"/>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7467BC"/>
    <w:pPr>
      <w:tabs>
        <w:tab w:val="left" w:pos="1134"/>
        <w:tab w:val="right" w:leader="dot" w:pos="9017"/>
      </w:tabs>
      <w:spacing w:after="100" w:line="276" w:lineRule="auto"/>
      <w:ind w:left="200"/>
      <w:jc w:val="both"/>
    </w:pPr>
  </w:style>
  <w:style w:type="paragraph" w:styleId="TOC3">
    <w:name w:val="toc 3"/>
    <w:basedOn w:val="Normal"/>
    <w:next w:val="Normal"/>
    <w:autoRedefine/>
    <w:uiPriority w:val="39"/>
    <w:unhideWhenUsed/>
    <w:rsid w:val="007467BC"/>
    <w:pPr>
      <w:tabs>
        <w:tab w:val="right" w:leader="dot" w:pos="9017"/>
      </w:tabs>
      <w:spacing w:after="100" w:line="276" w:lineRule="auto"/>
      <w:ind w:left="1418"/>
    </w:pPr>
  </w:style>
  <w:style w:type="paragraph" w:styleId="TOC4">
    <w:name w:val="toc 4"/>
    <w:basedOn w:val="Normal"/>
    <w:next w:val="Normal"/>
    <w:autoRedefine/>
    <w:uiPriority w:val="39"/>
    <w:unhideWhenUsed/>
    <w:rsid w:val="007467BC"/>
    <w:pPr>
      <w:tabs>
        <w:tab w:val="right" w:leader="dot" w:pos="9017"/>
      </w:tabs>
      <w:spacing w:after="100" w:line="276" w:lineRule="auto"/>
      <w:ind w:left="993" w:hanging="393"/>
      <w:jc w:val="both"/>
    </w:pPr>
  </w:style>
  <w:style w:type="paragraph" w:customStyle="1" w:styleId="CRPD-StateParty-footnotetext">
    <w:name w:val="CRPD - State Party - footnote text"/>
    <w:basedOn w:val="FootnoteText"/>
    <w:autoRedefine/>
    <w:qFormat/>
    <w:rsid w:val="007467BC"/>
    <w:pPr>
      <w:ind w:left="0" w:firstLine="0"/>
    </w:pPr>
  </w:style>
  <w:style w:type="paragraph" w:styleId="Revision">
    <w:name w:val="Revision"/>
    <w:hidden/>
    <w:uiPriority w:val="99"/>
    <w:semiHidden/>
    <w:rsid w:val="007467BC"/>
    <w:pPr>
      <w:spacing w:after="0" w:line="240" w:lineRule="auto"/>
    </w:pPr>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7467BC"/>
  </w:style>
  <w:style w:type="numbering" w:customStyle="1" w:styleId="NoList11">
    <w:name w:val="No List11"/>
    <w:next w:val="NoList"/>
    <w:uiPriority w:val="99"/>
    <w:semiHidden/>
    <w:unhideWhenUsed/>
    <w:rsid w:val="007467BC"/>
  </w:style>
  <w:style w:type="numbering" w:customStyle="1" w:styleId="1111111">
    <w:name w:val="1 / 1.1 / 1.1.11"/>
    <w:basedOn w:val="NoList"/>
    <w:next w:val="111111"/>
    <w:semiHidden/>
    <w:rsid w:val="007467BC"/>
  </w:style>
  <w:style w:type="numbering" w:customStyle="1" w:styleId="1ai1">
    <w:name w:val="1 / a / i1"/>
    <w:basedOn w:val="NoList"/>
    <w:next w:val="1ai"/>
    <w:semiHidden/>
    <w:rsid w:val="007467BC"/>
  </w:style>
  <w:style w:type="table" w:customStyle="1" w:styleId="TableGrid3">
    <w:name w:val="Table Grid3"/>
    <w:basedOn w:val="TableNormal"/>
    <w:next w:val="TableGrid"/>
    <w:uiPriority w:val="59"/>
    <w:rsid w:val="007467B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7467BC"/>
    <w:pPr>
      <w:spacing w:after="200"/>
    </w:pPr>
    <w:rPr>
      <w:rFonts w:ascii="Calibri" w:eastAsia="Calibri" w:hAnsi="Calibri"/>
      <w:lang w:val="en-NZ"/>
    </w:rPr>
  </w:style>
  <w:style w:type="character" w:customStyle="1" w:styleId="Hyperlink1">
    <w:name w:val="Hyperlink1"/>
    <w:basedOn w:val="DefaultParagraphFont"/>
    <w:uiPriority w:val="99"/>
    <w:unhideWhenUsed/>
    <w:rsid w:val="007467BC"/>
    <w:rPr>
      <w:color w:val="0000FF"/>
      <w:u w:val="single"/>
    </w:rPr>
  </w:style>
  <w:style w:type="character" w:customStyle="1" w:styleId="UnresolvedMention2">
    <w:name w:val="Unresolved Mention2"/>
    <w:basedOn w:val="DefaultParagraphFont"/>
    <w:uiPriority w:val="99"/>
    <w:unhideWhenUsed/>
    <w:rsid w:val="007467BC"/>
    <w:rPr>
      <w:color w:val="808080"/>
      <w:shd w:val="clear" w:color="auto" w:fill="E6E6E6"/>
    </w:rPr>
  </w:style>
  <w:style w:type="paragraph" w:customStyle="1" w:styleId="Title1">
    <w:name w:val="Title1"/>
    <w:basedOn w:val="Normal"/>
    <w:next w:val="Normal"/>
    <w:uiPriority w:val="10"/>
    <w:qFormat/>
    <w:rsid w:val="007467BC"/>
    <w:pPr>
      <w:spacing w:after="200"/>
      <w:jc w:val="both"/>
    </w:pPr>
    <w:rPr>
      <w:rFonts w:ascii="Calibri" w:hAnsi="Calibri"/>
      <w:b/>
      <w:color w:val="17365D"/>
      <w:spacing w:val="5"/>
      <w:kern w:val="28"/>
      <w:sz w:val="32"/>
      <w:szCs w:val="52"/>
      <w:lang w:val="en-NZ"/>
    </w:rPr>
  </w:style>
  <w:style w:type="paragraph" w:customStyle="1" w:styleId="CommentSubject1">
    <w:name w:val="Comment Subject1"/>
    <w:basedOn w:val="CommentText"/>
    <w:next w:val="CommentText"/>
    <w:uiPriority w:val="99"/>
    <w:semiHidden/>
    <w:unhideWhenUsed/>
    <w:rsid w:val="007467BC"/>
    <w:pPr>
      <w:spacing w:before="200" w:after="0"/>
      <w:jc w:val="both"/>
    </w:pPr>
    <w:rPr>
      <w:b/>
      <w:bCs/>
    </w:rPr>
  </w:style>
  <w:style w:type="table" w:customStyle="1" w:styleId="LightList-Accent11">
    <w:name w:val="Light List - Accent 11"/>
    <w:basedOn w:val="TableNormal"/>
    <w:next w:val="LightList-Accent1"/>
    <w:uiPriority w:val="61"/>
    <w:rsid w:val="007467BC"/>
    <w:pPr>
      <w:spacing w:after="0" w:line="240" w:lineRule="auto"/>
    </w:pPr>
    <w:rPr>
      <w:rFonts w:eastAsia="Calibri"/>
      <w:lang w:val="en-NZ"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next w:val="LightShading-Accent1"/>
    <w:uiPriority w:val="60"/>
    <w:rsid w:val="007467BC"/>
    <w:pPr>
      <w:spacing w:after="0" w:line="240" w:lineRule="auto"/>
    </w:pPr>
    <w:rPr>
      <w:rFonts w:eastAsia="Calibri"/>
      <w:color w:val="365F91"/>
      <w:lang w:val="en-NZ"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
    <w:name w:val="Table Grid11"/>
    <w:basedOn w:val="TableNormal"/>
    <w:next w:val="TableGrid"/>
    <w:uiPriority w:val="39"/>
    <w:rsid w:val="007467BC"/>
    <w:pPr>
      <w:spacing w:after="0" w:line="240" w:lineRule="auto"/>
    </w:pPr>
    <w:rPr>
      <w:rFonts w:ascii="Calibri" w:eastAsia="Calibri" w:hAnsi="Calibri" w:cs="Times New Roman"/>
      <w:lang w:val="en-NZ"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CNumbering1">
    <w:name w:val="DOC Numbering1"/>
    <w:uiPriority w:val="99"/>
    <w:rsid w:val="007467BC"/>
  </w:style>
  <w:style w:type="numbering" w:customStyle="1" w:styleId="DOCBullets2">
    <w:name w:val="DOC Bullets2"/>
    <w:uiPriority w:val="99"/>
    <w:rsid w:val="007467BC"/>
  </w:style>
  <w:style w:type="numbering" w:customStyle="1" w:styleId="DOCLegalNumbering1">
    <w:name w:val="DOC Legal Numbering1"/>
    <w:uiPriority w:val="99"/>
    <w:rsid w:val="007467BC"/>
  </w:style>
  <w:style w:type="table" w:customStyle="1" w:styleId="TableGrid21">
    <w:name w:val="Table Grid21"/>
    <w:basedOn w:val="TableNormal"/>
    <w:next w:val="TableGrid"/>
    <w:uiPriority w:val="59"/>
    <w:rsid w:val="007467BC"/>
    <w:pPr>
      <w:spacing w:after="0" w:line="240" w:lineRule="auto"/>
    </w:pPr>
    <w:rPr>
      <w:rFonts w:eastAsia="Calibr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semiHidden/>
    <w:rsid w:val="007467BC"/>
    <w:rPr>
      <w:sz w:val="20"/>
      <w:szCs w:val="20"/>
    </w:rPr>
  </w:style>
  <w:style w:type="character" w:customStyle="1" w:styleId="TitleChar1">
    <w:name w:val="Title Char1"/>
    <w:basedOn w:val="DefaultParagraphFont"/>
    <w:uiPriority w:val="10"/>
    <w:rsid w:val="007467BC"/>
    <w:rPr>
      <w:rFonts w:ascii="Calibri Light" w:eastAsia="Times New Roman" w:hAnsi="Calibri Light" w:cs="Times New Roman"/>
      <w:spacing w:val="-10"/>
      <w:kern w:val="28"/>
      <w:sz w:val="56"/>
      <w:szCs w:val="56"/>
    </w:rPr>
  </w:style>
  <w:style w:type="character" w:customStyle="1" w:styleId="CommentSubjectChar1">
    <w:name w:val="Comment Subject Char1"/>
    <w:basedOn w:val="CommentTextChar1"/>
    <w:uiPriority w:val="99"/>
    <w:semiHidden/>
    <w:rsid w:val="007467BC"/>
    <w:rPr>
      <w:b/>
      <w:bCs/>
      <w:sz w:val="20"/>
      <w:szCs w:val="20"/>
    </w:rPr>
  </w:style>
  <w:style w:type="table" w:customStyle="1" w:styleId="LightList-Accent12">
    <w:name w:val="Light List - Accent 12"/>
    <w:basedOn w:val="TableNormal"/>
    <w:next w:val="LightList-Accent1"/>
    <w:uiPriority w:val="61"/>
    <w:unhideWhenUsed/>
    <w:rsid w:val="007467BC"/>
    <w:pPr>
      <w:spacing w:after="0" w:line="240" w:lineRule="auto"/>
    </w:pPr>
    <w:rPr>
      <w:rFonts w:eastAsia="Calibri"/>
      <w:lang w:val="en-NZ"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Accent12">
    <w:name w:val="Light Shading - Accent 12"/>
    <w:basedOn w:val="TableNormal"/>
    <w:next w:val="LightShading-Accent1"/>
    <w:uiPriority w:val="60"/>
    <w:unhideWhenUsed/>
    <w:rsid w:val="007467BC"/>
    <w:pPr>
      <w:spacing w:after="0" w:line="240" w:lineRule="auto"/>
    </w:pPr>
    <w:rPr>
      <w:rFonts w:eastAsia="Calibri"/>
      <w:color w:val="2F5496"/>
      <w:lang w:val="en-NZ"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NormalG">
    <w:name w:val="_ Normal_G"/>
    <w:basedOn w:val="Normal"/>
    <w:link w:val="NormalGChar"/>
    <w:rsid w:val="007467BC"/>
    <w:rPr>
      <w:bCs/>
      <w:lang w:val="es-ES" w:eastAsia="es-ES"/>
    </w:rPr>
  </w:style>
  <w:style w:type="character" w:customStyle="1" w:styleId="NormalGChar">
    <w:name w:val="_ Normal_G Char"/>
    <w:link w:val="NormalG"/>
    <w:rsid w:val="007467BC"/>
    <w:rPr>
      <w:rFonts w:ascii="Times New Roman" w:eastAsia="Times New Roman" w:hAnsi="Times New Roman" w:cs="Times New Roman"/>
      <w:bCs/>
      <w:sz w:val="20"/>
      <w:szCs w:val="20"/>
      <w:lang w:val="es-ES" w:eastAsia="es-ES"/>
    </w:rPr>
  </w:style>
  <w:style w:type="table" w:customStyle="1" w:styleId="TableGrid4">
    <w:name w:val="Table Grid4"/>
    <w:basedOn w:val="TableNormal"/>
    <w:next w:val="TableGrid"/>
    <w:uiPriority w:val="39"/>
    <w:rsid w:val="007467B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6BA3"/>
    <w:pPr>
      <w:spacing w:after="100"/>
    </w:pPr>
  </w:style>
  <w:style w:type="character" w:styleId="Hyperlink">
    <w:name w:val="Hyperlink"/>
    <w:basedOn w:val="DefaultParagraphFont"/>
    <w:uiPriority w:val="99"/>
    <w:unhideWhenUsed/>
    <w:rsid w:val="00B96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39CF-7E13-4AA8-BF5C-A18B2BCA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46</Pages>
  <Words>21270</Words>
  <Characters>117880</Characters>
  <Application>Microsoft Office Word</Application>
  <DocSecurity>0</DocSecurity>
  <Lines>2634</Lines>
  <Paragraphs>1351</Paragraphs>
  <ScaleCrop>false</ScaleCrop>
  <HeadingPairs>
    <vt:vector size="2" baseType="variant">
      <vt:variant>
        <vt:lpstr>Title</vt:lpstr>
      </vt:variant>
      <vt:variant>
        <vt:i4>1</vt:i4>
      </vt:variant>
    </vt:vector>
  </HeadingPairs>
  <TitlesOfParts>
    <vt:vector size="1" baseType="lpstr">
      <vt:lpstr>CAT/C/NZL/7</vt:lpstr>
    </vt:vector>
  </TitlesOfParts>
  <Company>DCM</Company>
  <LinksUpToDate>false</LinksUpToDate>
  <CharactersWithSpaces>138548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CAT/C/NZL/7</dc:title>
  <dc:subject>2004019</dc:subject>
  <dc:creator>Giltsoff</dc:creator>
  <cp:keywords/>
  <dc:description/>
  <cp:lastModifiedBy>Cecile Pacis</cp:lastModifiedBy>
  <cp:revision>2</cp:revision>
  <cp:lastPrinted>2020-03-16T11:14:00Z</cp:lastPrinted>
  <dcterms:created xsi:type="dcterms:W3CDTF">2020-03-16T11:19:00Z</dcterms:created>
  <dcterms:modified xsi:type="dcterms:W3CDTF">2020-03-16T11:19:00Z</dcterms:modified>
</cp:coreProperties>
</file>