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443543" w:rsidP="00443543">
            <w:pPr>
              <w:jc w:val="right"/>
            </w:pPr>
            <w:r w:rsidRPr="00443543">
              <w:rPr>
                <w:sz w:val="40"/>
              </w:rPr>
              <w:t>CERD</w:t>
            </w:r>
            <w:r>
              <w:t>/C/UZB/Q/6-7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487471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43543" w:rsidRDefault="00443543" w:rsidP="00593658">
            <w:pPr>
              <w:spacing w:before="240"/>
            </w:pPr>
            <w:r>
              <w:t>Distr. générale</w:t>
            </w:r>
          </w:p>
          <w:p w:rsidR="00443543" w:rsidRDefault="00443543" w:rsidP="00443543">
            <w:pPr>
              <w:spacing w:line="240" w:lineRule="exact"/>
            </w:pPr>
            <w:r>
              <w:t>13 juillet 2010</w:t>
            </w:r>
          </w:p>
          <w:p w:rsidR="00443543" w:rsidRDefault="00443543" w:rsidP="00443543">
            <w:pPr>
              <w:spacing w:line="240" w:lineRule="exact"/>
            </w:pPr>
            <w:r>
              <w:t>Français</w:t>
            </w:r>
          </w:p>
          <w:p w:rsidR="002E0D40" w:rsidRPr="00DB58B5" w:rsidRDefault="00443543" w:rsidP="00443543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443543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487471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</w:t>
      </w:r>
      <w:r w:rsidR="00443543">
        <w:rPr>
          <w:b/>
          <w:sz w:val="24"/>
          <w:szCs w:val="24"/>
        </w:rPr>
        <w:t>on de la discrimination raciale</w:t>
      </w:r>
    </w:p>
    <w:p w:rsidR="00443543" w:rsidRPr="00487471" w:rsidRDefault="00443543" w:rsidP="00487471">
      <w:pPr>
        <w:rPr>
          <w:b/>
          <w:lang w:val="fr-FR"/>
        </w:rPr>
      </w:pPr>
      <w:r w:rsidRPr="00487471">
        <w:rPr>
          <w:b/>
          <w:lang w:val="fr-FR"/>
        </w:rPr>
        <w:t>Soixante-dix-septième session</w:t>
      </w:r>
    </w:p>
    <w:p w:rsidR="00443543" w:rsidRPr="000741F4" w:rsidRDefault="00443543" w:rsidP="00443543">
      <w:pPr>
        <w:rPr>
          <w:bCs/>
          <w:lang w:val="fr-FR"/>
        </w:rPr>
      </w:pPr>
      <w:r w:rsidRPr="000741F4">
        <w:rPr>
          <w:lang w:val="fr-FR"/>
        </w:rPr>
        <w:t>2-27 août 2010</w:t>
      </w:r>
      <w:r w:rsidRPr="000741F4">
        <w:rPr>
          <w:bCs/>
          <w:lang w:val="fr-FR"/>
        </w:rPr>
        <w:t xml:space="preserve"> </w:t>
      </w:r>
    </w:p>
    <w:p w:rsidR="00443543" w:rsidRPr="000741F4" w:rsidRDefault="00443543" w:rsidP="00443543">
      <w:pPr>
        <w:pStyle w:val="HChG"/>
        <w:rPr>
          <w:lang w:val="fr-FR"/>
        </w:rPr>
      </w:pPr>
      <w:r w:rsidRPr="000741F4">
        <w:rPr>
          <w:lang w:val="fr-FR"/>
        </w:rPr>
        <w:tab/>
      </w:r>
      <w:r w:rsidRPr="000741F4">
        <w:rPr>
          <w:lang w:val="fr-FR"/>
        </w:rPr>
        <w:tab/>
        <w:t>Application de la Convention internationale sur l</w:t>
      </w:r>
      <w:r w:rsidR="00487471">
        <w:rPr>
          <w:lang w:val="fr-FR"/>
        </w:rPr>
        <w:t>’</w:t>
      </w:r>
      <w:r w:rsidRPr="000741F4">
        <w:rPr>
          <w:lang w:val="fr-FR"/>
        </w:rPr>
        <w:t>élimination de toutes les formes de discrimination raciale</w:t>
      </w:r>
    </w:p>
    <w:p w:rsidR="00443543" w:rsidRDefault="00443543" w:rsidP="00443543">
      <w:pPr>
        <w:pStyle w:val="H1G"/>
        <w:rPr>
          <w:lang w:val="fr-FR"/>
        </w:rPr>
      </w:pPr>
      <w:r w:rsidRPr="000741F4">
        <w:rPr>
          <w:lang w:val="fr-FR"/>
        </w:rPr>
        <w:tab/>
      </w:r>
      <w:r w:rsidRPr="000741F4">
        <w:rPr>
          <w:lang w:val="fr-FR"/>
        </w:rPr>
        <w:tab/>
        <w:t>Listes de thèmes à aborder dans le cadre de l</w:t>
      </w:r>
      <w:r w:rsidR="00487471">
        <w:rPr>
          <w:lang w:val="fr-FR"/>
        </w:rPr>
        <w:t>’</w:t>
      </w:r>
      <w:r w:rsidRPr="000741F4">
        <w:rPr>
          <w:lang w:val="fr-FR"/>
        </w:rPr>
        <w:t>examen des sixième et septième rapports périodiques de l</w:t>
      </w:r>
      <w:r w:rsidR="00487471">
        <w:rPr>
          <w:lang w:val="fr-FR"/>
        </w:rPr>
        <w:t>’</w:t>
      </w:r>
      <w:r w:rsidRPr="000741F4">
        <w:rPr>
          <w:lang w:val="fr-FR"/>
        </w:rPr>
        <w:t>Ouzbékistan</w:t>
      </w:r>
      <w:r w:rsidR="00135005">
        <w:rPr>
          <w:lang w:val="fr-FR"/>
        </w:rPr>
        <w:t xml:space="preserve"> </w:t>
      </w:r>
      <w:r w:rsidRPr="000741F4">
        <w:rPr>
          <w:lang w:val="fr-FR"/>
        </w:rPr>
        <w:t>(</w:t>
      </w:r>
      <w:r w:rsidRPr="000741F4">
        <w:rPr>
          <w:bCs/>
          <w:lang w:val="fr-FR"/>
        </w:rPr>
        <w:t>CERD/C/UZB/6-7</w:t>
      </w:r>
      <w:r w:rsidRPr="000741F4">
        <w:rPr>
          <w:lang w:val="fr-FR"/>
        </w:rPr>
        <w:t>)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7653"/>
      </w:tblGrid>
      <w:tr w:rsidR="00443543" w:rsidTr="00443543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543" w:rsidRDefault="00443543" w:rsidP="00443543">
            <w:pPr>
              <w:rPr>
                <w:lang w:val="fr-FR"/>
              </w:rPr>
            </w:pPr>
          </w:p>
        </w:tc>
      </w:tr>
      <w:tr w:rsidR="00443543" w:rsidTr="00443543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3543" w:rsidRDefault="00443543" w:rsidP="00487471">
            <w:pPr>
              <w:spacing w:after="120"/>
              <w:ind w:firstLine="567"/>
              <w:jc w:val="both"/>
              <w:rPr>
                <w:lang w:val="fr-FR"/>
              </w:rPr>
            </w:pPr>
            <w:r w:rsidRPr="00443543">
              <w:rPr>
                <w:bCs/>
                <w:lang w:val="fr-FR"/>
              </w:rPr>
              <w:t>On trouvera ci-après une liste de thèmes</w:t>
            </w:r>
            <w:r w:rsidR="00487471">
              <w:rPr>
                <w:bCs/>
                <w:lang w:val="fr-FR"/>
              </w:rPr>
              <w:t xml:space="preserve"> </w:t>
            </w:r>
            <w:r w:rsidRPr="00443543">
              <w:rPr>
                <w:bCs/>
                <w:lang w:val="fr-FR"/>
              </w:rPr>
              <w:t>identifiés par</w:t>
            </w:r>
            <w:r w:rsidR="00487471">
              <w:rPr>
                <w:bCs/>
                <w:lang w:val="fr-FR"/>
              </w:rPr>
              <w:t xml:space="preserve"> </w:t>
            </w:r>
            <w:r w:rsidRPr="00443543">
              <w:rPr>
                <w:bCs/>
                <w:lang w:val="fr-FR"/>
              </w:rPr>
              <w:t xml:space="preserve">le </w:t>
            </w:r>
            <w:r w:rsidR="00BE25DF" w:rsidRPr="00443543">
              <w:rPr>
                <w:bCs/>
                <w:lang w:val="fr-FR"/>
              </w:rPr>
              <w:t xml:space="preserve">rapporteur </w:t>
            </w:r>
            <w:r w:rsidRPr="00443543">
              <w:rPr>
                <w:bCs/>
                <w:lang w:val="fr-FR"/>
              </w:rPr>
              <w:t>de pays en vue de l</w:t>
            </w:r>
            <w:r w:rsidR="00487471">
              <w:rPr>
                <w:bCs/>
                <w:lang w:val="fr-FR"/>
              </w:rPr>
              <w:t>’</w:t>
            </w:r>
            <w:r w:rsidRPr="00443543">
              <w:rPr>
                <w:bCs/>
                <w:lang w:val="fr-FR"/>
              </w:rPr>
              <w:t>examen des sixième et septième rapports périodiques de l</w:t>
            </w:r>
            <w:r w:rsidR="00487471">
              <w:rPr>
                <w:bCs/>
                <w:lang w:val="fr-FR"/>
              </w:rPr>
              <w:t>’</w:t>
            </w:r>
            <w:r w:rsidR="00135005">
              <w:rPr>
                <w:bCs/>
                <w:lang w:val="fr-FR"/>
              </w:rPr>
              <w:t>Ouzbékistan</w:t>
            </w:r>
            <w:r w:rsidRPr="00443543">
              <w:rPr>
                <w:bCs/>
                <w:lang w:val="fr-FR"/>
              </w:rPr>
              <w:t>. Cette liste a vocation à orienter le dialogue entre la délégation de l</w:t>
            </w:r>
            <w:r w:rsidR="0048747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É</w:t>
            </w:r>
            <w:r w:rsidR="00487471">
              <w:rPr>
                <w:bCs/>
                <w:lang w:val="fr-FR"/>
              </w:rPr>
              <w:t>tat p</w:t>
            </w:r>
            <w:r w:rsidRPr="00443543">
              <w:rPr>
                <w:bCs/>
                <w:lang w:val="fr-FR"/>
              </w:rPr>
              <w:t xml:space="preserve">artie et le Comité et </w:t>
            </w:r>
            <w:r w:rsidRPr="00135005">
              <w:rPr>
                <w:bCs/>
                <w:i/>
                <w:lang w:val="fr-FR"/>
              </w:rPr>
              <w:t>n</w:t>
            </w:r>
            <w:r w:rsidR="00487471" w:rsidRPr="00135005">
              <w:rPr>
                <w:bCs/>
                <w:i/>
                <w:lang w:val="fr-FR"/>
              </w:rPr>
              <w:t>’</w:t>
            </w:r>
            <w:r w:rsidRPr="00135005">
              <w:rPr>
                <w:bCs/>
                <w:i/>
                <w:lang w:val="fr-FR"/>
              </w:rPr>
              <w:t>appelle</w:t>
            </w:r>
            <w:r w:rsidR="00487471" w:rsidRPr="00135005">
              <w:rPr>
                <w:bCs/>
                <w:i/>
                <w:lang w:val="fr-FR"/>
              </w:rPr>
              <w:t xml:space="preserve"> </w:t>
            </w:r>
            <w:r w:rsidRPr="00135005">
              <w:rPr>
                <w:bCs/>
                <w:i/>
                <w:lang w:val="fr-FR"/>
              </w:rPr>
              <w:t>pas de réponses écrites</w:t>
            </w:r>
            <w:r w:rsidRPr="00443543">
              <w:rPr>
                <w:bCs/>
                <w:lang w:val="fr-FR"/>
              </w:rPr>
              <w:t>. Il ne s</w:t>
            </w:r>
            <w:r w:rsidR="00487471">
              <w:rPr>
                <w:bCs/>
                <w:lang w:val="fr-FR"/>
              </w:rPr>
              <w:t>’</w:t>
            </w:r>
            <w:r w:rsidRPr="00443543">
              <w:rPr>
                <w:bCs/>
                <w:lang w:val="fr-FR"/>
              </w:rPr>
              <w:t>agit pas d</w:t>
            </w:r>
            <w:r w:rsidR="00487471">
              <w:rPr>
                <w:bCs/>
                <w:lang w:val="fr-FR"/>
              </w:rPr>
              <w:t>’</w:t>
            </w:r>
            <w:r w:rsidRPr="00443543">
              <w:rPr>
                <w:bCs/>
                <w:lang w:val="fr-FR"/>
              </w:rPr>
              <w:t>une liste exhaustive et d</w:t>
            </w:r>
            <w:r w:rsidR="00487471">
              <w:rPr>
                <w:bCs/>
                <w:lang w:val="fr-FR"/>
              </w:rPr>
              <w:t>’</w:t>
            </w:r>
            <w:r w:rsidRPr="00443543">
              <w:rPr>
                <w:bCs/>
                <w:lang w:val="fr-FR"/>
              </w:rPr>
              <w:t>autres questions seront soulevées au cours du dialogue.</w:t>
            </w:r>
          </w:p>
        </w:tc>
      </w:tr>
      <w:tr w:rsidR="00443543" w:rsidTr="00443543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543" w:rsidRDefault="00443543" w:rsidP="00443543">
            <w:pPr>
              <w:rPr>
                <w:lang w:val="fr-FR"/>
              </w:rPr>
            </w:pPr>
          </w:p>
        </w:tc>
      </w:tr>
    </w:tbl>
    <w:p w:rsidR="00443543" w:rsidRDefault="00443543" w:rsidP="00443543">
      <w:pPr>
        <w:pStyle w:val="H23G"/>
      </w:pPr>
      <w:r>
        <w:tab/>
      </w:r>
      <w:r w:rsidRPr="000741F4">
        <w:t>1.</w:t>
      </w:r>
      <w:r w:rsidRPr="000741F4">
        <w:tab/>
        <w:t>Insuffisance d</w:t>
      </w:r>
      <w:r w:rsidR="00487471">
        <w:t>’</w:t>
      </w:r>
      <w:r w:rsidRPr="000741F4">
        <w:t>indicateurs</w:t>
      </w:r>
      <w:r w:rsidR="00487471">
        <w:t xml:space="preserve"> </w:t>
      </w:r>
      <w:r w:rsidRPr="000741F4">
        <w:t>démographiques fiables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a)</w:t>
      </w:r>
      <w:r w:rsidRPr="000741F4">
        <w:rPr>
          <w:lang w:val="fr-FR"/>
        </w:rPr>
        <w:tab/>
        <w:t>Mesures prises par l</w:t>
      </w:r>
      <w:r w:rsidR="00487471">
        <w:rPr>
          <w:lang w:val="fr-FR"/>
        </w:rPr>
        <w:t>’</w:t>
      </w:r>
      <w:r>
        <w:rPr>
          <w:lang w:val="fr-FR"/>
        </w:rPr>
        <w:t>É</w:t>
      </w:r>
      <w:r w:rsidR="00487471">
        <w:rPr>
          <w:lang w:val="fr-FR"/>
        </w:rPr>
        <w:t>tat p</w:t>
      </w:r>
      <w:r w:rsidRPr="000741F4">
        <w:rPr>
          <w:lang w:val="fr-FR"/>
        </w:rPr>
        <w:t>artie pour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mieux comprendre la composition de sa population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et surveiller les progrès accomplis dans l</w:t>
      </w:r>
      <w:r w:rsidR="00487471">
        <w:rPr>
          <w:lang w:val="fr-FR"/>
        </w:rPr>
        <w:t>’</w:t>
      </w:r>
      <w:r w:rsidRPr="000741F4">
        <w:rPr>
          <w:lang w:val="fr-FR"/>
        </w:rPr>
        <w:t>élimination de la discrimination en l</w:t>
      </w:r>
      <w:r w:rsidR="00487471">
        <w:rPr>
          <w:lang w:val="fr-FR"/>
        </w:rPr>
        <w:t>’</w:t>
      </w:r>
      <w:r w:rsidRPr="000741F4">
        <w:rPr>
          <w:lang w:val="fr-FR"/>
        </w:rPr>
        <w:t>absence de recensement récent de la population (CERD/C/UBZ/CO/5, par.</w:t>
      </w:r>
      <w:r w:rsidR="00BD56F3">
        <w:rPr>
          <w:lang w:val="fr-FR"/>
        </w:rPr>
        <w:t xml:space="preserve"> </w:t>
      </w:r>
      <w:r w:rsidRPr="000741F4">
        <w:rPr>
          <w:lang w:val="fr-FR"/>
        </w:rPr>
        <w:t>10, CERD/C/UBZ/6-7, par</w:t>
      </w:r>
      <w:r w:rsidR="00487471">
        <w:rPr>
          <w:lang w:val="fr-FR"/>
        </w:rPr>
        <w:t xml:space="preserve">. 30 à </w:t>
      </w:r>
      <w:r w:rsidRPr="000741F4">
        <w:rPr>
          <w:lang w:val="fr-FR"/>
        </w:rPr>
        <w:t>33).</w:t>
      </w:r>
    </w:p>
    <w:p w:rsidR="00443543" w:rsidRPr="000741F4" w:rsidRDefault="00443543" w:rsidP="00443543">
      <w:pPr>
        <w:pStyle w:val="H23G"/>
        <w:rPr>
          <w:lang w:val="fr-FR"/>
        </w:rPr>
      </w:pPr>
      <w:r>
        <w:rPr>
          <w:lang w:val="fr-FR"/>
        </w:rPr>
        <w:tab/>
      </w:r>
      <w:r w:rsidRPr="000741F4">
        <w:rPr>
          <w:lang w:val="fr-FR"/>
        </w:rPr>
        <w:t>2.</w:t>
      </w:r>
      <w:r w:rsidRPr="000741F4">
        <w:rPr>
          <w:lang w:val="fr-FR"/>
        </w:rPr>
        <w:tab/>
        <w:t>La Convention dans</w:t>
      </w:r>
      <w:r>
        <w:rPr>
          <w:lang w:val="fr-FR"/>
        </w:rPr>
        <w:t xml:space="preserve"> le droit interne et le cadre lé</w:t>
      </w:r>
      <w:r w:rsidR="00487471">
        <w:rPr>
          <w:lang w:val="fr-FR"/>
        </w:rPr>
        <w:t>gislatif</w:t>
      </w:r>
      <w:r w:rsidRPr="000741F4">
        <w:rPr>
          <w:lang w:val="fr-FR"/>
        </w:rPr>
        <w:t xml:space="preserve"> et politique </w:t>
      </w:r>
      <w:r w:rsidR="00487471">
        <w:rPr>
          <w:lang w:val="fr-FR"/>
        </w:rPr>
        <w:t xml:space="preserve">de </w:t>
      </w:r>
      <w:r w:rsidRPr="000741F4">
        <w:rPr>
          <w:lang w:val="fr-FR"/>
        </w:rPr>
        <w:t>sa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 xml:space="preserve">mise en </w:t>
      </w:r>
      <w:r>
        <w:rPr>
          <w:lang w:val="fr-FR"/>
        </w:rPr>
        <w:t>œuvre</w:t>
      </w:r>
      <w:r w:rsidRPr="000741F4">
        <w:rPr>
          <w:lang w:val="fr-FR"/>
        </w:rPr>
        <w:t xml:space="preserve"> (art</w:t>
      </w:r>
      <w:r w:rsidR="00BD56F3">
        <w:rPr>
          <w:lang w:val="fr-FR"/>
        </w:rPr>
        <w:t>.</w:t>
      </w:r>
      <w:r w:rsidR="00135005">
        <w:rPr>
          <w:lang w:val="fr-FR"/>
        </w:rPr>
        <w:t xml:space="preserve"> 1, 2 et 6)</w:t>
      </w:r>
    </w:p>
    <w:p w:rsidR="00443543" w:rsidRPr="000741F4" w:rsidRDefault="00135005" w:rsidP="00443543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 w:rsidR="00BD56F3">
        <w:rPr>
          <w:lang w:val="fr-FR"/>
        </w:rPr>
        <w:tab/>
      </w:r>
      <w:r w:rsidR="00443543" w:rsidRPr="000741F4">
        <w:rPr>
          <w:lang w:val="fr-FR"/>
        </w:rPr>
        <w:t>Mesures que l</w:t>
      </w:r>
      <w:r w:rsidR="00487471">
        <w:rPr>
          <w:lang w:val="fr-FR"/>
        </w:rPr>
        <w:t>’État p</w:t>
      </w:r>
      <w:r w:rsidR="00443543" w:rsidRPr="000741F4">
        <w:rPr>
          <w:lang w:val="fr-FR"/>
        </w:rPr>
        <w:t>artie a prises ou a prévu de prendre afin que la définition de la discrimination énoncée dans son droit interne soit pleinement</w:t>
      </w:r>
      <w:r w:rsidR="00487471">
        <w:rPr>
          <w:lang w:val="fr-FR"/>
        </w:rPr>
        <w:t xml:space="preserve"> </w:t>
      </w:r>
      <w:r w:rsidR="00443543" w:rsidRPr="000741F4">
        <w:rPr>
          <w:lang w:val="fr-FR"/>
        </w:rPr>
        <w:t>conforme</w:t>
      </w:r>
      <w:r w:rsidR="00487471">
        <w:rPr>
          <w:lang w:val="fr-FR"/>
        </w:rPr>
        <w:t xml:space="preserve"> </w:t>
      </w:r>
      <w:r w:rsidR="00443543" w:rsidRPr="000741F4">
        <w:rPr>
          <w:lang w:val="fr-FR"/>
        </w:rPr>
        <w:t>à</w:t>
      </w:r>
      <w:r w:rsidR="00487471">
        <w:rPr>
          <w:lang w:val="fr-FR"/>
        </w:rPr>
        <w:t xml:space="preserve"> </w:t>
      </w:r>
      <w:r w:rsidR="00443543" w:rsidRPr="000741F4">
        <w:rPr>
          <w:lang w:val="fr-FR"/>
        </w:rPr>
        <w:t>la définition figurant au paragraphe 1 de l</w:t>
      </w:r>
      <w:r w:rsidR="00487471">
        <w:rPr>
          <w:lang w:val="fr-FR"/>
        </w:rPr>
        <w:t>’article premier</w:t>
      </w:r>
      <w:r w:rsidR="00443543" w:rsidRPr="000741F4">
        <w:rPr>
          <w:lang w:val="fr-FR"/>
        </w:rPr>
        <w:t xml:space="preserve"> de la Convention (CERD/C/UZB/CO/5, par.</w:t>
      </w:r>
      <w:r w:rsidR="00487471">
        <w:rPr>
          <w:lang w:val="fr-FR"/>
        </w:rPr>
        <w:t xml:space="preserve"> </w:t>
      </w:r>
      <w:r w:rsidR="00443543" w:rsidRPr="000741F4">
        <w:rPr>
          <w:lang w:val="fr-FR"/>
        </w:rPr>
        <w:t>9, CERD/C/UZB/6-7, par</w:t>
      </w:r>
      <w:r w:rsidR="00487471">
        <w:rPr>
          <w:lang w:val="fr-FR"/>
        </w:rPr>
        <w:t>.</w:t>
      </w:r>
      <w:r>
        <w:rPr>
          <w:lang w:val="fr-FR"/>
        </w:rPr>
        <w:t xml:space="preserve"> 271, 319 et 332).</w:t>
      </w:r>
    </w:p>
    <w:p w:rsidR="00443543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b)</w:t>
      </w:r>
      <w:r w:rsidRPr="000741F4">
        <w:rPr>
          <w:lang w:val="fr-FR"/>
        </w:rPr>
        <w:tab/>
        <w:t>Informations concernant des cas de discrimination portés en justice en vertu de l</w:t>
      </w:r>
      <w:r w:rsidR="00487471">
        <w:rPr>
          <w:lang w:val="fr-FR"/>
        </w:rPr>
        <w:t>’article 156 du Code pénal («</w:t>
      </w:r>
      <w:r w:rsidRPr="000741F4">
        <w:rPr>
          <w:lang w:val="fr-FR"/>
        </w:rPr>
        <w:t xml:space="preserve">Incitation à la haine </w:t>
      </w:r>
      <w:r w:rsidR="00487471">
        <w:rPr>
          <w:lang w:val="fr-FR"/>
        </w:rPr>
        <w:t>ethnique, raciale ou religieuse»</w:t>
      </w:r>
      <w:r w:rsidRPr="000741F4">
        <w:rPr>
          <w:lang w:val="fr-FR"/>
        </w:rPr>
        <w:t>) ou de l</w:t>
      </w:r>
      <w:r w:rsidR="00487471">
        <w:rPr>
          <w:lang w:val="fr-FR"/>
        </w:rPr>
        <w:t>’</w:t>
      </w:r>
      <w:r w:rsidRPr="000741F4">
        <w:rPr>
          <w:lang w:val="fr-FR"/>
        </w:rPr>
        <w:t>article 42 du Code de responsabilité administrative, et l</w:t>
      </w:r>
      <w:r w:rsidR="00487471">
        <w:rPr>
          <w:lang w:val="fr-FR"/>
        </w:rPr>
        <w:t>’</w:t>
      </w:r>
      <w:r w:rsidRPr="000741F4">
        <w:rPr>
          <w:lang w:val="fr-FR"/>
        </w:rPr>
        <w:t>issue de ces affaires; et toutes les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plaintes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pour discrimination soumises au</w:t>
      </w:r>
      <w:r w:rsidR="00487471">
        <w:rPr>
          <w:lang w:val="fr-FR"/>
        </w:rPr>
        <w:t>x tribunaux, les dispositions lé</w:t>
      </w:r>
      <w:r w:rsidRPr="000741F4">
        <w:rPr>
          <w:lang w:val="fr-FR"/>
        </w:rPr>
        <w:t>gislatives invoquées et l</w:t>
      </w:r>
      <w:r w:rsidR="00487471">
        <w:rPr>
          <w:lang w:val="fr-FR"/>
        </w:rPr>
        <w:t>’</w:t>
      </w:r>
      <w:r w:rsidRPr="000741F4">
        <w:rPr>
          <w:lang w:val="fr-FR"/>
        </w:rPr>
        <w:t>issue de ces affaire (plaintes autres que celles portant sur les 11 cas de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traite cités dans le rapport de l</w:t>
      </w:r>
      <w:r w:rsidR="00487471">
        <w:rPr>
          <w:lang w:val="fr-FR"/>
        </w:rPr>
        <w:t>’État p</w:t>
      </w:r>
      <w:r w:rsidRPr="000741F4">
        <w:rPr>
          <w:lang w:val="fr-FR"/>
        </w:rPr>
        <w:t>artie, CERD/C/UZB/6-7, par</w:t>
      </w:r>
      <w:r w:rsidR="00487471">
        <w:rPr>
          <w:lang w:val="fr-FR"/>
        </w:rPr>
        <w:t xml:space="preserve">. 483 à </w:t>
      </w:r>
      <w:r w:rsidRPr="000741F4">
        <w:rPr>
          <w:lang w:val="fr-FR"/>
        </w:rPr>
        <w:t>485).</w:t>
      </w:r>
    </w:p>
    <w:p w:rsidR="00443543" w:rsidRPr="000741F4" w:rsidRDefault="00443543" w:rsidP="00443543">
      <w:pPr>
        <w:pStyle w:val="H23G"/>
        <w:rPr>
          <w:lang w:val="fr-FR"/>
        </w:rPr>
      </w:pPr>
      <w:r>
        <w:rPr>
          <w:lang w:val="fr-FR"/>
        </w:rPr>
        <w:tab/>
      </w:r>
      <w:r w:rsidRPr="000741F4">
        <w:rPr>
          <w:lang w:val="fr-FR"/>
        </w:rPr>
        <w:t>3.</w:t>
      </w:r>
      <w:r w:rsidRPr="000741F4">
        <w:rPr>
          <w:lang w:val="fr-FR"/>
        </w:rPr>
        <w:tab/>
        <w:t>Situation des minorités ethniques (art. 5 et 6)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a)</w:t>
      </w:r>
      <w:r w:rsidRPr="000741F4">
        <w:rPr>
          <w:lang w:val="fr-FR"/>
        </w:rPr>
        <w:tab/>
        <w:t>Mesures prises par l</w:t>
      </w:r>
      <w:r w:rsidR="00487471">
        <w:rPr>
          <w:lang w:val="fr-FR"/>
        </w:rPr>
        <w:t>’État p</w:t>
      </w:r>
      <w:r w:rsidRPr="000741F4">
        <w:rPr>
          <w:lang w:val="fr-FR"/>
        </w:rPr>
        <w:t>artie pour surveiller et garantir le niveau effectif de participation des membres de minorités nationales et ethniques dans les institutions nationales (CERD/C/UBZ/CO/5, par</w:t>
      </w:r>
      <w:r w:rsidR="00BD56F3">
        <w:rPr>
          <w:lang w:val="fr-FR"/>
        </w:rPr>
        <w:t>.</w:t>
      </w:r>
      <w:r w:rsidR="00BE25DF">
        <w:rPr>
          <w:lang w:val="fr-FR"/>
        </w:rPr>
        <w:t> </w:t>
      </w:r>
      <w:r w:rsidRPr="000741F4">
        <w:rPr>
          <w:lang w:val="fr-FR"/>
        </w:rPr>
        <w:t>15, CERD/C/UZB/6-7, par</w:t>
      </w:r>
      <w:r w:rsidR="00487471">
        <w:rPr>
          <w:lang w:val="fr-FR"/>
        </w:rPr>
        <w:t>.</w:t>
      </w:r>
      <w:r w:rsidR="00BE25DF">
        <w:rPr>
          <w:lang w:val="fr-FR"/>
        </w:rPr>
        <w:t> </w:t>
      </w:r>
      <w:r w:rsidR="00487471">
        <w:rPr>
          <w:lang w:val="fr-FR"/>
        </w:rPr>
        <w:t xml:space="preserve">41 à </w:t>
      </w:r>
      <w:r w:rsidR="00135005">
        <w:rPr>
          <w:lang w:val="fr-FR"/>
        </w:rPr>
        <w:t>48).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b)</w:t>
      </w:r>
      <w:r w:rsidRPr="000741F4">
        <w:rPr>
          <w:lang w:val="fr-FR"/>
        </w:rPr>
        <w:tab/>
      </w:r>
      <w:r w:rsidR="00487471">
        <w:rPr>
          <w:lang w:val="fr-FR"/>
        </w:rPr>
        <w:t>D</w:t>
      </w:r>
      <w:r w:rsidRPr="000741F4">
        <w:rPr>
          <w:lang w:val="fr-FR"/>
        </w:rPr>
        <w:t>onnées concernant la nomination d</w:t>
      </w:r>
      <w:r w:rsidR="00487471">
        <w:rPr>
          <w:lang w:val="fr-FR"/>
        </w:rPr>
        <w:t>’</w:t>
      </w:r>
      <w:r w:rsidRPr="000741F4">
        <w:rPr>
          <w:lang w:val="fr-FR"/>
        </w:rPr>
        <w:t>un avocat de la défense dans les cas impliquant des personnes qui ne connaissent pas la langue dans laquelle se déroule la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procédure (CERD/C/UZB/CO/5, par.</w:t>
      </w:r>
      <w:r w:rsidR="00BE25DF">
        <w:rPr>
          <w:lang w:val="fr-FR"/>
        </w:rPr>
        <w:t> </w:t>
      </w:r>
      <w:r w:rsidR="00135005">
        <w:rPr>
          <w:lang w:val="fr-FR"/>
        </w:rPr>
        <w:t>13,</w:t>
      </w:r>
      <w:r w:rsidRPr="000741F4">
        <w:rPr>
          <w:lang w:val="fr-FR"/>
        </w:rPr>
        <w:t xml:space="preserve"> CERD/C/UZB/CO/5Add.2, par</w:t>
      </w:r>
      <w:r w:rsidR="00BD56F3">
        <w:rPr>
          <w:lang w:val="fr-FR"/>
        </w:rPr>
        <w:t>.</w:t>
      </w:r>
      <w:r w:rsidR="00BE25DF">
        <w:rPr>
          <w:lang w:val="fr-FR"/>
        </w:rPr>
        <w:t> </w:t>
      </w:r>
      <w:r w:rsidRPr="000741F4">
        <w:rPr>
          <w:lang w:val="fr-FR"/>
        </w:rPr>
        <w:t xml:space="preserve">51); statistiques </w:t>
      </w:r>
      <w:r w:rsidR="00487471">
        <w:rPr>
          <w:lang w:val="fr-FR"/>
        </w:rPr>
        <w:t xml:space="preserve">relatives à </w:t>
      </w:r>
      <w:r w:rsidRPr="000741F4">
        <w:rPr>
          <w:lang w:val="fr-FR"/>
        </w:rPr>
        <w:t>l</w:t>
      </w:r>
      <w:r w:rsidR="00487471">
        <w:rPr>
          <w:lang w:val="fr-FR"/>
        </w:rPr>
        <w:t>’</w:t>
      </w:r>
      <w:r w:rsidRPr="000741F4">
        <w:rPr>
          <w:lang w:val="fr-FR"/>
        </w:rPr>
        <w:t xml:space="preserve">origine ethnique des </w:t>
      </w:r>
      <w:r w:rsidR="00487471">
        <w:rPr>
          <w:lang w:val="fr-FR"/>
        </w:rPr>
        <w:t xml:space="preserve">personnes </w:t>
      </w:r>
      <w:r>
        <w:rPr>
          <w:lang w:val="fr-FR"/>
        </w:rPr>
        <w:t>placé</w:t>
      </w:r>
      <w:r w:rsidR="00487471">
        <w:rPr>
          <w:lang w:val="fr-FR"/>
        </w:rPr>
        <w:t>e</w:t>
      </w:r>
      <w:r>
        <w:rPr>
          <w:lang w:val="fr-FR"/>
        </w:rPr>
        <w:t>s dans des centres de dé</w:t>
      </w:r>
      <w:r w:rsidRPr="000741F4">
        <w:rPr>
          <w:lang w:val="fr-FR"/>
        </w:rPr>
        <w:t xml:space="preserve">tention </w:t>
      </w:r>
      <w:r w:rsidR="00487471">
        <w:rPr>
          <w:lang w:val="fr-FR"/>
        </w:rPr>
        <w:t xml:space="preserve">avant jugement et des personnes détenues </w:t>
      </w:r>
      <w:r w:rsidRPr="000741F4">
        <w:rPr>
          <w:lang w:val="fr-FR"/>
        </w:rPr>
        <w:t>dans des établissements pénitentiaires.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c)</w:t>
      </w:r>
      <w:r w:rsidRPr="000741F4">
        <w:rPr>
          <w:lang w:val="fr-FR"/>
        </w:rPr>
        <w:tab/>
      </w:r>
      <w:r w:rsidR="00487471">
        <w:rPr>
          <w:lang w:val="fr-FR"/>
        </w:rPr>
        <w:t>D</w:t>
      </w:r>
      <w:r w:rsidRPr="000741F4">
        <w:rPr>
          <w:lang w:val="fr-FR"/>
        </w:rPr>
        <w:t>onnées ventilées actualisées sur le nombre d</w:t>
      </w:r>
      <w:r w:rsidR="00487471">
        <w:rPr>
          <w:lang w:val="fr-FR"/>
        </w:rPr>
        <w:t>’</w:t>
      </w:r>
      <w:r w:rsidRPr="000741F4">
        <w:rPr>
          <w:lang w:val="fr-FR"/>
        </w:rPr>
        <w:t>écoles qui enseignent dans les langues des minor</w:t>
      </w:r>
      <w:r>
        <w:rPr>
          <w:lang w:val="fr-FR"/>
        </w:rPr>
        <w:t>ités à tous les niveaux, leur ré</w:t>
      </w:r>
      <w:r w:rsidRPr="000741F4">
        <w:rPr>
          <w:lang w:val="fr-FR"/>
        </w:rPr>
        <w:t>partition géographique, la qualité de l</w:t>
      </w:r>
      <w:r w:rsidR="00487471">
        <w:rPr>
          <w:lang w:val="fr-FR"/>
        </w:rPr>
        <w:t>’</w:t>
      </w:r>
      <w:r w:rsidRPr="000741F4">
        <w:rPr>
          <w:lang w:val="fr-FR"/>
        </w:rPr>
        <w:t>éducation dispensée, et les difficultés rencontrées (CERD/C/UZB/CO/5, par.</w:t>
      </w:r>
      <w:r w:rsidR="00BE25DF">
        <w:rPr>
          <w:lang w:val="fr-FR"/>
        </w:rPr>
        <w:t> </w:t>
      </w:r>
      <w:r w:rsidRPr="000741F4">
        <w:rPr>
          <w:lang w:val="fr-FR"/>
        </w:rPr>
        <w:t>19)</w:t>
      </w:r>
      <w:r w:rsidR="00487471">
        <w:rPr>
          <w:lang w:val="fr-FR"/>
        </w:rPr>
        <w:t>.</w:t>
      </w:r>
    </w:p>
    <w:p w:rsidR="00443543" w:rsidRPr="000741F4" w:rsidRDefault="00487471" w:rsidP="00443543">
      <w:pPr>
        <w:pStyle w:val="SingleTxtG"/>
        <w:ind w:firstLine="567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D</w:t>
      </w:r>
      <w:r w:rsidR="00443543" w:rsidRPr="000741F4">
        <w:rPr>
          <w:lang w:val="fr-FR"/>
        </w:rPr>
        <w:t>onnées</w:t>
      </w:r>
      <w:r w:rsidR="00443543">
        <w:rPr>
          <w:lang w:val="fr-FR"/>
        </w:rPr>
        <w:t xml:space="preserve"> statistiques (ventilées par ré</w:t>
      </w:r>
      <w:r w:rsidR="00443543" w:rsidRPr="000741F4">
        <w:rPr>
          <w:lang w:val="fr-FR"/>
        </w:rPr>
        <w:t xml:space="preserve">gion/origine ethnique des demandeurs) sur le nombre de demandes de </w:t>
      </w:r>
      <w:r w:rsidR="00443543" w:rsidRPr="000741F4">
        <w:rPr>
          <w:i/>
          <w:lang w:val="fr-FR"/>
        </w:rPr>
        <w:t>propiska</w:t>
      </w:r>
      <w:r w:rsidR="00443543" w:rsidRPr="000741F4">
        <w:rPr>
          <w:lang w:val="fr-FR"/>
        </w:rPr>
        <w:t xml:space="preserve"> et la suite qui leur est donnée dans le contexte du paragraphe i) de l</w:t>
      </w:r>
      <w:r>
        <w:rPr>
          <w:lang w:val="fr-FR"/>
        </w:rPr>
        <w:t>’</w:t>
      </w:r>
      <w:r w:rsidR="00443543" w:rsidRPr="000741F4">
        <w:rPr>
          <w:lang w:val="fr-FR"/>
        </w:rPr>
        <w:t>arti</w:t>
      </w:r>
      <w:r w:rsidR="00135005">
        <w:rPr>
          <w:lang w:val="fr-FR"/>
        </w:rPr>
        <w:t>cle 5 de la Convention (CERD/C/</w:t>
      </w:r>
      <w:r w:rsidR="00443543" w:rsidRPr="000741F4">
        <w:rPr>
          <w:lang w:val="fr-FR"/>
        </w:rPr>
        <w:t>UZB/CO/5, par</w:t>
      </w:r>
      <w:r>
        <w:rPr>
          <w:lang w:val="fr-FR"/>
        </w:rPr>
        <w:t>.</w:t>
      </w:r>
      <w:r w:rsidR="00BE25DF">
        <w:rPr>
          <w:lang w:val="fr-FR"/>
        </w:rPr>
        <w:t> </w:t>
      </w:r>
      <w:r w:rsidR="00443543" w:rsidRPr="000741F4">
        <w:rPr>
          <w:lang w:val="fr-FR"/>
        </w:rPr>
        <w:t>16, CERD/C/UZB/6-7, par.</w:t>
      </w:r>
      <w:r w:rsidR="00BE25DF">
        <w:rPr>
          <w:lang w:val="fr-FR"/>
        </w:rPr>
        <w:t> </w:t>
      </w:r>
      <w:r>
        <w:rPr>
          <w:lang w:val="fr-FR"/>
        </w:rPr>
        <w:t xml:space="preserve">363 à </w:t>
      </w:r>
      <w:r w:rsidR="00443543" w:rsidRPr="000741F4">
        <w:rPr>
          <w:lang w:val="fr-FR"/>
        </w:rPr>
        <w:t>365).</w:t>
      </w:r>
    </w:p>
    <w:p w:rsidR="00443543" w:rsidRPr="000741F4" w:rsidRDefault="00443543" w:rsidP="00443543">
      <w:pPr>
        <w:pStyle w:val="H23G"/>
        <w:rPr>
          <w:lang w:val="fr-FR"/>
        </w:rPr>
      </w:pPr>
      <w:r>
        <w:rPr>
          <w:lang w:val="fr-FR"/>
        </w:rPr>
        <w:tab/>
      </w:r>
      <w:r w:rsidRPr="000741F4">
        <w:rPr>
          <w:lang w:val="fr-FR"/>
        </w:rPr>
        <w:t>4.</w:t>
      </w:r>
      <w:r w:rsidRPr="000741F4">
        <w:rPr>
          <w:lang w:val="fr-FR"/>
        </w:rPr>
        <w:tab/>
        <w:t>Situation des non-ressortissants, y compris des demandeurs d</w:t>
      </w:r>
      <w:r w:rsidR="00487471">
        <w:rPr>
          <w:lang w:val="fr-FR"/>
        </w:rPr>
        <w:t>’asile et des réfugiés (art. </w:t>
      </w:r>
      <w:r w:rsidRPr="000741F4">
        <w:rPr>
          <w:lang w:val="fr-FR"/>
        </w:rPr>
        <w:t>5)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a)</w:t>
      </w:r>
      <w:r w:rsidRPr="000741F4">
        <w:rPr>
          <w:lang w:val="fr-FR"/>
        </w:rPr>
        <w:tab/>
        <w:t>Progrès accomplis dans l</w:t>
      </w:r>
      <w:r w:rsidR="00487471">
        <w:rPr>
          <w:lang w:val="fr-FR"/>
        </w:rPr>
        <w:t>’</w:t>
      </w:r>
      <w:r w:rsidRPr="000741F4">
        <w:rPr>
          <w:lang w:val="fr-FR"/>
        </w:rPr>
        <w:t>établissement d</w:t>
      </w:r>
      <w:r w:rsidR="00487471">
        <w:rPr>
          <w:lang w:val="fr-FR"/>
        </w:rPr>
        <w:t>’</w:t>
      </w:r>
      <w:r>
        <w:rPr>
          <w:lang w:val="fr-FR"/>
        </w:rPr>
        <w:t>un cadre lé</w:t>
      </w:r>
      <w:r w:rsidRPr="000741F4">
        <w:rPr>
          <w:lang w:val="fr-FR"/>
        </w:rPr>
        <w:t>gislatif pour la protection des réfugiés, en particulier dans le contexte du paragraphe b) de l</w:t>
      </w:r>
      <w:r w:rsidR="00487471">
        <w:rPr>
          <w:lang w:val="fr-FR"/>
        </w:rPr>
        <w:t>’</w:t>
      </w:r>
      <w:r w:rsidRPr="000741F4">
        <w:rPr>
          <w:lang w:val="fr-FR"/>
        </w:rPr>
        <w:t>article 5 de la Convention (CERD/C/UZB/CO/5, par</w:t>
      </w:r>
      <w:r w:rsidR="00487471">
        <w:rPr>
          <w:lang w:val="fr-FR"/>
        </w:rPr>
        <w:t>.</w:t>
      </w:r>
      <w:r w:rsidR="00BE25DF">
        <w:rPr>
          <w:lang w:val="fr-FR"/>
        </w:rPr>
        <w:t> </w:t>
      </w:r>
      <w:r w:rsidR="00135005">
        <w:rPr>
          <w:lang w:val="fr-FR"/>
        </w:rPr>
        <w:t>14).</w:t>
      </w:r>
    </w:p>
    <w:p w:rsidR="00443543" w:rsidRPr="000741F4" w:rsidRDefault="00443543" w:rsidP="00443543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b)</w:t>
      </w:r>
      <w:r w:rsidRPr="000741F4">
        <w:rPr>
          <w:lang w:val="fr-FR"/>
        </w:rPr>
        <w:tab/>
        <w:t>Informations sur la procédure d</w:t>
      </w:r>
      <w:r w:rsidR="00487471">
        <w:rPr>
          <w:lang w:val="fr-FR"/>
        </w:rPr>
        <w:t>’</w:t>
      </w:r>
      <w:r w:rsidRPr="000741F4">
        <w:rPr>
          <w:lang w:val="fr-FR"/>
        </w:rPr>
        <w:t>examen des cas d</w:t>
      </w:r>
      <w:r w:rsidR="00487471">
        <w:rPr>
          <w:lang w:val="fr-FR"/>
        </w:rPr>
        <w:t>’</w:t>
      </w:r>
      <w:r w:rsidRPr="000741F4">
        <w:rPr>
          <w:lang w:val="fr-FR"/>
        </w:rPr>
        <w:t xml:space="preserve">extradition visant à garantir que des personnes ne </w:t>
      </w:r>
      <w:r w:rsidR="00487471">
        <w:rPr>
          <w:lang w:val="fr-FR"/>
        </w:rPr>
        <w:t xml:space="preserve">seront </w:t>
      </w:r>
      <w:r w:rsidRPr="000741F4">
        <w:rPr>
          <w:lang w:val="fr-FR"/>
        </w:rPr>
        <w:t>pas ren</w:t>
      </w:r>
      <w:r w:rsidR="00135005">
        <w:rPr>
          <w:lang w:val="fr-FR"/>
        </w:rPr>
        <w:t>voyées dans un État où leur vie</w:t>
      </w:r>
      <w:r w:rsidRPr="000741F4">
        <w:rPr>
          <w:lang w:val="fr-FR"/>
        </w:rPr>
        <w:t>/santé serait en danger (CERD/C/UZ</w:t>
      </w:r>
      <w:r w:rsidR="00135005">
        <w:rPr>
          <w:lang w:val="fr-FR"/>
        </w:rPr>
        <w:t>B/</w:t>
      </w:r>
      <w:r w:rsidRPr="000741F4">
        <w:rPr>
          <w:lang w:val="fr-FR"/>
        </w:rPr>
        <w:t>CO/5, par</w:t>
      </w:r>
      <w:r w:rsidR="00487471">
        <w:rPr>
          <w:lang w:val="fr-FR"/>
        </w:rPr>
        <w:t>.</w:t>
      </w:r>
      <w:r w:rsidR="00BE25DF">
        <w:rPr>
          <w:lang w:val="fr-FR"/>
        </w:rPr>
        <w:t> </w:t>
      </w:r>
      <w:r w:rsidRPr="000741F4">
        <w:rPr>
          <w:lang w:val="fr-FR"/>
        </w:rPr>
        <w:t>14, CERD/C/UZB/CO/5/Add.1, par</w:t>
      </w:r>
      <w:r w:rsidR="00487471">
        <w:rPr>
          <w:lang w:val="fr-FR"/>
        </w:rPr>
        <w:t>.</w:t>
      </w:r>
      <w:r w:rsidR="00BE25DF">
        <w:rPr>
          <w:lang w:val="fr-FR"/>
        </w:rPr>
        <w:t> </w:t>
      </w:r>
      <w:r w:rsidRPr="000741F4">
        <w:rPr>
          <w:lang w:val="fr-FR"/>
        </w:rPr>
        <w:t>14).</w:t>
      </w:r>
    </w:p>
    <w:p w:rsidR="00443543" w:rsidRPr="000741F4" w:rsidRDefault="00487471" w:rsidP="00487471">
      <w:pPr>
        <w:pStyle w:val="H23G"/>
      </w:pPr>
      <w:r>
        <w:tab/>
      </w:r>
      <w:r w:rsidR="00443543" w:rsidRPr="000741F4">
        <w:t>5.</w:t>
      </w:r>
      <w:r w:rsidR="00443543" w:rsidRPr="000741F4">
        <w:tab/>
        <w:t>Situation des R</w:t>
      </w:r>
      <w:r>
        <w:t>oms (art.</w:t>
      </w:r>
      <w:r w:rsidR="00443543" w:rsidRPr="000741F4">
        <w:t xml:space="preserve"> 5)</w:t>
      </w:r>
    </w:p>
    <w:p w:rsidR="00443543" w:rsidRPr="000741F4" w:rsidRDefault="00443543" w:rsidP="00487471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a)</w:t>
      </w:r>
      <w:r w:rsidRPr="000741F4">
        <w:rPr>
          <w:lang w:val="fr-FR"/>
        </w:rPr>
        <w:tab/>
        <w:t>Informations sur la situation des Roms, et sur toute stratégie que l</w:t>
      </w:r>
      <w:r w:rsidR="00487471">
        <w:rPr>
          <w:lang w:val="fr-FR"/>
        </w:rPr>
        <w:t>’État p</w:t>
      </w:r>
      <w:r w:rsidRPr="000741F4">
        <w:rPr>
          <w:lang w:val="fr-FR"/>
        </w:rPr>
        <w:t>artie a pu élaborer afin de protéger le</w:t>
      </w:r>
      <w:r w:rsidR="00135005">
        <w:rPr>
          <w:lang w:val="fr-FR"/>
        </w:rPr>
        <w:t>s Roms contre la discrimination.</w:t>
      </w:r>
    </w:p>
    <w:p w:rsidR="00443543" w:rsidRPr="000741F4" w:rsidRDefault="00443543" w:rsidP="00487471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b)</w:t>
      </w:r>
      <w:r w:rsidRPr="000741F4">
        <w:rPr>
          <w:lang w:val="fr-FR"/>
        </w:rPr>
        <w:tab/>
        <w:t xml:space="preserve">Facteurs </w:t>
      </w:r>
      <w:r w:rsidR="00487471">
        <w:rPr>
          <w:lang w:val="fr-FR"/>
        </w:rPr>
        <w:t xml:space="preserve">amenant de nombreux Roms à déclarer leur appartenance </w:t>
      </w:r>
      <w:r w:rsidRPr="000741F4">
        <w:rPr>
          <w:lang w:val="fr-FR"/>
        </w:rPr>
        <w:t>à d</w:t>
      </w:r>
      <w:r w:rsidR="00487471">
        <w:rPr>
          <w:lang w:val="fr-FR"/>
        </w:rPr>
        <w:t>’</w:t>
      </w:r>
      <w:r w:rsidRPr="000741F4">
        <w:rPr>
          <w:lang w:val="fr-FR"/>
        </w:rPr>
        <w:t>autres groupes ethniques (CERD/C/UZB/6-7, par.</w:t>
      </w:r>
      <w:r w:rsidR="00BE25DF">
        <w:rPr>
          <w:lang w:val="fr-FR"/>
        </w:rPr>
        <w:t> </w:t>
      </w:r>
      <w:r w:rsidR="00135005">
        <w:rPr>
          <w:lang w:val="fr-FR"/>
        </w:rPr>
        <w:t>297).</w:t>
      </w:r>
    </w:p>
    <w:p w:rsidR="00443543" w:rsidRDefault="00443543" w:rsidP="00487471">
      <w:pPr>
        <w:pStyle w:val="SingleTxtG"/>
        <w:ind w:firstLine="567"/>
        <w:rPr>
          <w:lang w:val="fr-FR"/>
        </w:rPr>
      </w:pPr>
      <w:r w:rsidRPr="000741F4">
        <w:rPr>
          <w:lang w:val="fr-FR"/>
        </w:rPr>
        <w:t>c)</w:t>
      </w:r>
      <w:r w:rsidRPr="000741F4">
        <w:rPr>
          <w:lang w:val="fr-FR"/>
        </w:rPr>
        <w:tab/>
        <w:t>Informations sur le point de savoir si le programme de formation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des fonctionnaires et le programme de développement de l</w:t>
      </w:r>
      <w:r w:rsidR="00487471">
        <w:rPr>
          <w:lang w:val="fr-FR"/>
        </w:rPr>
        <w:t>’</w:t>
      </w:r>
      <w:r w:rsidRPr="000741F4">
        <w:rPr>
          <w:lang w:val="fr-FR"/>
        </w:rPr>
        <w:t>enseignement scolaire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>à l</w:t>
      </w:r>
      <w:r w:rsidR="00487471">
        <w:rPr>
          <w:lang w:val="fr-FR"/>
        </w:rPr>
        <w:t>’</w:t>
      </w:r>
      <w:r w:rsidRPr="000741F4">
        <w:rPr>
          <w:lang w:val="fr-FR"/>
        </w:rPr>
        <w:t>échelle nationale contiennent des dispositio</w:t>
      </w:r>
      <w:r w:rsidR="00487471">
        <w:rPr>
          <w:lang w:val="fr-FR"/>
        </w:rPr>
        <w:t>ns spécifiques pour remédier au</w:t>
      </w:r>
      <w:r w:rsidRPr="000741F4">
        <w:rPr>
          <w:lang w:val="fr-FR"/>
        </w:rPr>
        <w:t xml:space="preserve"> niv</w:t>
      </w:r>
      <w:r w:rsidR="00487471">
        <w:rPr>
          <w:lang w:val="fr-FR"/>
        </w:rPr>
        <w:t>eau</w:t>
      </w:r>
      <w:r w:rsidRPr="000741F4">
        <w:rPr>
          <w:lang w:val="fr-FR"/>
        </w:rPr>
        <w:t xml:space="preserve"> d</w:t>
      </w:r>
      <w:r w:rsidR="00487471">
        <w:rPr>
          <w:lang w:val="fr-FR"/>
        </w:rPr>
        <w:t>’éducation des Roms, qui semble</w:t>
      </w:r>
      <w:r w:rsidRPr="000741F4">
        <w:rPr>
          <w:lang w:val="fr-FR"/>
        </w:rPr>
        <w:t xml:space="preserve"> être nettement</w:t>
      </w:r>
      <w:r w:rsidR="00487471">
        <w:rPr>
          <w:lang w:val="fr-FR"/>
        </w:rPr>
        <w:t xml:space="preserve"> </w:t>
      </w:r>
      <w:r w:rsidRPr="000741F4">
        <w:rPr>
          <w:lang w:val="fr-FR"/>
        </w:rPr>
        <w:t xml:space="preserve">plus </w:t>
      </w:r>
      <w:r w:rsidR="00487471">
        <w:rPr>
          <w:lang w:val="fr-FR"/>
        </w:rPr>
        <w:t xml:space="preserve">bas </w:t>
      </w:r>
      <w:r w:rsidRPr="000741F4">
        <w:rPr>
          <w:lang w:val="fr-FR"/>
        </w:rPr>
        <w:t xml:space="preserve">que la moyenne nationale (CERD/C/UZB/CO/5, </w:t>
      </w:r>
      <w:r w:rsidR="00487471">
        <w:rPr>
          <w:lang w:val="fr-FR"/>
        </w:rPr>
        <w:t>par.</w:t>
      </w:r>
      <w:r w:rsidR="00BE25DF">
        <w:rPr>
          <w:lang w:val="fr-FR"/>
        </w:rPr>
        <w:t> </w:t>
      </w:r>
      <w:r w:rsidR="00487471">
        <w:rPr>
          <w:lang w:val="fr-FR"/>
        </w:rPr>
        <w:t>17,</w:t>
      </w:r>
      <w:r w:rsidR="00BE25DF">
        <w:rPr>
          <w:lang w:val="fr-FR"/>
        </w:rPr>
        <w:t xml:space="preserve"> CERD/C/UZB/6-7, par. </w:t>
      </w:r>
      <w:r w:rsidR="00487471">
        <w:rPr>
          <w:lang w:val="fr-FR"/>
        </w:rPr>
        <w:t xml:space="preserve">295 à </w:t>
      </w:r>
      <w:r w:rsidRPr="000741F4">
        <w:rPr>
          <w:lang w:val="fr-FR"/>
        </w:rPr>
        <w:t>302).</w:t>
      </w:r>
    </w:p>
    <w:p w:rsidR="00487471" w:rsidRPr="00487471" w:rsidRDefault="00487471" w:rsidP="0048747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7471" w:rsidRPr="00487471" w:rsidSect="004435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95" w:rsidRDefault="001B3195"/>
  </w:endnote>
  <w:endnote w:type="continuationSeparator" w:id="0">
    <w:p w:rsidR="001B3195" w:rsidRDefault="001B3195"/>
  </w:endnote>
  <w:endnote w:type="continuationNotice" w:id="1">
    <w:p w:rsidR="001B3195" w:rsidRDefault="001B3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3" w:rsidRPr="00443543" w:rsidRDefault="00443543" w:rsidP="00443543">
    <w:pPr>
      <w:pStyle w:val="Footer"/>
      <w:tabs>
        <w:tab w:val="right" w:pos="9638"/>
      </w:tabs>
    </w:pPr>
    <w:r w:rsidRPr="00443543">
      <w:rPr>
        <w:b/>
        <w:sz w:val="18"/>
      </w:rPr>
      <w:fldChar w:fldCharType="begin"/>
    </w:r>
    <w:r w:rsidRPr="00443543">
      <w:rPr>
        <w:b/>
        <w:sz w:val="18"/>
      </w:rPr>
      <w:instrText xml:space="preserve"> PAGE  \* MERGEFORMAT </w:instrText>
    </w:r>
    <w:r w:rsidRPr="00443543">
      <w:rPr>
        <w:b/>
        <w:sz w:val="18"/>
      </w:rPr>
      <w:fldChar w:fldCharType="separate"/>
    </w:r>
    <w:r w:rsidR="00BF01CC">
      <w:rPr>
        <w:b/>
        <w:noProof/>
        <w:sz w:val="18"/>
      </w:rPr>
      <w:t>2</w:t>
    </w:r>
    <w:r w:rsidRPr="00443543">
      <w:rPr>
        <w:b/>
        <w:sz w:val="18"/>
      </w:rPr>
      <w:fldChar w:fldCharType="end"/>
    </w:r>
    <w:r>
      <w:rPr>
        <w:b/>
        <w:sz w:val="18"/>
      </w:rPr>
      <w:tab/>
    </w:r>
    <w:r>
      <w:t>GE.10-43637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3" w:rsidRPr="00443543" w:rsidRDefault="00443543" w:rsidP="00443543">
    <w:pPr>
      <w:pStyle w:val="Footer"/>
      <w:tabs>
        <w:tab w:val="right" w:pos="9638"/>
      </w:tabs>
      <w:rPr>
        <w:b/>
        <w:sz w:val="18"/>
      </w:rPr>
    </w:pPr>
    <w:r>
      <w:t>GE.10-43637</w:t>
    </w:r>
    <w:r>
      <w:tab/>
    </w:r>
    <w:r w:rsidRPr="00443543">
      <w:rPr>
        <w:b/>
        <w:sz w:val="18"/>
      </w:rPr>
      <w:fldChar w:fldCharType="begin"/>
    </w:r>
    <w:r w:rsidRPr="00443543">
      <w:rPr>
        <w:b/>
        <w:sz w:val="18"/>
      </w:rPr>
      <w:instrText xml:space="preserve"> PAGE  \* MERGEFORMAT </w:instrText>
    </w:r>
    <w:r w:rsidRPr="0044354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435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F" w:rsidRDefault="00443543">
    <w:pPr>
      <w:pStyle w:val="Footer"/>
    </w:pPr>
    <w:r>
      <w:rPr>
        <w:sz w:val="20"/>
      </w:rPr>
      <w:t>GE.10-43637</w:t>
    </w:r>
    <w:r w:rsidR="00773D1F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 w:rsidR="00487471">
      <w:rPr>
        <w:sz w:val="20"/>
      </w:rPr>
      <w:t xml:space="preserve"> </w:t>
    </w:r>
    <w:r>
      <w:rPr>
        <w:sz w:val="20"/>
      </w:rPr>
      <w:t>(F)</w:t>
    </w:r>
    <w:r w:rsidR="00487471">
      <w:rPr>
        <w:sz w:val="20"/>
      </w:rPr>
      <w:t xml:space="preserve">    220710    </w:t>
    </w:r>
    <w:r w:rsidR="00314B84">
      <w:rPr>
        <w:sz w:val="20"/>
      </w:rPr>
      <w:t>230710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95" w:rsidRPr="00D27D5E" w:rsidRDefault="001B319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3195" w:rsidRPr="00AA7FE7" w:rsidRDefault="001B3195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1B3195" w:rsidRDefault="001B3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3" w:rsidRPr="00443543" w:rsidRDefault="00443543">
    <w:pPr>
      <w:pStyle w:val="Header"/>
    </w:pPr>
    <w:r>
      <w:t>CERD/C/UZB/Q/6-7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43" w:rsidRPr="00443543" w:rsidRDefault="00443543" w:rsidP="00443543">
    <w:pPr>
      <w:pStyle w:val="Header"/>
      <w:jc w:val="right"/>
    </w:pPr>
    <w:r>
      <w:t>CERD/C/UZB/Q/6-7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241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D24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463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F86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87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629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5C9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28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126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0F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D1F"/>
    <w:rsid w:val="00016AC5"/>
    <w:rsid w:val="00054609"/>
    <w:rsid w:val="000A6F55"/>
    <w:rsid w:val="000E7579"/>
    <w:rsid w:val="000F41F2"/>
    <w:rsid w:val="001231AD"/>
    <w:rsid w:val="00135005"/>
    <w:rsid w:val="001450E6"/>
    <w:rsid w:val="00150465"/>
    <w:rsid w:val="00160540"/>
    <w:rsid w:val="00192EEB"/>
    <w:rsid w:val="00197832"/>
    <w:rsid w:val="001A20FB"/>
    <w:rsid w:val="001A2918"/>
    <w:rsid w:val="001B3195"/>
    <w:rsid w:val="001B3867"/>
    <w:rsid w:val="001D72C5"/>
    <w:rsid w:val="001D7F8A"/>
    <w:rsid w:val="001E3FEB"/>
    <w:rsid w:val="001E4A02"/>
    <w:rsid w:val="00225A8C"/>
    <w:rsid w:val="002626D4"/>
    <w:rsid w:val="002659F1"/>
    <w:rsid w:val="00265CD7"/>
    <w:rsid w:val="00287E79"/>
    <w:rsid w:val="002928F9"/>
    <w:rsid w:val="002A5D07"/>
    <w:rsid w:val="002D3F03"/>
    <w:rsid w:val="002E0D40"/>
    <w:rsid w:val="002E5A65"/>
    <w:rsid w:val="002E5B0C"/>
    <w:rsid w:val="00300D06"/>
    <w:rsid w:val="003016B7"/>
    <w:rsid w:val="00314B84"/>
    <w:rsid w:val="003515AA"/>
    <w:rsid w:val="00374106"/>
    <w:rsid w:val="003976D5"/>
    <w:rsid w:val="003D6C68"/>
    <w:rsid w:val="004159D0"/>
    <w:rsid w:val="00443543"/>
    <w:rsid w:val="00472145"/>
    <w:rsid w:val="00487471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73D1F"/>
    <w:rsid w:val="0078670C"/>
    <w:rsid w:val="007F55CB"/>
    <w:rsid w:val="00844750"/>
    <w:rsid w:val="008B44C4"/>
    <w:rsid w:val="008D2259"/>
    <w:rsid w:val="008E7FAE"/>
    <w:rsid w:val="00911BF7"/>
    <w:rsid w:val="00923302"/>
    <w:rsid w:val="00977EC8"/>
    <w:rsid w:val="009C17F5"/>
    <w:rsid w:val="009D3A8C"/>
    <w:rsid w:val="009E7956"/>
    <w:rsid w:val="00A2492E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D56F3"/>
    <w:rsid w:val="00BE25DF"/>
    <w:rsid w:val="00BE7FF9"/>
    <w:rsid w:val="00BF01CC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7345"/>
    <w:rsid w:val="00DC156C"/>
    <w:rsid w:val="00DE6D90"/>
    <w:rsid w:val="00DF002F"/>
    <w:rsid w:val="00E0244D"/>
    <w:rsid w:val="00E42D5E"/>
    <w:rsid w:val="00E81E94"/>
    <w:rsid w:val="00E82607"/>
    <w:rsid w:val="00EC5A42"/>
    <w:rsid w:val="00F63BC6"/>
    <w:rsid w:val="00FA5A79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rsid w:val="00540389"/>
    <w:rPr>
      <w:color w:val="auto"/>
      <w:u w:val="none"/>
    </w:rPr>
  </w:style>
  <w:style w:type="character" w:styleId="FollowedHyperlink">
    <w:name w:val="FollowedHyperlink"/>
    <w:rsid w:val="00540389"/>
    <w:rPr>
      <w:color w:val="auto"/>
      <w:u w:val="none"/>
    </w:rPr>
  </w:style>
  <w:style w:type="table" w:styleId="TableGrid">
    <w:name w:val="Table Grid"/>
    <w:basedOn w:val="TableNormal"/>
    <w:rsid w:val="0044354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</Pages>
  <Words>690</Words>
  <Characters>3956</Characters>
  <Application>Microsoft Office Word</Application>
  <DocSecurity>4</DocSecurity>
  <Lines>77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CERD/C/UZB/Q/6-7</vt:lpstr>
    </vt:vector>
  </TitlesOfParts>
  <Company>CSD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CERD/C/UZB/Q/6-7</dc:title>
  <dc:subject>F</dc:subject>
  <dc:creator>AVIX</dc:creator>
  <cp:keywords/>
  <dc:description/>
  <cp:lastModifiedBy>Moret-Var</cp:lastModifiedBy>
  <cp:revision>2</cp:revision>
  <cp:lastPrinted>2010-07-23T06:56:00Z</cp:lastPrinted>
  <dcterms:created xsi:type="dcterms:W3CDTF">2010-07-23T06:57:00Z</dcterms:created>
  <dcterms:modified xsi:type="dcterms:W3CDTF">2010-07-23T06:57:00Z</dcterms:modified>
</cp:coreProperties>
</file>