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13" w:rsidRDefault="00227913" w:rsidP="00227913">
      <w:pPr>
        <w:spacing w:line="240" w:lineRule="auto"/>
        <w:jc w:val="left"/>
        <w:rPr>
          <w:szCs w:val="6"/>
        </w:rPr>
        <w:sectPr w:rsidR="00227913" w:rsidSect="0022791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227913" w:rsidRDefault="00227913" w:rsidP="00227913">
      <w:pPr>
        <w:pStyle w:val="H1"/>
        <w:rPr>
          <w:rtl/>
        </w:rPr>
      </w:pPr>
      <w:r>
        <w:rPr>
          <w:rFonts w:hint="cs"/>
          <w:rtl/>
        </w:rPr>
        <w:lastRenderedPageBreak/>
        <w:t>اللجنة</w:t>
      </w:r>
      <w:r>
        <w:rPr>
          <w:rtl/>
        </w:rPr>
        <w:t xml:space="preserve"> المعنية بحقوق الإنسان</w:t>
      </w:r>
    </w:p>
    <w:p w:rsidR="00227913" w:rsidRPr="005E4791" w:rsidRDefault="00227913" w:rsidP="005E4791">
      <w:pPr>
        <w:pStyle w:val="H1"/>
        <w:spacing w:line="120" w:lineRule="exact"/>
        <w:rPr>
          <w:sz w:val="10"/>
          <w:rtl/>
        </w:rPr>
      </w:pPr>
    </w:p>
    <w:p w:rsidR="005E4791" w:rsidRPr="005E4791" w:rsidRDefault="005E4791" w:rsidP="005E4791">
      <w:pPr>
        <w:spacing w:line="120" w:lineRule="exact"/>
        <w:rPr>
          <w:sz w:val="10"/>
          <w:rtl/>
        </w:rPr>
      </w:pPr>
    </w:p>
    <w:p w:rsidR="005E4791" w:rsidRPr="005E4791" w:rsidRDefault="005E4791" w:rsidP="005E4791">
      <w:pPr>
        <w:spacing w:line="120" w:lineRule="exact"/>
        <w:rPr>
          <w:sz w:val="10"/>
          <w:rtl/>
        </w:rPr>
      </w:pPr>
    </w:p>
    <w:p w:rsidR="00344A50" w:rsidRPr="00B1715B" w:rsidRDefault="00344A50" w:rsidP="00344A50">
      <w:pPr>
        <w:framePr w:w="9792" w:h="432" w:hSpace="187" w:wrap="around" w:hAnchor="page" w:x="1196" w:yAlign="bottom"/>
        <w:spacing w:line="240" w:lineRule="auto"/>
        <w:rPr>
          <w:szCs w:val="10"/>
          <w:rtl/>
        </w:rPr>
      </w:pPr>
    </w:p>
    <w:p w:rsidR="00344A50" w:rsidRPr="00B1715B" w:rsidRDefault="00344A50" w:rsidP="00344A50">
      <w:pPr>
        <w:framePr w:w="9792" w:h="432" w:hSpace="187" w:wrap="around" w:hAnchor="page" w:x="1196" w:yAlign="bottom"/>
        <w:spacing w:line="240" w:lineRule="auto"/>
        <w:rPr>
          <w:szCs w:val="6"/>
          <w:rtl/>
        </w:rPr>
      </w:pPr>
      <w:r w:rsidRPr="00B1715B">
        <w:rPr>
          <w:noProof/>
          <w:w w:val="100"/>
          <w:szCs w:val="6"/>
          <w:rtl/>
        </w:rPr>
        <mc:AlternateContent>
          <mc:Choice Requires="wps">
            <w:drawing>
              <wp:anchor distT="0" distB="0" distL="114300" distR="114300" simplePos="0" relativeHeight="251659264" behindDoc="0" locked="0" layoutInCell="1" allowOverlap="1" wp14:anchorId="546D87BF" wp14:editId="08FD808F">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344A50" w:rsidRPr="00B1715B" w:rsidRDefault="00344A50" w:rsidP="00BD384E">
      <w:pPr>
        <w:framePr w:w="9792" w:h="432" w:hSpace="187" w:wrap="around" w:hAnchor="page" w:x="1196" w:yAlign="bottom"/>
        <w:tabs>
          <w:tab w:val="right" w:pos="1092"/>
          <w:tab w:val="left" w:pos="1260"/>
        </w:tabs>
        <w:spacing w:after="80" w:line="300" w:lineRule="exact"/>
        <w:ind w:left="1176" w:right="1267" w:hanging="547"/>
        <w:rPr>
          <w:sz w:val="17"/>
          <w:szCs w:val="26"/>
        </w:rPr>
      </w:pPr>
      <w:r>
        <w:rPr>
          <w:sz w:val="17"/>
          <w:szCs w:val="26"/>
          <w:rtl/>
        </w:rPr>
        <w:tab/>
      </w:r>
      <w:r>
        <w:rPr>
          <w:rFonts w:hint="cs"/>
          <w:sz w:val="17"/>
          <w:szCs w:val="26"/>
          <w:rtl/>
        </w:rPr>
        <w:t>*</w:t>
      </w:r>
      <w:r>
        <w:rPr>
          <w:sz w:val="17"/>
          <w:szCs w:val="26"/>
          <w:rtl/>
        </w:rPr>
        <w:tab/>
      </w:r>
      <w:r w:rsidR="00BD384E">
        <w:rPr>
          <w:rFonts w:hint="cs"/>
          <w:sz w:val="17"/>
          <w:szCs w:val="26"/>
          <w:rtl/>
        </w:rPr>
        <w:t>اعتمدتها اللجنة في دورتها 114 (29</w:t>
      </w:r>
      <w:r>
        <w:rPr>
          <w:rFonts w:hint="cs"/>
          <w:sz w:val="17"/>
          <w:szCs w:val="26"/>
          <w:rtl/>
        </w:rPr>
        <w:t xml:space="preserve"> حزيران/يونيه - 24 تموز/يوليه 2015).</w:t>
      </w:r>
    </w:p>
    <w:p w:rsidR="00FD2770" w:rsidRDefault="00FD2770" w:rsidP="00FE501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0"/>
          <w:szCs w:val="30"/>
          <w:rtl/>
        </w:rPr>
      </w:pPr>
      <w:r w:rsidRPr="00FD2770">
        <w:rPr>
          <w:rFonts w:hint="cs"/>
          <w:rtl/>
        </w:rPr>
        <w:tab/>
      </w:r>
      <w:r w:rsidRPr="00FD2770">
        <w:rPr>
          <w:rFonts w:hint="cs"/>
          <w:rtl/>
        </w:rPr>
        <w:tab/>
        <w:t>الملاحظات الختامية بشأن التقرير الدوري الرابع لأوزبكستان</w:t>
      </w:r>
      <w:r w:rsidR="00F2351A" w:rsidRPr="00F2351A">
        <w:rPr>
          <w:rFonts w:hint="cs"/>
          <w:sz w:val="20"/>
          <w:szCs w:val="30"/>
          <w:rtl/>
        </w:rPr>
        <w:t>*</w:t>
      </w:r>
    </w:p>
    <w:p w:rsidR="00FE5014" w:rsidRPr="00FE5014" w:rsidRDefault="00FE5014" w:rsidP="00FE5014">
      <w:pPr>
        <w:pStyle w:val="SingleTxt"/>
        <w:spacing w:after="0" w:line="120" w:lineRule="exact"/>
        <w:rPr>
          <w:sz w:val="10"/>
          <w:rtl/>
        </w:rPr>
      </w:pPr>
    </w:p>
    <w:p w:rsidR="00FE5014" w:rsidRPr="00FE5014" w:rsidRDefault="00FE5014" w:rsidP="00FE5014">
      <w:pPr>
        <w:pStyle w:val="SingleTxt"/>
        <w:spacing w:after="0" w:line="120" w:lineRule="exact"/>
        <w:rPr>
          <w:sz w:val="10"/>
          <w:rtl/>
        </w:rPr>
      </w:pPr>
    </w:p>
    <w:p w:rsidR="00FD2770" w:rsidRPr="00FD2770" w:rsidRDefault="00FD2770" w:rsidP="00CB296D">
      <w:pPr>
        <w:pStyle w:val="SingleTxt"/>
        <w:rPr>
          <w:rtl/>
        </w:rPr>
      </w:pPr>
      <w:r w:rsidRPr="00FD2770">
        <w:rPr>
          <w:rFonts w:hint="cs"/>
          <w:rtl/>
        </w:rPr>
        <w:t>1-</w:t>
      </w:r>
      <w:r w:rsidRPr="00FD2770">
        <w:rPr>
          <w:rFonts w:hint="cs"/>
          <w:rtl/>
        </w:rPr>
        <w:tab/>
        <w:t xml:space="preserve">نظرت اللجنة في التقرير الدوري الرابع لأوزبكستان </w:t>
      </w:r>
      <w:r w:rsidRPr="00FD2770">
        <w:t>(CCPR/C/UZB/4)</w:t>
      </w:r>
      <w:r w:rsidRPr="00FD2770">
        <w:rPr>
          <w:rFonts w:hint="cs"/>
          <w:rtl/>
        </w:rPr>
        <w:t>، في</w:t>
      </w:r>
      <w:r w:rsidR="00434650">
        <w:rPr>
          <w:rFonts w:hint="cs"/>
          <w:rtl/>
        </w:rPr>
        <w:t xml:space="preserve"> </w:t>
      </w:r>
      <w:r w:rsidR="00CB296D">
        <w:rPr>
          <w:rFonts w:hint="cs"/>
          <w:rtl/>
        </w:rPr>
        <w:t xml:space="preserve">                </w:t>
      </w:r>
      <w:r w:rsidRPr="00FD2770">
        <w:rPr>
          <w:rFonts w:hint="cs"/>
          <w:rtl/>
        </w:rPr>
        <w:t>جلستيها 3178 و3179 (</w:t>
      </w:r>
      <w:r w:rsidRPr="00FD2770">
        <w:t>CCPR/C/SR.3178</w:t>
      </w:r>
      <w:r w:rsidRPr="00FD2770">
        <w:rPr>
          <w:rFonts w:hint="cs"/>
          <w:rtl/>
        </w:rPr>
        <w:t xml:space="preserve"> و</w:t>
      </w:r>
      <w:r w:rsidR="00FE5014">
        <w:t>SR.3</w:t>
      </w:r>
      <w:r w:rsidRPr="00FD2770">
        <w:t>179</w:t>
      </w:r>
      <w:r w:rsidRPr="00FD2770">
        <w:rPr>
          <w:rFonts w:hint="cs"/>
          <w:rtl/>
        </w:rPr>
        <w:t>)، المعقودتين يومي 8 و9 تموز/</w:t>
      </w:r>
      <w:r w:rsidR="00CB296D">
        <w:rPr>
          <w:rFonts w:hint="cs"/>
          <w:rtl/>
        </w:rPr>
        <w:t xml:space="preserve">           </w:t>
      </w:r>
      <w:r w:rsidRPr="00FD2770">
        <w:rPr>
          <w:rFonts w:hint="cs"/>
          <w:rtl/>
        </w:rPr>
        <w:t xml:space="preserve">يوليه 2015. واعتمدت في جلستها 3192، المعقودة في 20 تموز/يوليه 2015، الملاحظات </w:t>
      </w:r>
      <w:r w:rsidR="00CB296D">
        <w:rPr>
          <w:rFonts w:hint="cs"/>
          <w:rtl/>
        </w:rPr>
        <w:t xml:space="preserve"> </w:t>
      </w:r>
      <w:r w:rsidRPr="00FD2770">
        <w:rPr>
          <w:rFonts w:hint="cs"/>
          <w:rtl/>
        </w:rPr>
        <w:t>الختامية التالية.</w:t>
      </w:r>
    </w:p>
    <w:p w:rsidR="00616DF5" w:rsidRPr="00616DF5" w:rsidRDefault="00616DF5" w:rsidP="00616DF5">
      <w:pPr>
        <w:pStyle w:val="SingleTxt"/>
        <w:spacing w:after="0" w:line="120" w:lineRule="exact"/>
        <w:rPr>
          <w:b/>
          <w:bCs/>
          <w:sz w:val="10"/>
          <w:szCs w:val="34"/>
          <w:rtl/>
        </w:rPr>
      </w:pPr>
    </w:p>
    <w:p w:rsidR="00616DF5" w:rsidRPr="00616DF5" w:rsidRDefault="00616DF5" w:rsidP="00616DF5">
      <w:pPr>
        <w:pStyle w:val="SingleTxt"/>
        <w:spacing w:after="0" w:line="120" w:lineRule="exact"/>
        <w:rPr>
          <w:b/>
          <w:bCs/>
          <w:sz w:val="10"/>
          <w:szCs w:val="34"/>
          <w:rtl/>
        </w:rPr>
      </w:pPr>
    </w:p>
    <w:p w:rsidR="00FD2770" w:rsidRDefault="00FD2770" w:rsidP="00616D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t>ألف-</w:t>
      </w:r>
      <w:r w:rsidRPr="00FD2770">
        <w:rPr>
          <w:rFonts w:hint="cs"/>
          <w:rtl/>
        </w:rPr>
        <w:tab/>
        <w:t>مقدمة</w:t>
      </w:r>
    </w:p>
    <w:p w:rsidR="00616DF5" w:rsidRPr="00616DF5" w:rsidRDefault="00616DF5" w:rsidP="00616DF5">
      <w:pPr>
        <w:pStyle w:val="SingleTxt"/>
        <w:spacing w:after="0" w:line="120" w:lineRule="exact"/>
        <w:rPr>
          <w:sz w:val="10"/>
          <w:rtl/>
        </w:rPr>
      </w:pPr>
    </w:p>
    <w:p w:rsidR="00FD2770" w:rsidRPr="00FD2770" w:rsidRDefault="00FD2770" w:rsidP="00434650">
      <w:pPr>
        <w:pStyle w:val="SingleTxt"/>
        <w:rPr>
          <w:rtl/>
        </w:rPr>
      </w:pPr>
      <w:r w:rsidRPr="00FD2770">
        <w:rPr>
          <w:rFonts w:hint="cs"/>
          <w:rtl/>
        </w:rPr>
        <w:t>2-</w:t>
      </w:r>
      <w:r w:rsidRPr="00FD2770">
        <w:rPr>
          <w:rFonts w:hint="cs"/>
          <w:rtl/>
        </w:rPr>
        <w:tab/>
        <w:t>ترحب اللجنة بتقديم التقرير الدوري الرابع لأوزبكستان في موعده وبالمعلومات المقدمة فيه. وتعرب عن تقديرها للفرصة المتاحة لها</w:t>
      </w:r>
      <w:r w:rsidR="00434650">
        <w:rPr>
          <w:rFonts w:hint="cs"/>
          <w:rtl/>
        </w:rPr>
        <w:t xml:space="preserve"> </w:t>
      </w:r>
      <w:r w:rsidRPr="00FD2770">
        <w:rPr>
          <w:rFonts w:hint="cs"/>
          <w:rtl/>
        </w:rPr>
        <w:t>لإجراء حوار بناء مع وفد الدولة الطرف بشأن التدابير التي اتخذتها الدولة الطرف</w:t>
      </w:r>
      <w:r w:rsidR="00434650">
        <w:rPr>
          <w:rFonts w:hint="cs"/>
          <w:rtl/>
        </w:rPr>
        <w:t xml:space="preserve"> </w:t>
      </w:r>
      <w:r w:rsidRPr="00FD2770">
        <w:rPr>
          <w:rFonts w:hint="cs"/>
          <w:rtl/>
        </w:rPr>
        <w:t>خلال الفترة التي يشملها التقرير لتنفيذ أحكام العهد.</w:t>
      </w:r>
      <w:r w:rsidR="00434650">
        <w:rPr>
          <w:rFonts w:hint="cs"/>
          <w:rtl/>
        </w:rPr>
        <w:t xml:space="preserve"> </w:t>
      </w:r>
      <w:r w:rsidRPr="00FD2770">
        <w:rPr>
          <w:rFonts w:hint="cs"/>
          <w:rtl/>
        </w:rPr>
        <w:t>وتعرب اللجنة</w:t>
      </w:r>
      <w:r w:rsidR="00434650">
        <w:rPr>
          <w:rFonts w:hint="cs"/>
          <w:rtl/>
        </w:rPr>
        <w:t xml:space="preserve"> </w:t>
      </w:r>
      <w:r w:rsidRPr="00FD2770">
        <w:rPr>
          <w:rFonts w:hint="cs"/>
          <w:rtl/>
        </w:rPr>
        <w:t>عن امتنانها</w:t>
      </w:r>
      <w:r w:rsidR="00434650">
        <w:rPr>
          <w:rFonts w:hint="cs"/>
          <w:rtl/>
        </w:rPr>
        <w:t xml:space="preserve"> </w:t>
      </w:r>
      <w:r w:rsidRPr="00FD2770">
        <w:rPr>
          <w:rFonts w:hint="cs"/>
          <w:rtl/>
        </w:rPr>
        <w:t xml:space="preserve">للدولة الطرف على ردودها الكتابية </w:t>
      </w:r>
      <w:r w:rsidRPr="00FD2770">
        <w:t>(CCPR/C/UZB/Q/4/Add.1)</w:t>
      </w:r>
      <w:r w:rsidRPr="00FD2770">
        <w:rPr>
          <w:rFonts w:hint="cs"/>
          <w:rtl/>
        </w:rPr>
        <w:t xml:space="preserve"> على قائمة المسائل </w:t>
      </w:r>
      <w:r w:rsidRPr="00FD2770">
        <w:t>(CCPR/C/UZB/Q/4)</w:t>
      </w:r>
      <w:r w:rsidRPr="00FD2770">
        <w:rPr>
          <w:rFonts w:hint="cs"/>
          <w:rtl/>
        </w:rPr>
        <w:t>، التي استُكملت بالردود المفصَّلة التي قدمها الوفد، وعلى المعلومات التي قدمتها لها خطياً.</w:t>
      </w:r>
    </w:p>
    <w:p w:rsidR="00616DF5" w:rsidRPr="00616DF5" w:rsidRDefault="00616DF5" w:rsidP="00616DF5">
      <w:pPr>
        <w:pStyle w:val="SingleTxt"/>
        <w:spacing w:after="0" w:line="120" w:lineRule="exact"/>
        <w:rPr>
          <w:b/>
          <w:bCs/>
          <w:sz w:val="10"/>
          <w:szCs w:val="34"/>
          <w:rtl/>
        </w:rPr>
      </w:pPr>
    </w:p>
    <w:p w:rsidR="00616DF5" w:rsidRPr="00616DF5" w:rsidRDefault="00616DF5" w:rsidP="00616DF5">
      <w:pPr>
        <w:pStyle w:val="SingleTxt"/>
        <w:spacing w:after="0" w:line="120" w:lineRule="exact"/>
        <w:rPr>
          <w:b/>
          <w:bCs/>
          <w:sz w:val="10"/>
          <w:szCs w:val="34"/>
          <w:rtl/>
        </w:rPr>
      </w:pPr>
    </w:p>
    <w:p w:rsidR="00FD2770" w:rsidRPr="00FD2770" w:rsidRDefault="00FD2770" w:rsidP="00616D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sidRPr="00FD2770">
        <w:rPr>
          <w:rFonts w:hint="cs"/>
          <w:rtl/>
        </w:rPr>
        <w:tab/>
        <w:t>باء-</w:t>
      </w:r>
      <w:r w:rsidRPr="00FD2770">
        <w:rPr>
          <w:rFonts w:hint="cs"/>
          <w:rtl/>
        </w:rPr>
        <w:tab/>
        <w:t>الجوانب الإيجابية</w:t>
      </w:r>
    </w:p>
    <w:p w:rsidR="00616DF5" w:rsidRPr="00616DF5" w:rsidRDefault="00616DF5" w:rsidP="00616DF5">
      <w:pPr>
        <w:pStyle w:val="SingleTxt"/>
        <w:spacing w:after="0" w:line="120" w:lineRule="exact"/>
        <w:rPr>
          <w:sz w:val="10"/>
          <w:rtl/>
        </w:rPr>
      </w:pPr>
    </w:p>
    <w:p w:rsidR="00FD2770" w:rsidRPr="00FD2770" w:rsidRDefault="00FD2770" w:rsidP="00FE5014">
      <w:pPr>
        <w:pStyle w:val="SingleTxt"/>
        <w:rPr>
          <w:rtl/>
        </w:rPr>
      </w:pPr>
      <w:r w:rsidRPr="00FD2770">
        <w:rPr>
          <w:rtl/>
        </w:rPr>
        <w:t>3-</w:t>
      </w:r>
      <w:r w:rsidRPr="00FD2770">
        <w:rPr>
          <w:rtl/>
        </w:rPr>
        <w:tab/>
      </w:r>
      <w:r w:rsidRPr="00FD2770">
        <w:rPr>
          <w:rFonts w:hint="cs"/>
          <w:rtl/>
        </w:rPr>
        <w:t>ترحب</w:t>
      </w:r>
      <w:r w:rsidRPr="00FD2770">
        <w:rPr>
          <w:rtl/>
        </w:rPr>
        <w:t xml:space="preserve"> </w:t>
      </w:r>
      <w:r w:rsidRPr="00FD2770">
        <w:rPr>
          <w:rFonts w:hint="cs"/>
          <w:rtl/>
        </w:rPr>
        <w:t>اللجنة</w:t>
      </w:r>
      <w:r w:rsidRPr="00FD2770">
        <w:rPr>
          <w:rtl/>
        </w:rPr>
        <w:t xml:space="preserve"> </w:t>
      </w:r>
      <w:r w:rsidRPr="00FD2770">
        <w:rPr>
          <w:rFonts w:hint="cs"/>
          <w:rtl/>
        </w:rPr>
        <w:t>باعتماد</w:t>
      </w:r>
      <w:r w:rsidRPr="00FD2770">
        <w:rPr>
          <w:rtl/>
        </w:rPr>
        <w:t xml:space="preserve"> </w:t>
      </w:r>
      <w:r w:rsidRPr="00FD2770">
        <w:rPr>
          <w:rFonts w:hint="cs"/>
          <w:rtl/>
        </w:rPr>
        <w:t>الدولة</w:t>
      </w:r>
      <w:r w:rsidRPr="00FD2770">
        <w:rPr>
          <w:rtl/>
        </w:rPr>
        <w:t xml:space="preserve"> </w:t>
      </w:r>
      <w:r w:rsidRPr="00FD2770">
        <w:rPr>
          <w:rFonts w:hint="cs"/>
          <w:rtl/>
        </w:rPr>
        <w:t>الطرف</w:t>
      </w:r>
      <w:r w:rsidRPr="00FD2770">
        <w:rPr>
          <w:rtl/>
        </w:rPr>
        <w:t xml:space="preserve"> في 29 أيلول/سبتمبر 2011</w:t>
      </w:r>
      <w:r w:rsidRPr="00FD2770">
        <w:rPr>
          <w:rFonts w:hint="cs"/>
          <w:rtl/>
        </w:rPr>
        <w:t xml:space="preserve"> قانون</w:t>
      </w:r>
      <w:r w:rsidRPr="00FD2770">
        <w:rPr>
          <w:rtl/>
        </w:rPr>
        <w:t xml:space="preserve"> </w:t>
      </w:r>
      <w:r w:rsidRPr="00FD2770">
        <w:rPr>
          <w:rFonts w:hint="cs"/>
          <w:rtl/>
        </w:rPr>
        <w:t>الاحتجاز</w:t>
      </w:r>
      <w:r w:rsidRPr="00FD2770">
        <w:rPr>
          <w:rtl/>
        </w:rPr>
        <w:t xml:space="preserve"> </w:t>
      </w:r>
      <w:r w:rsidRPr="00FD2770">
        <w:rPr>
          <w:rFonts w:hint="cs"/>
          <w:rtl/>
        </w:rPr>
        <w:t>قبل</w:t>
      </w:r>
      <w:r w:rsidRPr="00FD2770">
        <w:rPr>
          <w:rtl/>
        </w:rPr>
        <w:t xml:space="preserve"> </w:t>
      </w:r>
      <w:r w:rsidRPr="00FD2770">
        <w:rPr>
          <w:rFonts w:hint="cs"/>
          <w:rtl/>
        </w:rPr>
        <w:t>المحاكمة</w:t>
      </w:r>
      <w:r w:rsidRPr="00FD2770">
        <w:rPr>
          <w:rtl/>
        </w:rPr>
        <w:t xml:space="preserve"> </w:t>
      </w:r>
      <w:r w:rsidRPr="00FD2770">
        <w:rPr>
          <w:rFonts w:hint="cs"/>
          <w:rtl/>
        </w:rPr>
        <w:t>أثناء</w:t>
      </w:r>
      <w:r w:rsidRPr="00FD2770">
        <w:rPr>
          <w:rtl/>
        </w:rPr>
        <w:t xml:space="preserve"> </w:t>
      </w:r>
      <w:r w:rsidRPr="00FD2770">
        <w:rPr>
          <w:rFonts w:hint="cs"/>
          <w:rtl/>
        </w:rPr>
        <w:t>الإجراءات</w:t>
      </w:r>
      <w:r w:rsidRPr="00FD2770">
        <w:rPr>
          <w:rtl/>
        </w:rPr>
        <w:t xml:space="preserve"> </w:t>
      </w:r>
      <w:r w:rsidRPr="00FD2770">
        <w:rPr>
          <w:rFonts w:hint="cs"/>
          <w:rtl/>
        </w:rPr>
        <w:t>الجنائية</w:t>
      </w:r>
      <w:r w:rsidRPr="00FD2770">
        <w:rPr>
          <w:rtl/>
        </w:rPr>
        <w:t>.</w:t>
      </w:r>
    </w:p>
    <w:p w:rsidR="00555CE7" w:rsidRDefault="00555CE7">
      <w:pPr>
        <w:bidi w:val="0"/>
        <w:spacing w:line="240" w:lineRule="auto"/>
        <w:jc w:val="left"/>
        <w:rPr>
          <w:b/>
          <w:bCs/>
          <w:sz w:val="24"/>
          <w:szCs w:val="34"/>
          <w:rtl/>
        </w:rPr>
      </w:pPr>
      <w:r>
        <w:rPr>
          <w:rtl/>
        </w:rPr>
        <w:br w:type="page"/>
      </w:r>
    </w:p>
    <w:p w:rsidR="00FD2770" w:rsidRPr="00FD2770" w:rsidRDefault="00FD2770" w:rsidP="00555C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lastRenderedPageBreak/>
        <w:tab/>
        <w:t>جيم-</w:t>
      </w:r>
      <w:r w:rsidRPr="00FD2770">
        <w:rPr>
          <w:rFonts w:hint="cs"/>
          <w:rtl/>
        </w:rPr>
        <w:tab/>
        <w:t>دواعي القلق الرئيسية والتوصيات</w:t>
      </w:r>
    </w:p>
    <w:p w:rsidR="00555CE7" w:rsidRPr="00555CE7" w:rsidRDefault="00555CE7" w:rsidP="00555CE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D2770" w:rsidRPr="00FD2770" w:rsidRDefault="00FD2770" w:rsidP="00555CE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تنفيذ آراء اللجنة بموجب البروتوكول الاختياري للعهد</w:t>
      </w:r>
    </w:p>
    <w:p w:rsidR="00FD2770" w:rsidRPr="00FD2770" w:rsidRDefault="00FD2770" w:rsidP="004926FC">
      <w:pPr>
        <w:pStyle w:val="SingleTxt"/>
        <w:rPr>
          <w:rtl/>
        </w:rPr>
      </w:pPr>
      <w:r w:rsidRPr="00FD2770">
        <w:rPr>
          <w:rFonts w:hint="cs"/>
          <w:rtl/>
        </w:rPr>
        <w:t>4-</w:t>
      </w:r>
      <w:r w:rsidRPr="00FD2770">
        <w:rPr>
          <w:rFonts w:hint="cs"/>
          <w:rtl/>
        </w:rPr>
        <w:tab/>
        <w:t>يساور اللجنة القلق إزاء عدم تنفيذ الدولة الطرف للآراء التي اعتمدتها اللجنة بموجب البروتوكول الاختياري، وعدم وجود آليات وإجراءات فعالة</w:t>
      </w:r>
      <w:r w:rsidR="00434650">
        <w:rPr>
          <w:rFonts w:hint="cs"/>
          <w:rtl/>
        </w:rPr>
        <w:t xml:space="preserve"> </w:t>
      </w:r>
      <w:r w:rsidRPr="00FD2770">
        <w:rPr>
          <w:rFonts w:hint="cs"/>
          <w:rtl/>
        </w:rPr>
        <w:t>لكي يلتمس أصحاب البلاغات، في القانون والممارسة (المادة 2)، التنفيذ الكامل لآراء اللجنة.</w:t>
      </w:r>
    </w:p>
    <w:p w:rsidR="00FD2770" w:rsidRPr="00555CE7" w:rsidRDefault="00FD2770" w:rsidP="00555CE7">
      <w:pPr>
        <w:pStyle w:val="SingleTxt"/>
        <w:rPr>
          <w:b/>
          <w:bCs/>
          <w:rtl/>
        </w:rPr>
      </w:pPr>
      <w:r w:rsidRPr="00555CE7">
        <w:rPr>
          <w:rFonts w:hint="cs"/>
          <w:b/>
          <w:bCs/>
          <w:rtl/>
        </w:rPr>
        <w:tab/>
        <w:t>ينبغي للدولة الطرف أن تتخذ جميع التدابير المؤسسية والتشريعية لضمان نشر آراء اللجنة ووضع آليات وإجراءات مناسبة لتنفيذ آراء اللجنة بالكامل لضمان حق الضحايا في</w:t>
      </w:r>
      <w:r w:rsidR="00434650" w:rsidRPr="00555CE7">
        <w:rPr>
          <w:rFonts w:hint="cs"/>
          <w:b/>
          <w:bCs/>
          <w:rtl/>
        </w:rPr>
        <w:t xml:space="preserve"> </w:t>
      </w:r>
      <w:r w:rsidRPr="00555CE7">
        <w:rPr>
          <w:rFonts w:hint="cs"/>
          <w:b/>
          <w:bCs/>
          <w:rtl/>
        </w:rPr>
        <w:t>انتصاف</w:t>
      </w:r>
      <w:r w:rsidR="00434650" w:rsidRPr="00555CE7">
        <w:rPr>
          <w:rFonts w:hint="cs"/>
          <w:b/>
          <w:bCs/>
          <w:rtl/>
        </w:rPr>
        <w:t xml:space="preserve"> </w:t>
      </w:r>
      <w:r w:rsidRPr="00555CE7">
        <w:rPr>
          <w:rFonts w:hint="cs"/>
          <w:b/>
          <w:bCs/>
          <w:rtl/>
        </w:rPr>
        <w:t>فعال عندما تحدث انتهاكات للعهد.</w:t>
      </w:r>
    </w:p>
    <w:p w:rsidR="00555CE7" w:rsidRPr="00555CE7" w:rsidRDefault="00555CE7" w:rsidP="00555CE7">
      <w:pPr>
        <w:pStyle w:val="SingleTxt"/>
        <w:spacing w:after="0" w:line="120" w:lineRule="exact"/>
        <w:rPr>
          <w:b/>
          <w:bCs/>
          <w:spacing w:val="2"/>
          <w:sz w:val="10"/>
          <w:rtl/>
        </w:rPr>
      </w:pPr>
    </w:p>
    <w:p w:rsidR="00FD2770" w:rsidRPr="00FD2770" w:rsidRDefault="00FD2770" w:rsidP="00555CE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 xml:space="preserve">المؤسسة الوطنية لحقوق الإنسان </w:t>
      </w:r>
    </w:p>
    <w:p w:rsidR="00FD2770" w:rsidRPr="00FD2770" w:rsidRDefault="00FD2770" w:rsidP="00FE5014">
      <w:pPr>
        <w:pStyle w:val="SingleTxt"/>
        <w:rPr>
          <w:rtl/>
        </w:rPr>
      </w:pPr>
      <w:r w:rsidRPr="00FD2770">
        <w:rPr>
          <w:rFonts w:hint="cs"/>
          <w:rtl/>
        </w:rPr>
        <w:t>5-</w:t>
      </w:r>
      <w:r w:rsidRPr="00FD2770">
        <w:rPr>
          <w:rFonts w:hint="cs"/>
          <w:rtl/>
        </w:rPr>
        <w:tab/>
        <w:t>تحيط اللجنة علماً بأن مفوض حقوق الإنسان (أمين المظالم) التابع للبرلمان والمركز الوطني لحقوق الإنسان مكلفان</w:t>
      </w:r>
      <w:r w:rsidR="00434650">
        <w:rPr>
          <w:rFonts w:hint="cs"/>
          <w:rtl/>
        </w:rPr>
        <w:t xml:space="preserve"> </w:t>
      </w:r>
      <w:r w:rsidRPr="00FD2770">
        <w:rPr>
          <w:rFonts w:hint="cs"/>
          <w:rtl/>
        </w:rPr>
        <w:t>كلاهما بتعزيز وحماية حقوق الإنسان، بيد أن القلق يساورها لأن كليهما لا يمتثلان، فيما يبدو، للمبادئ المتعلقة بمركز المؤسسات الوطنية لتعزيز وحماية حقوق الإنسان (مبادئ باريس) (المادة 2).</w:t>
      </w:r>
    </w:p>
    <w:p w:rsidR="00FD2770" w:rsidRPr="00FD2770" w:rsidRDefault="00FD2770" w:rsidP="00FE5014">
      <w:pPr>
        <w:pStyle w:val="SingleTxt"/>
        <w:rPr>
          <w:b/>
          <w:bCs/>
          <w:rtl/>
        </w:rPr>
      </w:pPr>
      <w:r w:rsidRPr="00FD2770">
        <w:rPr>
          <w:rFonts w:hint="cs"/>
          <w:rtl/>
        </w:rPr>
        <w:tab/>
      </w:r>
      <w:r w:rsidRPr="00FD2770">
        <w:rPr>
          <w:rFonts w:hint="cs"/>
          <w:b/>
          <w:bCs/>
          <w:rtl/>
        </w:rPr>
        <w:t>ينبغي للدولة الطرف أن تقوم بما يلي:</w:t>
      </w:r>
    </w:p>
    <w:p w:rsidR="00FD2770" w:rsidRPr="00FD2770" w:rsidRDefault="00FD2770" w:rsidP="004926FC">
      <w:pPr>
        <w:pStyle w:val="SingleTxt"/>
        <w:rPr>
          <w:b/>
          <w:bCs/>
          <w:rtl/>
        </w:rPr>
      </w:pPr>
      <w:r w:rsidRPr="00FD2770">
        <w:rPr>
          <w:rFonts w:hint="cs"/>
          <w:b/>
          <w:bCs/>
          <w:rtl/>
        </w:rPr>
        <w:tab/>
      </w:r>
      <w:r w:rsidRPr="00555CE7">
        <w:rPr>
          <w:rFonts w:hint="cs"/>
          <w:rtl/>
        </w:rPr>
        <w:t>(أ)</w:t>
      </w:r>
      <w:r w:rsidRPr="00FD2770">
        <w:rPr>
          <w:rFonts w:hint="cs"/>
          <w:b/>
          <w:bCs/>
          <w:rtl/>
        </w:rPr>
        <w:tab/>
        <w:t>تعزز، في القانون والممارسة، استقلالية مؤسسات حقوق الإنسان</w:t>
      </w:r>
      <w:r w:rsidR="00434650">
        <w:rPr>
          <w:rFonts w:hint="cs"/>
          <w:b/>
          <w:bCs/>
          <w:rtl/>
        </w:rPr>
        <w:t xml:space="preserve"> </w:t>
      </w:r>
      <w:r w:rsidRPr="00FD2770">
        <w:rPr>
          <w:rFonts w:hint="cs"/>
          <w:b/>
          <w:bCs/>
          <w:rtl/>
        </w:rPr>
        <w:t>القائمة، وفقاً لمبادئ باريس (قرار الجمعية العامة 48/134، المرفق)؛</w:t>
      </w:r>
    </w:p>
    <w:p w:rsidR="00FD2770" w:rsidRPr="00FD2770" w:rsidRDefault="00FD2770" w:rsidP="00FE5014">
      <w:pPr>
        <w:pStyle w:val="SingleTxt"/>
        <w:rPr>
          <w:b/>
          <w:bCs/>
          <w:rtl/>
        </w:rPr>
      </w:pPr>
      <w:r w:rsidRPr="00FD2770">
        <w:rPr>
          <w:rFonts w:hint="cs"/>
          <w:b/>
          <w:bCs/>
          <w:rtl/>
        </w:rPr>
        <w:tab/>
      </w:r>
      <w:r w:rsidRPr="00555CE7">
        <w:rPr>
          <w:rFonts w:hint="cs"/>
          <w:rtl/>
        </w:rPr>
        <w:t>(ب)</w:t>
      </w:r>
      <w:r w:rsidRPr="00FD2770">
        <w:rPr>
          <w:rFonts w:hint="cs"/>
          <w:b/>
          <w:bCs/>
          <w:rtl/>
        </w:rPr>
        <w:tab/>
        <w:t>تنظر في تقديم طلب للحصول على اعتماد لدى لجنة التنسيق الدولية للمؤسسات الوطنية لتعزيز وحماية حقوق الإنسان.</w:t>
      </w:r>
    </w:p>
    <w:p w:rsidR="00555CE7" w:rsidRPr="00555CE7" w:rsidRDefault="00555CE7" w:rsidP="00555CE7">
      <w:pPr>
        <w:pStyle w:val="SingleTxt"/>
        <w:spacing w:after="0" w:line="120" w:lineRule="exact"/>
        <w:rPr>
          <w:b/>
          <w:bCs/>
          <w:spacing w:val="2"/>
          <w:sz w:val="10"/>
          <w:rtl/>
        </w:rPr>
      </w:pPr>
    </w:p>
    <w:p w:rsidR="00FD2770" w:rsidRPr="00FD2770" w:rsidRDefault="00FD2770" w:rsidP="00555CE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عدم التمييز والمساواة بين الجنسين</w:t>
      </w:r>
    </w:p>
    <w:p w:rsidR="00FD2770" w:rsidRPr="00FD2770" w:rsidRDefault="00FD2770" w:rsidP="00FE5014">
      <w:pPr>
        <w:pStyle w:val="SingleTxt"/>
        <w:rPr>
          <w:rtl/>
        </w:rPr>
      </w:pPr>
      <w:r w:rsidRPr="00FD2770">
        <w:rPr>
          <w:rFonts w:hint="cs"/>
          <w:rtl/>
        </w:rPr>
        <w:t>6-</w:t>
      </w:r>
      <w:r w:rsidRPr="00FD2770">
        <w:rPr>
          <w:rFonts w:hint="cs"/>
          <w:rtl/>
        </w:rPr>
        <w:tab/>
        <w:t>تحيط اللجنة علماً بأن المادة 18 من الدستور تحظر التمييز وأن هذا الحظر ينعكس في سلسلة من القوانين التشريعية، ولكن القلق يساورها لأن</w:t>
      </w:r>
      <w:r w:rsidR="00434650">
        <w:rPr>
          <w:rFonts w:hint="cs"/>
          <w:rtl/>
        </w:rPr>
        <w:t xml:space="preserve"> </w:t>
      </w:r>
      <w:r w:rsidRPr="00FD2770">
        <w:rPr>
          <w:rFonts w:hint="cs"/>
          <w:rtl/>
        </w:rPr>
        <w:t>أسباب التمييز المحظورة تختلف،</w:t>
      </w:r>
      <w:r w:rsidR="00555CE7">
        <w:rPr>
          <w:rFonts w:hint="cs"/>
          <w:rtl/>
        </w:rPr>
        <w:t xml:space="preserve">               </w:t>
      </w:r>
      <w:r w:rsidRPr="00FD2770">
        <w:rPr>
          <w:rFonts w:hint="cs"/>
          <w:rtl/>
        </w:rPr>
        <w:t xml:space="preserve"> فيما يبدو، من قانون إلى آخر، ولأن التشريعات القائمة لا توفر الحماية من التمييز القائم على جميع الأسس المحظورة بموجب العهد (المادتان 2 و26).</w:t>
      </w:r>
    </w:p>
    <w:p w:rsidR="00FD2770" w:rsidRPr="00FD2770" w:rsidRDefault="00FD2770" w:rsidP="004926FC">
      <w:pPr>
        <w:pStyle w:val="SingleTxt"/>
        <w:rPr>
          <w:b/>
          <w:bCs/>
          <w:rtl/>
        </w:rPr>
      </w:pPr>
      <w:r w:rsidRPr="00FD2770">
        <w:rPr>
          <w:rFonts w:hint="cs"/>
          <w:rtl/>
        </w:rPr>
        <w:tab/>
      </w:r>
      <w:r w:rsidRPr="00FD2770">
        <w:rPr>
          <w:rFonts w:hint="cs"/>
          <w:b/>
          <w:bCs/>
          <w:rtl/>
        </w:rPr>
        <w:t>ينبغي للدولة الطرف أن تتخذ جميع التدابير اللازمة لضمان أن إطارها القانوني:</w:t>
      </w:r>
      <w:r w:rsidR="00555CE7">
        <w:rPr>
          <w:rFonts w:hint="cs"/>
          <w:b/>
          <w:bCs/>
          <w:rtl/>
        </w:rPr>
        <w:t xml:space="preserve"> </w:t>
      </w:r>
      <w:r w:rsidRPr="00FD2770">
        <w:rPr>
          <w:rFonts w:hint="cs"/>
          <w:b/>
          <w:bCs/>
          <w:rtl/>
        </w:rPr>
        <w:t xml:space="preserve"> (أ) يقدم الحماية الكاملة والفعالة</w:t>
      </w:r>
      <w:r w:rsidR="00434650">
        <w:rPr>
          <w:rFonts w:hint="cs"/>
          <w:b/>
          <w:bCs/>
          <w:rtl/>
        </w:rPr>
        <w:t xml:space="preserve"> </w:t>
      </w:r>
      <w:r w:rsidRPr="00FD2770">
        <w:rPr>
          <w:rFonts w:hint="cs"/>
          <w:b/>
          <w:bCs/>
          <w:rtl/>
        </w:rPr>
        <w:t>من التمييز في جميع المجالات، بما في ذلك في المجال الخاص، ويحظر التمييز المباشر وغير المباشر والمتعدد؛ (ب) يتضمن</w:t>
      </w:r>
      <w:r w:rsidR="00434650">
        <w:rPr>
          <w:rFonts w:hint="cs"/>
          <w:b/>
          <w:bCs/>
          <w:rtl/>
        </w:rPr>
        <w:t xml:space="preserve"> </w:t>
      </w:r>
      <w:r w:rsidRPr="00FD2770">
        <w:rPr>
          <w:rFonts w:hint="cs"/>
          <w:b/>
          <w:bCs/>
          <w:rtl/>
        </w:rPr>
        <w:t>قائمة شاملة لأسباب التمييز، بما في ذلك اللون، أو الرأي السياسي أو غير السياسي،</w:t>
      </w:r>
      <w:r w:rsidR="00555CE7">
        <w:rPr>
          <w:rFonts w:hint="cs"/>
          <w:b/>
          <w:bCs/>
          <w:rtl/>
        </w:rPr>
        <w:t xml:space="preserve"> </w:t>
      </w:r>
      <w:r w:rsidRPr="00FD2770">
        <w:rPr>
          <w:rFonts w:hint="cs"/>
          <w:b/>
          <w:bCs/>
          <w:rtl/>
        </w:rPr>
        <w:t>أو الأصل</w:t>
      </w:r>
      <w:r w:rsidR="00434650">
        <w:rPr>
          <w:rFonts w:hint="cs"/>
          <w:b/>
          <w:bCs/>
          <w:rtl/>
        </w:rPr>
        <w:t xml:space="preserve"> </w:t>
      </w:r>
      <w:r w:rsidRPr="00FD2770">
        <w:rPr>
          <w:rFonts w:hint="cs"/>
          <w:b/>
          <w:bCs/>
          <w:rtl/>
        </w:rPr>
        <w:lastRenderedPageBreak/>
        <w:t>القومي، أو الملكية، أو النسب أو غير ذلك من الأسباب، والميل الجنسي والهوية الجنسانية؛ (ج)</w:t>
      </w:r>
      <w:r w:rsidR="00434650">
        <w:rPr>
          <w:rFonts w:hint="cs"/>
          <w:b/>
          <w:bCs/>
          <w:rtl/>
        </w:rPr>
        <w:t xml:space="preserve"> </w:t>
      </w:r>
      <w:r w:rsidRPr="00FD2770">
        <w:rPr>
          <w:rFonts w:hint="cs"/>
          <w:b/>
          <w:bCs/>
          <w:rtl/>
        </w:rPr>
        <w:t>ينص على سبل انتصاف فعالة في حالات الانتهاكات.</w:t>
      </w:r>
    </w:p>
    <w:p w:rsidR="00FD2770" w:rsidRPr="00FD2770" w:rsidRDefault="00FD2770" w:rsidP="00FE5014">
      <w:pPr>
        <w:pStyle w:val="SingleTxt"/>
        <w:rPr>
          <w:rtl/>
        </w:rPr>
      </w:pPr>
      <w:r w:rsidRPr="00FD2770">
        <w:rPr>
          <w:rFonts w:hint="cs"/>
          <w:rtl/>
        </w:rPr>
        <w:t>7-</w:t>
      </w:r>
      <w:r w:rsidRPr="00FD2770">
        <w:rPr>
          <w:rFonts w:hint="cs"/>
          <w:rtl/>
        </w:rPr>
        <w:tab/>
        <w:t>ولا تزال اللجنة تشعر بالقلق إزاء التقارير</w:t>
      </w:r>
      <w:r w:rsidR="00434650">
        <w:rPr>
          <w:rFonts w:hint="cs"/>
          <w:rtl/>
        </w:rPr>
        <w:t xml:space="preserve"> </w:t>
      </w:r>
      <w:r w:rsidRPr="00FD2770">
        <w:rPr>
          <w:rFonts w:hint="cs"/>
          <w:rtl/>
        </w:rPr>
        <w:t>المتعلقة بالتمييز والمضايقة والعنف</w:t>
      </w:r>
      <w:r w:rsidR="004036AA">
        <w:rPr>
          <w:rFonts w:hint="cs"/>
          <w:rtl/>
        </w:rPr>
        <w:t xml:space="preserve"> </w:t>
      </w:r>
      <w:r w:rsidRPr="00FD2770">
        <w:rPr>
          <w:rFonts w:hint="cs"/>
          <w:rtl/>
        </w:rPr>
        <w:t>الممارس ضد المثليات والمثليين ومزدوجي الميل الجنسي ومغايري الهوية الجنسانية، بما في ذلك على يد الموظفين المكلفين بإنفاذ القانون. وتشعر اللجنة بالقلق أيضاً</w:t>
      </w:r>
      <w:r w:rsidR="00434650">
        <w:rPr>
          <w:rFonts w:hint="cs"/>
          <w:rtl/>
        </w:rPr>
        <w:t xml:space="preserve"> </w:t>
      </w:r>
      <w:r w:rsidRPr="00FD2770">
        <w:rPr>
          <w:rFonts w:hint="cs"/>
          <w:rtl/>
        </w:rPr>
        <w:t>لاستمرار تجريم ممارسة الجنس بالتراضي بين الذكور البالغين بموجب المادة 120 بموجب القانون الجنائي (المواد 2 و7 و17 و26).</w:t>
      </w:r>
    </w:p>
    <w:p w:rsidR="00FD2770" w:rsidRPr="00FD2770" w:rsidRDefault="00FD2770" w:rsidP="00FE5014">
      <w:pPr>
        <w:pStyle w:val="SingleTxt"/>
        <w:rPr>
          <w:b/>
          <w:bCs/>
          <w:rtl/>
        </w:rPr>
      </w:pPr>
      <w:r w:rsidRPr="00FD2770">
        <w:rPr>
          <w:rFonts w:hint="cs"/>
          <w:rtl/>
        </w:rPr>
        <w:tab/>
      </w:r>
      <w:r w:rsidRPr="00FD2770">
        <w:rPr>
          <w:rFonts w:hint="cs"/>
          <w:b/>
          <w:bCs/>
          <w:rtl/>
        </w:rPr>
        <w:t xml:space="preserve">تكرر اللجنة توصيتها السابقة (انظر </w:t>
      </w:r>
      <w:r w:rsidRPr="00FD2770">
        <w:rPr>
          <w:b/>
        </w:rPr>
        <w:t>CCPR/C/UZB/CO/3</w:t>
      </w:r>
      <w:r w:rsidRPr="00FD2770">
        <w:rPr>
          <w:rFonts w:hint="cs"/>
          <w:b/>
          <w:bCs/>
          <w:rtl/>
        </w:rPr>
        <w:t>، الفقرة 22). وينبغي للدولة الطرف أن تتخذ</w:t>
      </w:r>
      <w:r w:rsidR="00434650">
        <w:rPr>
          <w:rFonts w:hint="cs"/>
          <w:b/>
          <w:bCs/>
          <w:rtl/>
        </w:rPr>
        <w:t xml:space="preserve"> </w:t>
      </w:r>
      <w:r w:rsidRPr="00FD2770">
        <w:rPr>
          <w:rFonts w:hint="cs"/>
          <w:b/>
          <w:bCs/>
          <w:rtl/>
        </w:rPr>
        <w:t>تدابير</w:t>
      </w:r>
      <w:r w:rsidR="00434650">
        <w:rPr>
          <w:rFonts w:hint="cs"/>
          <w:b/>
          <w:bCs/>
          <w:rtl/>
        </w:rPr>
        <w:t xml:space="preserve"> </w:t>
      </w:r>
      <w:r w:rsidRPr="00FD2770">
        <w:rPr>
          <w:rFonts w:hint="cs"/>
          <w:b/>
          <w:bCs/>
          <w:rtl/>
        </w:rPr>
        <w:t xml:space="preserve">فعالة لمكافحة أي شكل من أشكال الوصم الاجتماعي، </w:t>
      </w:r>
      <w:r w:rsidR="004036AA">
        <w:rPr>
          <w:rFonts w:hint="cs"/>
          <w:b/>
          <w:bCs/>
          <w:rtl/>
        </w:rPr>
        <w:t xml:space="preserve">            </w:t>
      </w:r>
      <w:r w:rsidRPr="00FD2770">
        <w:rPr>
          <w:rFonts w:hint="cs"/>
          <w:b/>
          <w:bCs/>
          <w:rtl/>
        </w:rPr>
        <w:t>أو خطاب الكراهية، أو التمييز، أو العنف ضد الأشخاص</w:t>
      </w:r>
      <w:r w:rsidR="00434650">
        <w:rPr>
          <w:rFonts w:hint="cs"/>
          <w:b/>
          <w:bCs/>
          <w:rtl/>
        </w:rPr>
        <w:t xml:space="preserve"> </w:t>
      </w:r>
      <w:r w:rsidRPr="00FD2770">
        <w:rPr>
          <w:rFonts w:hint="cs"/>
          <w:b/>
          <w:bCs/>
          <w:rtl/>
        </w:rPr>
        <w:t>بسبب ميلهم الجنسي أو هويتهم الجنسانية. وينبغي لها أن تكفل التحقيق والمقاضاة والمعاقبة على هذه الأفعال العنيفة وأن تلغي المادة 120 من القانون الجنائي وفقاً لالتزاماتها بموجب العهد.</w:t>
      </w:r>
    </w:p>
    <w:p w:rsidR="00FD2770" w:rsidRPr="00FD2770" w:rsidRDefault="00FD2770" w:rsidP="00FE5014">
      <w:pPr>
        <w:pStyle w:val="SingleTxt"/>
        <w:rPr>
          <w:rtl/>
        </w:rPr>
      </w:pPr>
      <w:r w:rsidRPr="00FD2770">
        <w:rPr>
          <w:rFonts w:hint="cs"/>
          <w:rtl/>
        </w:rPr>
        <w:t>8-</w:t>
      </w:r>
      <w:r w:rsidRPr="00FD2770">
        <w:rPr>
          <w:rFonts w:hint="cs"/>
          <w:rtl/>
        </w:rPr>
        <w:tab/>
        <w:t>ويساور اللجنة القلق لعدم تحقيق تقدم في سبيل اعتماد قانون بشأن المساواة في الحقوق والفرص بين المرأة والرجل. ويساورها قلق أيضاً إزاء حالات الزواج القسري والزواج المبكر واختطاف العرائس، ولا سيما في المناطق الريفية، وإزاء استمرار ظاهرة تعدد الزوجات بحكم الواقع، على الرغم من حظر هذه الممارسات بموجب القانون (المواد 2 و3 و23 و24 و26).</w:t>
      </w:r>
    </w:p>
    <w:p w:rsidR="00FD2770" w:rsidRPr="00FD2770" w:rsidRDefault="00FD2770" w:rsidP="00FE5014">
      <w:pPr>
        <w:pStyle w:val="SingleTxt"/>
        <w:rPr>
          <w:b/>
          <w:bCs/>
          <w:rtl/>
        </w:rPr>
      </w:pPr>
      <w:r w:rsidRPr="00FD2770">
        <w:rPr>
          <w:rFonts w:hint="cs"/>
          <w:rtl/>
        </w:rPr>
        <w:tab/>
      </w:r>
      <w:r w:rsidRPr="00FD2770">
        <w:rPr>
          <w:rFonts w:hint="cs"/>
          <w:b/>
          <w:bCs/>
          <w:rtl/>
        </w:rPr>
        <w:t>ينبغي للدول</w:t>
      </w:r>
      <w:r w:rsidR="00BD384E">
        <w:rPr>
          <w:rFonts w:hint="cs"/>
          <w:b/>
          <w:bCs/>
          <w:rtl/>
        </w:rPr>
        <w:t>ة</w:t>
      </w:r>
      <w:r w:rsidRPr="00FD2770">
        <w:rPr>
          <w:rFonts w:hint="cs"/>
          <w:b/>
          <w:bCs/>
          <w:rtl/>
        </w:rPr>
        <w:t xml:space="preserve"> الطرف أن تعتمد، دون تأخير لا مبرر له، قانوناً بشأن تكافؤ الحقوق والفرص بين المرأة والرجل وأن تتخذ تدابير</w:t>
      </w:r>
      <w:r w:rsidR="00434650">
        <w:rPr>
          <w:rFonts w:hint="cs"/>
          <w:b/>
          <w:bCs/>
          <w:rtl/>
        </w:rPr>
        <w:t xml:space="preserve"> </w:t>
      </w:r>
      <w:r w:rsidRPr="00FD2770">
        <w:rPr>
          <w:rFonts w:hint="cs"/>
          <w:b/>
          <w:bCs/>
          <w:rtl/>
        </w:rPr>
        <w:t>أكثر صرامة لضمان المساواة بين الجنسين، في القانون والممارسة على السواء،</w:t>
      </w:r>
      <w:r w:rsidR="00434650">
        <w:rPr>
          <w:rFonts w:hint="cs"/>
          <w:b/>
          <w:bCs/>
          <w:rtl/>
        </w:rPr>
        <w:t xml:space="preserve"> </w:t>
      </w:r>
      <w:r w:rsidRPr="00FD2770">
        <w:rPr>
          <w:rFonts w:hint="cs"/>
          <w:b/>
          <w:bCs/>
          <w:rtl/>
        </w:rPr>
        <w:t>بوسائل منها:</w:t>
      </w:r>
    </w:p>
    <w:p w:rsidR="00FD2770" w:rsidRPr="00FD2770" w:rsidRDefault="00FD2770" w:rsidP="00FE5014">
      <w:pPr>
        <w:pStyle w:val="SingleTxt"/>
        <w:rPr>
          <w:b/>
          <w:bCs/>
          <w:rtl/>
        </w:rPr>
      </w:pPr>
      <w:r w:rsidRPr="00FD2770">
        <w:rPr>
          <w:rFonts w:hint="cs"/>
          <w:b/>
          <w:bCs/>
          <w:rtl/>
        </w:rPr>
        <w:tab/>
      </w:r>
      <w:r w:rsidRPr="004036AA">
        <w:rPr>
          <w:rFonts w:hint="cs"/>
          <w:rtl/>
        </w:rPr>
        <w:t>(أ)</w:t>
      </w:r>
      <w:r w:rsidRPr="00FD2770">
        <w:rPr>
          <w:rFonts w:hint="cs"/>
          <w:b/>
          <w:bCs/>
          <w:rtl/>
        </w:rPr>
        <w:tab/>
        <w:t>وضع استراتيجيات لمكافحة المواقف الأبوية والقوالب النمطية بشأن أدوار ومسؤوليات المرأة والرجل في الأسرة وفي المجتمع</w:t>
      </w:r>
      <w:r w:rsidR="00434650">
        <w:rPr>
          <w:rFonts w:hint="cs"/>
          <w:b/>
          <w:bCs/>
          <w:rtl/>
        </w:rPr>
        <w:t xml:space="preserve"> </w:t>
      </w:r>
      <w:r w:rsidRPr="00FD2770">
        <w:rPr>
          <w:rFonts w:hint="cs"/>
          <w:b/>
          <w:bCs/>
          <w:rtl/>
        </w:rPr>
        <w:t>بوجه عام؛</w:t>
      </w:r>
    </w:p>
    <w:p w:rsidR="00FD2770" w:rsidRPr="00FD2770" w:rsidRDefault="00FD2770" w:rsidP="00FE5014">
      <w:pPr>
        <w:pStyle w:val="SingleTxt"/>
        <w:rPr>
          <w:b/>
          <w:bCs/>
          <w:rtl/>
        </w:rPr>
      </w:pPr>
      <w:r w:rsidRPr="00FD2770">
        <w:rPr>
          <w:rFonts w:hint="cs"/>
          <w:b/>
          <w:bCs/>
          <w:rtl/>
        </w:rPr>
        <w:tab/>
      </w:r>
      <w:r w:rsidRPr="004036AA">
        <w:rPr>
          <w:rFonts w:hint="cs"/>
          <w:rtl/>
        </w:rPr>
        <w:t>(ب)</w:t>
      </w:r>
      <w:r w:rsidRPr="00FD2770">
        <w:rPr>
          <w:rFonts w:hint="cs"/>
          <w:b/>
          <w:bCs/>
          <w:rtl/>
        </w:rPr>
        <w:tab/>
        <w:t>تعزيز الجهود لتحقيق التمثيل العادل للمرأة في الجهاز القضائي والهيئات التشريعية والتنفيذية، بما في ذلك في مناصب اتخاذ القرارات، ضمن أُطر زمنية محددة؛</w:t>
      </w:r>
    </w:p>
    <w:p w:rsidR="00FD2770" w:rsidRPr="00FD2770" w:rsidRDefault="00FD2770" w:rsidP="00FE5014">
      <w:pPr>
        <w:pStyle w:val="SingleTxt"/>
        <w:rPr>
          <w:b/>
          <w:bCs/>
          <w:rtl/>
        </w:rPr>
      </w:pPr>
      <w:r w:rsidRPr="00FD2770">
        <w:rPr>
          <w:rFonts w:hint="cs"/>
          <w:b/>
          <w:bCs/>
          <w:rtl/>
        </w:rPr>
        <w:tab/>
      </w:r>
      <w:r w:rsidRPr="004036AA">
        <w:rPr>
          <w:rFonts w:hint="cs"/>
          <w:rtl/>
        </w:rPr>
        <w:t>(ج)</w:t>
      </w:r>
      <w:r w:rsidRPr="00FD2770">
        <w:rPr>
          <w:rFonts w:hint="cs"/>
          <w:b/>
          <w:bCs/>
          <w:rtl/>
        </w:rPr>
        <w:tab/>
        <w:t>ضمان</w:t>
      </w:r>
      <w:r w:rsidR="00434650">
        <w:rPr>
          <w:rFonts w:hint="cs"/>
          <w:b/>
          <w:bCs/>
          <w:rtl/>
        </w:rPr>
        <w:t xml:space="preserve"> </w:t>
      </w:r>
      <w:r w:rsidRPr="00FD2770">
        <w:rPr>
          <w:rFonts w:hint="cs"/>
          <w:b/>
          <w:bCs/>
          <w:rtl/>
        </w:rPr>
        <w:t>الإنفاذ الفعال للأحكام القانونية التي تحظر الزواج القسري والزواج المبكر واختطاف العرائس؛</w:t>
      </w:r>
    </w:p>
    <w:p w:rsidR="00FD2770" w:rsidRPr="00FD2770" w:rsidRDefault="00FD2770" w:rsidP="00FE5014">
      <w:pPr>
        <w:pStyle w:val="SingleTxt"/>
        <w:rPr>
          <w:b/>
          <w:bCs/>
          <w:rtl/>
        </w:rPr>
      </w:pPr>
      <w:r w:rsidRPr="00FD2770">
        <w:rPr>
          <w:rFonts w:hint="cs"/>
          <w:b/>
          <w:bCs/>
          <w:rtl/>
        </w:rPr>
        <w:tab/>
      </w:r>
      <w:r w:rsidRPr="004036AA">
        <w:rPr>
          <w:rFonts w:hint="cs"/>
          <w:rtl/>
        </w:rPr>
        <w:t>(د)</w:t>
      </w:r>
      <w:r w:rsidRPr="00FD2770">
        <w:rPr>
          <w:rFonts w:hint="cs"/>
          <w:b/>
          <w:bCs/>
          <w:rtl/>
        </w:rPr>
        <w:tab/>
        <w:t>القضاء على جميع أشكال تعدد الزوجات.</w:t>
      </w:r>
    </w:p>
    <w:p w:rsidR="004036AA" w:rsidRPr="004036AA" w:rsidRDefault="004036AA" w:rsidP="004036AA">
      <w:pPr>
        <w:pStyle w:val="SingleTxt"/>
        <w:spacing w:after="0" w:line="120" w:lineRule="exact"/>
        <w:rPr>
          <w:b/>
          <w:bCs/>
          <w:spacing w:val="2"/>
          <w:sz w:val="10"/>
          <w:rtl/>
        </w:rPr>
      </w:pPr>
    </w:p>
    <w:p w:rsidR="00FD2770" w:rsidRPr="00FD2770" w:rsidRDefault="00FD2770" w:rsidP="004036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العنف المنزلي</w:t>
      </w:r>
    </w:p>
    <w:p w:rsidR="00FD2770" w:rsidRPr="00FD2770" w:rsidRDefault="00FD2770" w:rsidP="00BD384E">
      <w:pPr>
        <w:pStyle w:val="SingleTxt"/>
        <w:rPr>
          <w:rtl/>
        </w:rPr>
      </w:pPr>
      <w:r w:rsidRPr="00FD2770">
        <w:rPr>
          <w:rFonts w:hint="cs"/>
          <w:rtl/>
        </w:rPr>
        <w:t>9-</w:t>
      </w:r>
      <w:r w:rsidRPr="00FD2770">
        <w:rPr>
          <w:rFonts w:hint="cs"/>
          <w:rtl/>
        </w:rPr>
        <w:tab/>
        <w:t xml:space="preserve">لا تزال اللجنة تشعر بالقلق (انظر </w:t>
      </w:r>
      <w:r w:rsidRPr="00FD2770">
        <w:t>CCPR/C/UZB/CO/3</w:t>
      </w:r>
      <w:r w:rsidRPr="00FD2770">
        <w:rPr>
          <w:rFonts w:hint="cs"/>
          <w:rtl/>
        </w:rPr>
        <w:t>، الفقرة 13) لأن العنف ضد المرأة، بما في ذلك العنف المنزلي، لا يزال يعتبر مسألة عائلية. ولا يزال الإبلاغ عن هذا</w:t>
      </w:r>
      <w:r w:rsidR="00434650">
        <w:rPr>
          <w:rFonts w:hint="cs"/>
          <w:rtl/>
        </w:rPr>
        <w:t xml:space="preserve"> </w:t>
      </w:r>
      <w:r w:rsidRPr="00FD2770">
        <w:rPr>
          <w:rFonts w:hint="cs"/>
          <w:rtl/>
        </w:rPr>
        <w:t>محدود جداً، لا سيما بسبب</w:t>
      </w:r>
      <w:r w:rsidR="00434650">
        <w:rPr>
          <w:rFonts w:hint="cs"/>
          <w:rtl/>
        </w:rPr>
        <w:t xml:space="preserve"> </w:t>
      </w:r>
      <w:r w:rsidRPr="00FD2770">
        <w:rPr>
          <w:rFonts w:hint="cs"/>
          <w:rtl/>
        </w:rPr>
        <w:t xml:space="preserve">افتقار المكلفين بإنفاذ القوانين إلى العناية الواجبة في تسجيل هذه الشكاوى </w:t>
      </w:r>
      <w:r w:rsidRPr="00FD2770">
        <w:rPr>
          <w:rFonts w:hint="cs"/>
          <w:rtl/>
        </w:rPr>
        <w:lastRenderedPageBreak/>
        <w:t>والتحقيق فيه</w:t>
      </w:r>
      <w:r w:rsidR="00BD384E">
        <w:rPr>
          <w:rFonts w:hint="cs"/>
          <w:rtl/>
        </w:rPr>
        <w:t>ا</w:t>
      </w:r>
      <w:r w:rsidRPr="00FD2770">
        <w:rPr>
          <w:rFonts w:hint="cs"/>
          <w:rtl/>
        </w:rPr>
        <w:t>، ونظراً إلى عدم وجود تدابير</w:t>
      </w:r>
      <w:r w:rsidR="00434650">
        <w:rPr>
          <w:rFonts w:hint="cs"/>
          <w:rtl/>
        </w:rPr>
        <w:t xml:space="preserve"> </w:t>
      </w:r>
      <w:r w:rsidRPr="00FD2770">
        <w:rPr>
          <w:rFonts w:hint="cs"/>
          <w:rtl/>
        </w:rPr>
        <w:t>وخدمات مناسبة وكافية</w:t>
      </w:r>
      <w:r w:rsidR="00434650">
        <w:rPr>
          <w:rFonts w:hint="cs"/>
          <w:rtl/>
        </w:rPr>
        <w:t xml:space="preserve"> </w:t>
      </w:r>
      <w:r w:rsidRPr="00FD2770">
        <w:rPr>
          <w:rFonts w:hint="cs"/>
          <w:rtl/>
        </w:rPr>
        <w:t xml:space="preserve">لحماية الضحايا ودعمهم، </w:t>
      </w:r>
      <w:r w:rsidR="004926FC">
        <w:rPr>
          <w:rFonts w:hint="cs"/>
          <w:rtl/>
        </w:rPr>
        <w:t xml:space="preserve">             </w:t>
      </w:r>
      <w:r w:rsidRPr="00FD2770">
        <w:rPr>
          <w:rFonts w:hint="cs"/>
          <w:rtl/>
        </w:rPr>
        <w:t>بما في ذلك الخدمات الطبية والاجتماعية والقانونية، وكذلك توفير السكن أو المأوى. ويساور اللجنة القلق أيضاً لعدم وجود تشريعات محددة</w:t>
      </w:r>
      <w:r w:rsidR="00434650">
        <w:rPr>
          <w:rFonts w:hint="cs"/>
          <w:rtl/>
        </w:rPr>
        <w:t xml:space="preserve"> </w:t>
      </w:r>
      <w:r w:rsidRPr="00FD2770">
        <w:rPr>
          <w:rFonts w:hint="cs"/>
          <w:rtl/>
        </w:rPr>
        <w:t xml:space="preserve">تحظر العنف المنزلي والاغتصاب في إطار الزواج </w:t>
      </w:r>
      <w:r w:rsidR="00700CD1">
        <w:rPr>
          <w:rFonts w:hint="cs"/>
          <w:rtl/>
        </w:rPr>
        <w:t xml:space="preserve">                 </w:t>
      </w:r>
      <w:r w:rsidRPr="00FD2770">
        <w:rPr>
          <w:rFonts w:hint="cs"/>
          <w:rtl/>
        </w:rPr>
        <w:t>(المواد 2 و3 و7 و26).</w:t>
      </w:r>
    </w:p>
    <w:p w:rsidR="00FD2770" w:rsidRPr="00FD2770" w:rsidRDefault="00FD2770" w:rsidP="00FE5014">
      <w:pPr>
        <w:pStyle w:val="SingleTxt"/>
        <w:rPr>
          <w:b/>
          <w:bCs/>
          <w:rtl/>
        </w:rPr>
      </w:pPr>
      <w:r w:rsidRPr="00FD2770">
        <w:rPr>
          <w:rFonts w:hint="cs"/>
          <w:rtl/>
        </w:rPr>
        <w:tab/>
      </w:r>
      <w:r w:rsidRPr="00FD2770">
        <w:rPr>
          <w:rFonts w:hint="cs"/>
          <w:b/>
          <w:bCs/>
          <w:rtl/>
        </w:rPr>
        <w:t>ينبغي للدولة الطرف أن تعزز جهودها لمنع ومكافحة جميع أشكال العنف المنزلي،</w:t>
      </w:r>
      <w:r w:rsidR="00434650">
        <w:rPr>
          <w:rFonts w:hint="cs"/>
          <w:b/>
          <w:bCs/>
          <w:rtl/>
        </w:rPr>
        <w:t xml:space="preserve"> </w:t>
      </w:r>
      <w:r w:rsidRPr="00FD2770">
        <w:rPr>
          <w:rFonts w:hint="cs"/>
          <w:b/>
          <w:bCs/>
          <w:rtl/>
        </w:rPr>
        <w:t>بوسائل منها التعجيل باعتماد قانون يجرم العنف المنزلي والاغتصاب في إطار الزواج</w:t>
      </w:r>
      <w:r w:rsidR="00434650">
        <w:rPr>
          <w:rFonts w:hint="cs"/>
          <w:b/>
          <w:bCs/>
          <w:rtl/>
        </w:rPr>
        <w:t xml:space="preserve"> </w:t>
      </w:r>
      <w:r w:rsidRPr="00FD2770">
        <w:rPr>
          <w:rFonts w:hint="cs"/>
          <w:b/>
          <w:bCs/>
          <w:rtl/>
        </w:rPr>
        <w:t>وضمان تنفيذه الفعال. وينبغي للدولة الطرف أيضاً أن تقوم بما يلي:</w:t>
      </w:r>
    </w:p>
    <w:p w:rsidR="00FD2770" w:rsidRPr="00FD2770" w:rsidRDefault="00FD2770" w:rsidP="00700CD1">
      <w:pPr>
        <w:pStyle w:val="SingleTxt"/>
        <w:rPr>
          <w:b/>
          <w:bCs/>
          <w:rtl/>
        </w:rPr>
      </w:pPr>
      <w:r w:rsidRPr="00FD2770">
        <w:rPr>
          <w:rFonts w:hint="cs"/>
          <w:b/>
          <w:bCs/>
          <w:rtl/>
        </w:rPr>
        <w:tab/>
      </w:r>
      <w:r w:rsidRPr="00700CD1">
        <w:rPr>
          <w:rFonts w:hint="cs"/>
          <w:rtl/>
        </w:rPr>
        <w:t>(أ)</w:t>
      </w:r>
      <w:r w:rsidRPr="00FD2770">
        <w:rPr>
          <w:rFonts w:hint="cs"/>
          <w:b/>
          <w:bCs/>
          <w:rtl/>
        </w:rPr>
        <w:tab/>
        <w:t>ضمان تلقي الموظفين المكلفين بإنفاذ القوانين، والجهاز القضائي،</w:t>
      </w:r>
      <w:r w:rsidR="00434650">
        <w:rPr>
          <w:rFonts w:hint="cs"/>
          <w:b/>
          <w:bCs/>
          <w:rtl/>
        </w:rPr>
        <w:t xml:space="preserve"> </w:t>
      </w:r>
      <w:r w:rsidRPr="00FD2770">
        <w:rPr>
          <w:rFonts w:hint="cs"/>
          <w:b/>
          <w:bCs/>
          <w:rtl/>
        </w:rPr>
        <w:t>والأخصائيين الاجتماعيين والعاملين في القطاع الطبي</w:t>
      </w:r>
      <w:r w:rsidR="00434650">
        <w:rPr>
          <w:rFonts w:hint="cs"/>
          <w:b/>
          <w:bCs/>
          <w:rtl/>
        </w:rPr>
        <w:t xml:space="preserve"> </w:t>
      </w:r>
      <w:r w:rsidRPr="00FD2770">
        <w:rPr>
          <w:rFonts w:hint="cs"/>
          <w:b/>
          <w:bCs/>
          <w:rtl/>
        </w:rPr>
        <w:t>التدريب المناسب عن كيفية الكشف عن حالات العنف ضد المرأة ومعالجتها؛</w:t>
      </w:r>
    </w:p>
    <w:p w:rsidR="00FD2770" w:rsidRPr="00FD2770" w:rsidRDefault="00FD2770" w:rsidP="00FE5014">
      <w:pPr>
        <w:pStyle w:val="SingleTxt"/>
        <w:rPr>
          <w:b/>
          <w:bCs/>
          <w:rtl/>
        </w:rPr>
      </w:pPr>
      <w:r w:rsidRPr="00FD2770">
        <w:rPr>
          <w:rFonts w:hint="cs"/>
          <w:b/>
          <w:bCs/>
          <w:rtl/>
        </w:rPr>
        <w:tab/>
      </w:r>
      <w:r w:rsidRPr="00700CD1">
        <w:rPr>
          <w:rFonts w:hint="cs"/>
          <w:rtl/>
        </w:rPr>
        <w:t>(ب)</w:t>
      </w:r>
      <w:r w:rsidRPr="00FD2770">
        <w:rPr>
          <w:rFonts w:hint="cs"/>
          <w:b/>
          <w:bCs/>
          <w:rtl/>
        </w:rPr>
        <w:tab/>
        <w:t>تعزيز الجهود الرامية إلى زيادة</w:t>
      </w:r>
      <w:r w:rsidR="00434650">
        <w:rPr>
          <w:rFonts w:hint="cs"/>
          <w:b/>
          <w:bCs/>
          <w:rtl/>
        </w:rPr>
        <w:t xml:space="preserve"> </w:t>
      </w:r>
      <w:r w:rsidRPr="00FD2770">
        <w:rPr>
          <w:rFonts w:hint="cs"/>
          <w:b/>
          <w:bCs/>
          <w:rtl/>
        </w:rPr>
        <w:t>وعي عامة الجمهور بالآثار الضارة للعنف المنزلي والتشجيع على الإبلاغ عن هذا العنف؛</w:t>
      </w:r>
    </w:p>
    <w:p w:rsidR="00FD2770" w:rsidRPr="00FD2770" w:rsidRDefault="00FD2770" w:rsidP="00EB0DAF">
      <w:pPr>
        <w:pStyle w:val="SingleTxt"/>
        <w:rPr>
          <w:b/>
          <w:bCs/>
          <w:rtl/>
        </w:rPr>
      </w:pPr>
      <w:r w:rsidRPr="00FD2770">
        <w:rPr>
          <w:rFonts w:hint="cs"/>
          <w:b/>
          <w:bCs/>
          <w:rtl/>
        </w:rPr>
        <w:tab/>
      </w:r>
      <w:r w:rsidRPr="00700CD1">
        <w:rPr>
          <w:rFonts w:hint="cs"/>
          <w:rtl/>
        </w:rPr>
        <w:t>(ج)</w:t>
      </w:r>
      <w:r w:rsidRPr="00FD2770">
        <w:rPr>
          <w:rFonts w:hint="cs"/>
          <w:b/>
          <w:bCs/>
          <w:rtl/>
        </w:rPr>
        <w:tab/>
        <w:t>ضمان التحقيق الشامل</w:t>
      </w:r>
      <w:r w:rsidR="00434650">
        <w:rPr>
          <w:rFonts w:hint="cs"/>
          <w:b/>
          <w:bCs/>
          <w:rtl/>
        </w:rPr>
        <w:t xml:space="preserve"> </w:t>
      </w:r>
      <w:r w:rsidRPr="00FD2770">
        <w:rPr>
          <w:rFonts w:hint="cs"/>
          <w:b/>
          <w:bCs/>
          <w:rtl/>
        </w:rPr>
        <w:t>في حالات العنف المنزلي وملاحقة الجناة ومعاقبتهم عند إدانتهم</w:t>
      </w:r>
      <w:r w:rsidR="00434650">
        <w:rPr>
          <w:rFonts w:hint="cs"/>
          <w:b/>
          <w:bCs/>
          <w:rtl/>
        </w:rPr>
        <w:t xml:space="preserve"> </w:t>
      </w:r>
      <w:r w:rsidRPr="00FD2770">
        <w:rPr>
          <w:rFonts w:hint="cs"/>
          <w:b/>
          <w:bCs/>
          <w:rtl/>
        </w:rPr>
        <w:t>عقاباً</w:t>
      </w:r>
      <w:r w:rsidR="00434650">
        <w:rPr>
          <w:rFonts w:hint="cs"/>
          <w:b/>
          <w:bCs/>
          <w:rtl/>
        </w:rPr>
        <w:t xml:space="preserve"> </w:t>
      </w:r>
      <w:r w:rsidRPr="00FD2770">
        <w:rPr>
          <w:rFonts w:hint="cs"/>
          <w:b/>
          <w:bCs/>
          <w:rtl/>
        </w:rPr>
        <w:t>مناسباً وتمكن الضحايا من الوصول إلى سبل</w:t>
      </w:r>
      <w:r w:rsidR="00434650">
        <w:rPr>
          <w:rFonts w:hint="cs"/>
          <w:b/>
          <w:bCs/>
          <w:rtl/>
        </w:rPr>
        <w:t xml:space="preserve"> </w:t>
      </w:r>
      <w:r w:rsidRPr="00FD2770">
        <w:rPr>
          <w:rFonts w:hint="cs"/>
          <w:b/>
          <w:bCs/>
          <w:rtl/>
        </w:rPr>
        <w:t>انتصاف</w:t>
      </w:r>
      <w:r w:rsidR="00434650">
        <w:rPr>
          <w:rFonts w:hint="cs"/>
          <w:b/>
          <w:bCs/>
          <w:rtl/>
        </w:rPr>
        <w:t xml:space="preserve"> </w:t>
      </w:r>
      <w:r w:rsidRPr="00FD2770">
        <w:rPr>
          <w:rFonts w:hint="cs"/>
          <w:b/>
          <w:bCs/>
          <w:rtl/>
        </w:rPr>
        <w:t>ووسائل حماية فعالة، بما في ذلك الوصول إلى السكن أو المأوى في جميع أنحاء البلد وإلى غير ذلك من خدمات الدعم.</w:t>
      </w:r>
    </w:p>
    <w:p w:rsidR="00EB0DAF" w:rsidRPr="00EB0DAF" w:rsidRDefault="00EB0DAF" w:rsidP="00EB0DAF">
      <w:pPr>
        <w:pStyle w:val="SingleTxt"/>
        <w:spacing w:after="0" w:line="120" w:lineRule="exact"/>
        <w:rPr>
          <w:b/>
          <w:bCs/>
          <w:spacing w:val="2"/>
          <w:sz w:val="10"/>
          <w:rtl/>
        </w:rPr>
      </w:pPr>
    </w:p>
    <w:p w:rsidR="00FD2770" w:rsidRPr="00FD2770" w:rsidRDefault="00FD2770" w:rsidP="00EB0D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المساءلة عن انتهاكات حقوق الإنسان في سياق أحداث أنديجان</w:t>
      </w:r>
    </w:p>
    <w:p w:rsidR="00FD2770" w:rsidRPr="00FD2770" w:rsidRDefault="00FD2770" w:rsidP="00FE5014">
      <w:pPr>
        <w:pStyle w:val="SingleTxt"/>
        <w:rPr>
          <w:rtl/>
        </w:rPr>
      </w:pPr>
      <w:r w:rsidRPr="00FD2770">
        <w:rPr>
          <w:rFonts w:hint="cs"/>
          <w:rtl/>
        </w:rPr>
        <w:t>10-</w:t>
      </w:r>
      <w:r w:rsidRPr="00FD2770">
        <w:rPr>
          <w:rFonts w:hint="cs"/>
          <w:rtl/>
        </w:rPr>
        <w:tab/>
        <w:t xml:space="preserve">لا تزال اللجنة تشعر بالقلق (انظر </w:t>
      </w:r>
      <w:r w:rsidRPr="00FD2770">
        <w:t>CCPR/C/UZB/CO/3</w:t>
      </w:r>
      <w:r w:rsidRPr="00FD2770">
        <w:rPr>
          <w:rFonts w:hint="cs"/>
          <w:rtl/>
        </w:rPr>
        <w:t>، الفقرة 8) إزاء عدم إجراء تحقيق كامل ومستقل وفعال في عمليات القتل الجماعي، بما في ذلك قتل النساء والأطفال، من جانب</w:t>
      </w:r>
      <w:r w:rsidR="00434650">
        <w:rPr>
          <w:rFonts w:hint="cs"/>
          <w:rtl/>
        </w:rPr>
        <w:t xml:space="preserve"> </w:t>
      </w:r>
      <w:r w:rsidRPr="00FD2770">
        <w:rPr>
          <w:rFonts w:hint="cs"/>
          <w:rtl/>
        </w:rPr>
        <w:t>دوائر الجيش والأمن خلال أحداث أنديجان في أيار/مايو 2005. وتأسف اللجنة لأن الدولة الطرف أكدت أن</w:t>
      </w:r>
      <w:r w:rsidR="00434650">
        <w:rPr>
          <w:rFonts w:hint="cs"/>
          <w:rtl/>
        </w:rPr>
        <w:t xml:space="preserve"> </w:t>
      </w:r>
      <w:r w:rsidRPr="00FD2770">
        <w:rPr>
          <w:rFonts w:hint="cs"/>
          <w:rtl/>
        </w:rPr>
        <w:t>المسألة قد أُغلقت ولن يُعاد النظر فيها، مُشيرة إلى الزيارات التي أجراها موظفان دوليان لا يملكان صلاحيات لإجراء تحقيق فعال. وتأسف اللجنة أيضاً لعدم تقديم معلومات واضحة بشأن تعديل اللوائح التي تنظم استخدام الأسلحة النارية من جانب قوات إنفاذ القانون وقوات الأمن</w:t>
      </w:r>
      <w:r w:rsidR="00434650">
        <w:rPr>
          <w:rFonts w:hint="cs"/>
          <w:rtl/>
        </w:rPr>
        <w:t xml:space="preserve"> </w:t>
      </w:r>
      <w:r w:rsidRPr="00FD2770">
        <w:rPr>
          <w:rFonts w:hint="cs"/>
          <w:rtl/>
        </w:rPr>
        <w:t>(المادتان 2 و6).</w:t>
      </w:r>
    </w:p>
    <w:p w:rsidR="00FD2770" w:rsidRPr="00FD2770" w:rsidRDefault="00FD2770" w:rsidP="00FE5014">
      <w:pPr>
        <w:pStyle w:val="SingleTxt"/>
        <w:rPr>
          <w:b/>
          <w:bCs/>
          <w:rtl/>
        </w:rPr>
      </w:pPr>
      <w:r w:rsidRPr="00FD2770">
        <w:rPr>
          <w:rFonts w:hint="cs"/>
          <w:rtl/>
        </w:rPr>
        <w:tab/>
      </w:r>
      <w:r w:rsidRPr="00FD2770">
        <w:rPr>
          <w:rFonts w:hint="cs"/>
          <w:b/>
          <w:bCs/>
          <w:rtl/>
        </w:rPr>
        <w:t>ينبغي أن تجري الدولة الطرف تحقيقاً مستقلاً ونزيهاً وشاملاً وفعالاً لضمان</w:t>
      </w:r>
      <w:r w:rsidR="00434650">
        <w:rPr>
          <w:rFonts w:hint="cs"/>
          <w:b/>
          <w:bCs/>
          <w:rtl/>
        </w:rPr>
        <w:t xml:space="preserve"> </w:t>
      </w:r>
      <w:r w:rsidRPr="00FD2770">
        <w:rPr>
          <w:rFonts w:hint="cs"/>
          <w:b/>
          <w:bCs/>
          <w:rtl/>
        </w:rPr>
        <w:t>سرد</w:t>
      </w:r>
      <w:r w:rsidR="00434650">
        <w:rPr>
          <w:rFonts w:hint="cs"/>
          <w:b/>
          <w:bCs/>
          <w:rtl/>
        </w:rPr>
        <w:t xml:space="preserve"> </w:t>
      </w:r>
      <w:r w:rsidRPr="00FD2770">
        <w:rPr>
          <w:rFonts w:hint="cs"/>
          <w:b/>
          <w:bCs/>
          <w:rtl/>
        </w:rPr>
        <w:t>كامل</w:t>
      </w:r>
      <w:r w:rsidR="00434650">
        <w:rPr>
          <w:rFonts w:hint="cs"/>
          <w:b/>
          <w:bCs/>
          <w:rtl/>
        </w:rPr>
        <w:t xml:space="preserve"> </w:t>
      </w:r>
      <w:r w:rsidRPr="00FD2770">
        <w:rPr>
          <w:rFonts w:hint="cs"/>
          <w:b/>
          <w:bCs/>
          <w:rtl/>
        </w:rPr>
        <w:t>وشفاف وذي</w:t>
      </w:r>
      <w:r w:rsidR="00434650">
        <w:rPr>
          <w:rFonts w:hint="cs"/>
          <w:b/>
          <w:bCs/>
          <w:rtl/>
        </w:rPr>
        <w:t xml:space="preserve"> </w:t>
      </w:r>
      <w:r w:rsidRPr="00FD2770">
        <w:rPr>
          <w:rFonts w:hint="cs"/>
          <w:b/>
          <w:bCs/>
          <w:rtl/>
        </w:rPr>
        <w:t>مصداقية للظروف المحيطة بأحداث أنديجان في عام 2005، وذلك بهدف تحديد ومقاضاة ومعاقبة الجناة وتوفير سبل</w:t>
      </w:r>
      <w:r w:rsidR="00434650">
        <w:rPr>
          <w:rFonts w:hint="cs"/>
          <w:b/>
          <w:bCs/>
          <w:rtl/>
        </w:rPr>
        <w:t xml:space="preserve"> </w:t>
      </w:r>
      <w:r w:rsidRPr="00FD2770">
        <w:rPr>
          <w:rFonts w:hint="cs"/>
          <w:b/>
          <w:bCs/>
          <w:rtl/>
        </w:rPr>
        <w:t>انتصاف للضحايا. وينبغي للدولة الطرف أيضاً أن تكفل</w:t>
      </w:r>
      <w:r w:rsidR="00434650">
        <w:rPr>
          <w:rFonts w:hint="cs"/>
          <w:b/>
          <w:bCs/>
          <w:rtl/>
        </w:rPr>
        <w:t xml:space="preserve"> </w:t>
      </w:r>
      <w:r w:rsidRPr="00FD2770">
        <w:rPr>
          <w:rFonts w:hint="cs"/>
          <w:b/>
          <w:bCs/>
          <w:rtl/>
        </w:rPr>
        <w:t>أن لوائحها التي تنظم استخدام القوات المكلفة بإنفاذ القوانين وقوات الأمن للأسلحة النارية تتماشى</w:t>
      </w:r>
      <w:r w:rsidR="00434650">
        <w:rPr>
          <w:rFonts w:hint="cs"/>
          <w:b/>
          <w:bCs/>
          <w:rtl/>
        </w:rPr>
        <w:t xml:space="preserve"> </w:t>
      </w:r>
      <w:r w:rsidRPr="00FD2770">
        <w:rPr>
          <w:rFonts w:hint="cs"/>
          <w:b/>
          <w:bCs/>
          <w:rtl/>
        </w:rPr>
        <w:t>تماماً مع أحكام العهد والمبادئ الأساسية لاستخدام القوة والأسلحة النارية من جانب الموظفين المكلفين بإنفاذ القانون.</w:t>
      </w:r>
    </w:p>
    <w:p w:rsidR="00FD2770" w:rsidRPr="00FD2770" w:rsidRDefault="00FD2770" w:rsidP="00EB0D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lastRenderedPageBreak/>
        <w:tab/>
      </w:r>
      <w:r w:rsidRPr="00FD2770">
        <w:rPr>
          <w:rFonts w:hint="cs"/>
          <w:rtl/>
        </w:rPr>
        <w:tab/>
        <w:t>حالة الطوارئ ومكافحة الإرهاب</w:t>
      </w:r>
    </w:p>
    <w:p w:rsidR="00FD2770" w:rsidRPr="00FD2770" w:rsidRDefault="00FD2770" w:rsidP="00FE5014">
      <w:pPr>
        <w:pStyle w:val="SingleTxt"/>
        <w:rPr>
          <w:rFonts w:eastAsia="Calibri"/>
          <w:rtl/>
        </w:rPr>
      </w:pPr>
      <w:r w:rsidRPr="00FD2770">
        <w:rPr>
          <w:rFonts w:hint="cs"/>
          <w:rtl/>
        </w:rPr>
        <w:t>11-</w:t>
      </w:r>
      <w:r w:rsidRPr="00FD2770">
        <w:rPr>
          <w:rFonts w:hint="cs"/>
          <w:rtl/>
        </w:rPr>
        <w:tab/>
        <w:t xml:space="preserve">تحيط اللجنة علماً بإعداد مشروع قانون لحالات الطوارئ، بيد أنها لا تزال تشعر بالقلق (انظر </w:t>
      </w:r>
      <w:r w:rsidRPr="00FD2770">
        <w:rPr>
          <w:rFonts w:eastAsia="Calibri"/>
        </w:rPr>
        <w:t>CCPR/C/UZB/CO/3</w:t>
      </w:r>
      <w:r w:rsidRPr="00FD2770">
        <w:rPr>
          <w:rFonts w:eastAsia="Calibri" w:hint="cs"/>
          <w:rtl/>
        </w:rPr>
        <w:t>، الفقرة 9) لأن اللوائح القائمة المتعلقة بحالات الطوارئ</w:t>
      </w:r>
      <w:r w:rsidR="004926FC">
        <w:rPr>
          <w:rFonts w:eastAsia="Calibri" w:hint="cs"/>
          <w:rtl/>
        </w:rPr>
        <w:t xml:space="preserve">                </w:t>
      </w:r>
      <w:r w:rsidRPr="00FD2770">
        <w:rPr>
          <w:rFonts w:eastAsia="Calibri" w:hint="cs"/>
          <w:rtl/>
        </w:rPr>
        <w:t xml:space="preserve"> لا تمتثل لأحكام المادة 4 من العهد. ولا تزال اللجنة تشعر بالقلق (</w:t>
      </w:r>
      <w:r w:rsidRPr="00FD2770">
        <w:rPr>
          <w:rFonts w:eastAsia="Calibri"/>
        </w:rPr>
        <w:t>CCPR/C/UZB/CO/3</w:t>
      </w:r>
      <w:r w:rsidRPr="00FD2770">
        <w:rPr>
          <w:rFonts w:eastAsia="Calibri" w:hint="cs"/>
          <w:rtl/>
        </w:rPr>
        <w:t xml:space="preserve">، </w:t>
      </w:r>
      <w:r w:rsidR="004926FC">
        <w:rPr>
          <w:rFonts w:eastAsia="Calibri" w:hint="cs"/>
          <w:rtl/>
        </w:rPr>
        <w:t xml:space="preserve">  </w:t>
      </w:r>
      <w:r w:rsidRPr="00FD2770">
        <w:rPr>
          <w:rFonts w:eastAsia="Calibri" w:hint="cs"/>
          <w:rtl/>
        </w:rPr>
        <w:t>الفقرة 15)، إزاء: (أ) التعريف الفضفاض للغاية للإرهاب والأنشطة الإرهابية المستخدَم على نطاق واسع، وفقاً للتقارير، لتوجيه اتهامات ومقاضاة</w:t>
      </w:r>
      <w:r w:rsidR="00434650">
        <w:rPr>
          <w:rFonts w:eastAsia="Calibri" w:hint="cs"/>
          <w:rtl/>
        </w:rPr>
        <w:t xml:space="preserve"> </w:t>
      </w:r>
      <w:r w:rsidRPr="00FD2770">
        <w:rPr>
          <w:rFonts w:eastAsia="Calibri" w:hint="cs"/>
          <w:rtl/>
        </w:rPr>
        <w:t xml:space="preserve">أعضاء أو من يُشتبه بأنهم أعضاء </w:t>
      </w:r>
      <w:r w:rsidR="004926FC">
        <w:rPr>
          <w:rFonts w:eastAsia="Calibri" w:hint="cs"/>
          <w:rtl/>
        </w:rPr>
        <w:t xml:space="preserve">             </w:t>
      </w:r>
      <w:r w:rsidRPr="00FD2770">
        <w:rPr>
          <w:rFonts w:eastAsia="Calibri" w:hint="cs"/>
          <w:rtl/>
        </w:rPr>
        <w:t>الحركات الإسلامية المحظورة؛ (ب) الضمانات القانونية المقدمة إلى لأشخاص المشتبه بارتكابهم أفعال إرهابية أو جرائم ذات صلة بها أو المتهمين بهذه الأفعال</w:t>
      </w:r>
      <w:r w:rsidR="00434650">
        <w:rPr>
          <w:rFonts w:eastAsia="Calibri" w:hint="cs"/>
          <w:rtl/>
        </w:rPr>
        <w:t xml:space="preserve"> </w:t>
      </w:r>
      <w:r w:rsidRPr="00FD2770">
        <w:rPr>
          <w:rFonts w:eastAsia="Calibri" w:hint="cs"/>
          <w:rtl/>
        </w:rPr>
        <w:t>وادعاءات</w:t>
      </w:r>
      <w:r w:rsidR="00434650">
        <w:rPr>
          <w:rFonts w:eastAsia="Calibri" w:hint="cs"/>
          <w:rtl/>
        </w:rPr>
        <w:t xml:space="preserve"> </w:t>
      </w:r>
      <w:r w:rsidRPr="00FD2770">
        <w:rPr>
          <w:rFonts w:eastAsia="Calibri" w:hint="cs"/>
          <w:rtl/>
        </w:rPr>
        <w:t>تعرض أولئك الأشخاص للحبس الانفرادي والتعذيب</w:t>
      </w:r>
      <w:r w:rsidR="00434650">
        <w:rPr>
          <w:rFonts w:eastAsia="Calibri" w:hint="cs"/>
          <w:rtl/>
        </w:rPr>
        <w:t xml:space="preserve"> </w:t>
      </w:r>
      <w:r w:rsidRPr="00FD2770">
        <w:rPr>
          <w:rFonts w:eastAsia="Calibri" w:hint="cs"/>
          <w:rtl/>
        </w:rPr>
        <w:t>وعقوبات</w:t>
      </w:r>
      <w:r w:rsidR="00434650">
        <w:rPr>
          <w:rFonts w:eastAsia="Calibri" w:hint="cs"/>
          <w:rtl/>
        </w:rPr>
        <w:t xml:space="preserve"> </w:t>
      </w:r>
      <w:r w:rsidRPr="00FD2770">
        <w:rPr>
          <w:rFonts w:eastAsia="Calibri" w:hint="cs"/>
          <w:rtl/>
        </w:rPr>
        <w:t>سجن لمدة طويلة في ظروف غير إنسانية ومهينة (المواد 4 و7 و9 و10 و14 و18 و19).</w:t>
      </w:r>
    </w:p>
    <w:p w:rsidR="00FD2770" w:rsidRPr="00FD2770" w:rsidRDefault="00FD2770" w:rsidP="00EB0DAF">
      <w:pPr>
        <w:pStyle w:val="SingleTxt"/>
        <w:rPr>
          <w:b/>
          <w:bCs/>
          <w:rtl/>
        </w:rPr>
      </w:pPr>
      <w:r w:rsidRPr="00FD2770">
        <w:rPr>
          <w:rFonts w:hint="cs"/>
          <w:rtl/>
        </w:rPr>
        <w:tab/>
      </w:r>
      <w:r w:rsidRPr="00FD2770">
        <w:rPr>
          <w:rFonts w:hint="cs"/>
          <w:b/>
          <w:bCs/>
          <w:rtl/>
        </w:rPr>
        <w:t>ينبغي للدولة الطرف أن تسرع اعتماد قانون ينظَّم حالات الطوارئ وتكفل امتثالها بالكامل لمقتضيات المادة 4 من العهد، وفقاً لتفسير اللجنة في تعليقها العام رقم 29. وينبغي للدولة الطرف أن تتخذ جميع التدابير اللازمة لضمان تطابق تشريعاتها وممارساتها المتعلقة بمكافحة الإرهاب، بالكامل، مع التزاماتها بموجب العهد،</w:t>
      </w:r>
      <w:r w:rsidR="00434650">
        <w:rPr>
          <w:rFonts w:hint="cs"/>
          <w:b/>
          <w:bCs/>
          <w:rtl/>
        </w:rPr>
        <w:t xml:space="preserve"> </w:t>
      </w:r>
      <w:r w:rsidRPr="00FD2770">
        <w:rPr>
          <w:rFonts w:hint="cs"/>
          <w:b/>
          <w:bCs/>
          <w:rtl/>
        </w:rPr>
        <w:t>بسبل منها</w:t>
      </w:r>
      <w:r w:rsidR="00EB0DAF">
        <w:rPr>
          <w:rFonts w:hint="cs"/>
          <w:b/>
          <w:bCs/>
          <w:rtl/>
        </w:rPr>
        <w:t xml:space="preserve"> </w:t>
      </w:r>
      <w:r w:rsidRPr="00FD2770">
        <w:rPr>
          <w:rFonts w:hint="cs"/>
          <w:b/>
          <w:bCs/>
          <w:rtl/>
        </w:rPr>
        <w:t>ما يلي:</w:t>
      </w:r>
    </w:p>
    <w:p w:rsidR="00FD2770" w:rsidRPr="00FD2770" w:rsidRDefault="00FD2770" w:rsidP="00FE5014">
      <w:pPr>
        <w:pStyle w:val="SingleTxt"/>
        <w:rPr>
          <w:b/>
          <w:bCs/>
          <w:rtl/>
        </w:rPr>
      </w:pPr>
      <w:r w:rsidRPr="00FD2770">
        <w:rPr>
          <w:rFonts w:hint="cs"/>
          <w:b/>
          <w:bCs/>
          <w:rtl/>
        </w:rPr>
        <w:tab/>
      </w:r>
      <w:r w:rsidRPr="00EB0DAF">
        <w:rPr>
          <w:rFonts w:hint="cs"/>
          <w:rtl/>
        </w:rPr>
        <w:t>(أ)</w:t>
      </w:r>
      <w:r w:rsidRPr="00FD2770">
        <w:rPr>
          <w:rFonts w:hint="cs"/>
          <w:b/>
          <w:bCs/>
          <w:rtl/>
        </w:rPr>
        <w:tab/>
        <w:t>تعديل تعريفها للإرهاب والأنشطة والإرهابية الفضفاض للغاية؛</w:t>
      </w:r>
    </w:p>
    <w:p w:rsidR="00FD2770" w:rsidRPr="00FD2770" w:rsidRDefault="00FD2770" w:rsidP="00FE5014">
      <w:pPr>
        <w:pStyle w:val="SingleTxt"/>
        <w:rPr>
          <w:b/>
          <w:bCs/>
          <w:rtl/>
        </w:rPr>
      </w:pPr>
      <w:r w:rsidRPr="00FD2770">
        <w:rPr>
          <w:rFonts w:hint="cs"/>
          <w:b/>
          <w:bCs/>
          <w:rtl/>
        </w:rPr>
        <w:tab/>
      </w:r>
      <w:r w:rsidRPr="00EB0DAF">
        <w:rPr>
          <w:rFonts w:hint="cs"/>
          <w:rtl/>
        </w:rPr>
        <w:t>(ب)</w:t>
      </w:r>
      <w:r w:rsidRPr="00FD2770">
        <w:rPr>
          <w:rFonts w:hint="cs"/>
          <w:b/>
          <w:bCs/>
          <w:rtl/>
        </w:rPr>
        <w:tab/>
        <w:t>ضمان توفير جميع الضمانات القانونية، من الناحية العملية، للأشخاص المشتبه في ارتكابهم أفعال إرهابية أو جرائم ذات صلة بها أو المتهمين بارتكاب هذه الأفعال، وضمان أن لا تُفرض أية قيود على حقوقهم</w:t>
      </w:r>
      <w:r w:rsidR="00434650">
        <w:rPr>
          <w:rFonts w:hint="cs"/>
          <w:b/>
          <w:bCs/>
          <w:rtl/>
        </w:rPr>
        <w:t xml:space="preserve"> </w:t>
      </w:r>
      <w:r w:rsidRPr="00FD2770">
        <w:rPr>
          <w:rFonts w:hint="cs"/>
          <w:b/>
          <w:bCs/>
          <w:rtl/>
        </w:rPr>
        <w:t>فرضاً تعسفياً، وأن تكون هذه القيود قانونية وضرورية</w:t>
      </w:r>
      <w:r w:rsidR="00434650">
        <w:rPr>
          <w:rFonts w:hint="cs"/>
          <w:b/>
          <w:bCs/>
          <w:rtl/>
        </w:rPr>
        <w:t xml:space="preserve"> </w:t>
      </w:r>
      <w:r w:rsidRPr="00FD2770">
        <w:rPr>
          <w:rFonts w:hint="cs"/>
          <w:b/>
          <w:bCs/>
          <w:rtl/>
        </w:rPr>
        <w:t>ومتناسبة مع أفعالهم وتخضع لإشراف قضائي فعال.</w:t>
      </w:r>
    </w:p>
    <w:p w:rsidR="00EB0DAF" w:rsidRPr="00EB0DAF" w:rsidRDefault="00EB0DAF" w:rsidP="00EB0DAF">
      <w:pPr>
        <w:pStyle w:val="SingleTxt"/>
        <w:spacing w:after="0" w:line="120" w:lineRule="exact"/>
        <w:rPr>
          <w:b/>
          <w:bCs/>
          <w:spacing w:val="2"/>
          <w:sz w:val="10"/>
          <w:rtl/>
        </w:rPr>
      </w:pPr>
    </w:p>
    <w:p w:rsidR="00FD2770" w:rsidRPr="00FD2770" w:rsidRDefault="00FD2770" w:rsidP="00EB0D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حالات الوفاة أثناء الاحتجاز</w:t>
      </w:r>
    </w:p>
    <w:p w:rsidR="00FD2770" w:rsidRPr="00FD2770" w:rsidRDefault="00FD2770" w:rsidP="00FE5014">
      <w:pPr>
        <w:pStyle w:val="SingleTxt"/>
        <w:rPr>
          <w:rtl/>
        </w:rPr>
      </w:pPr>
      <w:r w:rsidRPr="00FD2770">
        <w:rPr>
          <w:rFonts w:hint="cs"/>
          <w:rtl/>
        </w:rPr>
        <w:t>12-</w:t>
      </w:r>
      <w:r w:rsidRPr="00FD2770">
        <w:rPr>
          <w:rFonts w:hint="cs"/>
          <w:rtl/>
        </w:rPr>
        <w:tab/>
        <w:t>يساور اللجنة القلق إزاء التقارير المتعلقة بحدوث حالات وفاة في الاحتجاز والحرمان من الرعاية الصحية</w:t>
      </w:r>
      <w:r w:rsidR="00434650">
        <w:rPr>
          <w:rFonts w:hint="cs"/>
          <w:rtl/>
        </w:rPr>
        <w:t xml:space="preserve"> </w:t>
      </w:r>
      <w:r w:rsidRPr="00FD2770">
        <w:rPr>
          <w:rFonts w:hint="cs"/>
          <w:rtl/>
        </w:rPr>
        <w:t>الملائمة. ويساور اللجنة القلق أيضاً إزاء عدم إجراء تحقيقات فعالة</w:t>
      </w:r>
      <w:r w:rsidR="00434650">
        <w:rPr>
          <w:rFonts w:hint="cs"/>
          <w:rtl/>
        </w:rPr>
        <w:t xml:space="preserve"> </w:t>
      </w:r>
      <w:r w:rsidRPr="00FD2770">
        <w:rPr>
          <w:rFonts w:hint="cs"/>
          <w:rtl/>
        </w:rPr>
        <w:t>ومستقلة في هذه الحالات (المادتان 2 و6).</w:t>
      </w:r>
    </w:p>
    <w:p w:rsidR="00FD2770" w:rsidRPr="00FD2770" w:rsidRDefault="00FD2770" w:rsidP="00FE5014">
      <w:pPr>
        <w:pStyle w:val="SingleTxt"/>
        <w:rPr>
          <w:b/>
          <w:bCs/>
          <w:rtl/>
        </w:rPr>
      </w:pPr>
      <w:r w:rsidRPr="00FD2770">
        <w:rPr>
          <w:rFonts w:hint="cs"/>
          <w:rtl/>
        </w:rPr>
        <w:tab/>
      </w:r>
      <w:r w:rsidRPr="00FD2770">
        <w:rPr>
          <w:rFonts w:hint="cs"/>
          <w:b/>
          <w:bCs/>
          <w:rtl/>
        </w:rPr>
        <w:t>ينبغي للدولة الطرف أن تفي بالتزاماتها باحترام وحماية</w:t>
      </w:r>
      <w:r w:rsidR="00434650">
        <w:rPr>
          <w:rFonts w:hint="cs"/>
          <w:b/>
          <w:bCs/>
          <w:rtl/>
        </w:rPr>
        <w:t xml:space="preserve"> </w:t>
      </w:r>
      <w:r w:rsidRPr="00FD2770">
        <w:rPr>
          <w:rFonts w:hint="cs"/>
          <w:b/>
          <w:bCs/>
          <w:rtl/>
        </w:rPr>
        <w:t>حق</w:t>
      </w:r>
      <w:r w:rsidR="00434650">
        <w:rPr>
          <w:rFonts w:hint="cs"/>
          <w:b/>
          <w:bCs/>
          <w:rtl/>
        </w:rPr>
        <w:t xml:space="preserve"> </w:t>
      </w:r>
      <w:r w:rsidRPr="00FD2770">
        <w:rPr>
          <w:rFonts w:hint="cs"/>
          <w:b/>
          <w:bCs/>
          <w:rtl/>
        </w:rPr>
        <w:t>الأفراد المحتجزين في الحياة،</w:t>
      </w:r>
      <w:r w:rsidR="00434650">
        <w:rPr>
          <w:rFonts w:hint="cs"/>
          <w:b/>
          <w:bCs/>
          <w:rtl/>
        </w:rPr>
        <w:t xml:space="preserve"> </w:t>
      </w:r>
      <w:r w:rsidRPr="00FD2770">
        <w:rPr>
          <w:rFonts w:hint="cs"/>
          <w:b/>
          <w:bCs/>
          <w:rtl/>
        </w:rPr>
        <w:t>بوسائل منها اتخاذ</w:t>
      </w:r>
      <w:r w:rsidR="00434650">
        <w:rPr>
          <w:rFonts w:hint="cs"/>
          <w:b/>
          <w:bCs/>
          <w:rtl/>
        </w:rPr>
        <w:t xml:space="preserve"> </w:t>
      </w:r>
      <w:r w:rsidRPr="00FD2770">
        <w:rPr>
          <w:rFonts w:hint="cs"/>
          <w:b/>
          <w:bCs/>
          <w:rtl/>
        </w:rPr>
        <w:t>تدابير</w:t>
      </w:r>
      <w:r w:rsidR="00434650">
        <w:rPr>
          <w:rFonts w:hint="cs"/>
          <w:b/>
          <w:bCs/>
          <w:rtl/>
        </w:rPr>
        <w:t xml:space="preserve"> </w:t>
      </w:r>
      <w:r w:rsidRPr="00FD2770">
        <w:rPr>
          <w:rFonts w:hint="cs"/>
          <w:b/>
          <w:bCs/>
          <w:rtl/>
        </w:rPr>
        <w:t>مناسبة لمعالجة الأسباب الكامنة وراء حالات الوفاة في الاحتجاز، وضمان إمكانية الحصول فوراً على</w:t>
      </w:r>
      <w:r w:rsidR="00434650">
        <w:rPr>
          <w:rFonts w:hint="cs"/>
          <w:b/>
          <w:bCs/>
          <w:rtl/>
        </w:rPr>
        <w:t xml:space="preserve"> </w:t>
      </w:r>
      <w:r w:rsidRPr="00FD2770">
        <w:rPr>
          <w:rFonts w:hint="cs"/>
          <w:b/>
          <w:bCs/>
          <w:rtl/>
        </w:rPr>
        <w:t>رعاية</w:t>
      </w:r>
      <w:r w:rsidR="00434650">
        <w:rPr>
          <w:rFonts w:hint="cs"/>
          <w:b/>
          <w:bCs/>
          <w:rtl/>
        </w:rPr>
        <w:t xml:space="preserve"> </w:t>
      </w:r>
      <w:r w:rsidRPr="00FD2770">
        <w:rPr>
          <w:rFonts w:hint="cs"/>
          <w:b/>
          <w:bCs/>
          <w:rtl/>
        </w:rPr>
        <w:t>طبية</w:t>
      </w:r>
      <w:r w:rsidR="00434650">
        <w:rPr>
          <w:rFonts w:hint="cs"/>
          <w:b/>
          <w:bCs/>
          <w:rtl/>
        </w:rPr>
        <w:t xml:space="preserve"> </w:t>
      </w:r>
      <w:r w:rsidRPr="00FD2770">
        <w:rPr>
          <w:rFonts w:hint="cs"/>
          <w:b/>
          <w:bCs/>
          <w:rtl/>
        </w:rPr>
        <w:t>ملائمة، واتخاذ</w:t>
      </w:r>
      <w:r w:rsidR="00434650">
        <w:rPr>
          <w:rFonts w:hint="cs"/>
          <w:b/>
          <w:bCs/>
          <w:rtl/>
        </w:rPr>
        <w:t xml:space="preserve"> </w:t>
      </w:r>
      <w:r w:rsidRPr="00FD2770">
        <w:rPr>
          <w:rFonts w:hint="cs"/>
          <w:b/>
          <w:bCs/>
          <w:rtl/>
        </w:rPr>
        <w:t>خطوات</w:t>
      </w:r>
      <w:r w:rsidR="00434650">
        <w:rPr>
          <w:rFonts w:hint="cs"/>
          <w:b/>
          <w:bCs/>
          <w:rtl/>
        </w:rPr>
        <w:t xml:space="preserve"> </w:t>
      </w:r>
      <w:r w:rsidRPr="00FD2770">
        <w:rPr>
          <w:rFonts w:hint="cs"/>
          <w:b/>
          <w:bCs/>
          <w:rtl/>
        </w:rPr>
        <w:t>فورية لضمان التحقيق فوراً في حالات الوفاة في الاحتجاز من جانب هيئة مستقلة ومحايدة،</w:t>
      </w:r>
      <w:r w:rsidR="00434650">
        <w:rPr>
          <w:rFonts w:hint="cs"/>
          <w:b/>
          <w:bCs/>
          <w:rtl/>
        </w:rPr>
        <w:t xml:space="preserve"> </w:t>
      </w:r>
      <w:r w:rsidRPr="00FD2770">
        <w:rPr>
          <w:rFonts w:hint="cs"/>
          <w:b/>
          <w:bCs/>
          <w:rtl/>
        </w:rPr>
        <w:t>بوسائل منها الأمر بإجراء فحوص الطب الشرعي وضمان إعلام أسر الضحايا، على النحو الواجب، بجميع مراحل التحقيق وتقديم الجناة إلى العدالة.</w:t>
      </w:r>
    </w:p>
    <w:p w:rsidR="00FD2770" w:rsidRPr="00FD2770" w:rsidRDefault="00FD2770" w:rsidP="00EB0D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lastRenderedPageBreak/>
        <w:tab/>
      </w:r>
      <w:r w:rsidRPr="00FD2770">
        <w:rPr>
          <w:rFonts w:hint="cs"/>
          <w:rtl/>
        </w:rPr>
        <w:tab/>
        <w:t>التعذيب</w:t>
      </w:r>
    </w:p>
    <w:p w:rsidR="00FD2770" w:rsidRPr="00FD2770" w:rsidRDefault="00FD2770" w:rsidP="00FE5014">
      <w:pPr>
        <w:pStyle w:val="SingleTxt"/>
        <w:rPr>
          <w:rtl/>
        </w:rPr>
      </w:pPr>
      <w:r w:rsidRPr="00FD2770">
        <w:rPr>
          <w:rFonts w:hint="cs"/>
          <w:rtl/>
        </w:rPr>
        <w:t>13-</w:t>
      </w:r>
      <w:r w:rsidRPr="00FD2770">
        <w:rPr>
          <w:rFonts w:hint="cs"/>
          <w:rtl/>
        </w:rPr>
        <w:tab/>
        <w:t>لا تزال اللجنة تشعر بالقلق</w:t>
      </w:r>
      <w:r w:rsidR="00434650">
        <w:rPr>
          <w:rFonts w:hint="cs"/>
          <w:rtl/>
        </w:rPr>
        <w:t xml:space="preserve"> </w:t>
      </w:r>
      <w:r w:rsidRPr="00FD2770">
        <w:rPr>
          <w:rFonts w:hint="cs"/>
          <w:rtl/>
        </w:rPr>
        <w:t>لأن تعريف التعذيب الوارد في</w:t>
      </w:r>
      <w:r w:rsidR="00434650">
        <w:rPr>
          <w:rFonts w:hint="cs"/>
          <w:rtl/>
        </w:rPr>
        <w:t xml:space="preserve"> </w:t>
      </w:r>
      <w:r w:rsidRPr="00FD2770">
        <w:rPr>
          <w:rFonts w:hint="cs"/>
          <w:rtl/>
        </w:rPr>
        <w:t>التشريعات الجنائية، بما فيها المادة 235 من القانون الجنائي، لا</w:t>
      </w:r>
      <w:r w:rsidR="00434650">
        <w:rPr>
          <w:rFonts w:hint="cs"/>
          <w:rtl/>
        </w:rPr>
        <w:t xml:space="preserve"> </w:t>
      </w:r>
      <w:r w:rsidRPr="00FD2770">
        <w:rPr>
          <w:rFonts w:hint="cs"/>
          <w:rtl/>
        </w:rPr>
        <w:t>يفي بمقتضيات المادة 7 من العهد، لأنه</w:t>
      </w:r>
      <w:r w:rsidR="00434650">
        <w:rPr>
          <w:rFonts w:hint="cs"/>
          <w:rtl/>
        </w:rPr>
        <w:t xml:space="preserve"> </w:t>
      </w:r>
      <w:r w:rsidRPr="00FD2770">
        <w:rPr>
          <w:rFonts w:hint="cs"/>
          <w:rtl/>
        </w:rPr>
        <w:t>يقتصر على الأفعال غير القانونية</w:t>
      </w:r>
      <w:r w:rsidR="00434650">
        <w:rPr>
          <w:rFonts w:hint="cs"/>
          <w:rtl/>
        </w:rPr>
        <w:t xml:space="preserve"> </w:t>
      </w:r>
      <w:r w:rsidRPr="00FD2770">
        <w:rPr>
          <w:rFonts w:hint="cs"/>
          <w:rtl/>
        </w:rPr>
        <w:t>المرتكبة بهدف الإرغام على الإدلاء بشهادة، والمقتصرة لذلك في الواقع العملي على أفعال التعذيب التي لا يرتكبها إلا</w:t>
      </w:r>
      <w:r w:rsidR="00434650">
        <w:rPr>
          <w:rFonts w:hint="cs"/>
          <w:rtl/>
        </w:rPr>
        <w:t xml:space="preserve"> </w:t>
      </w:r>
      <w:r w:rsidRPr="00FD2770">
        <w:rPr>
          <w:rFonts w:hint="cs"/>
          <w:rtl/>
        </w:rPr>
        <w:t>شخص يقوم بتحقيق أولي أو بتحقيق ما قبل المحاكمة أو مدع عام أو موظف آخر من وكالة لإنفاذ القوانين، وينتج عنه إفلات أشخاص آخرين من العقاب، بمن فيهم المحتجزون والسجناء. ويساور اللجنة القلق أيضاً لأن الدولة الطرف تواصل إعفاء أفراد أُدينوا بممارسة التعذيب أو سوء المعاملة بموجب المادة 235 من القانون الجنائي</w:t>
      </w:r>
      <w:r w:rsidRPr="00FD2770">
        <w:rPr>
          <w:rtl/>
        </w:rPr>
        <w:br/>
      </w:r>
      <w:r w:rsidRPr="00FD2770">
        <w:rPr>
          <w:rFonts w:hint="cs"/>
          <w:rtl/>
        </w:rPr>
        <w:t>(المادتان 2 و7).</w:t>
      </w:r>
    </w:p>
    <w:p w:rsidR="00FD2770" w:rsidRPr="00FD2770" w:rsidRDefault="00FD2770" w:rsidP="00FE5014">
      <w:pPr>
        <w:pStyle w:val="SingleTxt"/>
        <w:rPr>
          <w:bCs/>
          <w:rtl/>
        </w:rPr>
      </w:pPr>
      <w:r w:rsidRPr="00FD2770">
        <w:rPr>
          <w:rFonts w:hint="cs"/>
          <w:bCs/>
          <w:rtl/>
        </w:rPr>
        <w:tab/>
        <w:t xml:space="preserve">تكرر اللجنة توصيتها السابقة (انظر </w:t>
      </w:r>
      <w:r w:rsidRPr="00FD2770">
        <w:rPr>
          <w:bCs/>
        </w:rPr>
        <w:t>CCPR/C/UZB/CO/3</w:t>
      </w:r>
      <w:r w:rsidRPr="00FD2770">
        <w:rPr>
          <w:rFonts w:hint="cs"/>
          <w:bCs/>
          <w:rtl/>
        </w:rPr>
        <w:t>، الفقرة 10) وتحث الدولة الطرف على أن تقوم، على وجه السرعة، بتعديل تشريعاتها الجنائية، بما في ذلك المادة 235 من</w:t>
      </w:r>
      <w:r w:rsidR="00434650">
        <w:rPr>
          <w:rFonts w:hint="cs"/>
          <w:bCs/>
          <w:rtl/>
        </w:rPr>
        <w:t xml:space="preserve"> </w:t>
      </w:r>
      <w:r w:rsidRPr="00FD2770">
        <w:rPr>
          <w:rFonts w:hint="cs"/>
          <w:bCs/>
          <w:rtl/>
        </w:rPr>
        <w:t>قانونها الجنائي، بهدف</w:t>
      </w:r>
      <w:r w:rsidR="00434650">
        <w:rPr>
          <w:rFonts w:hint="cs"/>
          <w:bCs/>
          <w:rtl/>
        </w:rPr>
        <w:t xml:space="preserve"> </w:t>
      </w:r>
      <w:r w:rsidRPr="00FD2770">
        <w:rPr>
          <w:rFonts w:hint="cs"/>
          <w:bCs/>
          <w:rtl/>
        </w:rPr>
        <w:t>ضمان</w:t>
      </w:r>
      <w:r w:rsidR="00434650">
        <w:rPr>
          <w:rFonts w:hint="cs"/>
          <w:bCs/>
          <w:rtl/>
        </w:rPr>
        <w:t xml:space="preserve"> </w:t>
      </w:r>
      <w:r w:rsidRPr="00FD2770">
        <w:rPr>
          <w:rFonts w:hint="cs"/>
          <w:bCs/>
          <w:rtl/>
        </w:rPr>
        <w:t>امتثال تعريف التعذيب</w:t>
      </w:r>
      <w:r w:rsidR="00434650">
        <w:rPr>
          <w:rFonts w:hint="cs"/>
          <w:bCs/>
          <w:rtl/>
        </w:rPr>
        <w:t xml:space="preserve"> </w:t>
      </w:r>
      <w:r w:rsidRPr="00FD2770">
        <w:rPr>
          <w:rFonts w:hint="cs"/>
          <w:bCs/>
          <w:rtl/>
        </w:rPr>
        <w:t>تماماً</w:t>
      </w:r>
      <w:r w:rsidR="00434650">
        <w:rPr>
          <w:rFonts w:hint="cs"/>
          <w:bCs/>
          <w:rtl/>
        </w:rPr>
        <w:t xml:space="preserve"> </w:t>
      </w:r>
      <w:r w:rsidRPr="00FD2770">
        <w:rPr>
          <w:rFonts w:hint="cs"/>
          <w:bCs/>
          <w:rtl/>
        </w:rPr>
        <w:t>للمادة 1 من اتفاقية مناهضة التعذيب وغيره من ضروب المعاملة أو العقوبة القاسية أو اللاإنسانية</w:t>
      </w:r>
      <w:r w:rsidR="001C367F">
        <w:rPr>
          <w:rFonts w:hint="cs"/>
          <w:bCs/>
          <w:rtl/>
        </w:rPr>
        <w:t xml:space="preserve">            </w:t>
      </w:r>
      <w:r w:rsidRPr="00FD2770">
        <w:rPr>
          <w:rFonts w:hint="cs"/>
          <w:bCs/>
          <w:rtl/>
        </w:rPr>
        <w:t xml:space="preserve"> أو المهينة</w:t>
      </w:r>
      <w:r w:rsidR="00434650">
        <w:rPr>
          <w:rFonts w:hint="cs"/>
          <w:bCs/>
          <w:rtl/>
        </w:rPr>
        <w:t xml:space="preserve"> </w:t>
      </w:r>
      <w:r w:rsidRPr="00FD2770">
        <w:rPr>
          <w:rFonts w:hint="cs"/>
          <w:bCs/>
          <w:rtl/>
        </w:rPr>
        <w:t>وللمادة 7 من العهد</w:t>
      </w:r>
      <w:r w:rsidR="00434650">
        <w:rPr>
          <w:rFonts w:hint="cs"/>
          <w:bCs/>
          <w:rtl/>
        </w:rPr>
        <w:t xml:space="preserve"> </w:t>
      </w:r>
      <w:r w:rsidRPr="00FD2770">
        <w:rPr>
          <w:rFonts w:hint="cs"/>
          <w:bCs/>
          <w:rtl/>
        </w:rPr>
        <w:t>وتطبيقه على الأفعال</w:t>
      </w:r>
      <w:r w:rsidR="00434650">
        <w:rPr>
          <w:rFonts w:hint="cs"/>
          <w:bCs/>
          <w:rtl/>
        </w:rPr>
        <w:t xml:space="preserve"> </w:t>
      </w:r>
      <w:r w:rsidRPr="00FD2770">
        <w:rPr>
          <w:rFonts w:hint="cs"/>
          <w:bCs/>
          <w:rtl/>
        </w:rPr>
        <w:t>التي يرتكبها جميع الأشخاص الذين يتصرفون بصفتهم الرسمية أو خارج نطاق صفتهم الرسمية أو بصفتهم الشخصية عندما تكون أفعال التعذيب مُرتَكَبة بتحريض أو بموافقة صريحة أو ضمنية من موظف حكومي</w:t>
      </w:r>
      <w:r w:rsidR="001C367F">
        <w:rPr>
          <w:rFonts w:hint="cs"/>
          <w:bCs/>
          <w:rtl/>
        </w:rPr>
        <w:t xml:space="preserve">            </w:t>
      </w:r>
      <w:r w:rsidRPr="00FD2770">
        <w:rPr>
          <w:rFonts w:hint="cs"/>
          <w:bCs/>
          <w:rtl/>
        </w:rPr>
        <w:t xml:space="preserve"> أو شخص آخر يتصرف بصفة</w:t>
      </w:r>
      <w:r w:rsidR="00434650">
        <w:rPr>
          <w:rFonts w:hint="cs"/>
          <w:bCs/>
          <w:rtl/>
        </w:rPr>
        <w:t xml:space="preserve"> </w:t>
      </w:r>
      <w:r w:rsidRPr="00FD2770">
        <w:rPr>
          <w:rFonts w:hint="cs"/>
          <w:bCs/>
          <w:rtl/>
        </w:rPr>
        <w:t>رسمية. وينبغي للدولة الطرف أن تضع حداً كذلك لممارسة منح العفو للأشخاص المدانين بتهمة التعذيب أو سوء المعاملة، الأمر الذي يتعارض مع التزاماتها بموجب المادة 7 من العهد.</w:t>
      </w:r>
    </w:p>
    <w:p w:rsidR="00FD2770" w:rsidRPr="00FD2770" w:rsidRDefault="00FD2770" w:rsidP="00FE5014">
      <w:pPr>
        <w:pStyle w:val="SingleTxt"/>
        <w:rPr>
          <w:rtl/>
        </w:rPr>
      </w:pPr>
      <w:r w:rsidRPr="00FD2770">
        <w:rPr>
          <w:rFonts w:hint="cs"/>
          <w:rtl/>
        </w:rPr>
        <w:t>14-</w:t>
      </w:r>
      <w:r w:rsidRPr="00FD2770">
        <w:rPr>
          <w:rFonts w:hint="cs"/>
          <w:rtl/>
        </w:rPr>
        <w:tab/>
        <w:t>ولا تزال اللجنة تشعر بالقلق إزاء التقارير التي تفيد</w:t>
      </w:r>
      <w:r w:rsidR="00434650">
        <w:rPr>
          <w:rFonts w:hint="cs"/>
          <w:rtl/>
        </w:rPr>
        <w:t xml:space="preserve"> </w:t>
      </w:r>
      <w:r w:rsidRPr="00FD2770">
        <w:rPr>
          <w:rFonts w:hint="cs"/>
          <w:rtl/>
        </w:rPr>
        <w:t>بأن اللجوء</w:t>
      </w:r>
      <w:r w:rsidR="00434650">
        <w:rPr>
          <w:rFonts w:hint="cs"/>
          <w:rtl/>
        </w:rPr>
        <w:t xml:space="preserve"> </w:t>
      </w:r>
      <w:r w:rsidRPr="00FD2770">
        <w:rPr>
          <w:rFonts w:hint="cs"/>
          <w:rtl/>
        </w:rPr>
        <w:t>على نحو روتيني إلى التعذيب ما زال مستمراً في نظام العدالة الجنائية؛</w:t>
      </w:r>
      <w:r w:rsidR="00434650">
        <w:rPr>
          <w:rFonts w:hint="cs"/>
          <w:rtl/>
        </w:rPr>
        <w:t xml:space="preserve"> </w:t>
      </w:r>
      <w:r w:rsidRPr="00FD2770">
        <w:rPr>
          <w:rFonts w:hint="cs"/>
          <w:rtl/>
        </w:rPr>
        <w:t>وبأن الاعترافات المنتزعة بالإكراه تستخدم كأدلة في المحكمة على الرغم من الحظر القانوني القائم،</w:t>
      </w:r>
      <w:r w:rsidR="00434650">
        <w:rPr>
          <w:rFonts w:hint="cs"/>
          <w:rtl/>
        </w:rPr>
        <w:t xml:space="preserve"> </w:t>
      </w:r>
      <w:r w:rsidRPr="00FD2770">
        <w:rPr>
          <w:rFonts w:hint="cs"/>
          <w:rtl/>
        </w:rPr>
        <w:t>وبأن القضاة لا يأمرون بالتحقيق في</w:t>
      </w:r>
      <w:r w:rsidR="00434650">
        <w:rPr>
          <w:rFonts w:hint="cs"/>
          <w:rtl/>
        </w:rPr>
        <w:t xml:space="preserve"> </w:t>
      </w:r>
      <w:r w:rsidRPr="00FD2770">
        <w:rPr>
          <w:rFonts w:hint="cs"/>
          <w:rtl/>
        </w:rPr>
        <w:t>ادعاءات</w:t>
      </w:r>
      <w:r w:rsidR="00434650">
        <w:rPr>
          <w:rFonts w:hint="cs"/>
          <w:rtl/>
        </w:rPr>
        <w:t xml:space="preserve"> </w:t>
      </w:r>
      <w:r w:rsidRPr="00FD2770">
        <w:rPr>
          <w:rFonts w:hint="cs"/>
          <w:rtl/>
        </w:rPr>
        <w:t>الاعتراف</w:t>
      </w:r>
      <w:r w:rsidR="00434650">
        <w:rPr>
          <w:rFonts w:hint="cs"/>
          <w:rtl/>
        </w:rPr>
        <w:t xml:space="preserve"> </w:t>
      </w:r>
      <w:r w:rsidRPr="00FD2770">
        <w:rPr>
          <w:rFonts w:hint="cs"/>
          <w:rtl/>
        </w:rPr>
        <w:t>تحت وطأة الإكراه حتى عندما تكون علامات التعذيب مرئية؛</w:t>
      </w:r>
      <w:r w:rsidR="00434650">
        <w:rPr>
          <w:rFonts w:hint="cs"/>
          <w:rtl/>
        </w:rPr>
        <w:t xml:space="preserve"> </w:t>
      </w:r>
      <w:r w:rsidRPr="00FD2770">
        <w:rPr>
          <w:rFonts w:hint="cs"/>
          <w:rtl/>
        </w:rPr>
        <w:t>وبأن الأشخاص الذين يشتكون من تعرضهم للتعذيب يخضعون لأعمال انتقامية وغالباً ما</w:t>
      </w:r>
      <w:r w:rsidR="00434650">
        <w:rPr>
          <w:rFonts w:hint="cs"/>
          <w:rtl/>
        </w:rPr>
        <w:t xml:space="preserve"> </w:t>
      </w:r>
      <w:r w:rsidRPr="00FD2770">
        <w:rPr>
          <w:rFonts w:hint="cs"/>
          <w:rtl/>
        </w:rPr>
        <w:t>يتعرض أفراد أسرهم للتخويف والتهديد لضمان سحب الشكاوى؛</w:t>
      </w:r>
      <w:r w:rsidR="00434650">
        <w:rPr>
          <w:rFonts w:hint="cs"/>
          <w:rtl/>
        </w:rPr>
        <w:t xml:space="preserve"> </w:t>
      </w:r>
      <w:r w:rsidRPr="00FD2770">
        <w:rPr>
          <w:rFonts w:hint="cs"/>
          <w:rtl/>
        </w:rPr>
        <w:t>وبأن معدل الملاحقة القضائية منخفض جداً والإفلات من العقاب منتشر (المواد 2 و7 و14).</w:t>
      </w:r>
    </w:p>
    <w:p w:rsidR="00FD2770" w:rsidRPr="00FD2770" w:rsidRDefault="001C367F" w:rsidP="00FE5014">
      <w:pPr>
        <w:pStyle w:val="SingleTxt"/>
        <w:rPr>
          <w:b/>
          <w:bCs/>
          <w:rtl/>
        </w:rPr>
      </w:pPr>
      <w:r>
        <w:rPr>
          <w:rFonts w:hint="cs"/>
          <w:b/>
          <w:bCs/>
          <w:rtl/>
        </w:rPr>
        <w:tab/>
      </w:r>
      <w:r w:rsidR="00FD2770" w:rsidRPr="00FD2770">
        <w:rPr>
          <w:rFonts w:hint="cs"/>
          <w:b/>
          <w:bCs/>
          <w:rtl/>
        </w:rPr>
        <w:t xml:space="preserve">تكرر اللجنة توصياتها السابقة (انظر </w:t>
      </w:r>
      <w:r w:rsidR="00FD2770" w:rsidRPr="00FD2770">
        <w:rPr>
          <w:b/>
          <w:bCs/>
        </w:rPr>
        <w:t>CCPR/C/UZB/CO/3</w:t>
      </w:r>
      <w:r w:rsidR="00FD2770" w:rsidRPr="00FD2770">
        <w:rPr>
          <w:rFonts w:hint="cs"/>
          <w:b/>
          <w:bCs/>
          <w:rtl/>
        </w:rPr>
        <w:t xml:space="preserve">، الفقرة 11). وتحث الدولة الطرف على اتخاذ تدابير صارمة للقضاء على التعذيب وسوء المعاملة، بوسائل </w:t>
      </w:r>
      <w:r>
        <w:rPr>
          <w:rFonts w:hint="cs"/>
          <w:b/>
          <w:bCs/>
          <w:rtl/>
        </w:rPr>
        <w:t xml:space="preserve">            </w:t>
      </w:r>
      <w:r w:rsidR="00FD2770" w:rsidRPr="00FD2770">
        <w:rPr>
          <w:rFonts w:hint="cs"/>
          <w:b/>
          <w:bCs/>
          <w:rtl/>
        </w:rPr>
        <w:t>منها ما يلي:</w:t>
      </w:r>
    </w:p>
    <w:p w:rsidR="00FD2770" w:rsidRPr="00FD2770" w:rsidRDefault="001C367F" w:rsidP="00FE5014">
      <w:pPr>
        <w:pStyle w:val="SingleTxt"/>
        <w:rPr>
          <w:b/>
          <w:bCs/>
          <w:rtl/>
        </w:rPr>
      </w:pPr>
      <w:r>
        <w:rPr>
          <w:rFonts w:hint="cs"/>
          <w:b/>
          <w:bCs/>
          <w:rtl/>
        </w:rPr>
        <w:lastRenderedPageBreak/>
        <w:tab/>
      </w:r>
      <w:r w:rsidR="00FD2770" w:rsidRPr="001C367F">
        <w:rPr>
          <w:rFonts w:hint="cs"/>
          <w:rtl/>
        </w:rPr>
        <w:t>(أ)</w:t>
      </w:r>
      <w:r w:rsidR="00FD2770" w:rsidRPr="00FD2770">
        <w:rPr>
          <w:rFonts w:hint="cs"/>
          <w:b/>
          <w:bCs/>
          <w:rtl/>
        </w:rPr>
        <w:tab/>
        <w:t>إجراء تحقيقات شاملة وفعالة ومستقلة ونزيهة في جميع</w:t>
      </w:r>
      <w:r w:rsidR="00434650">
        <w:rPr>
          <w:rFonts w:hint="cs"/>
          <w:b/>
          <w:bCs/>
          <w:rtl/>
        </w:rPr>
        <w:t xml:space="preserve"> </w:t>
      </w:r>
      <w:r w:rsidR="00FD2770" w:rsidRPr="00FD2770">
        <w:rPr>
          <w:rFonts w:hint="cs"/>
          <w:b/>
          <w:bCs/>
          <w:rtl/>
        </w:rPr>
        <w:t>ادعاءات</w:t>
      </w:r>
      <w:r w:rsidR="00434650">
        <w:rPr>
          <w:rFonts w:hint="cs"/>
          <w:b/>
          <w:bCs/>
          <w:rtl/>
        </w:rPr>
        <w:t xml:space="preserve"> </w:t>
      </w:r>
      <w:r w:rsidR="00FD2770" w:rsidRPr="00FD2770">
        <w:rPr>
          <w:rFonts w:hint="cs"/>
          <w:b/>
          <w:bCs/>
          <w:rtl/>
        </w:rPr>
        <w:t>التعذيب وسوء المعاملة، وضمان محاكمة الجناة ومعاقبتهم، في حال إدانتهم، بعقوبات مناسبة وتوفير سبل</w:t>
      </w:r>
      <w:r w:rsidR="00434650">
        <w:rPr>
          <w:rFonts w:hint="cs"/>
          <w:b/>
          <w:bCs/>
          <w:rtl/>
        </w:rPr>
        <w:t xml:space="preserve"> </w:t>
      </w:r>
      <w:r w:rsidR="00FD2770" w:rsidRPr="00FD2770">
        <w:rPr>
          <w:rFonts w:hint="cs"/>
          <w:b/>
          <w:bCs/>
          <w:rtl/>
        </w:rPr>
        <w:t>انتصاف</w:t>
      </w:r>
      <w:r w:rsidR="00434650">
        <w:rPr>
          <w:rFonts w:hint="cs"/>
          <w:b/>
          <w:bCs/>
          <w:rtl/>
        </w:rPr>
        <w:t xml:space="preserve"> </w:t>
      </w:r>
      <w:r w:rsidR="00FD2770" w:rsidRPr="00FD2770">
        <w:rPr>
          <w:rFonts w:hint="cs"/>
          <w:b/>
          <w:bCs/>
          <w:rtl/>
        </w:rPr>
        <w:t>فعالة للضحايا، بما في ذلك التعويض المناسب؛</w:t>
      </w:r>
    </w:p>
    <w:p w:rsidR="00FD2770" w:rsidRPr="00FD2770" w:rsidRDefault="001C367F" w:rsidP="00FE5014">
      <w:pPr>
        <w:pStyle w:val="SingleTxt"/>
        <w:rPr>
          <w:b/>
          <w:bCs/>
          <w:rtl/>
        </w:rPr>
      </w:pPr>
      <w:r>
        <w:rPr>
          <w:rFonts w:hint="cs"/>
          <w:b/>
          <w:bCs/>
          <w:rtl/>
        </w:rPr>
        <w:tab/>
      </w:r>
      <w:r w:rsidR="00FD2770" w:rsidRPr="001C367F">
        <w:rPr>
          <w:rFonts w:hint="cs"/>
          <w:rtl/>
        </w:rPr>
        <w:t>(ب)</w:t>
      </w:r>
      <w:r w:rsidR="00FD2770" w:rsidRPr="00FD2770">
        <w:rPr>
          <w:rFonts w:hint="cs"/>
          <w:b/>
          <w:bCs/>
          <w:rtl/>
        </w:rPr>
        <w:tab/>
        <w:t xml:space="preserve"> القيام، على سبيل الأولوية، بإنشاء آلية لتقديم الشكاوى مستقلة حقاً للتحقيق في ادعاءات التعذيب أو سوء المعاملة</w:t>
      </w:r>
      <w:r w:rsidR="00434650">
        <w:rPr>
          <w:rFonts w:hint="cs"/>
          <w:b/>
          <w:bCs/>
          <w:rtl/>
        </w:rPr>
        <w:t xml:space="preserve"> </w:t>
      </w:r>
      <w:r w:rsidR="00FD2770" w:rsidRPr="00FD2770">
        <w:rPr>
          <w:rFonts w:hint="cs"/>
          <w:b/>
          <w:bCs/>
          <w:rtl/>
        </w:rPr>
        <w:t>وضمان حماية مقدمي الشكاوى من أي شكل من أشكال الانتقام؛</w:t>
      </w:r>
    </w:p>
    <w:p w:rsidR="00FD2770" w:rsidRPr="00FD2770" w:rsidRDefault="001C367F" w:rsidP="00FE5014">
      <w:pPr>
        <w:pStyle w:val="SingleTxt"/>
        <w:rPr>
          <w:b/>
          <w:bCs/>
          <w:rtl/>
        </w:rPr>
      </w:pPr>
      <w:r>
        <w:rPr>
          <w:rFonts w:hint="cs"/>
          <w:rtl/>
        </w:rPr>
        <w:tab/>
      </w:r>
      <w:r w:rsidR="00FD2770" w:rsidRPr="001C367F">
        <w:rPr>
          <w:rFonts w:hint="cs"/>
          <w:rtl/>
        </w:rPr>
        <w:t>(ج)</w:t>
      </w:r>
      <w:r w:rsidR="00FD2770" w:rsidRPr="00FD2770">
        <w:rPr>
          <w:rFonts w:hint="cs"/>
          <w:b/>
          <w:bCs/>
          <w:rtl/>
        </w:rPr>
        <w:tab/>
        <w:t>ضمان</w:t>
      </w:r>
      <w:r w:rsidR="00434650">
        <w:rPr>
          <w:rFonts w:hint="cs"/>
          <w:b/>
          <w:bCs/>
          <w:rtl/>
        </w:rPr>
        <w:t xml:space="preserve"> </w:t>
      </w:r>
      <w:r w:rsidR="00FD2770" w:rsidRPr="00FD2770">
        <w:rPr>
          <w:rFonts w:hint="cs"/>
          <w:b/>
          <w:bCs/>
          <w:rtl/>
        </w:rPr>
        <w:t>قيام الموظفين المكلفين بإنفاذ القانون والقضاة</w:t>
      </w:r>
      <w:r w:rsidR="00434650">
        <w:rPr>
          <w:rFonts w:hint="cs"/>
          <w:b/>
          <w:bCs/>
          <w:rtl/>
        </w:rPr>
        <w:t xml:space="preserve"> </w:t>
      </w:r>
      <w:r w:rsidR="00FD2770" w:rsidRPr="00FD2770">
        <w:rPr>
          <w:rFonts w:hint="cs"/>
          <w:b/>
          <w:bCs/>
          <w:rtl/>
        </w:rPr>
        <w:t>بإنفاذ الأحكام التي تحظر الاعترافات التي تنتزع بالإكراه وتنص على عدم مقبولية الأدلة</w:t>
      </w:r>
      <w:r w:rsidR="00434650">
        <w:rPr>
          <w:rFonts w:hint="cs"/>
          <w:b/>
          <w:bCs/>
          <w:rtl/>
        </w:rPr>
        <w:t xml:space="preserve"> </w:t>
      </w:r>
      <w:r w:rsidR="00FD2770" w:rsidRPr="00FD2770">
        <w:rPr>
          <w:rFonts w:hint="cs"/>
          <w:b/>
          <w:bCs/>
          <w:rtl/>
        </w:rPr>
        <w:t>المشوبة بالتعذيب؛</w:t>
      </w:r>
    </w:p>
    <w:p w:rsidR="00FD2770" w:rsidRPr="00FD2770" w:rsidRDefault="001C367F" w:rsidP="00FE5014">
      <w:pPr>
        <w:pStyle w:val="SingleTxt"/>
        <w:rPr>
          <w:b/>
          <w:bCs/>
          <w:rtl/>
        </w:rPr>
      </w:pPr>
      <w:r>
        <w:rPr>
          <w:rFonts w:hint="cs"/>
          <w:b/>
          <w:bCs/>
          <w:rtl/>
        </w:rPr>
        <w:tab/>
      </w:r>
      <w:r w:rsidR="00FD2770" w:rsidRPr="001C367F">
        <w:rPr>
          <w:rFonts w:hint="cs"/>
          <w:rtl/>
        </w:rPr>
        <w:t>(د)</w:t>
      </w:r>
      <w:r w:rsidR="00FD2770" w:rsidRPr="00FD2770">
        <w:rPr>
          <w:rFonts w:hint="cs"/>
          <w:b/>
          <w:bCs/>
          <w:rtl/>
        </w:rPr>
        <w:tab/>
        <w:t>مراجعة جميع الإدانات الجنائية التي تستند إلى الاعترافات المنتزعة بالإكراه وتوفير سبل</w:t>
      </w:r>
      <w:r w:rsidR="00434650">
        <w:rPr>
          <w:rFonts w:hint="cs"/>
          <w:b/>
          <w:bCs/>
          <w:rtl/>
        </w:rPr>
        <w:t xml:space="preserve"> </w:t>
      </w:r>
      <w:r w:rsidR="00FD2770" w:rsidRPr="00FD2770">
        <w:rPr>
          <w:rFonts w:hint="cs"/>
          <w:b/>
          <w:bCs/>
          <w:rtl/>
        </w:rPr>
        <w:t>انتصاف</w:t>
      </w:r>
      <w:r w:rsidR="00434650">
        <w:rPr>
          <w:rFonts w:hint="cs"/>
          <w:b/>
          <w:bCs/>
          <w:rtl/>
        </w:rPr>
        <w:t xml:space="preserve"> </w:t>
      </w:r>
      <w:r w:rsidR="00FD2770" w:rsidRPr="00FD2770">
        <w:rPr>
          <w:rFonts w:hint="cs"/>
          <w:b/>
          <w:bCs/>
          <w:rtl/>
        </w:rPr>
        <w:t>فعالة للأشخاص</w:t>
      </w:r>
      <w:r w:rsidR="00434650">
        <w:rPr>
          <w:rFonts w:hint="cs"/>
          <w:b/>
          <w:bCs/>
          <w:rtl/>
        </w:rPr>
        <w:t xml:space="preserve"> </w:t>
      </w:r>
      <w:r w:rsidR="00FD2770" w:rsidRPr="00FD2770">
        <w:rPr>
          <w:rFonts w:hint="cs"/>
          <w:b/>
          <w:bCs/>
          <w:rtl/>
        </w:rPr>
        <w:t>المدانين خطأ؛</w:t>
      </w:r>
    </w:p>
    <w:p w:rsidR="00FD2770" w:rsidRPr="00FD2770" w:rsidRDefault="001C367F" w:rsidP="00FE5014">
      <w:pPr>
        <w:pStyle w:val="SingleTxt"/>
        <w:rPr>
          <w:b/>
          <w:bCs/>
          <w:rtl/>
        </w:rPr>
      </w:pPr>
      <w:r>
        <w:rPr>
          <w:rFonts w:hint="cs"/>
          <w:b/>
          <w:bCs/>
          <w:rtl/>
        </w:rPr>
        <w:tab/>
      </w:r>
      <w:r w:rsidR="00FD2770" w:rsidRPr="001C367F">
        <w:rPr>
          <w:rFonts w:hint="cs"/>
          <w:rtl/>
        </w:rPr>
        <w:t>(ه)</w:t>
      </w:r>
      <w:r w:rsidR="00FD2770" w:rsidRPr="00FD2770">
        <w:rPr>
          <w:rFonts w:hint="cs"/>
          <w:b/>
          <w:bCs/>
          <w:rtl/>
        </w:rPr>
        <w:tab/>
        <w:t>ضمان التسجيل السمعي البصري الإلزامي لجميع الاستجوابات في كل مخفر من مخافر الشرطة وفي كل مكان من أماكن</w:t>
      </w:r>
      <w:r w:rsidR="00434650">
        <w:rPr>
          <w:rFonts w:hint="cs"/>
          <w:b/>
          <w:bCs/>
          <w:rtl/>
        </w:rPr>
        <w:t xml:space="preserve"> </w:t>
      </w:r>
      <w:r w:rsidR="00FD2770" w:rsidRPr="00FD2770">
        <w:rPr>
          <w:rFonts w:hint="cs"/>
          <w:b/>
          <w:bCs/>
          <w:rtl/>
        </w:rPr>
        <w:t xml:space="preserve">سلب الحرية. </w:t>
      </w:r>
    </w:p>
    <w:p w:rsidR="001C367F" w:rsidRPr="001C367F" w:rsidRDefault="001C367F" w:rsidP="001C367F">
      <w:pPr>
        <w:pStyle w:val="SingleTxt"/>
        <w:spacing w:after="0" w:line="120" w:lineRule="exact"/>
        <w:rPr>
          <w:b/>
          <w:bCs/>
          <w:sz w:val="10"/>
          <w:rtl/>
        </w:rPr>
      </w:pPr>
    </w:p>
    <w:p w:rsidR="00FD2770" w:rsidRPr="00FD2770" w:rsidRDefault="001C367F" w:rsidP="001C36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D2770" w:rsidRPr="00FD2770">
        <w:rPr>
          <w:rFonts w:hint="cs"/>
          <w:rtl/>
        </w:rPr>
        <w:t>حرية الشخص وأمنه</w:t>
      </w:r>
    </w:p>
    <w:p w:rsidR="00FD2770" w:rsidRPr="00FD2770" w:rsidRDefault="00FD2770" w:rsidP="004926FC">
      <w:pPr>
        <w:pStyle w:val="SingleTxt"/>
        <w:rPr>
          <w:rtl/>
        </w:rPr>
      </w:pPr>
      <w:r w:rsidRPr="00FD2770">
        <w:rPr>
          <w:rFonts w:hint="cs"/>
          <w:rtl/>
        </w:rPr>
        <w:t>15-</w:t>
      </w:r>
      <w:r w:rsidRPr="00FD2770">
        <w:rPr>
          <w:rFonts w:hint="cs"/>
          <w:rtl/>
        </w:rPr>
        <w:tab/>
        <w:t>لا تزال اللجنة تشعر بالقلق لأن الدولة الطرف مستمرة في احتجاز الأشخاص المشتبه في ارتكابهم جرائم لمدة 72 ساعة قبل إحضارهم أمام القاضي، وبالتالي فهي ترحب ببيان الدولة الطرف</w:t>
      </w:r>
      <w:r w:rsidR="00434650">
        <w:rPr>
          <w:rFonts w:hint="cs"/>
          <w:rtl/>
        </w:rPr>
        <w:t xml:space="preserve"> </w:t>
      </w:r>
      <w:r w:rsidRPr="00FD2770">
        <w:rPr>
          <w:rFonts w:hint="cs"/>
          <w:rtl/>
        </w:rPr>
        <w:t>الذي ينبئ باحتمال تخفيض هذه المدة إلى 48 في المستقبل. ويساور اللجنة القلق أيضاً إزاء أوجه القصور في تطبيق</w:t>
      </w:r>
      <w:r w:rsidR="00434650">
        <w:rPr>
          <w:rFonts w:hint="cs"/>
          <w:rtl/>
        </w:rPr>
        <w:t xml:space="preserve"> </w:t>
      </w:r>
      <w:r w:rsidRPr="00FD2770">
        <w:rPr>
          <w:rFonts w:hint="cs"/>
          <w:rtl/>
        </w:rPr>
        <w:t>التشريعات التي</w:t>
      </w:r>
      <w:r w:rsidR="00434650">
        <w:rPr>
          <w:rFonts w:hint="cs"/>
          <w:rtl/>
        </w:rPr>
        <w:t xml:space="preserve"> </w:t>
      </w:r>
      <w:r w:rsidRPr="00FD2770">
        <w:rPr>
          <w:rFonts w:hint="cs"/>
          <w:rtl/>
        </w:rPr>
        <w:t>تنظم المراقبة القانونية للاحتجاز (أمر الإحضار) في الممارسة، ولا سيما الادعاءات التالية: (أ) تزوير وقت أو تاريخ الاحتجاز للتحايل على الفترة القانونية للاحتجاز؛ (ب) عقد الجلسات الحضورية في غياب الشخص المحتجز، ولا سيما في الدعاوى السياسية؛ (ج) انتهاك حق المحتجزين في الاستعانة بمحام، بما في ذلك محام من اختيارهم؛ (د)</w:t>
      </w:r>
      <w:r w:rsidR="00434650">
        <w:rPr>
          <w:rFonts w:hint="cs"/>
          <w:rtl/>
        </w:rPr>
        <w:t xml:space="preserve"> </w:t>
      </w:r>
      <w:r w:rsidRPr="00FD2770">
        <w:rPr>
          <w:rFonts w:hint="cs"/>
          <w:rtl/>
        </w:rPr>
        <w:t>انخفاض مستوى التمثيل القانوني الذي يقدمه محامو الدفاع الذين تعينهم الدولة (المادتان 9 و14).</w:t>
      </w:r>
    </w:p>
    <w:p w:rsidR="00FD2770" w:rsidRPr="00FD2770" w:rsidRDefault="00FD2770" w:rsidP="00FE5014">
      <w:pPr>
        <w:pStyle w:val="SingleTxt"/>
        <w:rPr>
          <w:b/>
          <w:bCs/>
          <w:rtl/>
        </w:rPr>
      </w:pPr>
      <w:r w:rsidRPr="00FD2770">
        <w:rPr>
          <w:rtl/>
        </w:rPr>
        <w:tab/>
      </w:r>
      <w:r w:rsidRPr="00FD2770">
        <w:rPr>
          <w:rFonts w:hint="cs"/>
          <w:b/>
          <w:bCs/>
          <w:rtl/>
        </w:rPr>
        <w:t xml:space="preserve">تكرر اللجنة توصياتها السابقة (انظر </w:t>
      </w:r>
      <w:r w:rsidRPr="00FD2770">
        <w:rPr>
          <w:b/>
          <w:bCs/>
        </w:rPr>
        <w:t>CCPR/C/UZB/CO/3</w:t>
      </w:r>
      <w:r w:rsidRPr="00FD2770">
        <w:rPr>
          <w:rFonts w:hint="cs"/>
          <w:b/>
          <w:bCs/>
          <w:rtl/>
        </w:rPr>
        <w:t>، الفقرة 14). وينبغي للدولة الطرف أن</w:t>
      </w:r>
      <w:r w:rsidR="00434650">
        <w:rPr>
          <w:rFonts w:hint="cs"/>
          <w:b/>
          <w:bCs/>
          <w:rtl/>
        </w:rPr>
        <w:t xml:space="preserve"> </w:t>
      </w:r>
      <w:r w:rsidRPr="00FD2770">
        <w:rPr>
          <w:rFonts w:hint="cs"/>
          <w:b/>
          <w:bCs/>
          <w:rtl/>
        </w:rPr>
        <w:t>توائم تشريعاتها وممارساتها مع أحكام المادة 9 من العهد، مع مراعاة تعليق اللجنة العام رقم 35 بشأن</w:t>
      </w:r>
      <w:r w:rsidR="00434650">
        <w:rPr>
          <w:rFonts w:hint="cs"/>
          <w:b/>
          <w:bCs/>
          <w:rtl/>
        </w:rPr>
        <w:t xml:space="preserve"> </w:t>
      </w:r>
      <w:r w:rsidRPr="00FD2770">
        <w:rPr>
          <w:rFonts w:hint="cs"/>
          <w:b/>
          <w:bCs/>
          <w:rtl/>
        </w:rPr>
        <w:t>حرية</w:t>
      </w:r>
      <w:r w:rsidR="00434650">
        <w:rPr>
          <w:rFonts w:hint="cs"/>
          <w:b/>
          <w:bCs/>
          <w:rtl/>
        </w:rPr>
        <w:t xml:space="preserve"> </w:t>
      </w:r>
      <w:r w:rsidRPr="00FD2770">
        <w:rPr>
          <w:rFonts w:hint="cs"/>
          <w:b/>
          <w:bCs/>
          <w:rtl/>
        </w:rPr>
        <w:t>الأشخاص وأمنهم. وينبغي للدولة الطرف أن تقوم بأمور منها ما يلي:</w:t>
      </w:r>
    </w:p>
    <w:p w:rsidR="00FD2770" w:rsidRPr="00FD2770" w:rsidRDefault="004F4734" w:rsidP="00FE5014">
      <w:pPr>
        <w:pStyle w:val="SingleTxt"/>
        <w:rPr>
          <w:b/>
          <w:bCs/>
          <w:rtl/>
        </w:rPr>
      </w:pPr>
      <w:r>
        <w:rPr>
          <w:rFonts w:hint="cs"/>
          <w:b/>
          <w:bCs/>
          <w:rtl/>
        </w:rPr>
        <w:tab/>
      </w:r>
      <w:r w:rsidR="00FD2770" w:rsidRPr="004F4734">
        <w:rPr>
          <w:rFonts w:hint="cs"/>
          <w:rtl/>
        </w:rPr>
        <w:t>(أ)</w:t>
      </w:r>
      <w:r w:rsidR="00FD2770" w:rsidRPr="00FD2770">
        <w:rPr>
          <w:rFonts w:hint="cs"/>
          <w:b/>
          <w:bCs/>
          <w:rtl/>
        </w:rPr>
        <w:tab/>
        <w:t>تخفيض الحد الأقصى لمدة</w:t>
      </w:r>
      <w:r w:rsidR="00434650">
        <w:rPr>
          <w:rFonts w:hint="cs"/>
          <w:b/>
          <w:bCs/>
          <w:rtl/>
        </w:rPr>
        <w:t xml:space="preserve"> </w:t>
      </w:r>
      <w:r w:rsidR="00FD2770" w:rsidRPr="00FD2770">
        <w:rPr>
          <w:rFonts w:hint="cs"/>
          <w:b/>
          <w:bCs/>
          <w:rtl/>
        </w:rPr>
        <w:t>احتجاز</w:t>
      </w:r>
      <w:r w:rsidR="00434650">
        <w:rPr>
          <w:rFonts w:hint="cs"/>
          <w:b/>
          <w:bCs/>
          <w:rtl/>
        </w:rPr>
        <w:t xml:space="preserve"> </w:t>
      </w:r>
      <w:r w:rsidR="00FD2770" w:rsidRPr="00FD2770">
        <w:rPr>
          <w:rFonts w:hint="cs"/>
          <w:b/>
          <w:bCs/>
          <w:rtl/>
        </w:rPr>
        <w:t>شخص</w:t>
      </w:r>
      <w:r w:rsidR="00434650">
        <w:rPr>
          <w:rFonts w:hint="cs"/>
          <w:b/>
          <w:bCs/>
          <w:rtl/>
        </w:rPr>
        <w:t xml:space="preserve"> </w:t>
      </w:r>
      <w:r w:rsidR="00FD2770" w:rsidRPr="00FD2770">
        <w:rPr>
          <w:rFonts w:hint="cs"/>
          <w:b/>
          <w:bCs/>
          <w:rtl/>
        </w:rPr>
        <w:t>مشتبه بارتكابه جريمة قبل إحضاره أمام قاضٍ من 72 إلى 48 ساعة وضمان أن تاريخ ووقت الاحتجاز هما</w:t>
      </w:r>
      <w:r w:rsidR="00434650">
        <w:rPr>
          <w:rFonts w:hint="cs"/>
          <w:b/>
          <w:bCs/>
          <w:rtl/>
        </w:rPr>
        <w:t xml:space="preserve"> </w:t>
      </w:r>
      <w:r w:rsidR="00FD2770" w:rsidRPr="00FD2770">
        <w:rPr>
          <w:rFonts w:hint="cs"/>
          <w:b/>
          <w:bCs/>
          <w:rtl/>
        </w:rPr>
        <w:t>تاريخ</w:t>
      </w:r>
      <w:r w:rsidR="00434650">
        <w:rPr>
          <w:rFonts w:hint="cs"/>
          <w:b/>
          <w:bCs/>
          <w:rtl/>
        </w:rPr>
        <w:t xml:space="preserve"> </w:t>
      </w:r>
      <w:r w:rsidR="00FD2770" w:rsidRPr="00FD2770">
        <w:rPr>
          <w:rFonts w:hint="cs"/>
          <w:b/>
          <w:bCs/>
          <w:rtl/>
        </w:rPr>
        <w:t>ووقت التوقيف الفعليان</w:t>
      </w:r>
      <w:r w:rsidR="00434650">
        <w:rPr>
          <w:rFonts w:hint="cs"/>
          <w:b/>
          <w:bCs/>
          <w:rtl/>
        </w:rPr>
        <w:t xml:space="preserve"> </w:t>
      </w:r>
      <w:r w:rsidR="00FD2770" w:rsidRPr="00FD2770">
        <w:rPr>
          <w:rFonts w:hint="cs"/>
          <w:b/>
          <w:bCs/>
          <w:rtl/>
        </w:rPr>
        <w:t>وضمان تسجيلهما</w:t>
      </w:r>
      <w:r w:rsidR="00434650">
        <w:rPr>
          <w:rFonts w:hint="cs"/>
          <w:b/>
          <w:bCs/>
          <w:rtl/>
        </w:rPr>
        <w:t xml:space="preserve"> </w:t>
      </w:r>
      <w:r w:rsidR="00FD2770" w:rsidRPr="00FD2770">
        <w:rPr>
          <w:rFonts w:hint="cs"/>
          <w:b/>
          <w:bCs/>
          <w:rtl/>
        </w:rPr>
        <w:t>تسجيلاً صحيحاً؛</w:t>
      </w:r>
    </w:p>
    <w:p w:rsidR="00FD2770" w:rsidRPr="00FD2770" w:rsidRDefault="004F4734" w:rsidP="00FE5014">
      <w:pPr>
        <w:pStyle w:val="SingleTxt"/>
        <w:rPr>
          <w:b/>
          <w:bCs/>
          <w:rtl/>
        </w:rPr>
      </w:pPr>
      <w:r>
        <w:rPr>
          <w:rFonts w:hint="cs"/>
          <w:b/>
          <w:bCs/>
          <w:rtl/>
        </w:rPr>
        <w:lastRenderedPageBreak/>
        <w:tab/>
      </w:r>
      <w:r w:rsidR="00FD2770" w:rsidRPr="004F4734">
        <w:rPr>
          <w:rFonts w:hint="cs"/>
          <w:rtl/>
        </w:rPr>
        <w:t>(ب)</w:t>
      </w:r>
      <w:r w:rsidR="00FD2770" w:rsidRPr="00FD2770">
        <w:rPr>
          <w:rFonts w:hint="cs"/>
          <w:b/>
          <w:bCs/>
          <w:rtl/>
        </w:rPr>
        <w:tab/>
        <w:t>ضمان تطبيق أحكام الإحضار تطبيقاً دقيقاً من الناحية العملية، بما في ذلك ضمان الوجود المادي</w:t>
      </w:r>
      <w:r w:rsidR="00434650">
        <w:rPr>
          <w:rFonts w:hint="cs"/>
          <w:b/>
          <w:bCs/>
          <w:rtl/>
        </w:rPr>
        <w:t xml:space="preserve"> </w:t>
      </w:r>
      <w:r w:rsidR="00FD2770" w:rsidRPr="00FD2770">
        <w:rPr>
          <w:rFonts w:hint="cs"/>
          <w:b/>
          <w:bCs/>
          <w:rtl/>
        </w:rPr>
        <w:t>للمحتجز أثناء المحاكمة، واحترام</w:t>
      </w:r>
      <w:r w:rsidR="00434650">
        <w:rPr>
          <w:rFonts w:hint="cs"/>
          <w:b/>
          <w:bCs/>
          <w:rtl/>
        </w:rPr>
        <w:t xml:space="preserve"> </w:t>
      </w:r>
      <w:r w:rsidR="00FD2770" w:rsidRPr="00FD2770">
        <w:rPr>
          <w:rFonts w:hint="cs"/>
          <w:b/>
          <w:bCs/>
          <w:rtl/>
        </w:rPr>
        <w:t>إمكانية استعانة الشخص بمحام يختاره بنفسه،</w:t>
      </w:r>
      <w:r w:rsidR="00434650">
        <w:rPr>
          <w:rFonts w:hint="cs"/>
          <w:b/>
          <w:bCs/>
          <w:rtl/>
        </w:rPr>
        <w:t xml:space="preserve"> </w:t>
      </w:r>
      <w:r w:rsidR="00FD2770" w:rsidRPr="00FD2770">
        <w:rPr>
          <w:rFonts w:hint="cs"/>
          <w:b/>
          <w:bCs/>
          <w:rtl/>
        </w:rPr>
        <w:t>وملاءمة التمثيل القانوني الذي</w:t>
      </w:r>
      <w:r w:rsidR="00434650">
        <w:rPr>
          <w:rFonts w:hint="cs"/>
          <w:b/>
          <w:bCs/>
          <w:rtl/>
        </w:rPr>
        <w:t xml:space="preserve"> </w:t>
      </w:r>
      <w:r w:rsidR="00FD2770" w:rsidRPr="00FD2770">
        <w:rPr>
          <w:rFonts w:hint="cs"/>
          <w:b/>
          <w:bCs/>
          <w:rtl/>
        </w:rPr>
        <w:t>يوفره محامي الدفاع الذي تعينه الدولة الطرف؛</w:t>
      </w:r>
    </w:p>
    <w:p w:rsidR="00FD2770" w:rsidRPr="00FD2770" w:rsidRDefault="004F4734" w:rsidP="00FE5014">
      <w:pPr>
        <w:pStyle w:val="SingleTxt"/>
        <w:rPr>
          <w:rtl/>
        </w:rPr>
      </w:pPr>
      <w:r>
        <w:rPr>
          <w:rFonts w:hint="cs"/>
          <w:b/>
          <w:bCs/>
          <w:rtl/>
        </w:rPr>
        <w:tab/>
      </w:r>
      <w:r w:rsidR="00FD2770" w:rsidRPr="004F4734">
        <w:rPr>
          <w:rFonts w:hint="cs"/>
          <w:rtl/>
        </w:rPr>
        <w:t>(ج)</w:t>
      </w:r>
      <w:r w:rsidR="00FD2770" w:rsidRPr="00FD2770">
        <w:rPr>
          <w:rFonts w:hint="cs"/>
          <w:b/>
          <w:bCs/>
          <w:rtl/>
        </w:rPr>
        <w:tab/>
        <w:t>تعزيز اللجوء إلى تدابير بديلة للاحتجاز ما قبل المحاكمة.</w:t>
      </w:r>
    </w:p>
    <w:p w:rsidR="00FD2770" w:rsidRPr="00FD2770" w:rsidRDefault="00FD2770" w:rsidP="00FE5014">
      <w:pPr>
        <w:pStyle w:val="SingleTxt"/>
        <w:rPr>
          <w:rtl/>
        </w:rPr>
      </w:pPr>
      <w:r w:rsidRPr="00FD2770">
        <w:rPr>
          <w:rFonts w:hint="cs"/>
          <w:rtl/>
        </w:rPr>
        <w:t>16-</w:t>
      </w:r>
      <w:r w:rsidRPr="00FD2770">
        <w:rPr>
          <w:rFonts w:hint="cs"/>
          <w:rtl/>
        </w:rPr>
        <w:tab/>
        <w:t>لا تزال اللجنة تشعر بالقلق لأن حق الأشخاص</w:t>
      </w:r>
      <w:r w:rsidR="00434650">
        <w:rPr>
          <w:rFonts w:hint="cs"/>
          <w:rtl/>
        </w:rPr>
        <w:t xml:space="preserve"> </w:t>
      </w:r>
      <w:r w:rsidRPr="00FD2770">
        <w:rPr>
          <w:rFonts w:hint="cs"/>
          <w:rtl/>
        </w:rPr>
        <w:t>مسلوبي الحرية في إعلامهم بحقوقهم عند إلقاء القبض عليهم، وفي إبلاغ أقاربهم</w:t>
      </w:r>
      <w:r w:rsidR="00434650">
        <w:rPr>
          <w:rFonts w:hint="cs"/>
          <w:rtl/>
        </w:rPr>
        <w:t xml:space="preserve"> </w:t>
      </w:r>
      <w:r w:rsidRPr="00FD2770">
        <w:rPr>
          <w:rFonts w:hint="cs"/>
          <w:rtl/>
        </w:rPr>
        <w:t>باحتجازهم، وفي الوصول إلى محام من اختيارهم وإلى طبيب منذ الوهلة الأولى لاحتجازهم لا يزال</w:t>
      </w:r>
      <w:r w:rsidR="00434650">
        <w:rPr>
          <w:rFonts w:hint="cs"/>
          <w:rtl/>
        </w:rPr>
        <w:t xml:space="preserve"> </w:t>
      </w:r>
      <w:r w:rsidRPr="00FD2770">
        <w:rPr>
          <w:rFonts w:hint="cs"/>
          <w:rtl/>
        </w:rPr>
        <w:t>يُنتهك</w:t>
      </w:r>
      <w:r w:rsidR="00434650">
        <w:rPr>
          <w:rFonts w:hint="cs"/>
          <w:rtl/>
        </w:rPr>
        <w:t xml:space="preserve"> </w:t>
      </w:r>
      <w:r w:rsidRPr="00FD2770">
        <w:rPr>
          <w:rFonts w:hint="cs"/>
          <w:rtl/>
        </w:rPr>
        <w:t>من الناحية العملية (المادتان 7 و9).</w:t>
      </w:r>
    </w:p>
    <w:p w:rsidR="00FD2770" w:rsidRPr="00FD2770" w:rsidRDefault="00FD2770" w:rsidP="00FE5014">
      <w:pPr>
        <w:pStyle w:val="SingleTxt"/>
        <w:rPr>
          <w:b/>
          <w:bCs/>
          <w:rtl/>
        </w:rPr>
      </w:pPr>
      <w:r w:rsidRPr="00FD2770">
        <w:rPr>
          <w:rFonts w:hint="cs"/>
          <w:rtl/>
        </w:rPr>
        <w:tab/>
      </w:r>
      <w:r w:rsidRPr="00FD2770">
        <w:rPr>
          <w:rFonts w:hint="cs"/>
          <w:b/>
          <w:bCs/>
          <w:rtl/>
        </w:rPr>
        <w:t>ينبغي للدولة الطرف أن تكفل</w:t>
      </w:r>
      <w:r w:rsidR="00434650">
        <w:rPr>
          <w:rFonts w:hint="cs"/>
          <w:b/>
          <w:bCs/>
          <w:rtl/>
        </w:rPr>
        <w:t xml:space="preserve"> </w:t>
      </w:r>
      <w:r w:rsidRPr="00FD2770">
        <w:rPr>
          <w:rFonts w:hint="cs"/>
          <w:b/>
          <w:bCs/>
          <w:rtl/>
        </w:rPr>
        <w:t>كون جميع الضمانات القانونية الأساسية مضمونة عملياً لجميع الأشخاص</w:t>
      </w:r>
      <w:r w:rsidR="00434650">
        <w:rPr>
          <w:rFonts w:hint="cs"/>
          <w:b/>
          <w:bCs/>
          <w:rtl/>
        </w:rPr>
        <w:t xml:space="preserve"> </w:t>
      </w:r>
      <w:r w:rsidRPr="00FD2770">
        <w:rPr>
          <w:rFonts w:hint="cs"/>
          <w:b/>
          <w:bCs/>
          <w:rtl/>
        </w:rPr>
        <w:t xml:space="preserve">مسلوبي الحرية منذ الوهلة الأولى لاحتجازهم. </w:t>
      </w:r>
    </w:p>
    <w:p w:rsidR="00FD2770" w:rsidRPr="00FD2770" w:rsidRDefault="00FD2770" w:rsidP="00FE5014">
      <w:pPr>
        <w:pStyle w:val="SingleTxt"/>
        <w:rPr>
          <w:rtl/>
        </w:rPr>
      </w:pPr>
      <w:r w:rsidRPr="00FD2770">
        <w:rPr>
          <w:rFonts w:hint="cs"/>
          <w:rtl/>
        </w:rPr>
        <w:t>17-</w:t>
      </w:r>
      <w:r w:rsidRPr="00FD2770">
        <w:rPr>
          <w:rFonts w:hint="cs"/>
          <w:rtl/>
        </w:rPr>
        <w:tab/>
        <w:t>ويساور اللجنة القلق إزاء</w:t>
      </w:r>
      <w:r w:rsidR="00434650">
        <w:rPr>
          <w:rFonts w:hint="cs"/>
          <w:rtl/>
        </w:rPr>
        <w:t xml:space="preserve"> </w:t>
      </w:r>
      <w:r w:rsidRPr="00FD2770">
        <w:rPr>
          <w:rFonts w:hint="cs"/>
          <w:rtl/>
        </w:rPr>
        <w:t>ادعاءات تمديد أحكام السجن الوشيكة الانتهاء الصادرة بحق المدافعين عن حقوق الإنسان</w:t>
      </w:r>
      <w:r w:rsidR="00434650">
        <w:rPr>
          <w:rFonts w:hint="cs"/>
          <w:rtl/>
        </w:rPr>
        <w:t xml:space="preserve"> </w:t>
      </w:r>
      <w:r w:rsidRPr="00FD2770">
        <w:rPr>
          <w:rFonts w:hint="cs"/>
          <w:rtl/>
        </w:rPr>
        <w:t>ومنتقدي الحكومة والمدانين بالتطرف الديني أو بالانتماء إلى الحركات الإسلامية المحظورة في الدولة الطرف، بصورة تعسفية بمحاكمتهم وإدانتهم على انتهاكات متكررة لقواعد السجن بموجب المادة 221 من القانون الجنائي (المادتان 9 و14).</w:t>
      </w:r>
    </w:p>
    <w:p w:rsidR="00FD2770" w:rsidRPr="00FD2770" w:rsidRDefault="00FD2770" w:rsidP="004926FC">
      <w:pPr>
        <w:pStyle w:val="SingleTxt"/>
        <w:rPr>
          <w:b/>
          <w:bCs/>
          <w:rtl/>
        </w:rPr>
      </w:pPr>
      <w:r w:rsidRPr="00FD2770">
        <w:rPr>
          <w:rtl/>
        </w:rPr>
        <w:tab/>
      </w:r>
      <w:r w:rsidRPr="00FD2770">
        <w:rPr>
          <w:rFonts w:hint="cs"/>
          <w:b/>
          <w:bCs/>
          <w:rtl/>
        </w:rPr>
        <w:t>ينبغي للدولة الطرف أن تتخذ جميع التدابير اللازمة لضمان عدم تطبيق</w:t>
      </w:r>
      <w:r w:rsidR="00767EDD">
        <w:rPr>
          <w:rFonts w:hint="cs"/>
          <w:b/>
          <w:bCs/>
          <w:rtl/>
        </w:rPr>
        <w:t xml:space="preserve">                  </w:t>
      </w:r>
      <w:r w:rsidRPr="00FD2770">
        <w:rPr>
          <w:rFonts w:hint="cs"/>
          <w:b/>
          <w:bCs/>
          <w:rtl/>
        </w:rPr>
        <w:t xml:space="preserve"> المادة 221 من القانون الجنائي بهدف تمديد</w:t>
      </w:r>
      <w:r w:rsidR="00434650">
        <w:rPr>
          <w:rFonts w:hint="cs"/>
          <w:b/>
          <w:bCs/>
          <w:rtl/>
        </w:rPr>
        <w:t xml:space="preserve"> </w:t>
      </w:r>
      <w:r w:rsidRPr="00FD2770">
        <w:rPr>
          <w:rFonts w:hint="cs"/>
          <w:b/>
          <w:bCs/>
          <w:rtl/>
        </w:rPr>
        <w:t>أحكام السجن الوشيكة الانتهاء</w:t>
      </w:r>
      <w:r w:rsidR="00434650">
        <w:rPr>
          <w:rFonts w:hint="cs"/>
          <w:b/>
          <w:bCs/>
          <w:rtl/>
        </w:rPr>
        <w:t xml:space="preserve"> </w:t>
      </w:r>
      <w:r w:rsidRPr="00FD2770">
        <w:rPr>
          <w:rFonts w:hint="cs"/>
          <w:b/>
          <w:bCs/>
          <w:rtl/>
        </w:rPr>
        <w:t>بطريقة تعسفية وأن تكفل،</w:t>
      </w:r>
      <w:r w:rsidR="004926FC">
        <w:rPr>
          <w:rFonts w:hint="cs"/>
          <w:b/>
          <w:bCs/>
          <w:rtl/>
        </w:rPr>
        <w:t xml:space="preserve"> </w:t>
      </w:r>
      <w:r w:rsidRPr="00FD2770">
        <w:rPr>
          <w:rFonts w:hint="cs"/>
          <w:b/>
          <w:bCs/>
          <w:rtl/>
        </w:rPr>
        <w:t>في حال</w:t>
      </w:r>
      <w:r w:rsidR="00434650">
        <w:rPr>
          <w:rFonts w:hint="cs"/>
          <w:b/>
          <w:bCs/>
          <w:rtl/>
        </w:rPr>
        <w:t xml:space="preserve"> </w:t>
      </w:r>
      <w:r w:rsidRPr="00FD2770">
        <w:rPr>
          <w:rFonts w:hint="cs"/>
          <w:b/>
          <w:bCs/>
          <w:rtl/>
        </w:rPr>
        <w:t>توجيه تهم جديدة بحقهم، الاحترام الكامل للحقوق المتعلقة بالإجراءات القانونية الواجبة والتقيد الدقيق بمبدأ النسبية، في جميع الأحكام الصادرة.</w:t>
      </w:r>
    </w:p>
    <w:p w:rsidR="00767EDD" w:rsidRPr="00767EDD" w:rsidRDefault="00767EDD" w:rsidP="00767EDD">
      <w:pPr>
        <w:pStyle w:val="SingleTxt"/>
        <w:spacing w:after="0" w:line="120" w:lineRule="exact"/>
        <w:rPr>
          <w:b/>
          <w:bCs/>
          <w:sz w:val="10"/>
          <w:rtl/>
        </w:rPr>
      </w:pPr>
    </w:p>
    <w:p w:rsidR="00FD2770" w:rsidRPr="00FD2770" w:rsidRDefault="00767EDD" w:rsidP="00767ED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D2770" w:rsidRPr="00FD2770">
        <w:rPr>
          <w:rFonts w:hint="cs"/>
          <w:rtl/>
        </w:rPr>
        <w:t>ظروف الاحتجاز</w:t>
      </w:r>
    </w:p>
    <w:p w:rsidR="002B0A09" w:rsidRDefault="00FD2770" w:rsidP="00FE5014">
      <w:pPr>
        <w:pStyle w:val="SingleTxt"/>
        <w:rPr>
          <w:rtl/>
        </w:rPr>
      </w:pPr>
      <w:r w:rsidRPr="00FD2770">
        <w:rPr>
          <w:rFonts w:hint="cs"/>
          <w:rtl/>
        </w:rPr>
        <w:t>18-</w:t>
      </w:r>
      <w:r w:rsidRPr="00FD2770">
        <w:rPr>
          <w:rFonts w:hint="cs"/>
          <w:rtl/>
        </w:rPr>
        <w:tab/>
        <w:t>يساور اللجنة القلق إزاء التقارير</w:t>
      </w:r>
      <w:r w:rsidR="00434650">
        <w:rPr>
          <w:rFonts w:hint="cs"/>
          <w:rtl/>
        </w:rPr>
        <w:t xml:space="preserve"> </w:t>
      </w:r>
      <w:r w:rsidRPr="00FD2770">
        <w:rPr>
          <w:rFonts w:hint="cs"/>
          <w:rtl/>
        </w:rPr>
        <w:t>العديدة المتعلقة</w:t>
      </w:r>
      <w:r w:rsidR="00434650">
        <w:rPr>
          <w:rFonts w:hint="cs"/>
          <w:rtl/>
        </w:rPr>
        <w:t xml:space="preserve"> </w:t>
      </w:r>
      <w:r w:rsidRPr="00FD2770">
        <w:rPr>
          <w:rFonts w:hint="cs"/>
          <w:rtl/>
        </w:rPr>
        <w:t>بالاعتداءات، بما فيها</w:t>
      </w:r>
      <w:r w:rsidR="00434650">
        <w:rPr>
          <w:rFonts w:hint="cs"/>
          <w:rtl/>
        </w:rPr>
        <w:t xml:space="preserve"> </w:t>
      </w:r>
      <w:r w:rsidRPr="00FD2770">
        <w:rPr>
          <w:rFonts w:hint="cs"/>
          <w:rtl/>
        </w:rPr>
        <w:t>الضرب الذي يمارسه حراس السجون وغيرهم من السجناء، وظروف الاحتجاز السيئة، وعدم</w:t>
      </w:r>
      <w:r w:rsidR="00434650">
        <w:rPr>
          <w:rFonts w:hint="cs"/>
          <w:rtl/>
        </w:rPr>
        <w:t xml:space="preserve"> </w:t>
      </w:r>
      <w:r w:rsidRPr="00FD2770">
        <w:rPr>
          <w:rFonts w:hint="cs"/>
          <w:rtl/>
        </w:rPr>
        <w:t>ملاءمة الرعاية الصحية، وفرض ساعات عمل طويلة</w:t>
      </w:r>
      <w:r w:rsidR="00434650">
        <w:rPr>
          <w:rFonts w:hint="cs"/>
          <w:rtl/>
        </w:rPr>
        <w:t xml:space="preserve"> </w:t>
      </w:r>
      <w:r w:rsidRPr="00FD2770">
        <w:rPr>
          <w:rFonts w:hint="cs"/>
          <w:rtl/>
        </w:rPr>
        <w:t>تتطلب جهداً</w:t>
      </w:r>
      <w:r w:rsidR="00434650">
        <w:rPr>
          <w:rFonts w:hint="cs"/>
          <w:rtl/>
        </w:rPr>
        <w:t xml:space="preserve"> </w:t>
      </w:r>
      <w:r w:rsidRPr="00FD2770">
        <w:rPr>
          <w:rFonts w:hint="cs"/>
          <w:rtl/>
        </w:rPr>
        <w:t>بدنياً كبيراً، التي تؤثر بصورة غير متناسبة على المدافعين عن حقوق الإنسان ومنتقدي الحكومة والأشخاص المدانين بالعضوية في الأحزاب والجماعات الإسلامية. ويساور اللجنة القلق أيضاً</w:t>
      </w:r>
      <w:r w:rsidR="00434650">
        <w:rPr>
          <w:rFonts w:hint="cs"/>
          <w:rtl/>
        </w:rPr>
        <w:t xml:space="preserve"> </w:t>
      </w:r>
      <w:r w:rsidRPr="00FD2770">
        <w:rPr>
          <w:rFonts w:hint="cs"/>
          <w:rtl/>
        </w:rPr>
        <w:t>إزاء عدم وجود آلية مستقلة وطنية مكلفة بإجراء عمليات رصد وتفتيش منتظمة لجميع أماكن الاحتجاز دون إشعار مسبق، وإزاء العقبات التي تحول دون حسن سير عمل المنظمات المستقلة الوطنية والدولية لحقوق الإنسان والمنظمات الإنسانية (المادتان 7 و10).</w:t>
      </w:r>
    </w:p>
    <w:p w:rsidR="002B0A09" w:rsidRDefault="002B0A09">
      <w:pPr>
        <w:bidi w:val="0"/>
        <w:spacing w:line="240" w:lineRule="auto"/>
        <w:jc w:val="left"/>
        <w:rPr>
          <w:rtl/>
        </w:rPr>
      </w:pPr>
      <w:r>
        <w:rPr>
          <w:rtl/>
        </w:rPr>
        <w:br w:type="page"/>
      </w:r>
    </w:p>
    <w:p w:rsidR="00FD2770" w:rsidRPr="00FD2770" w:rsidRDefault="00FD2770" w:rsidP="00FE5014">
      <w:pPr>
        <w:pStyle w:val="SingleTxt"/>
        <w:rPr>
          <w:b/>
          <w:bCs/>
          <w:rtl/>
        </w:rPr>
      </w:pPr>
      <w:r w:rsidRPr="00FD2770">
        <w:rPr>
          <w:rtl/>
        </w:rPr>
        <w:lastRenderedPageBreak/>
        <w:tab/>
      </w:r>
      <w:r w:rsidRPr="00FD2770">
        <w:rPr>
          <w:rFonts w:hint="cs"/>
          <w:b/>
          <w:bCs/>
          <w:rtl/>
        </w:rPr>
        <w:t>ينبغي للدولة الطرف أن تقوم بما يلي:</w:t>
      </w:r>
    </w:p>
    <w:p w:rsidR="00FD2770" w:rsidRPr="00FD2770" w:rsidRDefault="003C44F9" w:rsidP="004926FC">
      <w:pPr>
        <w:pStyle w:val="SingleTxt"/>
        <w:rPr>
          <w:b/>
          <w:bCs/>
          <w:rtl/>
        </w:rPr>
      </w:pPr>
      <w:r>
        <w:rPr>
          <w:rFonts w:hint="cs"/>
          <w:b/>
          <w:bCs/>
          <w:rtl/>
        </w:rPr>
        <w:tab/>
      </w:r>
      <w:r w:rsidR="00FD2770" w:rsidRPr="003C44F9">
        <w:rPr>
          <w:rFonts w:hint="cs"/>
          <w:rtl/>
        </w:rPr>
        <w:t>(أ)</w:t>
      </w:r>
      <w:r w:rsidR="00FD2770" w:rsidRPr="00FD2770">
        <w:rPr>
          <w:rFonts w:hint="cs"/>
          <w:b/>
          <w:bCs/>
          <w:rtl/>
        </w:rPr>
        <w:tab/>
        <w:t>اتخاذ التدابير، على سبيل الأولوية، لإنشاء نظام للرصد المنتظم والمستقل لأماكن الاحتجاز دون إشعار مسبق وإيجاد جميع الظروف اللازمة لتيسير الرصد الفعال من جانب</w:t>
      </w:r>
      <w:r w:rsidR="00434650">
        <w:rPr>
          <w:rFonts w:hint="cs"/>
          <w:b/>
          <w:bCs/>
          <w:rtl/>
        </w:rPr>
        <w:t xml:space="preserve"> </w:t>
      </w:r>
      <w:r w:rsidR="00FD2770" w:rsidRPr="00FD2770">
        <w:rPr>
          <w:rFonts w:hint="cs"/>
          <w:b/>
          <w:bCs/>
          <w:rtl/>
        </w:rPr>
        <w:t>منظمات</w:t>
      </w:r>
      <w:r w:rsidR="00434650">
        <w:rPr>
          <w:rFonts w:hint="cs"/>
          <w:b/>
          <w:bCs/>
          <w:rtl/>
        </w:rPr>
        <w:t xml:space="preserve"> </w:t>
      </w:r>
      <w:r w:rsidR="00FD2770" w:rsidRPr="00FD2770">
        <w:rPr>
          <w:rFonts w:hint="cs"/>
          <w:b/>
          <w:bCs/>
          <w:rtl/>
        </w:rPr>
        <w:t>مستقلة وتعزيز جهودها لمنح لجنة الصليب الأحمر الدولية فرصاً حقيقية للوصول إلى أماكن الاحتجاز؛</w:t>
      </w:r>
    </w:p>
    <w:p w:rsidR="00FD2770" w:rsidRPr="00FD2770" w:rsidRDefault="003C44F9" w:rsidP="00FE5014">
      <w:pPr>
        <w:pStyle w:val="SingleTxt"/>
        <w:rPr>
          <w:b/>
          <w:bCs/>
          <w:rtl/>
        </w:rPr>
      </w:pPr>
      <w:r>
        <w:rPr>
          <w:rFonts w:hint="cs"/>
          <w:b/>
          <w:bCs/>
          <w:rtl/>
        </w:rPr>
        <w:tab/>
      </w:r>
      <w:r w:rsidR="00FD2770" w:rsidRPr="003C44F9">
        <w:rPr>
          <w:rFonts w:hint="cs"/>
          <w:rtl/>
        </w:rPr>
        <w:t>(ب)</w:t>
      </w:r>
      <w:r w:rsidR="00FD2770" w:rsidRPr="00FD2770">
        <w:rPr>
          <w:rFonts w:hint="cs"/>
          <w:b/>
          <w:bCs/>
          <w:rtl/>
        </w:rPr>
        <w:tab/>
        <w:t>ضمان معاملة الأشخاص</w:t>
      </w:r>
      <w:r w:rsidR="00434650">
        <w:rPr>
          <w:rFonts w:hint="cs"/>
          <w:b/>
          <w:bCs/>
          <w:rtl/>
        </w:rPr>
        <w:t xml:space="preserve"> </w:t>
      </w:r>
      <w:r w:rsidR="00FD2770" w:rsidRPr="00FD2770">
        <w:rPr>
          <w:rFonts w:hint="cs"/>
          <w:b/>
          <w:bCs/>
          <w:rtl/>
        </w:rPr>
        <w:t>مسلوبي الحرية معاملة إنسانية وتحترم الكرامة الأصيلة في الشخص الإنساني والقضاء على جميع أشكال الاعتداءات</w:t>
      </w:r>
      <w:r w:rsidR="00434650">
        <w:rPr>
          <w:rFonts w:hint="cs"/>
          <w:b/>
          <w:bCs/>
          <w:rtl/>
        </w:rPr>
        <w:t xml:space="preserve"> </w:t>
      </w:r>
      <w:r w:rsidR="00FD2770" w:rsidRPr="00FD2770">
        <w:rPr>
          <w:rFonts w:hint="cs"/>
          <w:b/>
          <w:bCs/>
          <w:rtl/>
        </w:rPr>
        <w:t>أثناء الاحتجاز المشار إليها أعلاه والتحقيق فوراً وبشكل مستقل في أية تجاوزات من هذا القبيل، ومقاضاة المسؤولين، وتوفير سبل انتصاف</w:t>
      </w:r>
      <w:r w:rsidR="00FD2770" w:rsidRPr="00FD2770">
        <w:rPr>
          <w:rFonts w:hint="cs"/>
          <w:rtl/>
        </w:rPr>
        <w:t xml:space="preserve"> </w:t>
      </w:r>
      <w:r w:rsidR="00FD2770" w:rsidRPr="00FD2770">
        <w:rPr>
          <w:rFonts w:hint="cs"/>
          <w:b/>
          <w:bCs/>
          <w:rtl/>
        </w:rPr>
        <w:t>فعالة للضحايا، بما في ذلك التعويض المناسب.</w:t>
      </w:r>
    </w:p>
    <w:p w:rsidR="003C44F9" w:rsidRPr="003C44F9" w:rsidRDefault="003C44F9" w:rsidP="003C44F9">
      <w:pPr>
        <w:pStyle w:val="SingleTxt"/>
        <w:spacing w:after="0" w:line="120" w:lineRule="exact"/>
        <w:rPr>
          <w:b/>
          <w:bCs/>
          <w:sz w:val="10"/>
          <w:rtl/>
        </w:rPr>
      </w:pPr>
    </w:p>
    <w:p w:rsidR="00FD2770" w:rsidRPr="00FD2770" w:rsidRDefault="003C44F9" w:rsidP="003C44F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D2770" w:rsidRPr="00FD2770">
        <w:rPr>
          <w:rFonts w:hint="cs"/>
          <w:rtl/>
        </w:rPr>
        <w:t>العمل</w:t>
      </w:r>
      <w:r w:rsidR="00434650">
        <w:rPr>
          <w:rFonts w:hint="cs"/>
          <w:rtl/>
        </w:rPr>
        <w:t xml:space="preserve"> </w:t>
      </w:r>
      <w:r w:rsidR="00FD2770" w:rsidRPr="00FD2770">
        <w:rPr>
          <w:rFonts w:hint="cs"/>
          <w:rtl/>
        </w:rPr>
        <w:t>القسري</w:t>
      </w:r>
    </w:p>
    <w:p w:rsidR="00FD2770" w:rsidRPr="00FD2770" w:rsidRDefault="00FD2770" w:rsidP="00FE5014">
      <w:pPr>
        <w:pStyle w:val="SingleTxt"/>
        <w:rPr>
          <w:rtl/>
        </w:rPr>
      </w:pPr>
      <w:r w:rsidRPr="00FD2770">
        <w:rPr>
          <w:rFonts w:hint="cs"/>
          <w:rtl/>
        </w:rPr>
        <w:t>19-</w:t>
      </w:r>
      <w:r w:rsidRPr="00FD2770">
        <w:rPr>
          <w:rFonts w:hint="cs"/>
          <w:rtl/>
        </w:rPr>
        <w:tab/>
        <w:t>تعترف اللجنة بالتدابير التي اتخذتها الدولة الطرف للحد من العمل القسري للأطفال دون سن 16 عاماً في قطاع القطن، ولكن يساورها القلق إزاء التقارير</w:t>
      </w:r>
      <w:r w:rsidR="00434650">
        <w:rPr>
          <w:rFonts w:hint="cs"/>
          <w:rtl/>
        </w:rPr>
        <w:t xml:space="preserve"> </w:t>
      </w:r>
      <w:r w:rsidRPr="00FD2770">
        <w:rPr>
          <w:rFonts w:hint="cs"/>
          <w:rtl/>
        </w:rPr>
        <w:t>المستمرة التي تشير إلى زيادة اللجوء إلى استخدام أشخاص تتجاوز أعمارهم 16 عاماً وبالغين للقيام بالعمل القسري في قطاعي القطن والحرير. ويساور اللجنة القلق أيضاً إزاء</w:t>
      </w:r>
      <w:r w:rsidR="00434650">
        <w:rPr>
          <w:rFonts w:hint="cs"/>
          <w:rtl/>
        </w:rPr>
        <w:t xml:space="preserve"> </w:t>
      </w:r>
      <w:r w:rsidRPr="00FD2770">
        <w:rPr>
          <w:rFonts w:hint="cs"/>
          <w:rtl/>
        </w:rPr>
        <w:t>ادعاءات</w:t>
      </w:r>
      <w:r w:rsidR="00434650">
        <w:rPr>
          <w:rFonts w:hint="cs"/>
          <w:rtl/>
        </w:rPr>
        <w:t xml:space="preserve"> </w:t>
      </w:r>
      <w:r w:rsidRPr="00FD2770">
        <w:rPr>
          <w:rFonts w:hint="cs"/>
          <w:rtl/>
        </w:rPr>
        <w:t>انتشار الفساد والابتزاز وظروف العمل الخطرة في قطاع القطن وسوء الأحوال المعيشية أثناء الحصاد، الأمر الذي أدى حتى إلى حدوث وفيات (المواد 6 و8 و24).</w:t>
      </w:r>
    </w:p>
    <w:p w:rsidR="00FD2770" w:rsidRPr="00FD2770" w:rsidRDefault="00FD2770" w:rsidP="00FE5014">
      <w:pPr>
        <w:pStyle w:val="SingleTxt"/>
        <w:rPr>
          <w:b/>
          <w:bCs/>
          <w:rtl/>
        </w:rPr>
      </w:pPr>
      <w:r w:rsidRPr="00FD2770">
        <w:rPr>
          <w:rtl/>
        </w:rPr>
        <w:tab/>
      </w:r>
      <w:r w:rsidRPr="00FD2770">
        <w:rPr>
          <w:rFonts w:hint="cs"/>
          <w:b/>
          <w:bCs/>
          <w:rtl/>
        </w:rPr>
        <w:t>ينبغي للدولة الطرف أن تضع حداً للعمل القسري في قطاعي القطن والحرير،</w:t>
      </w:r>
      <w:r w:rsidR="00434650">
        <w:rPr>
          <w:rFonts w:hint="cs"/>
          <w:b/>
          <w:bCs/>
          <w:rtl/>
        </w:rPr>
        <w:t xml:space="preserve"> </w:t>
      </w:r>
      <w:r w:rsidRPr="00FD2770">
        <w:rPr>
          <w:rFonts w:hint="cs"/>
          <w:b/>
          <w:bCs/>
          <w:rtl/>
        </w:rPr>
        <w:t>بسبل منها التطبيق الفعال للإطار القانوني الذي يحظر عمل الأطفال والعمل القسري، بما في ذلك من خلال محاكمة المسؤولين عن الانتهاكات محاكمة صارمة وتحسين ظروف العمل والظروف المعيشة في هذين القطاعين. وينبغي للدولة الطرف أيضاً أن تراجع قوانينها وممارساتها لضمان الشفافية المالية والتصدي للفساد في صناعة القطن وأن تتخذ جميع التدابير اللازمة لمنع حدوث وفيات تتعلق بحصاد القطن، وإجراء تحقيق شامل في هذه الحالات عندما تحدث</w:t>
      </w:r>
      <w:r w:rsidR="00434650">
        <w:rPr>
          <w:rFonts w:hint="cs"/>
          <w:b/>
          <w:bCs/>
          <w:rtl/>
        </w:rPr>
        <w:t xml:space="preserve"> </w:t>
      </w:r>
      <w:r w:rsidRPr="00FD2770">
        <w:rPr>
          <w:rFonts w:hint="cs"/>
          <w:b/>
          <w:bCs/>
          <w:rtl/>
        </w:rPr>
        <w:t>وتوفير</w:t>
      </w:r>
      <w:r w:rsidR="00434650">
        <w:rPr>
          <w:rFonts w:hint="cs"/>
          <w:b/>
          <w:bCs/>
          <w:rtl/>
        </w:rPr>
        <w:t xml:space="preserve"> </w:t>
      </w:r>
      <w:r w:rsidRPr="00FD2770">
        <w:rPr>
          <w:rFonts w:hint="cs"/>
          <w:b/>
          <w:bCs/>
          <w:rtl/>
        </w:rPr>
        <w:t>سبل انتصاف فعالة، بما في ذلك</w:t>
      </w:r>
      <w:r w:rsidR="00434650">
        <w:rPr>
          <w:rFonts w:hint="cs"/>
          <w:b/>
          <w:bCs/>
          <w:rtl/>
        </w:rPr>
        <w:t xml:space="preserve"> </w:t>
      </w:r>
      <w:r w:rsidRPr="00FD2770">
        <w:rPr>
          <w:rFonts w:hint="cs"/>
          <w:b/>
          <w:bCs/>
          <w:rtl/>
        </w:rPr>
        <w:t>تعويض كافٍ، إلى أسر الضحايا.</w:t>
      </w:r>
    </w:p>
    <w:p w:rsidR="003C44F9" w:rsidRPr="003C44F9" w:rsidRDefault="003C44F9" w:rsidP="003C44F9">
      <w:pPr>
        <w:pStyle w:val="SingleTxt"/>
        <w:spacing w:after="0" w:line="120" w:lineRule="exact"/>
        <w:rPr>
          <w:b/>
          <w:bCs/>
          <w:sz w:val="10"/>
          <w:rtl/>
        </w:rPr>
      </w:pPr>
    </w:p>
    <w:p w:rsidR="00FD2770" w:rsidRPr="00FD2770" w:rsidRDefault="003C44F9" w:rsidP="003C44F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D2770" w:rsidRPr="00FD2770">
        <w:rPr>
          <w:rFonts w:hint="cs"/>
          <w:rtl/>
        </w:rPr>
        <w:t>حرية التنقل</w:t>
      </w:r>
    </w:p>
    <w:p w:rsidR="00FD2770" w:rsidRPr="00FD2770" w:rsidRDefault="00FD2770" w:rsidP="00FE5014">
      <w:pPr>
        <w:pStyle w:val="SingleTxt"/>
        <w:rPr>
          <w:rtl/>
        </w:rPr>
      </w:pPr>
      <w:r w:rsidRPr="00FD2770">
        <w:rPr>
          <w:rFonts w:hint="cs"/>
          <w:rtl/>
        </w:rPr>
        <w:t>20-</w:t>
      </w:r>
      <w:r w:rsidRPr="00FD2770">
        <w:rPr>
          <w:rFonts w:hint="cs"/>
          <w:rtl/>
        </w:rPr>
        <w:tab/>
        <w:t>لا تزال اللجنة تشعر بالقلق لأن الدولة الطرف لا تزال تحتفظ بنظام تأشيرات الخروج ونظام التسجيل الإلزامي لعنوان الأشخاص/محل إقامتهم. وتشعر اللجنة بالقلق أيضاً إزاء التقارير التي تشير إلى أن الدولة الطرف تمنع المدافعين عن حقوق الإنسان أو الصحفيين المستقلين أو أفراد الأحزاب السياسية المعارضة من السفر إلى الخارج</w:t>
      </w:r>
      <w:r w:rsidR="00434650">
        <w:rPr>
          <w:rFonts w:hint="cs"/>
          <w:rtl/>
        </w:rPr>
        <w:t xml:space="preserve"> </w:t>
      </w:r>
      <w:r w:rsidRPr="00FD2770">
        <w:rPr>
          <w:rFonts w:hint="cs"/>
          <w:rtl/>
        </w:rPr>
        <w:t>بتأخير إصدار تأشيرات الخروج (المادة 12).</w:t>
      </w:r>
    </w:p>
    <w:p w:rsidR="00FD2770" w:rsidRPr="00FD2770" w:rsidRDefault="00FD2770" w:rsidP="00FE5014">
      <w:pPr>
        <w:pStyle w:val="SingleTxt"/>
        <w:rPr>
          <w:b/>
          <w:bCs/>
          <w:rtl/>
        </w:rPr>
      </w:pPr>
      <w:r w:rsidRPr="00FD2770">
        <w:rPr>
          <w:rtl/>
        </w:rPr>
        <w:lastRenderedPageBreak/>
        <w:tab/>
      </w:r>
      <w:r w:rsidRPr="00FD2770">
        <w:rPr>
          <w:rFonts w:hint="cs"/>
          <w:b/>
          <w:bCs/>
          <w:rtl/>
        </w:rPr>
        <w:t xml:space="preserve">تكرر اللجنة توصيتها السابقة (انظر </w:t>
      </w:r>
      <w:r w:rsidRPr="00FD2770">
        <w:rPr>
          <w:b/>
          <w:bCs/>
        </w:rPr>
        <w:t>CCPR/C/UZB/CO/3</w:t>
      </w:r>
      <w:r w:rsidRPr="00FD2770">
        <w:rPr>
          <w:rFonts w:hint="cs"/>
          <w:b/>
          <w:bCs/>
          <w:rtl/>
        </w:rPr>
        <w:t>، الفقرة 18)</w:t>
      </w:r>
      <w:r w:rsidR="00434650">
        <w:rPr>
          <w:rFonts w:hint="cs"/>
          <w:b/>
          <w:bCs/>
          <w:rtl/>
        </w:rPr>
        <w:t xml:space="preserve"> </w:t>
      </w:r>
      <w:r w:rsidRPr="00FD2770">
        <w:rPr>
          <w:rFonts w:hint="cs"/>
          <w:b/>
          <w:bCs/>
          <w:rtl/>
        </w:rPr>
        <w:t>التي تدعو فيها الدولة الطرف إلى إلغاء نظام تأشيرة الخروج</w:t>
      </w:r>
      <w:r w:rsidR="00434650">
        <w:rPr>
          <w:rFonts w:hint="cs"/>
          <w:b/>
          <w:bCs/>
          <w:rtl/>
        </w:rPr>
        <w:t xml:space="preserve"> </w:t>
      </w:r>
      <w:r w:rsidRPr="00FD2770">
        <w:rPr>
          <w:rFonts w:hint="cs"/>
          <w:b/>
          <w:bCs/>
          <w:rtl/>
        </w:rPr>
        <w:t>ومواءمة نظامها الخاص بالتسجيل الإلزامي لعنوان الأشخاص/محل إقامتهم مع أحكام العهد.</w:t>
      </w:r>
    </w:p>
    <w:p w:rsidR="00CD4FE0" w:rsidRPr="00CD4FE0" w:rsidRDefault="00CD4FE0" w:rsidP="00CD4FE0">
      <w:pPr>
        <w:pStyle w:val="SingleTxt"/>
        <w:spacing w:after="0" w:line="120" w:lineRule="exact"/>
        <w:rPr>
          <w:b/>
          <w:bCs/>
          <w:sz w:val="10"/>
          <w:rtl/>
        </w:rPr>
      </w:pPr>
    </w:p>
    <w:p w:rsidR="00FD2770" w:rsidRPr="00FD2770" w:rsidRDefault="00CD4FE0" w:rsidP="00CD4F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FD2770" w:rsidRPr="00FD2770">
        <w:rPr>
          <w:rFonts w:hint="cs"/>
          <w:rtl/>
        </w:rPr>
        <w:t>استقلالية الجهاز القضائي والمحاكمة العادلة</w:t>
      </w:r>
    </w:p>
    <w:p w:rsidR="00FD2770" w:rsidRPr="00FD2770" w:rsidRDefault="00FD2770" w:rsidP="00FE5014">
      <w:pPr>
        <w:pStyle w:val="SingleTxt"/>
        <w:rPr>
          <w:rtl/>
        </w:rPr>
      </w:pPr>
      <w:r w:rsidRPr="00FD2770">
        <w:rPr>
          <w:rFonts w:hint="cs"/>
          <w:rtl/>
        </w:rPr>
        <w:t>21-</w:t>
      </w:r>
      <w:r w:rsidRPr="00FD2770">
        <w:rPr>
          <w:rFonts w:hint="cs"/>
          <w:rtl/>
        </w:rPr>
        <w:tab/>
        <w:t xml:space="preserve">لا تزال اللجنة تشعر بالقلق (انظر </w:t>
      </w:r>
      <w:r w:rsidRPr="00FD2770">
        <w:t>CCPR/C/UZB/CO/3</w:t>
      </w:r>
      <w:r w:rsidRPr="00FD2770">
        <w:rPr>
          <w:rFonts w:hint="cs"/>
          <w:rtl/>
        </w:rPr>
        <w:t>، الفقرة 16) إزاء عدم كفاية استقلالية ونزاهة الجهاز القضائي، بما في ذلك عدم ضمان الأمن الوظيفي للقضاة، الذين</w:t>
      </w:r>
      <w:r w:rsidR="00434650">
        <w:rPr>
          <w:rFonts w:hint="cs"/>
          <w:rtl/>
        </w:rPr>
        <w:t xml:space="preserve"> </w:t>
      </w:r>
      <w:r w:rsidRPr="00FD2770">
        <w:rPr>
          <w:rFonts w:hint="cs"/>
          <w:rtl/>
        </w:rPr>
        <w:t>تجدد السلطة التنفيذية ولايتهم كل خمس سنوات، وتأسف لعدم تقديم معلومات عن تعيين القضاة وترقيتهم ووقفهم وعزلهم. ويساور اللجنة القلق إزاء عدم استقلالية غرفة المحامين عن الهيئة التنفيذية (المادة 14).</w:t>
      </w:r>
    </w:p>
    <w:p w:rsidR="00FD2770" w:rsidRPr="00FD2770" w:rsidRDefault="00FD2770" w:rsidP="00FE5014">
      <w:pPr>
        <w:pStyle w:val="SingleTxt"/>
        <w:rPr>
          <w:b/>
          <w:bCs/>
        </w:rPr>
      </w:pPr>
      <w:r w:rsidRPr="00FD2770">
        <w:rPr>
          <w:rtl/>
        </w:rPr>
        <w:tab/>
      </w:r>
      <w:r w:rsidRPr="00FD2770">
        <w:rPr>
          <w:rFonts w:hint="cs"/>
          <w:b/>
          <w:bCs/>
          <w:rtl/>
        </w:rPr>
        <w:t>ينبغي للدولة الطرف أن تتخذ جميع التدابير اللازمة لضمان (أ) استقلالية الجهاز القضائي ونزاهته التامة،</w:t>
      </w:r>
      <w:r w:rsidR="00434650">
        <w:rPr>
          <w:rFonts w:hint="cs"/>
          <w:b/>
          <w:bCs/>
          <w:rtl/>
        </w:rPr>
        <w:t xml:space="preserve"> </w:t>
      </w:r>
      <w:r w:rsidRPr="00FD2770">
        <w:rPr>
          <w:rFonts w:hint="cs"/>
          <w:b/>
          <w:bCs/>
          <w:rtl/>
        </w:rPr>
        <w:t>بوسائل منها ضمان الأمن الوظيفي للقضاة؛ (ب) أن تعيين القضاة وترقيتهم ووقفهم وعزلهم</w:t>
      </w:r>
      <w:r w:rsidR="00434650">
        <w:rPr>
          <w:rFonts w:hint="cs"/>
          <w:b/>
          <w:bCs/>
          <w:rtl/>
        </w:rPr>
        <w:t xml:space="preserve"> </w:t>
      </w:r>
      <w:r w:rsidRPr="00FD2770">
        <w:rPr>
          <w:rFonts w:hint="cs"/>
          <w:b/>
          <w:bCs/>
          <w:rtl/>
        </w:rPr>
        <w:t>يتماشى مع أحكام العهد؛ (ج)</w:t>
      </w:r>
      <w:r w:rsidR="00434650">
        <w:rPr>
          <w:rFonts w:hint="cs"/>
          <w:b/>
          <w:bCs/>
          <w:rtl/>
        </w:rPr>
        <w:t xml:space="preserve"> </w:t>
      </w:r>
      <w:r w:rsidRPr="00FD2770">
        <w:rPr>
          <w:rFonts w:hint="cs"/>
          <w:b/>
          <w:bCs/>
          <w:rtl/>
        </w:rPr>
        <w:t>أن استقلالية غرفة المحامين عن الهيئة التنفيذية مضمونة في القانون والممارسة؛ (د)</w:t>
      </w:r>
      <w:r w:rsidR="00434650">
        <w:rPr>
          <w:rFonts w:hint="cs"/>
          <w:b/>
          <w:bCs/>
          <w:rtl/>
        </w:rPr>
        <w:t xml:space="preserve"> </w:t>
      </w:r>
      <w:r w:rsidRPr="00FD2770">
        <w:rPr>
          <w:rFonts w:hint="cs"/>
          <w:b/>
          <w:bCs/>
          <w:rtl/>
        </w:rPr>
        <w:t xml:space="preserve">أن هناك ما يكفي من الضمانات لضمان استقلالية المحامين. </w:t>
      </w:r>
    </w:p>
    <w:p w:rsidR="00CD4FE0" w:rsidRPr="00CD4FE0" w:rsidRDefault="00CD4FE0" w:rsidP="00CD4FE0">
      <w:pPr>
        <w:pStyle w:val="SingleTxt"/>
        <w:spacing w:after="0" w:line="120" w:lineRule="exact"/>
        <w:rPr>
          <w:b/>
          <w:bCs/>
          <w:sz w:val="10"/>
          <w:rtl/>
        </w:rPr>
      </w:pPr>
    </w:p>
    <w:p w:rsidR="00FD2770" w:rsidRPr="00FD2770" w:rsidRDefault="00CD4FE0" w:rsidP="00CD4F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rPr>
        <w:tab/>
      </w:r>
      <w:r>
        <w:rPr>
          <w:rFonts w:hint="cs"/>
          <w:rtl/>
        </w:rPr>
        <w:tab/>
      </w:r>
      <w:r w:rsidR="00FD2770" w:rsidRPr="00FD2770">
        <w:rPr>
          <w:rFonts w:hint="cs"/>
          <w:rtl/>
        </w:rPr>
        <w:t>حرية</w:t>
      </w:r>
      <w:r w:rsidR="00434650">
        <w:rPr>
          <w:rFonts w:hint="cs"/>
          <w:rtl/>
        </w:rPr>
        <w:t xml:space="preserve"> </w:t>
      </w:r>
      <w:r w:rsidR="00FD2770" w:rsidRPr="00FD2770">
        <w:rPr>
          <w:rFonts w:hint="cs"/>
          <w:rtl/>
        </w:rPr>
        <w:t>الوجدان والمعتقد</w:t>
      </w:r>
      <w:r w:rsidR="00FD2770" w:rsidRPr="00FD2770">
        <w:rPr>
          <w:rFonts w:hint="cs"/>
          <w:rtl/>
          <w:lang w:val="fr-CH"/>
        </w:rPr>
        <w:t xml:space="preserve"> الديني</w:t>
      </w:r>
    </w:p>
    <w:p w:rsidR="00FD2770" w:rsidRPr="00FD2770" w:rsidRDefault="00FD2770" w:rsidP="004926FC">
      <w:pPr>
        <w:pStyle w:val="SingleTxt"/>
        <w:rPr>
          <w:rtl/>
        </w:rPr>
      </w:pPr>
      <w:r w:rsidRPr="00FD2770">
        <w:rPr>
          <w:rFonts w:hint="cs"/>
          <w:rtl/>
        </w:rPr>
        <w:t>22-</w:t>
      </w:r>
      <w:r w:rsidRPr="00FD2770">
        <w:rPr>
          <w:rFonts w:hint="cs"/>
          <w:rtl/>
        </w:rPr>
        <w:tab/>
        <w:t xml:space="preserve">لا تزال اللجنة تشعر بالقلق (انظر </w:t>
      </w:r>
      <w:r w:rsidRPr="00FD2770">
        <w:t>CCPR/C/UZB/CO/3</w:t>
      </w:r>
      <w:r w:rsidRPr="00FD2770">
        <w:rPr>
          <w:rFonts w:hint="cs"/>
          <w:rtl/>
        </w:rPr>
        <w:t>، الفقرة 19) لأن الأحكام القانونية التي تحظر الأنشطة التبشيرية وغيرها من أنشطة البعثات التبشيرية لا تزال سارية. ويساور اللجنة القلق إزاء التقارير</w:t>
      </w:r>
      <w:r w:rsidR="00434650">
        <w:rPr>
          <w:rFonts w:hint="cs"/>
          <w:rtl/>
        </w:rPr>
        <w:t xml:space="preserve"> </w:t>
      </w:r>
      <w:r w:rsidRPr="00FD2770">
        <w:rPr>
          <w:rFonts w:hint="cs"/>
          <w:rtl/>
        </w:rPr>
        <w:t>التي</w:t>
      </w:r>
      <w:r w:rsidR="00434650">
        <w:rPr>
          <w:rFonts w:hint="cs"/>
          <w:rtl/>
        </w:rPr>
        <w:t xml:space="preserve"> </w:t>
      </w:r>
      <w:r w:rsidRPr="00FD2770">
        <w:rPr>
          <w:rFonts w:hint="cs"/>
          <w:rtl/>
        </w:rPr>
        <w:t>تتحدث عن (أ)</w:t>
      </w:r>
      <w:r w:rsidR="00434650">
        <w:rPr>
          <w:rFonts w:hint="cs"/>
          <w:rtl/>
        </w:rPr>
        <w:t xml:space="preserve"> </w:t>
      </w:r>
      <w:r w:rsidRPr="00FD2770">
        <w:rPr>
          <w:rFonts w:hint="cs"/>
          <w:rtl/>
        </w:rPr>
        <w:t>إلقاء القبض غير القانوني والاحتجاز والتعذيب وسوء المعاملة والإدانة بالاستناد إلى تهم تتعلق بالتطرف الديني لمسلمين مستقلين يمارسون دينهم خارج الهياكل المسجلة؛ (ب) إلقاء القبض</w:t>
      </w:r>
      <w:r w:rsidR="00434650">
        <w:rPr>
          <w:rFonts w:hint="cs"/>
          <w:rtl/>
        </w:rPr>
        <w:t xml:space="preserve"> </w:t>
      </w:r>
      <w:r w:rsidRPr="00FD2770">
        <w:rPr>
          <w:rFonts w:hint="cs"/>
          <w:rtl/>
        </w:rPr>
        <w:t>على المسيحيين وأفراد أقليات دينية يمارسون أنشطتهم الدينية بشكل سلمي خارج الهياكل المسجلة بتهمة "ممارسة نشاط ديني غير قانوني"</w:t>
      </w:r>
      <w:r w:rsidR="00CD4FE0">
        <w:rPr>
          <w:rFonts w:hint="cs"/>
          <w:rtl/>
        </w:rPr>
        <w:t xml:space="preserve">             </w:t>
      </w:r>
      <w:r w:rsidR="00434650">
        <w:rPr>
          <w:rFonts w:hint="cs"/>
          <w:rtl/>
        </w:rPr>
        <w:t xml:space="preserve"> </w:t>
      </w:r>
      <w:r w:rsidRPr="00FD2770">
        <w:rPr>
          <w:rFonts w:hint="cs"/>
          <w:rtl/>
        </w:rPr>
        <w:t>واحتجازهم وفرض</w:t>
      </w:r>
      <w:r w:rsidR="00434650">
        <w:rPr>
          <w:rFonts w:hint="cs"/>
          <w:rtl/>
        </w:rPr>
        <w:t xml:space="preserve"> </w:t>
      </w:r>
      <w:r w:rsidRPr="00FD2770">
        <w:rPr>
          <w:rFonts w:hint="cs"/>
          <w:rtl/>
        </w:rPr>
        <w:t>غرامات عليهم</w:t>
      </w:r>
      <w:r w:rsidR="00434650">
        <w:rPr>
          <w:rFonts w:hint="cs"/>
          <w:rtl/>
        </w:rPr>
        <w:t xml:space="preserve"> </w:t>
      </w:r>
      <w:r w:rsidRPr="00FD2770">
        <w:rPr>
          <w:rFonts w:hint="cs"/>
          <w:rtl/>
        </w:rPr>
        <w:t>والحكم عليهم بالسجن؛ (ج) فرض</w:t>
      </w:r>
      <w:r w:rsidR="00434650">
        <w:rPr>
          <w:rFonts w:hint="cs"/>
          <w:rtl/>
        </w:rPr>
        <w:t xml:space="preserve"> </w:t>
      </w:r>
      <w:r w:rsidRPr="00FD2770">
        <w:rPr>
          <w:rFonts w:hint="cs"/>
          <w:rtl/>
        </w:rPr>
        <w:t xml:space="preserve">رقابة على المواد الدينية وتقييد استخدامها ليقتصر على داخل المباني التابعة للمجموعات الدينية المسجلة فقط </w:t>
      </w:r>
      <w:r w:rsidR="00CD4FE0">
        <w:rPr>
          <w:rFonts w:hint="cs"/>
          <w:rtl/>
        </w:rPr>
        <w:t xml:space="preserve">              </w:t>
      </w:r>
      <w:r w:rsidRPr="00FD2770">
        <w:rPr>
          <w:rFonts w:hint="cs"/>
          <w:rtl/>
        </w:rPr>
        <w:t>(المواد 7 و9 و10 و18).</w:t>
      </w:r>
    </w:p>
    <w:p w:rsidR="00FD2770" w:rsidRPr="00FD2770" w:rsidRDefault="00FD2770" w:rsidP="00FE5014">
      <w:pPr>
        <w:pStyle w:val="SingleTxt"/>
        <w:rPr>
          <w:b/>
          <w:bCs/>
          <w:rtl/>
        </w:rPr>
      </w:pPr>
      <w:r w:rsidRPr="00FD2770">
        <w:rPr>
          <w:rFonts w:hint="cs"/>
          <w:b/>
          <w:bCs/>
          <w:rtl/>
        </w:rPr>
        <w:tab/>
        <w:t>ينبغي للدولة الطرف أن تكفل في الممارسة العملية حرية الدين والمعتقد والحرية في إظهار الدين أو المعتقد وأن تمتنع عن أي عمل قد يقيد هذه الحريات بشكل يتجاوز القيود الضيقة المسموح بها في المادة 18 من العهد. وينبغي مواءمة تشريعاتها مع</w:t>
      </w:r>
      <w:r w:rsidR="00CD4FE0">
        <w:rPr>
          <w:rFonts w:hint="cs"/>
          <w:b/>
          <w:bCs/>
          <w:rtl/>
        </w:rPr>
        <w:t xml:space="preserve">          </w:t>
      </w:r>
      <w:r w:rsidRPr="00FD2770">
        <w:rPr>
          <w:rFonts w:hint="cs"/>
          <w:b/>
          <w:bCs/>
          <w:rtl/>
        </w:rPr>
        <w:t xml:space="preserve"> المادة 18 من العهد،</w:t>
      </w:r>
      <w:r w:rsidR="00434650">
        <w:rPr>
          <w:rFonts w:hint="cs"/>
          <w:b/>
          <w:bCs/>
          <w:rtl/>
        </w:rPr>
        <w:t xml:space="preserve"> </w:t>
      </w:r>
      <w:r w:rsidRPr="00FD2770">
        <w:rPr>
          <w:rFonts w:hint="cs"/>
          <w:b/>
          <w:bCs/>
          <w:rtl/>
        </w:rPr>
        <w:t xml:space="preserve">بوسائل منها إلغاء تجريم الأنشطة التبشيرية وغيرها من أنشطة البعثات التبشيرية، والتحقيق في جميع أفعال التدخل في حرية الدين للمسلمين المستقلين </w:t>
      </w:r>
      <w:r w:rsidRPr="00FD2770">
        <w:rPr>
          <w:rFonts w:hint="cs"/>
          <w:b/>
          <w:bCs/>
          <w:rtl/>
        </w:rPr>
        <w:lastRenderedPageBreak/>
        <w:t>والمسيحيين وغيرهم من الطوائف الدينية التي تمارس طقوسها الدينية خارج الهياكل المسجلة.</w:t>
      </w:r>
    </w:p>
    <w:p w:rsidR="00FD2770" w:rsidRPr="00CD4FE0" w:rsidRDefault="00FD2770" w:rsidP="00CD4FE0">
      <w:pPr>
        <w:pStyle w:val="SingleTxt"/>
        <w:spacing w:after="0" w:line="120" w:lineRule="exact"/>
        <w:rPr>
          <w:b/>
          <w:bCs/>
          <w:sz w:val="10"/>
          <w:rtl/>
        </w:rPr>
      </w:pPr>
    </w:p>
    <w:p w:rsidR="00FD2770" w:rsidRPr="00FD2770" w:rsidRDefault="00CD4FE0" w:rsidP="00CD4F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حرية التعبير</w:t>
      </w:r>
    </w:p>
    <w:p w:rsidR="00FD2770" w:rsidRPr="00FD2770" w:rsidRDefault="00FD2770" w:rsidP="004926FC">
      <w:pPr>
        <w:pStyle w:val="SingleTxt"/>
        <w:rPr>
          <w:rtl/>
        </w:rPr>
      </w:pPr>
      <w:r w:rsidRPr="00FD2770">
        <w:rPr>
          <w:rFonts w:hint="cs"/>
          <w:rtl/>
        </w:rPr>
        <w:t>23-</w:t>
      </w:r>
      <w:r w:rsidRPr="00FD2770">
        <w:rPr>
          <w:rFonts w:hint="cs"/>
          <w:rtl/>
        </w:rPr>
        <w:tab/>
        <w:t xml:space="preserve">لا تزال اللجنة تشعر بالقلق (انظر </w:t>
      </w:r>
      <w:r w:rsidRPr="00FD2770">
        <w:t>CCPR/C/UZB/CO/3</w:t>
      </w:r>
      <w:r w:rsidRPr="00FD2770">
        <w:rPr>
          <w:rFonts w:hint="cs"/>
          <w:rtl/>
        </w:rPr>
        <w:t>، الفقرة 24) إزاء التقارير المتطابقة الواردة بشأن تعرض الصحفيين المستقلين،</w:t>
      </w:r>
      <w:r w:rsidR="00434650">
        <w:rPr>
          <w:rFonts w:hint="cs"/>
          <w:rtl/>
        </w:rPr>
        <w:t xml:space="preserve"> </w:t>
      </w:r>
      <w:r w:rsidRPr="00FD2770">
        <w:rPr>
          <w:rFonts w:hint="cs"/>
          <w:rtl/>
        </w:rPr>
        <w:t>ومنتقدي الحكومة</w:t>
      </w:r>
      <w:r w:rsidR="00434650">
        <w:rPr>
          <w:rFonts w:hint="cs"/>
          <w:rtl/>
        </w:rPr>
        <w:t xml:space="preserve"> </w:t>
      </w:r>
      <w:r w:rsidRPr="00FD2770">
        <w:rPr>
          <w:rFonts w:hint="cs"/>
          <w:rtl/>
        </w:rPr>
        <w:t>ومعارضين والمدافعين عن حقوق الإنسان وغيرهم من الناشطين للمضايقة والمراقبة والاعتقال والاحتجاز التعسفيين والتعذيب وسوء المعاملة على أيدي الموظفين المكلفين بإنفاذ القوانين ومحاكمتهم على تهم ملفقة، انتقاما</w:t>
      </w:r>
      <w:r w:rsidR="002B0A09">
        <w:rPr>
          <w:rFonts w:hint="cs"/>
          <w:rtl/>
        </w:rPr>
        <w:t>ً</w:t>
      </w:r>
      <w:r w:rsidR="00434650">
        <w:rPr>
          <w:rFonts w:hint="cs"/>
          <w:rtl/>
        </w:rPr>
        <w:t xml:space="preserve"> </w:t>
      </w:r>
      <w:r w:rsidRPr="00FD2770">
        <w:rPr>
          <w:rFonts w:hint="cs"/>
          <w:rtl/>
        </w:rPr>
        <w:t xml:space="preserve">من عملهم. ويساورها القلق أيضاً إزاء التقارير التي تفيد بأن حرية التعبير بشأن </w:t>
      </w:r>
      <w:r w:rsidR="0070649B">
        <w:rPr>
          <w:rFonts w:hint="cs"/>
          <w:rtl/>
        </w:rPr>
        <w:t xml:space="preserve">            </w:t>
      </w:r>
      <w:r w:rsidRPr="00FD2770">
        <w:rPr>
          <w:rFonts w:hint="cs"/>
          <w:rtl/>
        </w:rPr>
        <w:t>القضايا المثيرة للخلافات والقضايا الحساسة من الناحية السياسية مقيدة بشدة في</w:t>
      </w:r>
      <w:r w:rsidR="0070649B">
        <w:rPr>
          <w:rFonts w:hint="cs"/>
          <w:rtl/>
        </w:rPr>
        <w:t xml:space="preserve">            </w:t>
      </w:r>
      <w:r w:rsidRPr="00FD2770">
        <w:rPr>
          <w:rFonts w:hint="cs"/>
          <w:rtl/>
        </w:rPr>
        <w:t xml:space="preserve"> الممارسة العملية،</w:t>
      </w:r>
      <w:r w:rsidR="00434650">
        <w:rPr>
          <w:rFonts w:hint="cs"/>
          <w:rtl/>
        </w:rPr>
        <w:t xml:space="preserve"> </w:t>
      </w:r>
      <w:r w:rsidRPr="00FD2770">
        <w:rPr>
          <w:rFonts w:hint="cs"/>
          <w:rtl/>
        </w:rPr>
        <w:t>وأن المواقع الشبكية التي تقدم هذه المعلومات محجوبة، وأن وكالات الأنباء محظورة (المواد 7 و9 و10 و14 و19).</w:t>
      </w:r>
    </w:p>
    <w:p w:rsidR="00FD2770" w:rsidRPr="00FD2770" w:rsidRDefault="00FD2770" w:rsidP="00FE5014">
      <w:pPr>
        <w:pStyle w:val="SingleTxt"/>
        <w:rPr>
          <w:b/>
          <w:bCs/>
          <w:rtl/>
        </w:rPr>
      </w:pPr>
      <w:r w:rsidRPr="00FD2770">
        <w:rPr>
          <w:rFonts w:hint="cs"/>
          <w:b/>
          <w:bCs/>
          <w:rtl/>
        </w:rPr>
        <w:tab/>
        <w:t xml:space="preserve">ينبغي للدولة الطرف أن تقوم بما يلي: </w:t>
      </w:r>
    </w:p>
    <w:p w:rsidR="00FD2770" w:rsidRPr="00FD2770" w:rsidRDefault="00FD2770" w:rsidP="00FE5014">
      <w:pPr>
        <w:pStyle w:val="SingleTxt"/>
        <w:rPr>
          <w:b/>
          <w:bCs/>
          <w:rtl/>
        </w:rPr>
      </w:pPr>
      <w:r w:rsidRPr="00FD2770">
        <w:rPr>
          <w:rFonts w:hint="cs"/>
          <w:b/>
          <w:bCs/>
          <w:rtl/>
        </w:rPr>
        <w:tab/>
      </w:r>
      <w:r w:rsidRPr="0070649B">
        <w:rPr>
          <w:rFonts w:hint="cs"/>
          <w:rtl/>
        </w:rPr>
        <w:t>(أ)</w:t>
      </w:r>
      <w:r w:rsidRPr="00FD2770">
        <w:rPr>
          <w:rFonts w:hint="cs"/>
          <w:b/>
          <w:bCs/>
          <w:rtl/>
        </w:rPr>
        <w:tab/>
        <w:t>اتخاذ خطوات فورية لتقديم</w:t>
      </w:r>
      <w:r w:rsidR="00434650">
        <w:rPr>
          <w:rFonts w:hint="cs"/>
          <w:b/>
          <w:bCs/>
          <w:rtl/>
        </w:rPr>
        <w:t xml:space="preserve"> </w:t>
      </w:r>
      <w:r w:rsidRPr="00FD2770">
        <w:rPr>
          <w:rFonts w:hint="cs"/>
          <w:b/>
          <w:bCs/>
          <w:rtl/>
        </w:rPr>
        <w:t>حماية</w:t>
      </w:r>
      <w:r w:rsidR="00434650">
        <w:rPr>
          <w:rFonts w:hint="cs"/>
          <w:b/>
          <w:bCs/>
          <w:rtl/>
        </w:rPr>
        <w:t xml:space="preserve"> </w:t>
      </w:r>
      <w:r w:rsidRPr="00FD2770">
        <w:rPr>
          <w:rFonts w:hint="cs"/>
          <w:b/>
          <w:bCs/>
          <w:rtl/>
        </w:rPr>
        <w:t>فعالة، في الممارسة العملية، للصحفيين المستقلين</w:t>
      </w:r>
      <w:r w:rsidR="00434650">
        <w:rPr>
          <w:rFonts w:hint="cs"/>
          <w:b/>
          <w:bCs/>
          <w:rtl/>
        </w:rPr>
        <w:t xml:space="preserve"> </w:t>
      </w:r>
      <w:r w:rsidRPr="00FD2770">
        <w:rPr>
          <w:rFonts w:hint="cs"/>
          <w:b/>
          <w:bCs/>
          <w:rtl/>
        </w:rPr>
        <w:t>ومنتقدي الحكومة</w:t>
      </w:r>
      <w:r w:rsidR="00434650">
        <w:rPr>
          <w:rFonts w:hint="cs"/>
          <w:b/>
          <w:bCs/>
          <w:rtl/>
        </w:rPr>
        <w:t xml:space="preserve"> </w:t>
      </w:r>
      <w:r w:rsidRPr="00FD2770">
        <w:rPr>
          <w:rFonts w:hint="cs"/>
          <w:b/>
          <w:bCs/>
          <w:rtl/>
        </w:rPr>
        <w:t>ومعارضيها والمدافعين عن حقوق الإنسان وغيرهم من الناشطين من أي فعل قد يشكل مضايقة أو ملاحقة أو تدخلاً غير ضروري في ممارستهم لأنشطتهم المهنية أو لحقهم في حرية الرأي والتعبير،</w:t>
      </w:r>
      <w:r w:rsidR="00434650">
        <w:rPr>
          <w:rFonts w:hint="cs"/>
          <w:b/>
          <w:bCs/>
          <w:rtl/>
        </w:rPr>
        <w:t xml:space="preserve"> </w:t>
      </w:r>
      <w:r w:rsidRPr="00FD2770">
        <w:rPr>
          <w:rFonts w:hint="cs"/>
          <w:b/>
          <w:bCs/>
          <w:rtl/>
        </w:rPr>
        <w:t>وضمان</w:t>
      </w:r>
      <w:r w:rsidR="00434650">
        <w:rPr>
          <w:rFonts w:hint="cs"/>
          <w:b/>
          <w:bCs/>
          <w:rtl/>
        </w:rPr>
        <w:t xml:space="preserve"> </w:t>
      </w:r>
      <w:r w:rsidRPr="00FD2770">
        <w:rPr>
          <w:rFonts w:hint="cs"/>
          <w:b/>
          <w:bCs/>
          <w:rtl/>
        </w:rPr>
        <w:t>تحقيق</w:t>
      </w:r>
      <w:r w:rsidR="00434650">
        <w:rPr>
          <w:rFonts w:hint="cs"/>
          <w:b/>
          <w:bCs/>
          <w:rtl/>
        </w:rPr>
        <w:t xml:space="preserve"> </w:t>
      </w:r>
      <w:r w:rsidRPr="00FD2770">
        <w:rPr>
          <w:rFonts w:hint="cs"/>
          <w:b/>
          <w:bCs/>
          <w:rtl/>
        </w:rPr>
        <w:t>شامل</w:t>
      </w:r>
      <w:r w:rsidR="00434650">
        <w:rPr>
          <w:rFonts w:hint="cs"/>
          <w:b/>
          <w:bCs/>
          <w:rtl/>
        </w:rPr>
        <w:t xml:space="preserve"> </w:t>
      </w:r>
      <w:r w:rsidRPr="00FD2770">
        <w:rPr>
          <w:rFonts w:hint="cs"/>
          <w:b/>
          <w:bCs/>
          <w:rtl/>
        </w:rPr>
        <w:t>ومستقل في هذه الأفعال، وملاحقة ومعاقبة مرتكبيها</w:t>
      </w:r>
      <w:r w:rsidR="00434650">
        <w:rPr>
          <w:rFonts w:hint="cs"/>
          <w:b/>
          <w:bCs/>
          <w:rtl/>
        </w:rPr>
        <w:t xml:space="preserve"> </w:t>
      </w:r>
      <w:r w:rsidRPr="00FD2770">
        <w:rPr>
          <w:rFonts w:hint="cs"/>
          <w:b/>
          <w:bCs/>
          <w:rtl/>
        </w:rPr>
        <w:t>وتوفير سبل</w:t>
      </w:r>
      <w:r w:rsidR="00434650">
        <w:rPr>
          <w:rFonts w:hint="cs"/>
          <w:b/>
          <w:bCs/>
          <w:rtl/>
        </w:rPr>
        <w:t xml:space="preserve"> </w:t>
      </w:r>
      <w:r w:rsidRPr="00FD2770">
        <w:rPr>
          <w:rFonts w:hint="cs"/>
          <w:b/>
          <w:bCs/>
          <w:rtl/>
        </w:rPr>
        <w:t>انتصاف</w:t>
      </w:r>
      <w:r w:rsidR="00434650">
        <w:rPr>
          <w:rFonts w:hint="cs"/>
          <w:b/>
          <w:bCs/>
          <w:rtl/>
        </w:rPr>
        <w:t xml:space="preserve"> </w:t>
      </w:r>
      <w:r w:rsidRPr="00FD2770">
        <w:rPr>
          <w:rFonts w:hint="cs"/>
          <w:b/>
          <w:bCs/>
          <w:rtl/>
        </w:rPr>
        <w:t>فعالة</w:t>
      </w:r>
      <w:r w:rsidR="00434650">
        <w:rPr>
          <w:rFonts w:hint="cs"/>
          <w:b/>
          <w:bCs/>
          <w:rtl/>
        </w:rPr>
        <w:t xml:space="preserve"> </w:t>
      </w:r>
      <w:r w:rsidRPr="00FD2770">
        <w:rPr>
          <w:rFonts w:hint="cs"/>
          <w:b/>
          <w:bCs/>
          <w:rtl/>
        </w:rPr>
        <w:t xml:space="preserve">للضحايا؛ </w:t>
      </w:r>
    </w:p>
    <w:p w:rsidR="00FD2770" w:rsidRDefault="00FD2770" w:rsidP="00FE5014">
      <w:pPr>
        <w:pStyle w:val="SingleTxt"/>
        <w:rPr>
          <w:b/>
          <w:bCs/>
          <w:rtl/>
        </w:rPr>
      </w:pPr>
      <w:r w:rsidRPr="00FD2770">
        <w:rPr>
          <w:rFonts w:hint="cs"/>
          <w:b/>
          <w:bCs/>
          <w:rtl/>
        </w:rPr>
        <w:tab/>
        <w:t>(ب)</w:t>
      </w:r>
      <w:r w:rsidRPr="00FD2770">
        <w:rPr>
          <w:rFonts w:hint="cs"/>
          <w:b/>
          <w:bCs/>
          <w:rtl/>
        </w:rPr>
        <w:tab/>
        <w:t>ضمان امتثال أي قيد يفرض على ممارسة الحق في التعبير</w:t>
      </w:r>
      <w:r w:rsidR="00434650">
        <w:rPr>
          <w:rFonts w:hint="cs"/>
          <w:b/>
          <w:bCs/>
          <w:rtl/>
        </w:rPr>
        <w:t xml:space="preserve"> </w:t>
      </w:r>
      <w:r w:rsidRPr="00FD2770">
        <w:rPr>
          <w:rFonts w:hint="cs"/>
          <w:b/>
          <w:bCs/>
          <w:rtl/>
        </w:rPr>
        <w:t>للشروط الصارمة ال</w:t>
      </w:r>
      <w:r w:rsidR="0070649B">
        <w:rPr>
          <w:rFonts w:hint="cs"/>
          <w:b/>
          <w:bCs/>
          <w:rtl/>
        </w:rPr>
        <w:t>واردة في المادة 19(3) من العهد.</w:t>
      </w:r>
    </w:p>
    <w:p w:rsidR="0070649B" w:rsidRPr="0070649B" w:rsidRDefault="0070649B" w:rsidP="0070649B">
      <w:pPr>
        <w:pStyle w:val="SingleTxt"/>
        <w:spacing w:after="0" w:line="120" w:lineRule="exact"/>
        <w:rPr>
          <w:b/>
          <w:bCs/>
          <w:sz w:val="10"/>
          <w:rtl/>
        </w:rPr>
      </w:pPr>
    </w:p>
    <w:p w:rsidR="00FD2770" w:rsidRPr="00FD2770" w:rsidRDefault="00FD2770" w:rsidP="007064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التجمع السلمي</w:t>
      </w:r>
    </w:p>
    <w:p w:rsidR="00FD2770" w:rsidRPr="00FD2770" w:rsidRDefault="00FD2770" w:rsidP="00FE5014">
      <w:pPr>
        <w:pStyle w:val="SingleTxt"/>
        <w:rPr>
          <w:rtl/>
        </w:rPr>
      </w:pPr>
      <w:r w:rsidRPr="00FD2770">
        <w:rPr>
          <w:rFonts w:hint="cs"/>
          <w:rtl/>
        </w:rPr>
        <w:t>24-</w:t>
      </w:r>
      <w:r w:rsidRPr="00FD2770">
        <w:rPr>
          <w:rFonts w:hint="cs"/>
          <w:rtl/>
        </w:rPr>
        <w:tab/>
        <w:t>يساور اللجنة القلق إزاء التقارير التي تفيد بفرض قيود تعسفية على الحق في التجمع السلمي</w:t>
      </w:r>
      <w:r w:rsidR="00434650">
        <w:rPr>
          <w:rFonts w:hint="cs"/>
          <w:rtl/>
        </w:rPr>
        <w:t xml:space="preserve"> </w:t>
      </w:r>
      <w:r w:rsidRPr="00FD2770">
        <w:rPr>
          <w:rFonts w:hint="cs"/>
          <w:rtl/>
        </w:rPr>
        <w:t>في القانون والممارسة، بما في ذلك (أ) الشرط</w:t>
      </w:r>
      <w:r w:rsidR="00434650">
        <w:rPr>
          <w:rFonts w:hint="cs"/>
          <w:rtl/>
        </w:rPr>
        <w:t xml:space="preserve"> </w:t>
      </w:r>
      <w:r w:rsidRPr="00FD2770">
        <w:rPr>
          <w:rFonts w:hint="cs"/>
          <w:rtl/>
        </w:rPr>
        <w:t>المبالغ فيه القاضي بتقديم طلبات</w:t>
      </w:r>
      <w:r w:rsidR="00434650">
        <w:rPr>
          <w:rFonts w:hint="cs"/>
          <w:rtl/>
        </w:rPr>
        <w:t xml:space="preserve"> </w:t>
      </w:r>
      <w:r w:rsidRPr="00FD2770">
        <w:rPr>
          <w:rFonts w:hint="cs"/>
          <w:rtl/>
        </w:rPr>
        <w:t>الإذن بعقد التجمعات الجماهيرية شهراً واحداً</w:t>
      </w:r>
      <w:r w:rsidR="00434650">
        <w:rPr>
          <w:rFonts w:hint="cs"/>
          <w:rtl/>
        </w:rPr>
        <w:t xml:space="preserve"> </w:t>
      </w:r>
      <w:r w:rsidRPr="00FD2770">
        <w:rPr>
          <w:rFonts w:hint="cs"/>
          <w:rtl/>
        </w:rPr>
        <w:t>قبل الموعد المحدد؛ و(ب) التشويش على التجمعات السلمية من جانب الموظفين المكلفين بإنفاذ القوانين وإلقاء القبض على المشاركين واحتجازهم وضربهم ومعاقبتهم (المواد 7 و9 و19 و21).</w:t>
      </w:r>
    </w:p>
    <w:p w:rsidR="00FD2770" w:rsidRDefault="00FD2770" w:rsidP="00FE5014">
      <w:pPr>
        <w:pStyle w:val="SingleTxt"/>
        <w:rPr>
          <w:b/>
          <w:bCs/>
          <w:rtl/>
        </w:rPr>
      </w:pPr>
      <w:r w:rsidRPr="00FD2770">
        <w:rPr>
          <w:rFonts w:hint="cs"/>
          <w:b/>
          <w:bCs/>
          <w:rtl/>
        </w:rPr>
        <w:tab/>
        <w:t>ينبغي للدولة الطرف أن</w:t>
      </w:r>
      <w:r w:rsidR="00434650">
        <w:rPr>
          <w:rFonts w:hint="cs"/>
          <w:b/>
          <w:bCs/>
          <w:rtl/>
        </w:rPr>
        <w:t xml:space="preserve"> </w:t>
      </w:r>
      <w:r w:rsidRPr="00FD2770">
        <w:rPr>
          <w:rFonts w:hint="cs"/>
          <w:b/>
          <w:bCs/>
          <w:rtl/>
        </w:rPr>
        <w:t>تراجع قوانينها وممارساتها بهدف ضمان تمتع الأفراد</w:t>
      </w:r>
      <w:r w:rsidR="00434650">
        <w:rPr>
          <w:rFonts w:hint="cs"/>
          <w:b/>
          <w:bCs/>
          <w:rtl/>
        </w:rPr>
        <w:t xml:space="preserve"> </w:t>
      </w:r>
      <w:r w:rsidRPr="00FD2770">
        <w:rPr>
          <w:rFonts w:hint="cs"/>
          <w:b/>
          <w:bCs/>
          <w:rtl/>
        </w:rPr>
        <w:t>تمتعاً كاملاً بحقهم في حرية التجمع</w:t>
      </w:r>
      <w:r w:rsidR="00434650">
        <w:rPr>
          <w:rFonts w:hint="cs"/>
          <w:b/>
          <w:bCs/>
          <w:rtl/>
        </w:rPr>
        <w:t xml:space="preserve"> </w:t>
      </w:r>
      <w:r w:rsidRPr="00FD2770">
        <w:rPr>
          <w:rFonts w:hint="cs"/>
          <w:b/>
          <w:bCs/>
          <w:rtl/>
        </w:rPr>
        <w:t xml:space="preserve">ومواءمة أية قيود تُفرض على هذا الحق مع الشروط الصارمة المنصوص عليها في المادة 21 من العهد. وينبغي للدولة الطرف أيضاً أن تجري تحقيقاً </w:t>
      </w:r>
      <w:r w:rsidRPr="00FD2770">
        <w:rPr>
          <w:rFonts w:hint="cs"/>
          <w:b/>
          <w:bCs/>
          <w:rtl/>
        </w:rPr>
        <w:lastRenderedPageBreak/>
        <w:t>فعالاً في جميع حالات العنف</w:t>
      </w:r>
      <w:r w:rsidR="00434650">
        <w:rPr>
          <w:rFonts w:hint="cs"/>
          <w:b/>
          <w:bCs/>
          <w:rtl/>
        </w:rPr>
        <w:t xml:space="preserve"> </w:t>
      </w:r>
      <w:r w:rsidRPr="00FD2770">
        <w:rPr>
          <w:rFonts w:hint="cs"/>
          <w:b/>
          <w:bCs/>
          <w:rtl/>
        </w:rPr>
        <w:t>والاعتقال والاحتجاز التعسفيين</w:t>
      </w:r>
      <w:r w:rsidR="00434650">
        <w:rPr>
          <w:rFonts w:hint="cs"/>
          <w:b/>
          <w:bCs/>
          <w:rtl/>
        </w:rPr>
        <w:t xml:space="preserve"> </w:t>
      </w:r>
      <w:r w:rsidRPr="00FD2770">
        <w:rPr>
          <w:rFonts w:hint="cs"/>
          <w:b/>
          <w:bCs/>
          <w:rtl/>
        </w:rPr>
        <w:t>للمحتجين السلميين وتقديم المسؤولين عن ذلك إلى العدالة.</w:t>
      </w:r>
    </w:p>
    <w:p w:rsidR="0070649B" w:rsidRPr="0070649B" w:rsidRDefault="0070649B" w:rsidP="0070649B">
      <w:pPr>
        <w:pStyle w:val="SingleTxt"/>
        <w:spacing w:after="0" w:line="120" w:lineRule="exact"/>
        <w:rPr>
          <w:b/>
          <w:bCs/>
          <w:sz w:val="10"/>
          <w:rtl/>
        </w:rPr>
      </w:pPr>
    </w:p>
    <w:p w:rsidR="00FD2770" w:rsidRPr="00FD2770" w:rsidRDefault="00FD2770" w:rsidP="007064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 xml:space="preserve">حرية تكوين الجمعيات </w:t>
      </w:r>
    </w:p>
    <w:p w:rsidR="00FD2770" w:rsidRPr="00FD2770" w:rsidRDefault="00FD2770" w:rsidP="00FE5014">
      <w:pPr>
        <w:pStyle w:val="SingleTxt"/>
        <w:rPr>
          <w:b/>
          <w:bCs/>
          <w:rtl/>
        </w:rPr>
      </w:pPr>
      <w:r w:rsidRPr="00FD2770">
        <w:rPr>
          <w:rFonts w:hint="cs"/>
          <w:rtl/>
        </w:rPr>
        <w:t>25-</w:t>
      </w:r>
      <w:r w:rsidRPr="00FD2770">
        <w:rPr>
          <w:rFonts w:hint="cs"/>
          <w:rtl/>
        </w:rPr>
        <w:tab/>
        <w:t>ما زال يساور اللجنة القلق إزاء الشروط غير المعقولة والمرهقة والتقييدية المفروضة على تسجيل الأحزاب السياسية والجمعيات العامة، وكذلك</w:t>
      </w:r>
      <w:r w:rsidR="00434650">
        <w:rPr>
          <w:rFonts w:hint="cs"/>
          <w:rtl/>
        </w:rPr>
        <w:t xml:space="preserve"> </w:t>
      </w:r>
      <w:r w:rsidRPr="00FD2770">
        <w:rPr>
          <w:rFonts w:hint="cs"/>
          <w:rtl/>
        </w:rPr>
        <w:t>إزاء إنهاء تسجيل المنظمات الدولية لحقوق الإنسان أو غير ذلك من العقبات</w:t>
      </w:r>
      <w:r w:rsidR="00434650">
        <w:rPr>
          <w:rFonts w:hint="cs"/>
          <w:rtl/>
        </w:rPr>
        <w:t xml:space="preserve"> </w:t>
      </w:r>
      <w:r w:rsidRPr="00FD2770">
        <w:rPr>
          <w:rFonts w:hint="cs"/>
          <w:rtl/>
        </w:rPr>
        <w:t>التي تحول دون عمل المنظمات غير الحكومية المعنية بحقوق الإنسان (المواد 19 و22 و25).</w:t>
      </w:r>
    </w:p>
    <w:p w:rsidR="00FD2770" w:rsidRPr="00FD2770" w:rsidRDefault="00FD2770" w:rsidP="00FE5014">
      <w:pPr>
        <w:pStyle w:val="SingleTxt"/>
        <w:rPr>
          <w:b/>
          <w:bCs/>
          <w:rtl/>
        </w:rPr>
      </w:pPr>
      <w:r w:rsidRPr="00FD2770">
        <w:rPr>
          <w:rFonts w:hint="cs"/>
          <w:b/>
          <w:bCs/>
          <w:rtl/>
        </w:rPr>
        <w:tab/>
        <w:t xml:space="preserve">تكرر اللجنة توصيتها (انظر </w:t>
      </w:r>
      <w:r w:rsidRPr="00FD2770">
        <w:rPr>
          <w:b/>
          <w:bCs/>
        </w:rPr>
        <w:t>CCPR/C/UZB/CO/3</w:t>
      </w:r>
      <w:r w:rsidRPr="00FD2770">
        <w:rPr>
          <w:rFonts w:hint="cs"/>
          <w:b/>
          <w:bCs/>
          <w:rtl/>
        </w:rPr>
        <w:t>، الفقرة 25) بأن على الدولة الطرف أن</w:t>
      </w:r>
      <w:r w:rsidR="00434650">
        <w:rPr>
          <w:rFonts w:hint="cs"/>
          <w:b/>
          <w:bCs/>
          <w:rtl/>
        </w:rPr>
        <w:t xml:space="preserve"> </w:t>
      </w:r>
      <w:r w:rsidRPr="00FD2770">
        <w:rPr>
          <w:rFonts w:hint="cs"/>
          <w:b/>
          <w:bCs/>
          <w:rtl/>
        </w:rPr>
        <w:t>توائم لوائحها وممارستها التي تنظم تسجيل الأحزاب السياسية والمنظمات غير الحكومية</w:t>
      </w:r>
      <w:r w:rsidR="00434650">
        <w:rPr>
          <w:rFonts w:hint="cs"/>
          <w:b/>
          <w:bCs/>
          <w:rtl/>
        </w:rPr>
        <w:t xml:space="preserve"> </w:t>
      </w:r>
      <w:r w:rsidRPr="00FD2770">
        <w:rPr>
          <w:rFonts w:hint="cs"/>
          <w:b/>
          <w:bCs/>
          <w:rtl/>
        </w:rPr>
        <w:t>تماماً مع أحكام المواد 19 و22 و25 من العهد.</w:t>
      </w:r>
    </w:p>
    <w:p w:rsidR="00FD2770" w:rsidRPr="0070649B" w:rsidRDefault="00FD2770" w:rsidP="0070649B">
      <w:pPr>
        <w:pStyle w:val="SingleTxt"/>
        <w:spacing w:after="0" w:line="120" w:lineRule="exact"/>
        <w:rPr>
          <w:b/>
          <w:bCs/>
          <w:sz w:val="10"/>
          <w:rtl/>
        </w:rPr>
      </w:pPr>
    </w:p>
    <w:p w:rsidR="00FD2770" w:rsidRPr="00FD2770" w:rsidRDefault="00FD2770" w:rsidP="007064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770">
        <w:rPr>
          <w:rFonts w:hint="cs"/>
          <w:rtl/>
        </w:rPr>
        <w:tab/>
      </w:r>
      <w:r w:rsidRPr="00FD2770">
        <w:rPr>
          <w:rFonts w:hint="cs"/>
          <w:rtl/>
        </w:rPr>
        <w:tab/>
        <w:t>المشاركة في الحياة العامة</w:t>
      </w:r>
    </w:p>
    <w:p w:rsidR="00FD2770" w:rsidRPr="00FD2770" w:rsidRDefault="00FD2770" w:rsidP="0070649B">
      <w:pPr>
        <w:pStyle w:val="SingleTxt"/>
        <w:rPr>
          <w:rtl/>
        </w:rPr>
      </w:pPr>
      <w:r w:rsidRPr="00FD2770">
        <w:rPr>
          <w:rFonts w:hint="cs"/>
          <w:rtl/>
        </w:rPr>
        <w:t>26-</w:t>
      </w:r>
      <w:r w:rsidRPr="00FD2770">
        <w:rPr>
          <w:rFonts w:hint="cs"/>
          <w:b/>
          <w:bCs/>
          <w:rtl/>
        </w:rPr>
        <w:tab/>
      </w:r>
      <w:r w:rsidRPr="00FD2770">
        <w:rPr>
          <w:rFonts w:hint="cs"/>
          <w:rtl/>
        </w:rPr>
        <w:t>يساور اللجنة القلق إزاء التقارير التي تفيد بأن الأحزاب السياسية المعارضة تُحرم من التسجيل والمشاركة في الانتخابات. ويساورها القلق أيضاً لأن الإطار القانوني الحالي للانتخابات لا يكفل، فيما يبدو، حق المواطنين في</w:t>
      </w:r>
      <w:r w:rsidR="00434650">
        <w:rPr>
          <w:rFonts w:hint="cs"/>
          <w:rtl/>
        </w:rPr>
        <w:t xml:space="preserve"> </w:t>
      </w:r>
      <w:r w:rsidRPr="00FD2770">
        <w:rPr>
          <w:rFonts w:hint="cs"/>
          <w:rtl/>
        </w:rPr>
        <w:t>أن يشاركوا</w:t>
      </w:r>
      <w:r w:rsidR="00434650">
        <w:rPr>
          <w:rFonts w:hint="cs"/>
          <w:rtl/>
        </w:rPr>
        <w:t xml:space="preserve"> </w:t>
      </w:r>
      <w:r w:rsidRPr="00FD2770">
        <w:rPr>
          <w:rFonts w:hint="cs"/>
          <w:rtl/>
        </w:rPr>
        <w:t>حقاً في إدارة الشؤون العامة،</w:t>
      </w:r>
      <w:r w:rsidR="00434650">
        <w:rPr>
          <w:rFonts w:hint="cs"/>
          <w:rtl/>
        </w:rPr>
        <w:t xml:space="preserve"> </w:t>
      </w:r>
      <w:r w:rsidRPr="00FD2770">
        <w:rPr>
          <w:rFonts w:hint="cs"/>
          <w:rtl/>
        </w:rPr>
        <w:t>وفي</w:t>
      </w:r>
      <w:r w:rsidR="00434650">
        <w:rPr>
          <w:rFonts w:hint="cs"/>
          <w:rtl/>
        </w:rPr>
        <w:t xml:space="preserve"> </w:t>
      </w:r>
      <w:r w:rsidRPr="00FD2770">
        <w:rPr>
          <w:rFonts w:hint="cs"/>
          <w:rtl/>
        </w:rPr>
        <w:t xml:space="preserve">أن يصوتوا </w:t>
      </w:r>
      <w:r w:rsidR="0070649B">
        <w:rPr>
          <w:rFonts w:hint="cs"/>
          <w:rtl/>
        </w:rPr>
        <w:t xml:space="preserve">  </w:t>
      </w:r>
      <w:r w:rsidRPr="00FD2770">
        <w:rPr>
          <w:rFonts w:hint="cs"/>
          <w:rtl/>
        </w:rPr>
        <w:t>أو يُنتخَبوا بسبب عدد القيود</w:t>
      </w:r>
      <w:r w:rsidR="00434650">
        <w:rPr>
          <w:rFonts w:hint="cs"/>
          <w:rtl/>
        </w:rPr>
        <w:t xml:space="preserve"> </w:t>
      </w:r>
      <w:r w:rsidRPr="00FD2770">
        <w:rPr>
          <w:rFonts w:hint="cs"/>
          <w:rtl/>
        </w:rPr>
        <w:t>التي لا مبرر لها، بما في ذلك الشروط المتعلقة بطول مدة الإقامة وإجادة اللغة، والاستثناءات المهنية، وفرض قيود</w:t>
      </w:r>
      <w:r w:rsidR="00434650">
        <w:rPr>
          <w:rFonts w:hint="cs"/>
          <w:rtl/>
        </w:rPr>
        <w:t xml:space="preserve"> </w:t>
      </w:r>
      <w:r w:rsidRPr="00FD2770">
        <w:rPr>
          <w:rFonts w:hint="cs"/>
          <w:rtl/>
        </w:rPr>
        <w:t>شاملة على</w:t>
      </w:r>
      <w:r w:rsidRPr="00FD2770">
        <w:rPr>
          <w:rFonts w:hint="cs"/>
          <w:b/>
          <w:bCs/>
          <w:rtl/>
        </w:rPr>
        <w:t xml:space="preserve"> </w:t>
      </w:r>
      <w:r w:rsidRPr="00FD2770">
        <w:rPr>
          <w:rFonts w:hint="cs"/>
          <w:rtl/>
        </w:rPr>
        <w:t>أي شخص</w:t>
      </w:r>
      <w:r w:rsidRPr="00FD2770">
        <w:rPr>
          <w:rFonts w:hint="cs"/>
          <w:b/>
          <w:bCs/>
          <w:rtl/>
        </w:rPr>
        <w:t xml:space="preserve"> </w:t>
      </w:r>
      <w:r w:rsidRPr="00FD2770">
        <w:rPr>
          <w:rFonts w:hint="cs"/>
          <w:rtl/>
        </w:rPr>
        <w:t xml:space="preserve">مدان بارتكاب </w:t>
      </w:r>
      <w:r w:rsidR="0070649B">
        <w:rPr>
          <w:rFonts w:hint="cs"/>
          <w:rtl/>
        </w:rPr>
        <w:t xml:space="preserve">           </w:t>
      </w:r>
      <w:r w:rsidRPr="00FD2770">
        <w:rPr>
          <w:rFonts w:hint="cs"/>
          <w:rtl/>
        </w:rPr>
        <w:t>جريمة، وحرمان</w:t>
      </w:r>
      <w:r w:rsidR="00434650">
        <w:rPr>
          <w:rFonts w:hint="cs"/>
          <w:rtl/>
        </w:rPr>
        <w:t xml:space="preserve"> </w:t>
      </w:r>
      <w:r w:rsidRPr="00FD2770">
        <w:rPr>
          <w:rFonts w:hint="cs"/>
          <w:rtl/>
        </w:rPr>
        <w:t>من فقد</w:t>
      </w:r>
      <w:r w:rsidR="00434650">
        <w:rPr>
          <w:rFonts w:hint="cs"/>
          <w:rtl/>
        </w:rPr>
        <w:t xml:space="preserve"> </w:t>
      </w:r>
      <w:r w:rsidRPr="00FD2770">
        <w:rPr>
          <w:rFonts w:hint="cs"/>
          <w:rtl/>
        </w:rPr>
        <w:t>أهليته القانونية بموجب حكم صادر عن</w:t>
      </w:r>
      <w:r w:rsidR="00434650">
        <w:rPr>
          <w:rFonts w:hint="cs"/>
          <w:rtl/>
        </w:rPr>
        <w:t xml:space="preserve"> </w:t>
      </w:r>
      <w:r w:rsidRPr="00FD2770">
        <w:rPr>
          <w:rFonts w:hint="cs"/>
          <w:rtl/>
        </w:rPr>
        <w:t>محكمة أو</w:t>
      </w:r>
      <w:r w:rsidR="00434650">
        <w:rPr>
          <w:rFonts w:hint="cs"/>
          <w:rtl/>
        </w:rPr>
        <w:t xml:space="preserve"> </w:t>
      </w:r>
      <w:r w:rsidRPr="00FD2770">
        <w:rPr>
          <w:rFonts w:hint="cs"/>
          <w:rtl/>
        </w:rPr>
        <w:t>من يقضي عقوبة</w:t>
      </w:r>
      <w:r w:rsidR="00434650">
        <w:rPr>
          <w:rFonts w:hint="cs"/>
          <w:rtl/>
        </w:rPr>
        <w:t xml:space="preserve"> </w:t>
      </w:r>
      <w:r w:rsidRPr="00FD2770">
        <w:rPr>
          <w:rFonts w:hint="cs"/>
          <w:rtl/>
        </w:rPr>
        <w:t>سجن من الحق في التصويت. ويساور اللجنة القلق أيضاً إزاء التقارير التي تفيد بأن الانتخابات البرلمانية</w:t>
      </w:r>
      <w:r w:rsidR="0070649B">
        <w:rPr>
          <w:rFonts w:hint="cs"/>
          <w:rtl/>
        </w:rPr>
        <w:t xml:space="preserve"> </w:t>
      </w:r>
      <w:r w:rsidRPr="00FD2770">
        <w:rPr>
          <w:rFonts w:hint="cs"/>
          <w:rtl/>
        </w:rPr>
        <w:t>لعام 2014 والانتخابات الرئاسية لعام 2015 تمت في غياب منافسة حقيقية وأن الرئيس الحالي سجل أسمه كمرشح رغم عدد الولايات الرئاسية المحدود الذي ينص عليه الدستور (المواد 2 و19 و21 و22 و25).</w:t>
      </w:r>
    </w:p>
    <w:p w:rsidR="00FD2770" w:rsidRPr="00FD2770" w:rsidRDefault="00FD2770" w:rsidP="00FE5014">
      <w:pPr>
        <w:pStyle w:val="SingleTxt"/>
        <w:rPr>
          <w:b/>
          <w:bCs/>
          <w:rtl/>
        </w:rPr>
      </w:pPr>
      <w:r w:rsidRPr="00FD2770">
        <w:rPr>
          <w:rFonts w:hint="cs"/>
          <w:b/>
          <w:bCs/>
          <w:rtl/>
        </w:rPr>
        <w:tab/>
        <w:t>ينبغي للدولة الطرف أن</w:t>
      </w:r>
      <w:r w:rsidR="00434650">
        <w:rPr>
          <w:rFonts w:hint="cs"/>
          <w:b/>
          <w:bCs/>
          <w:rtl/>
        </w:rPr>
        <w:t xml:space="preserve"> </w:t>
      </w:r>
      <w:r w:rsidRPr="00FD2770">
        <w:rPr>
          <w:rFonts w:hint="cs"/>
          <w:b/>
          <w:bCs/>
          <w:rtl/>
        </w:rPr>
        <w:t>توائم إطارها القانوني المتعلق بالانتخابات مع أحكام العهد، بما في ذلك المادة 25،</w:t>
      </w:r>
      <w:r w:rsidR="00434650">
        <w:rPr>
          <w:rFonts w:hint="cs"/>
          <w:b/>
          <w:bCs/>
          <w:rtl/>
        </w:rPr>
        <w:t xml:space="preserve"> </w:t>
      </w:r>
      <w:r w:rsidRPr="00FD2770">
        <w:rPr>
          <w:rFonts w:hint="cs"/>
          <w:b/>
          <w:bCs/>
          <w:rtl/>
        </w:rPr>
        <w:t>باتخاذ إجراءات، من جملتها ما يلي:</w:t>
      </w:r>
    </w:p>
    <w:p w:rsidR="00FD2770" w:rsidRPr="00FD2770" w:rsidRDefault="00FD2770" w:rsidP="00FE5014">
      <w:pPr>
        <w:pStyle w:val="SingleTxt"/>
        <w:rPr>
          <w:b/>
          <w:bCs/>
          <w:rtl/>
        </w:rPr>
      </w:pPr>
      <w:r w:rsidRPr="00FD2770">
        <w:rPr>
          <w:rFonts w:hint="cs"/>
          <w:b/>
          <w:bCs/>
          <w:rtl/>
        </w:rPr>
        <w:tab/>
      </w:r>
      <w:r w:rsidRPr="0070649B">
        <w:rPr>
          <w:rFonts w:hint="cs"/>
          <w:rtl/>
        </w:rPr>
        <w:t>(أ)</w:t>
      </w:r>
      <w:r w:rsidRPr="00FD2770">
        <w:rPr>
          <w:rFonts w:hint="cs"/>
          <w:b/>
          <w:bCs/>
          <w:rtl/>
        </w:rPr>
        <w:tab/>
        <w:t>تعزيز ثقافة التعددية السياسية والامتناع عن</w:t>
      </w:r>
      <w:r w:rsidR="00434650">
        <w:rPr>
          <w:rFonts w:hint="cs"/>
          <w:b/>
          <w:bCs/>
          <w:rtl/>
        </w:rPr>
        <w:t xml:space="preserve"> </w:t>
      </w:r>
      <w:r w:rsidRPr="00FD2770">
        <w:rPr>
          <w:rFonts w:hint="cs"/>
          <w:b/>
          <w:bCs/>
          <w:rtl/>
        </w:rPr>
        <w:t>حرمان الأحزاب السياسية المعارضة من التسجيل في الانتخابات ومنعها بصورة تعسفية من المشاركة فيها؛</w:t>
      </w:r>
    </w:p>
    <w:p w:rsidR="00FD2770" w:rsidRPr="00FD2770" w:rsidRDefault="00FD2770" w:rsidP="00FE5014">
      <w:pPr>
        <w:pStyle w:val="SingleTxt"/>
        <w:rPr>
          <w:b/>
          <w:bCs/>
          <w:rtl/>
        </w:rPr>
      </w:pPr>
      <w:r w:rsidRPr="00FD2770">
        <w:rPr>
          <w:rFonts w:hint="cs"/>
          <w:b/>
          <w:bCs/>
          <w:rtl/>
        </w:rPr>
        <w:tab/>
      </w:r>
      <w:r w:rsidRPr="0070649B">
        <w:rPr>
          <w:rFonts w:hint="cs"/>
          <w:rtl/>
        </w:rPr>
        <w:t>(ب)</w:t>
      </w:r>
      <w:r w:rsidRPr="00FD2770">
        <w:rPr>
          <w:rFonts w:hint="cs"/>
          <w:b/>
          <w:bCs/>
          <w:rtl/>
        </w:rPr>
        <w:tab/>
        <w:t>ضمان الحرية في</w:t>
      </w:r>
      <w:r w:rsidR="00434650">
        <w:rPr>
          <w:rFonts w:hint="cs"/>
          <w:b/>
          <w:bCs/>
          <w:rtl/>
        </w:rPr>
        <w:t xml:space="preserve"> </w:t>
      </w:r>
      <w:r w:rsidRPr="00FD2770">
        <w:rPr>
          <w:rFonts w:hint="cs"/>
          <w:b/>
          <w:bCs/>
          <w:rtl/>
        </w:rPr>
        <w:t>نقاش</w:t>
      </w:r>
      <w:r w:rsidR="00434650">
        <w:rPr>
          <w:rFonts w:hint="cs"/>
          <w:b/>
          <w:bCs/>
          <w:rtl/>
        </w:rPr>
        <w:t xml:space="preserve"> </w:t>
      </w:r>
      <w:r w:rsidRPr="00FD2770">
        <w:rPr>
          <w:rFonts w:hint="cs"/>
          <w:b/>
          <w:bCs/>
          <w:rtl/>
        </w:rPr>
        <w:t>سياسي</w:t>
      </w:r>
      <w:r w:rsidR="00434650">
        <w:rPr>
          <w:rFonts w:hint="cs"/>
          <w:b/>
          <w:bCs/>
          <w:rtl/>
        </w:rPr>
        <w:t xml:space="preserve"> </w:t>
      </w:r>
      <w:r w:rsidRPr="00FD2770">
        <w:rPr>
          <w:rFonts w:hint="cs"/>
          <w:b/>
          <w:bCs/>
          <w:rtl/>
        </w:rPr>
        <w:t xml:space="preserve">حقيقي وتعددي؛ </w:t>
      </w:r>
    </w:p>
    <w:p w:rsidR="00FD2770" w:rsidRPr="00FD2770" w:rsidRDefault="00FD2770" w:rsidP="00FE5014">
      <w:pPr>
        <w:pStyle w:val="SingleTxt"/>
        <w:rPr>
          <w:b/>
          <w:bCs/>
          <w:rtl/>
        </w:rPr>
      </w:pPr>
      <w:r w:rsidRPr="00FD2770">
        <w:rPr>
          <w:rFonts w:hint="cs"/>
          <w:b/>
          <w:bCs/>
          <w:rtl/>
        </w:rPr>
        <w:tab/>
      </w:r>
      <w:r w:rsidRPr="0070649B">
        <w:rPr>
          <w:rFonts w:hint="cs"/>
          <w:rtl/>
        </w:rPr>
        <w:t>(ج)</w:t>
      </w:r>
      <w:r w:rsidRPr="00FD2770">
        <w:rPr>
          <w:rFonts w:hint="cs"/>
          <w:b/>
          <w:bCs/>
          <w:rtl/>
        </w:rPr>
        <w:tab/>
        <w:t xml:space="preserve">مراجعة القيود المفروضة على الحق في الترشح للانتخابات والحق في التصويت، بهدف ضمان التوافق مع العهد؛ </w:t>
      </w:r>
    </w:p>
    <w:p w:rsidR="00FD2770" w:rsidRPr="00FD2770" w:rsidRDefault="00FD2770" w:rsidP="00FE5014">
      <w:pPr>
        <w:pStyle w:val="SingleTxt"/>
        <w:rPr>
          <w:b/>
          <w:bCs/>
          <w:rtl/>
        </w:rPr>
      </w:pPr>
      <w:r w:rsidRPr="00FD2770">
        <w:rPr>
          <w:rFonts w:hint="cs"/>
          <w:b/>
          <w:bCs/>
          <w:rtl/>
        </w:rPr>
        <w:lastRenderedPageBreak/>
        <w:tab/>
      </w:r>
      <w:r w:rsidRPr="0070649B">
        <w:rPr>
          <w:rFonts w:hint="cs"/>
          <w:rtl/>
        </w:rPr>
        <w:t>(د)</w:t>
      </w:r>
      <w:r w:rsidRPr="00FD2770">
        <w:rPr>
          <w:rFonts w:hint="cs"/>
          <w:b/>
          <w:bCs/>
          <w:rtl/>
        </w:rPr>
        <w:tab/>
        <w:t>ضمان احترام الشرط المنصوص عليه في الدستور، الذي يحد من</w:t>
      </w:r>
      <w:r w:rsidR="00434650">
        <w:rPr>
          <w:rFonts w:hint="cs"/>
          <w:b/>
          <w:bCs/>
          <w:rtl/>
        </w:rPr>
        <w:t xml:space="preserve"> </w:t>
      </w:r>
      <w:r w:rsidRPr="00FD2770">
        <w:rPr>
          <w:rFonts w:hint="cs"/>
          <w:b/>
          <w:bCs/>
          <w:rtl/>
        </w:rPr>
        <w:t>عدد الولايات الرئاسية، عند تسجيل المرشحين للانتخابات الرئاسية.</w:t>
      </w:r>
    </w:p>
    <w:p w:rsidR="0070649B" w:rsidRPr="0070649B" w:rsidRDefault="0070649B" w:rsidP="0070649B">
      <w:pPr>
        <w:pStyle w:val="SingleTxt"/>
        <w:spacing w:after="0" w:line="120" w:lineRule="exact"/>
        <w:rPr>
          <w:b/>
          <w:bCs/>
          <w:sz w:val="10"/>
          <w:rtl/>
        </w:rPr>
      </w:pPr>
    </w:p>
    <w:p w:rsidR="0070649B" w:rsidRPr="0070649B" w:rsidRDefault="0070649B" w:rsidP="0070649B">
      <w:pPr>
        <w:pStyle w:val="SingleTxt"/>
        <w:spacing w:after="0" w:line="120" w:lineRule="exact"/>
        <w:rPr>
          <w:b/>
          <w:bCs/>
          <w:sz w:val="10"/>
          <w:rtl/>
        </w:rPr>
      </w:pPr>
    </w:p>
    <w:p w:rsidR="00FD2770" w:rsidRDefault="0070649B" w:rsidP="0070649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D2770" w:rsidRPr="00FD2770">
        <w:rPr>
          <w:rFonts w:hint="cs"/>
          <w:rtl/>
        </w:rPr>
        <w:t>دال</w:t>
      </w:r>
      <w:r>
        <w:rPr>
          <w:rFonts w:hint="cs"/>
          <w:rtl/>
        </w:rPr>
        <w:t>-</w:t>
      </w:r>
      <w:r>
        <w:rPr>
          <w:rFonts w:hint="cs"/>
          <w:rtl/>
        </w:rPr>
        <w:tab/>
        <w:t>نشر المعلومات المتعلقة بالعهد</w:t>
      </w:r>
    </w:p>
    <w:p w:rsidR="0070649B" w:rsidRPr="0070649B" w:rsidRDefault="0070649B" w:rsidP="0070649B">
      <w:pPr>
        <w:pStyle w:val="SingleTxt"/>
        <w:spacing w:after="0" w:line="120" w:lineRule="exact"/>
        <w:rPr>
          <w:sz w:val="10"/>
          <w:rtl/>
        </w:rPr>
      </w:pPr>
    </w:p>
    <w:p w:rsidR="00FD2770" w:rsidRPr="0070649B" w:rsidRDefault="00FD2770" w:rsidP="00FE5014">
      <w:pPr>
        <w:pStyle w:val="SingleTxt"/>
        <w:rPr>
          <w:rtl/>
        </w:rPr>
      </w:pPr>
      <w:r w:rsidRPr="0070649B">
        <w:rPr>
          <w:rFonts w:hint="cs"/>
          <w:rtl/>
        </w:rPr>
        <w:t>27-</w:t>
      </w:r>
      <w:r w:rsidRPr="0070649B">
        <w:rPr>
          <w:rFonts w:hint="cs"/>
          <w:rtl/>
        </w:rPr>
        <w:tab/>
        <w:t>ينبغي للدولة الطرف أن تنشر العهد والبروتوكول الاختياري الأول ونص تقريرها الدوري الرابع والملاحظات الختامية الحالية على</w:t>
      </w:r>
      <w:r w:rsidR="00434650" w:rsidRPr="0070649B">
        <w:rPr>
          <w:rFonts w:hint="cs"/>
          <w:rtl/>
        </w:rPr>
        <w:t xml:space="preserve"> </w:t>
      </w:r>
      <w:r w:rsidRPr="0070649B">
        <w:rPr>
          <w:rFonts w:hint="cs"/>
          <w:rtl/>
        </w:rPr>
        <w:t>نطاق واسع بين السلطات القضائية والتشريعية والإدارية</w:t>
      </w:r>
      <w:r w:rsidR="00434650" w:rsidRPr="0070649B">
        <w:rPr>
          <w:rFonts w:hint="cs"/>
          <w:rtl/>
        </w:rPr>
        <w:t xml:space="preserve"> </w:t>
      </w:r>
      <w:r w:rsidRPr="0070649B">
        <w:rPr>
          <w:rFonts w:hint="cs"/>
          <w:rtl/>
        </w:rPr>
        <w:t>وبين المجتمع المدني والمنظمات غير الحكومية العاملة في البلد، فضلاً عن عامة الجمهور.</w:t>
      </w:r>
    </w:p>
    <w:p w:rsidR="00FD2770" w:rsidRPr="0070649B" w:rsidRDefault="00FD2770" w:rsidP="00FE5014">
      <w:pPr>
        <w:pStyle w:val="SingleTxt"/>
        <w:rPr>
          <w:rtl/>
        </w:rPr>
      </w:pPr>
      <w:r w:rsidRPr="0070649B">
        <w:rPr>
          <w:rFonts w:hint="cs"/>
          <w:rtl/>
        </w:rPr>
        <w:t>28-</w:t>
      </w:r>
      <w:r w:rsidRPr="0070649B">
        <w:rPr>
          <w:rFonts w:hint="cs"/>
          <w:rtl/>
        </w:rPr>
        <w:tab/>
        <w:t>وعملاً بالفقرة 5 من المادة 71 من النظام الداخلي للجنة، ينبغي للدولة الطرف أن تقدم، في غضون سنة، معلومات ذات صلة عن تنفيذها للتوصيات المقدمة من اللجنة في</w:t>
      </w:r>
      <w:r w:rsidR="0070649B">
        <w:rPr>
          <w:rFonts w:hint="cs"/>
          <w:rtl/>
        </w:rPr>
        <w:t xml:space="preserve">  </w:t>
      </w:r>
      <w:r w:rsidRPr="0070649B">
        <w:rPr>
          <w:rFonts w:hint="cs"/>
          <w:rtl/>
        </w:rPr>
        <w:t xml:space="preserve"> الفقرات 11 (حالة الطوارئ ومكافحة الإرهاب) و13 (التعذيب) و19 (العمل القسري).</w:t>
      </w:r>
    </w:p>
    <w:p w:rsidR="00FD2770" w:rsidRDefault="00FD2770" w:rsidP="00FE5014">
      <w:pPr>
        <w:pStyle w:val="SingleTxt"/>
        <w:rPr>
          <w:rtl/>
        </w:rPr>
      </w:pPr>
      <w:r w:rsidRPr="0070649B">
        <w:rPr>
          <w:rFonts w:hint="cs"/>
          <w:rtl/>
        </w:rPr>
        <w:t>29-</w:t>
      </w:r>
      <w:r w:rsidRPr="0070649B">
        <w:rPr>
          <w:rFonts w:hint="cs"/>
          <w:rtl/>
        </w:rPr>
        <w:tab/>
        <w:t>وتطلب اللجنة إلى الدولة الطرف أن تقدم تقريرها الدوري المقبل في موعد أقصاه 24 تموز/يوليه 2018 وأن</w:t>
      </w:r>
      <w:r w:rsidR="00434650" w:rsidRPr="0070649B">
        <w:rPr>
          <w:rFonts w:hint="cs"/>
          <w:rtl/>
        </w:rPr>
        <w:t xml:space="preserve"> </w:t>
      </w:r>
      <w:r w:rsidRPr="0070649B">
        <w:rPr>
          <w:rFonts w:hint="cs"/>
          <w:rtl/>
        </w:rPr>
        <w:t>تضمِّنه معلومات محدثة عن تنفيذ جميع توصياتها والعهد برمته. وتطلب اللجنة إلى الدولة الطرف، لدى إعداد تقريرها، أن تعقد مشاورات واسعة النطاق مع منظمات المجتمع المدني والمنظمات غير الحكومية العاملة في البلد. ووفقاً لقرار الجمعية العامة 68/268، يبلغ الحد الأقصى لعدد كلمات التقرير 200 21 كلمة.</w:t>
      </w:r>
      <w:r w:rsidR="002C6771">
        <w:rPr>
          <w:rFonts w:hint="cs"/>
          <w:rtl/>
        </w:rPr>
        <w:t xml:space="preserve"> </w:t>
      </w:r>
    </w:p>
    <w:p w:rsidR="0070649B" w:rsidRPr="0070649B" w:rsidRDefault="0070649B" w:rsidP="0070649B">
      <w:pPr>
        <w:pStyle w:val="SingleTxt"/>
        <w:spacing w:after="0" w:line="240" w:lineRule="auto"/>
        <w:rPr>
          <w:rtl/>
        </w:rPr>
      </w:pPr>
      <w:r>
        <w:rPr>
          <w:noProof/>
          <w:w w:val="100"/>
          <w:rtl/>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u&#10;S7LQ2QEAAAwEAAAOAAAAAAAAAAAAAAAAAC4CAABkcnMvZTJvRG9jLnhtbFBLAQItABQABgAIAAAA&#10;IQBl0pba3wAAAAkBAAAPAAAAAAAAAAAAAAAAADMEAABkcnMvZG93bnJldi54bWxQSwUGAAAAAAQA&#10;BADzAAAAPwUAAAAA&#10;" strokecolor="#010000" strokeweight=".25pt"/>
            </w:pict>
          </mc:Fallback>
        </mc:AlternateContent>
      </w:r>
    </w:p>
    <w:sectPr w:rsidR="0070649B" w:rsidRPr="0070649B" w:rsidSect="00227913">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B9" w:rsidRDefault="00EC6AB9" w:rsidP="00693CF9">
      <w:pPr>
        <w:spacing w:line="240" w:lineRule="auto"/>
      </w:pPr>
      <w:r>
        <w:separator/>
      </w:r>
    </w:p>
  </w:endnote>
  <w:endnote w:type="continuationSeparator" w:id="0">
    <w:p w:rsidR="00EC6AB9" w:rsidRDefault="00EC6AB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27913" w:rsidTr="00227913">
      <w:trPr>
        <w:jc w:val="center"/>
      </w:trPr>
      <w:tc>
        <w:tcPr>
          <w:tcW w:w="5126" w:type="dxa"/>
          <w:shd w:val="clear" w:color="auto" w:fill="auto"/>
        </w:tcPr>
        <w:p w:rsidR="00227913" w:rsidRPr="00227913" w:rsidRDefault="00227913" w:rsidP="00227913">
          <w:pPr>
            <w:pStyle w:val="Footer"/>
            <w:rPr>
              <w:w w:val="103"/>
            </w:rPr>
          </w:pPr>
          <w:r>
            <w:rPr>
              <w:w w:val="103"/>
            </w:rPr>
            <w:fldChar w:fldCharType="begin"/>
          </w:r>
          <w:r>
            <w:rPr>
              <w:w w:val="103"/>
            </w:rPr>
            <w:instrText xml:space="preserve"> PAGE  \* Arabic  \* MERGEFORMAT </w:instrText>
          </w:r>
          <w:r>
            <w:rPr>
              <w:w w:val="103"/>
            </w:rPr>
            <w:fldChar w:fldCharType="separate"/>
          </w:r>
          <w:r w:rsidR="006A1072">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1072">
            <w:rPr>
              <w:noProof/>
              <w:w w:val="103"/>
            </w:rPr>
            <w:t>13</w:t>
          </w:r>
          <w:r>
            <w:rPr>
              <w:w w:val="103"/>
            </w:rPr>
            <w:fldChar w:fldCharType="end"/>
          </w:r>
        </w:p>
      </w:tc>
      <w:tc>
        <w:tcPr>
          <w:tcW w:w="5127" w:type="dxa"/>
          <w:shd w:val="clear" w:color="auto" w:fill="auto"/>
        </w:tcPr>
        <w:p w:rsidR="00227913" w:rsidRPr="00227913" w:rsidRDefault="00227913" w:rsidP="0022791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A1072">
            <w:rPr>
              <w:b w:val="0"/>
              <w:w w:val="103"/>
            </w:rPr>
            <w:t>GE.15-13455</w:t>
          </w:r>
          <w:r>
            <w:rPr>
              <w:b w:val="0"/>
              <w:w w:val="103"/>
            </w:rPr>
            <w:fldChar w:fldCharType="end"/>
          </w:r>
        </w:p>
      </w:tc>
    </w:tr>
  </w:tbl>
  <w:p w:rsidR="00227913" w:rsidRPr="00227913" w:rsidRDefault="00227913" w:rsidP="00227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27913" w:rsidTr="00227913">
      <w:trPr>
        <w:jc w:val="center"/>
      </w:trPr>
      <w:tc>
        <w:tcPr>
          <w:tcW w:w="5126" w:type="dxa"/>
          <w:shd w:val="clear" w:color="auto" w:fill="auto"/>
        </w:tcPr>
        <w:p w:rsidR="00227913" w:rsidRPr="00227913" w:rsidRDefault="00227913" w:rsidP="0022791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A1072">
            <w:rPr>
              <w:b w:val="0"/>
              <w:w w:val="103"/>
            </w:rPr>
            <w:t>GE.15-13455</w:t>
          </w:r>
          <w:r>
            <w:rPr>
              <w:b w:val="0"/>
              <w:w w:val="103"/>
            </w:rPr>
            <w:fldChar w:fldCharType="end"/>
          </w:r>
        </w:p>
      </w:tc>
      <w:tc>
        <w:tcPr>
          <w:tcW w:w="5127" w:type="dxa"/>
          <w:shd w:val="clear" w:color="auto" w:fill="auto"/>
        </w:tcPr>
        <w:p w:rsidR="00227913" w:rsidRPr="00227913" w:rsidRDefault="00227913" w:rsidP="00227913">
          <w:pPr>
            <w:pStyle w:val="Footer"/>
            <w:jc w:val="left"/>
            <w:rPr>
              <w:w w:val="103"/>
            </w:rPr>
          </w:pPr>
          <w:r>
            <w:rPr>
              <w:w w:val="103"/>
            </w:rPr>
            <w:fldChar w:fldCharType="begin"/>
          </w:r>
          <w:r>
            <w:rPr>
              <w:w w:val="103"/>
            </w:rPr>
            <w:instrText xml:space="preserve"> PAGE  \* Arabic  \* MERGEFORMAT </w:instrText>
          </w:r>
          <w:r>
            <w:rPr>
              <w:w w:val="103"/>
            </w:rPr>
            <w:fldChar w:fldCharType="separate"/>
          </w:r>
          <w:r w:rsidR="006A1072">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1072">
            <w:rPr>
              <w:noProof/>
              <w:w w:val="103"/>
            </w:rPr>
            <w:t>13</w:t>
          </w:r>
          <w:r>
            <w:rPr>
              <w:w w:val="103"/>
            </w:rPr>
            <w:fldChar w:fldCharType="end"/>
          </w:r>
        </w:p>
      </w:tc>
    </w:tr>
  </w:tbl>
  <w:p w:rsidR="00227913" w:rsidRPr="00227913" w:rsidRDefault="00227913" w:rsidP="00227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227913" w:rsidTr="00227913">
      <w:trPr>
        <w:jc w:val="right"/>
      </w:trPr>
      <w:tc>
        <w:tcPr>
          <w:tcW w:w="4046" w:type="dxa"/>
        </w:tcPr>
        <w:p w:rsidR="00227913" w:rsidRDefault="00227913" w:rsidP="0022791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64A469B" wp14:editId="3A835E7B">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CPR/C/UZB/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UZB/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CCC7B09" wp14:editId="2B98E6C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227913" w:rsidRDefault="00227913" w:rsidP="00227913">
          <w:pPr>
            <w:pStyle w:val="ReleaseDate"/>
          </w:pPr>
          <w:r>
            <w:t>180116</w:t>
          </w:r>
          <w:r w:rsidR="00434650">
            <w:t xml:space="preserve">    </w:t>
          </w:r>
          <w:r>
            <w:t>180116</w:t>
          </w:r>
          <w:r w:rsidR="00434650">
            <w:t xml:space="preserve">    </w:t>
          </w:r>
          <w:r w:rsidR="006A1072">
            <w:fldChar w:fldCharType="begin"/>
          </w:r>
          <w:r w:rsidR="006A1072">
            <w:instrText xml:space="preserve"> DOCVARIABLE "jobn" \* MERGEFORMAT </w:instrText>
          </w:r>
          <w:r w:rsidR="006A1072">
            <w:fldChar w:fldCharType="separate"/>
          </w:r>
          <w:r w:rsidR="006A1072">
            <w:t>GE.15-13455 (A)</w:t>
          </w:r>
          <w:r w:rsidR="006A1072">
            <w:fldChar w:fldCharType="end"/>
          </w:r>
        </w:p>
        <w:p w:rsidR="00227913" w:rsidRPr="00227913" w:rsidRDefault="00227913" w:rsidP="0022791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A1072">
            <w:rPr>
              <w:rFonts w:ascii="Barcode 3 of 9 by request" w:hAnsi="Barcode 3 of 9 by request"/>
              <w:sz w:val="24"/>
            </w:rPr>
            <w:t>*1513455*</w:t>
          </w:r>
          <w:r>
            <w:rPr>
              <w:rFonts w:ascii="Barcode 3 of 9 by request" w:hAnsi="Barcode 3 of 9 by request"/>
              <w:sz w:val="24"/>
            </w:rPr>
            <w:fldChar w:fldCharType="end"/>
          </w:r>
        </w:p>
      </w:tc>
    </w:tr>
  </w:tbl>
  <w:p w:rsidR="00227913" w:rsidRPr="00227913" w:rsidRDefault="00227913" w:rsidP="0022791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B9" w:rsidRDefault="00EC6AB9" w:rsidP="00693CF9">
      <w:pPr>
        <w:spacing w:line="240" w:lineRule="auto"/>
      </w:pPr>
      <w:r>
        <w:separator/>
      </w:r>
    </w:p>
  </w:footnote>
  <w:footnote w:type="continuationSeparator" w:id="0">
    <w:p w:rsidR="00EC6AB9" w:rsidRDefault="00EC6AB9"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27913" w:rsidTr="00227913">
      <w:trPr>
        <w:trHeight w:hRule="exact" w:val="864"/>
        <w:jc w:val="center"/>
      </w:trPr>
      <w:tc>
        <w:tcPr>
          <w:tcW w:w="4882" w:type="dxa"/>
          <w:shd w:val="clear" w:color="auto" w:fill="auto"/>
          <w:vAlign w:val="bottom"/>
        </w:tcPr>
        <w:p w:rsidR="00227913" w:rsidRDefault="00227913" w:rsidP="00227913">
          <w:pPr>
            <w:pStyle w:val="Header"/>
            <w:bidi/>
          </w:pPr>
        </w:p>
      </w:tc>
      <w:tc>
        <w:tcPr>
          <w:tcW w:w="5127" w:type="dxa"/>
          <w:shd w:val="clear" w:color="auto" w:fill="auto"/>
          <w:vAlign w:val="bottom"/>
        </w:tcPr>
        <w:p w:rsidR="00227913" w:rsidRPr="00227913" w:rsidRDefault="00227913" w:rsidP="0022791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A1072">
            <w:rPr>
              <w:w w:val="103"/>
            </w:rPr>
            <w:t>CCPR/C/UZB/CO/4</w:t>
          </w:r>
          <w:r>
            <w:rPr>
              <w:w w:val="103"/>
            </w:rPr>
            <w:fldChar w:fldCharType="end"/>
          </w:r>
        </w:p>
      </w:tc>
    </w:tr>
  </w:tbl>
  <w:p w:rsidR="00227913" w:rsidRPr="00227913" w:rsidRDefault="00227913" w:rsidP="00227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27913" w:rsidTr="00227913">
      <w:trPr>
        <w:trHeight w:hRule="exact" w:val="864"/>
        <w:jc w:val="center"/>
      </w:trPr>
      <w:tc>
        <w:tcPr>
          <w:tcW w:w="4882" w:type="dxa"/>
          <w:shd w:val="clear" w:color="auto" w:fill="auto"/>
          <w:vAlign w:val="bottom"/>
        </w:tcPr>
        <w:p w:rsidR="00227913" w:rsidRPr="00227913" w:rsidRDefault="00227913" w:rsidP="0022791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A1072">
            <w:rPr>
              <w:w w:val="103"/>
            </w:rPr>
            <w:t>CCPR/C/UZB/CO/4</w:t>
          </w:r>
          <w:r>
            <w:rPr>
              <w:w w:val="103"/>
            </w:rPr>
            <w:fldChar w:fldCharType="end"/>
          </w:r>
        </w:p>
      </w:tc>
      <w:tc>
        <w:tcPr>
          <w:tcW w:w="5127" w:type="dxa"/>
          <w:shd w:val="clear" w:color="auto" w:fill="auto"/>
          <w:vAlign w:val="bottom"/>
        </w:tcPr>
        <w:p w:rsidR="00227913" w:rsidRDefault="00227913" w:rsidP="00227913">
          <w:pPr>
            <w:pStyle w:val="Header"/>
          </w:pPr>
        </w:p>
      </w:tc>
    </w:tr>
  </w:tbl>
  <w:p w:rsidR="00227913" w:rsidRPr="00227913" w:rsidRDefault="00227913" w:rsidP="00227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227913" w:rsidTr="00227913">
      <w:trPr>
        <w:gridAfter w:val="1"/>
        <w:wAfter w:w="25" w:type="dxa"/>
        <w:trHeight w:hRule="exact" w:val="864"/>
      </w:trPr>
      <w:tc>
        <w:tcPr>
          <w:tcW w:w="1282" w:type="dxa"/>
          <w:tcBorders>
            <w:bottom w:val="single" w:sz="4" w:space="0" w:color="auto"/>
          </w:tcBorders>
          <w:shd w:val="clear" w:color="auto" w:fill="auto"/>
          <w:vAlign w:val="bottom"/>
        </w:tcPr>
        <w:p w:rsidR="00227913" w:rsidRDefault="00227913" w:rsidP="00227913">
          <w:pPr>
            <w:pStyle w:val="Header"/>
            <w:spacing w:after="120"/>
          </w:pPr>
        </w:p>
      </w:tc>
      <w:tc>
        <w:tcPr>
          <w:tcW w:w="1786" w:type="dxa"/>
          <w:tcBorders>
            <w:bottom w:val="single" w:sz="4" w:space="0" w:color="auto"/>
          </w:tcBorders>
          <w:shd w:val="clear" w:color="auto" w:fill="auto"/>
          <w:vAlign w:val="bottom"/>
        </w:tcPr>
        <w:p w:rsidR="00227913" w:rsidRPr="00227913" w:rsidRDefault="00227913" w:rsidP="0022791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27913" w:rsidRDefault="00227913" w:rsidP="00227913">
          <w:pPr>
            <w:pStyle w:val="Header"/>
            <w:spacing w:after="120"/>
          </w:pPr>
        </w:p>
      </w:tc>
      <w:tc>
        <w:tcPr>
          <w:tcW w:w="6696" w:type="dxa"/>
          <w:gridSpan w:val="3"/>
          <w:tcBorders>
            <w:bottom w:val="single" w:sz="4" w:space="0" w:color="auto"/>
          </w:tcBorders>
          <w:shd w:val="clear" w:color="auto" w:fill="auto"/>
          <w:vAlign w:val="bottom"/>
        </w:tcPr>
        <w:p w:rsidR="00227913" w:rsidRPr="00227913" w:rsidRDefault="00227913" w:rsidP="00227913">
          <w:pPr>
            <w:spacing w:line="380" w:lineRule="exact"/>
            <w:jc w:val="right"/>
          </w:pPr>
          <w:r>
            <w:rPr>
              <w:sz w:val="40"/>
            </w:rPr>
            <w:t>CCPR</w:t>
          </w:r>
          <w:r>
            <w:t>/C/UZB/CO/4</w:t>
          </w:r>
        </w:p>
      </w:tc>
    </w:tr>
    <w:tr w:rsidR="00227913" w:rsidRPr="00227913" w:rsidTr="00227913">
      <w:trPr>
        <w:trHeight w:hRule="exact" w:val="2880"/>
      </w:trPr>
      <w:tc>
        <w:tcPr>
          <w:tcW w:w="1282" w:type="dxa"/>
          <w:tcBorders>
            <w:top w:val="single" w:sz="4" w:space="0" w:color="auto"/>
            <w:bottom w:val="single" w:sz="12" w:space="0" w:color="auto"/>
          </w:tcBorders>
          <w:shd w:val="clear" w:color="auto" w:fill="auto"/>
        </w:tcPr>
        <w:p w:rsidR="00227913" w:rsidRDefault="00227913" w:rsidP="00227913">
          <w:pPr>
            <w:pStyle w:val="Header"/>
            <w:spacing w:before="120"/>
            <w:jc w:val="center"/>
          </w:pPr>
          <w:r>
            <w:t xml:space="preserve"> </w:t>
          </w:r>
          <w:r>
            <w:rPr>
              <w:noProof/>
            </w:rPr>
            <w:drawing>
              <wp:inline distT="0" distB="0" distL="0" distR="0" wp14:anchorId="2406CC21" wp14:editId="33D1E4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27913" w:rsidRPr="00227913" w:rsidRDefault="00227913" w:rsidP="00227913">
          <w:pPr>
            <w:pStyle w:val="Header"/>
            <w:spacing w:before="120"/>
            <w:jc w:val="center"/>
          </w:pPr>
        </w:p>
      </w:tc>
      <w:tc>
        <w:tcPr>
          <w:tcW w:w="5227" w:type="dxa"/>
          <w:gridSpan w:val="3"/>
          <w:tcBorders>
            <w:top w:val="single" w:sz="4" w:space="0" w:color="auto"/>
            <w:bottom w:val="single" w:sz="12" w:space="0" w:color="auto"/>
          </w:tcBorders>
          <w:shd w:val="clear" w:color="auto" w:fill="auto"/>
        </w:tcPr>
        <w:p w:rsidR="00227913" w:rsidRPr="00227913" w:rsidRDefault="00227913" w:rsidP="00227913">
          <w:pPr>
            <w:pStyle w:val="XLarge"/>
            <w:spacing w:before="109" w:line="590" w:lineRule="exact"/>
            <w:ind w:left="14" w:right="14"/>
            <w:jc w:val="left"/>
          </w:pPr>
          <w:r>
            <w:rPr>
              <w:rtl/>
            </w:rPr>
            <w:t>العهد الدولي الخاص بالحقوق</w:t>
          </w:r>
          <w:r>
            <w:rPr>
              <w:rtl/>
            </w:rPr>
            <w:br/>
            <w:t>المدنية والسياسية</w:t>
          </w:r>
        </w:p>
      </w:tc>
      <w:tc>
        <w:tcPr>
          <w:tcW w:w="245" w:type="dxa"/>
          <w:tcBorders>
            <w:top w:val="single" w:sz="4" w:space="0" w:color="auto"/>
            <w:bottom w:val="single" w:sz="12" w:space="0" w:color="auto"/>
          </w:tcBorders>
          <w:shd w:val="clear" w:color="auto" w:fill="auto"/>
        </w:tcPr>
        <w:p w:rsidR="00227913" w:rsidRPr="00227913" w:rsidRDefault="00227913" w:rsidP="00227913">
          <w:pPr>
            <w:pStyle w:val="Header"/>
            <w:spacing w:before="109"/>
          </w:pPr>
        </w:p>
      </w:tc>
      <w:tc>
        <w:tcPr>
          <w:tcW w:w="3280" w:type="dxa"/>
          <w:gridSpan w:val="2"/>
          <w:tcBorders>
            <w:top w:val="single" w:sz="4" w:space="0" w:color="auto"/>
            <w:bottom w:val="single" w:sz="12" w:space="0" w:color="auto"/>
          </w:tcBorders>
          <w:shd w:val="clear" w:color="auto" w:fill="auto"/>
        </w:tcPr>
        <w:p w:rsidR="005E4791" w:rsidRPr="002C24A0" w:rsidRDefault="005E4791" w:rsidP="005E4791">
          <w:pPr>
            <w:spacing w:before="240" w:line="240" w:lineRule="exact"/>
            <w:jc w:val="right"/>
          </w:pPr>
          <w:r w:rsidRPr="002C24A0">
            <w:t>Distr.: General</w:t>
          </w:r>
        </w:p>
        <w:p w:rsidR="005E4791" w:rsidRPr="002C24A0" w:rsidRDefault="005E4791" w:rsidP="005E4791">
          <w:pPr>
            <w:spacing w:line="240" w:lineRule="exact"/>
            <w:jc w:val="right"/>
          </w:pPr>
          <w:r w:rsidRPr="002C24A0">
            <w:t>17 August 2015</w:t>
          </w:r>
        </w:p>
        <w:p w:rsidR="00227913" w:rsidRDefault="00227913" w:rsidP="00227913">
          <w:pPr>
            <w:bidi w:val="0"/>
            <w:spacing w:line="240" w:lineRule="exact"/>
            <w:jc w:val="left"/>
          </w:pPr>
          <w:r>
            <w:t>Arabic</w:t>
          </w:r>
        </w:p>
        <w:p w:rsidR="00227913" w:rsidRDefault="00227913" w:rsidP="00227913">
          <w:pPr>
            <w:pStyle w:val="Original"/>
            <w:bidi w:val="0"/>
          </w:pPr>
          <w:r>
            <w:t>Original: English</w:t>
          </w:r>
        </w:p>
        <w:p w:rsidR="00227913" w:rsidRPr="00227913" w:rsidRDefault="00227913" w:rsidP="00227913">
          <w:pPr>
            <w:bidi w:val="0"/>
            <w:spacing w:line="240" w:lineRule="exact"/>
            <w:jc w:val="left"/>
          </w:pPr>
        </w:p>
      </w:tc>
    </w:tr>
  </w:tbl>
  <w:p w:rsidR="00227913" w:rsidRPr="00227913" w:rsidRDefault="00227913" w:rsidP="0022791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55*"/>
    <w:docVar w:name="CreationDt" w:val="1/18/2016 10:32 AM"/>
    <w:docVar w:name="DocCategory" w:val="Doc"/>
    <w:docVar w:name="DocType" w:val="Final"/>
    <w:docVar w:name="DutyStation" w:val="Geneva"/>
    <w:docVar w:name="FooterJN" w:val="GE.15-13455"/>
    <w:docVar w:name="jobn" w:val="GE.15-13455 (A)"/>
    <w:docVar w:name="jobnDT" w:val="GE.15-13455 (A)   180116"/>
    <w:docVar w:name="jobnDTDT" w:val="GE.15-13455 (A)   180116   180116"/>
    <w:docVar w:name="JobNo" w:val="GE.1513455A"/>
    <w:docVar w:name="LocalDrive" w:val="0"/>
    <w:docVar w:name="OandT" w:val="Morcos"/>
    <w:docVar w:name="PaperSize" w:val="A4"/>
    <w:docVar w:name="sss1" w:val="CCPR/C/UZB/CO/4"/>
    <w:docVar w:name="sss2" w:val="-"/>
    <w:docVar w:name="Symbol1" w:val="CCPR/C/UZB/CO/4"/>
    <w:docVar w:name="Symbol2" w:val="-"/>
  </w:docVars>
  <w:rsids>
    <w:rsidRoot w:val="00EC6AB9"/>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A30"/>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367F"/>
    <w:rsid w:val="001C6531"/>
    <w:rsid w:val="001D1606"/>
    <w:rsid w:val="001E2BD4"/>
    <w:rsid w:val="001E5A5A"/>
    <w:rsid w:val="001E5A7A"/>
    <w:rsid w:val="001F6786"/>
    <w:rsid w:val="0020295C"/>
    <w:rsid w:val="00212285"/>
    <w:rsid w:val="002141DD"/>
    <w:rsid w:val="00227913"/>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09"/>
    <w:rsid w:val="002B0A3E"/>
    <w:rsid w:val="002B120A"/>
    <w:rsid w:val="002B4F37"/>
    <w:rsid w:val="002C2AF2"/>
    <w:rsid w:val="002C3561"/>
    <w:rsid w:val="002C4866"/>
    <w:rsid w:val="002C4E1B"/>
    <w:rsid w:val="002C6771"/>
    <w:rsid w:val="002D58BC"/>
    <w:rsid w:val="002E1490"/>
    <w:rsid w:val="002E750A"/>
    <w:rsid w:val="002F0398"/>
    <w:rsid w:val="002F0573"/>
    <w:rsid w:val="002F0ADA"/>
    <w:rsid w:val="002F1211"/>
    <w:rsid w:val="002F7737"/>
    <w:rsid w:val="00307CFF"/>
    <w:rsid w:val="00310FA5"/>
    <w:rsid w:val="00312162"/>
    <w:rsid w:val="00312525"/>
    <w:rsid w:val="00344A50"/>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4F9"/>
    <w:rsid w:val="003C4B86"/>
    <w:rsid w:val="003D4612"/>
    <w:rsid w:val="003E1BB9"/>
    <w:rsid w:val="003E26D7"/>
    <w:rsid w:val="003E4110"/>
    <w:rsid w:val="003E4647"/>
    <w:rsid w:val="003E6DF8"/>
    <w:rsid w:val="003E7BBB"/>
    <w:rsid w:val="003F4B8C"/>
    <w:rsid w:val="00401BDF"/>
    <w:rsid w:val="004036AA"/>
    <w:rsid w:val="004053F7"/>
    <w:rsid w:val="00411BBD"/>
    <w:rsid w:val="00415922"/>
    <w:rsid w:val="00421658"/>
    <w:rsid w:val="00423BD7"/>
    <w:rsid w:val="0042757D"/>
    <w:rsid w:val="00434650"/>
    <w:rsid w:val="00437C14"/>
    <w:rsid w:val="00445C58"/>
    <w:rsid w:val="004527C9"/>
    <w:rsid w:val="00453069"/>
    <w:rsid w:val="00465B26"/>
    <w:rsid w:val="00467905"/>
    <w:rsid w:val="00471C89"/>
    <w:rsid w:val="00475FF6"/>
    <w:rsid w:val="0048330E"/>
    <w:rsid w:val="00483F5B"/>
    <w:rsid w:val="00490874"/>
    <w:rsid w:val="004926FC"/>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4734"/>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5CE7"/>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5E4791"/>
    <w:rsid w:val="006007BD"/>
    <w:rsid w:val="006046A6"/>
    <w:rsid w:val="00616DF5"/>
    <w:rsid w:val="00616E82"/>
    <w:rsid w:val="006218A3"/>
    <w:rsid w:val="00623F93"/>
    <w:rsid w:val="00631D41"/>
    <w:rsid w:val="006564CE"/>
    <w:rsid w:val="00663F64"/>
    <w:rsid w:val="0068436E"/>
    <w:rsid w:val="00685439"/>
    <w:rsid w:val="006905A9"/>
    <w:rsid w:val="00692B46"/>
    <w:rsid w:val="00692C45"/>
    <w:rsid w:val="00692FDB"/>
    <w:rsid w:val="00693CF9"/>
    <w:rsid w:val="00696B7A"/>
    <w:rsid w:val="006A1072"/>
    <w:rsid w:val="006A1E4E"/>
    <w:rsid w:val="006A3A3B"/>
    <w:rsid w:val="006C1E40"/>
    <w:rsid w:val="006C38EE"/>
    <w:rsid w:val="006D1A46"/>
    <w:rsid w:val="006D3170"/>
    <w:rsid w:val="006E7E51"/>
    <w:rsid w:val="006F4577"/>
    <w:rsid w:val="007006FC"/>
    <w:rsid w:val="00700CD1"/>
    <w:rsid w:val="00700F06"/>
    <w:rsid w:val="007020AD"/>
    <w:rsid w:val="0070649B"/>
    <w:rsid w:val="00714319"/>
    <w:rsid w:val="0071531E"/>
    <w:rsid w:val="0071645B"/>
    <w:rsid w:val="00716E9D"/>
    <w:rsid w:val="00740D62"/>
    <w:rsid w:val="00747B9E"/>
    <w:rsid w:val="007524BE"/>
    <w:rsid w:val="007525FA"/>
    <w:rsid w:val="007668E3"/>
    <w:rsid w:val="00766B3B"/>
    <w:rsid w:val="00767151"/>
    <w:rsid w:val="00767EDD"/>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0F76"/>
    <w:rsid w:val="00AD1A68"/>
    <w:rsid w:val="00AD38D0"/>
    <w:rsid w:val="00AE108C"/>
    <w:rsid w:val="00AE3406"/>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D362E"/>
    <w:rsid w:val="00BD384E"/>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349D"/>
    <w:rsid w:val="00CA4791"/>
    <w:rsid w:val="00CA7205"/>
    <w:rsid w:val="00CB296D"/>
    <w:rsid w:val="00CC04B5"/>
    <w:rsid w:val="00CD03C6"/>
    <w:rsid w:val="00CD0BB8"/>
    <w:rsid w:val="00CD3849"/>
    <w:rsid w:val="00CD4FE0"/>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0DAF"/>
    <w:rsid w:val="00EB344D"/>
    <w:rsid w:val="00EB4992"/>
    <w:rsid w:val="00EC2B29"/>
    <w:rsid w:val="00EC6AB9"/>
    <w:rsid w:val="00ED251D"/>
    <w:rsid w:val="00ED3C2E"/>
    <w:rsid w:val="00EF0947"/>
    <w:rsid w:val="00EF2E52"/>
    <w:rsid w:val="00EF4F85"/>
    <w:rsid w:val="00F031FB"/>
    <w:rsid w:val="00F15C1B"/>
    <w:rsid w:val="00F2351A"/>
    <w:rsid w:val="00F247BA"/>
    <w:rsid w:val="00F32228"/>
    <w:rsid w:val="00F32E4A"/>
    <w:rsid w:val="00F36D8C"/>
    <w:rsid w:val="00F46770"/>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770"/>
    <w:rsid w:val="00FD2ADA"/>
    <w:rsid w:val="00FD5AB0"/>
    <w:rsid w:val="00FD675B"/>
    <w:rsid w:val="00FE4594"/>
    <w:rsid w:val="00FE501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227913"/>
    <w:pPr>
      <w:spacing w:line="240" w:lineRule="auto"/>
    </w:pPr>
    <w:rPr>
      <w:szCs w:val="20"/>
    </w:rPr>
  </w:style>
  <w:style w:type="character" w:customStyle="1" w:styleId="CommentTextChar">
    <w:name w:val="Comment Text Char"/>
    <w:basedOn w:val="DefaultParagraphFont"/>
    <w:link w:val="CommentText"/>
    <w:rsid w:val="00227913"/>
    <w:rPr>
      <w:w w:val="103"/>
      <w:kern w:val="14"/>
    </w:rPr>
  </w:style>
  <w:style w:type="paragraph" w:styleId="CommentSubject">
    <w:name w:val="annotation subject"/>
    <w:basedOn w:val="CommentText"/>
    <w:next w:val="CommentText"/>
    <w:link w:val="CommentSubjectChar"/>
    <w:rsid w:val="00227913"/>
    <w:rPr>
      <w:b/>
      <w:bCs/>
    </w:rPr>
  </w:style>
  <w:style w:type="character" w:customStyle="1" w:styleId="CommentSubjectChar">
    <w:name w:val="Comment Subject Char"/>
    <w:basedOn w:val="CommentTextChar"/>
    <w:link w:val="CommentSubject"/>
    <w:rsid w:val="00227913"/>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227913"/>
    <w:pPr>
      <w:spacing w:line="240" w:lineRule="auto"/>
    </w:pPr>
    <w:rPr>
      <w:szCs w:val="20"/>
    </w:rPr>
  </w:style>
  <w:style w:type="character" w:customStyle="1" w:styleId="CommentTextChar">
    <w:name w:val="Comment Text Char"/>
    <w:basedOn w:val="DefaultParagraphFont"/>
    <w:link w:val="CommentText"/>
    <w:rsid w:val="00227913"/>
    <w:rPr>
      <w:w w:val="103"/>
      <w:kern w:val="14"/>
    </w:rPr>
  </w:style>
  <w:style w:type="paragraph" w:styleId="CommentSubject">
    <w:name w:val="annotation subject"/>
    <w:basedOn w:val="CommentText"/>
    <w:next w:val="CommentText"/>
    <w:link w:val="CommentSubjectChar"/>
    <w:rsid w:val="00227913"/>
    <w:rPr>
      <w:b/>
      <w:bCs/>
    </w:rPr>
  </w:style>
  <w:style w:type="character" w:customStyle="1" w:styleId="CommentSubjectChar">
    <w:name w:val="Comment Subject Char"/>
    <w:basedOn w:val="CommentTextChar"/>
    <w:link w:val="CommentSubject"/>
    <w:rsid w:val="00227913"/>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1926-0080-453F-8378-AB7CEBF8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3787</Words>
  <Characters>20002</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Morcos M.</dc:creator>
  <cp:keywords/>
  <dc:description/>
  <cp:lastModifiedBy>Tpsara</cp:lastModifiedBy>
  <cp:revision>3</cp:revision>
  <cp:lastPrinted>2016-01-18T13:35:00Z</cp:lastPrinted>
  <dcterms:created xsi:type="dcterms:W3CDTF">2016-01-18T13:35:00Z</dcterms:created>
  <dcterms:modified xsi:type="dcterms:W3CDTF">2016-01-18T13:35:00Z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1513455</vt:lpwstr>
  </property>
  <property fmtid="{D5CDD505-2E9C-101B-9397-08002B2CF9AE}" pid="3" name="ODSRefJobNo">
    <vt:lpwstr>1518236A</vt:lpwstr>
  </property>
  <property fmtid="{D5CDD505-2E9C-101B-9397-08002B2CF9AE}" pid="4" name="Symbol1">
    <vt:lpwstr>CCPR/C/UZB/CO/4</vt:lpwstr>
  </property>
  <property fmtid="{D5CDD505-2E9C-101B-9397-08002B2CF9AE}" pid="5" name="Symbol2">
    <vt:lpwstr/>
  </property>
  <property fmtid="{D5CDD505-2E9C-101B-9397-08002B2CF9AE}" pid="6" name="Translator">
    <vt:lpwstr/>
  </property>
  <property fmtid="{D5CDD505-2E9C-101B-9397-08002B2CF9AE}" pid="7" name="Publication Date">
    <vt:lpwstr>18 January 2016</vt:lpwstr>
  </property>
  <property fmtid="{D5CDD505-2E9C-101B-9397-08002B2CF9AE}" pid="8" name="Original">
    <vt:lpwstr>English</vt:lpwstr>
  </property>
  <property fmtid="{D5CDD505-2E9C-101B-9397-08002B2CF9AE}" pid="9" name="Release Date">
    <vt:lpwstr>180116</vt:lpwstr>
  </property>
  <property fmtid="{D5CDD505-2E9C-101B-9397-08002B2CF9AE}" pid="10" name="Comment">
    <vt:lpwstr>Boorane -Azzeddine SEFRAOUI</vt:lpwstr>
  </property>
  <property fmtid="{D5CDD505-2E9C-101B-9397-08002B2CF9AE}" pid="11" name="DraftPages">
    <vt:lpwstr> </vt:lpwstr>
  </property>
  <property fmtid="{D5CDD505-2E9C-101B-9397-08002B2CF9AE}" pid="12" name="Operator">
    <vt:lpwstr>Morcos</vt:lpwstr>
  </property>
</Properties>
</file>