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3755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37556" w:rsidP="00A37556">
            <w:pPr>
              <w:jc w:val="right"/>
            </w:pPr>
            <w:r w:rsidRPr="00A37556">
              <w:rPr>
                <w:sz w:val="40"/>
              </w:rPr>
              <w:t>CCPR</w:t>
            </w:r>
            <w:r>
              <w:t>/C/UZB/Q/5</w:t>
            </w:r>
          </w:p>
        </w:tc>
      </w:tr>
      <w:tr w:rsidR="002D5AAC" w:rsidRPr="00A3755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37556" w:rsidRDefault="00A37556" w:rsidP="00BC3629">
            <w:pPr>
              <w:spacing w:before="240"/>
              <w:rPr>
                <w:lang w:val="en-US"/>
              </w:rPr>
            </w:pPr>
            <w:r w:rsidRPr="00A37556">
              <w:rPr>
                <w:lang w:val="en-US"/>
              </w:rPr>
              <w:t>Distr.: General</w:t>
            </w:r>
          </w:p>
          <w:p w:rsidR="00A37556" w:rsidRPr="00A37556" w:rsidRDefault="00A37556" w:rsidP="00A37556">
            <w:pPr>
              <w:spacing w:line="240" w:lineRule="exact"/>
              <w:rPr>
                <w:lang w:val="en-US"/>
              </w:rPr>
            </w:pPr>
            <w:r w:rsidRPr="00A37556">
              <w:rPr>
                <w:lang w:val="en-US"/>
              </w:rPr>
              <w:t>2 September 2019</w:t>
            </w:r>
          </w:p>
          <w:p w:rsidR="00A37556" w:rsidRPr="00A37556" w:rsidRDefault="00A37556" w:rsidP="00A37556">
            <w:pPr>
              <w:spacing w:line="240" w:lineRule="exact"/>
              <w:rPr>
                <w:lang w:val="en-US"/>
              </w:rPr>
            </w:pPr>
            <w:r w:rsidRPr="00A37556">
              <w:rPr>
                <w:lang w:val="en-US"/>
              </w:rPr>
              <w:t>Russian</w:t>
            </w:r>
          </w:p>
          <w:p w:rsidR="00A37556" w:rsidRPr="00A37556" w:rsidRDefault="00A37556" w:rsidP="00A37556">
            <w:pPr>
              <w:spacing w:line="240" w:lineRule="exact"/>
              <w:rPr>
                <w:lang w:val="en-US"/>
              </w:rPr>
            </w:pPr>
            <w:r w:rsidRPr="00A37556">
              <w:rPr>
                <w:lang w:val="en-US"/>
              </w:rPr>
              <w:t xml:space="preserve">Original: English </w:t>
            </w:r>
            <w:r>
              <w:rPr>
                <w:lang w:val="en-US"/>
              </w:rPr>
              <w:br/>
            </w:r>
            <w:proofErr w:type="spellStart"/>
            <w:r w:rsidRPr="00A37556">
              <w:rPr>
                <w:lang w:val="en-US"/>
              </w:rPr>
              <w:t>English</w:t>
            </w:r>
            <w:proofErr w:type="spellEnd"/>
            <w:r w:rsidRPr="00A37556">
              <w:rPr>
                <w:lang w:val="en-US"/>
              </w:rPr>
              <w:t>, French, Russian and Spanish only</w:t>
            </w:r>
          </w:p>
        </w:tc>
      </w:tr>
    </w:tbl>
    <w:p w:rsidR="00A37556" w:rsidRPr="00A37556" w:rsidRDefault="00A37556" w:rsidP="00A37556">
      <w:pPr>
        <w:spacing w:before="120"/>
        <w:rPr>
          <w:b/>
          <w:sz w:val="24"/>
          <w:szCs w:val="24"/>
        </w:rPr>
      </w:pPr>
      <w:r w:rsidRPr="00A37556">
        <w:rPr>
          <w:b/>
          <w:bCs/>
          <w:sz w:val="24"/>
          <w:szCs w:val="24"/>
        </w:rPr>
        <w:t>Комитет по правам человека</w:t>
      </w:r>
    </w:p>
    <w:p w:rsidR="00A37556" w:rsidRPr="00375F63" w:rsidRDefault="00A37556" w:rsidP="00A37556">
      <w:pPr>
        <w:pStyle w:val="HChG"/>
        <w:rPr>
          <w:rFonts w:eastAsiaTheme="minorEastAsia"/>
        </w:rPr>
      </w:pPr>
      <w:r>
        <w:rPr>
          <w:bCs/>
        </w:rPr>
        <w:tab/>
      </w:r>
      <w:r>
        <w:rPr>
          <w:bCs/>
        </w:rPr>
        <w:tab/>
      </w:r>
      <w:r>
        <w:rPr>
          <w:bCs/>
        </w:rPr>
        <w:t>Перечень вопросов в связи с рассмотрением пятого периодического доклада Узбекистана</w:t>
      </w:r>
      <w:r w:rsidRPr="00A37556">
        <w:rPr>
          <w:rStyle w:val="ae"/>
          <w:b w:val="0"/>
          <w:bCs/>
          <w:sz w:val="20"/>
        </w:rPr>
        <w:footnoteReference w:customMarkFollows="1" w:id="1"/>
        <w:t>*</w:t>
      </w:r>
      <w:r w:rsidRPr="00A37556">
        <w:rPr>
          <w:b w:val="0"/>
        </w:rPr>
        <w:t xml:space="preserve"> </w:t>
      </w:r>
      <w:r w:rsidRPr="00A37556">
        <w:rPr>
          <w:rStyle w:val="aa"/>
          <w:rFonts w:eastAsiaTheme="minorEastAsia"/>
          <w:b w:val="0"/>
          <w:bCs/>
          <w:sz w:val="20"/>
          <w:vertAlign w:val="baseline"/>
          <w:lang w:eastAsia="zh-CN"/>
        </w:rPr>
        <w:footnoteReference w:customMarkFollows="1" w:id="2"/>
        <w:t>**</w:t>
      </w:r>
    </w:p>
    <w:p w:rsidR="00A37556" w:rsidRPr="00375F63" w:rsidRDefault="00A37556" w:rsidP="00A37556">
      <w:pPr>
        <w:pStyle w:val="H23G"/>
      </w:pPr>
      <w:r>
        <w:tab/>
      </w:r>
      <w:r>
        <w:tab/>
      </w:r>
      <w:r>
        <w:rPr>
          <w:bCs/>
        </w:rPr>
        <w:t>Конституционные и правовые рамки осуществления Пакта (статья 2)</w:t>
      </w:r>
    </w:p>
    <w:p w:rsidR="00A37556" w:rsidRPr="00375F63" w:rsidRDefault="00A37556" w:rsidP="00A37556">
      <w:pPr>
        <w:pStyle w:val="SingleTxtG"/>
      </w:pPr>
      <w:r>
        <w:t>1.</w:t>
      </w:r>
      <w:r>
        <w:tab/>
      </w:r>
      <w:proofErr w:type="gramStart"/>
      <w:r>
        <w:t>С</w:t>
      </w:r>
      <w:proofErr w:type="gramEnd"/>
      <w:r>
        <w:t xml:space="preserve"> учетом предыдущих заключительных замечаний (пункт 4) просьба сообщить: а) наличие у авторов эффективных механизмов и процедур, чтобы добиваться по закону и на практике публикации и полного осущес</w:t>
      </w:r>
      <w:r>
        <w:t>твления Соображений Комитета, и </w:t>
      </w:r>
      <w:r>
        <w:t>разъяснить мандат Национального центра по правам человека</w:t>
      </w:r>
      <w:r w:rsidRPr="00E958DB">
        <w:t xml:space="preserve"> </w:t>
      </w:r>
      <w:r>
        <w:t>в этом отношении</w:t>
      </w:r>
      <w:r>
        <w:t>; b) </w:t>
      </w:r>
      <w:r>
        <w:t>принятые меры по обеспечению полного соблюдения всех Соображений, принятых в отношении государства-участника.</w:t>
      </w:r>
    </w:p>
    <w:p w:rsidR="00A37556" w:rsidRPr="00375F63" w:rsidRDefault="00A37556" w:rsidP="00A37556">
      <w:pPr>
        <w:pStyle w:val="SingleTxtG"/>
      </w:pPr>
      <w:r>
        <w:t>2.</w:t>
      </w:r>
      <w:r>
        <w:tab/>
        <w:t>С учетом предыдущих заключительных замечаний (пункт 5) просьба сообщить о принятых мерах с целью: а) еще больше укрепить соблюдение Уполномоченным по правам человека (омбудсмен) принципов, касающихся статуса национальных учреждений, занимающихся поощрением и защитой прав человека (Парижские принципы), и облегчить его аккредитацию Глобальным альянсом национальных правозащитных учреждений, включая реализацию шагов по увеличению его финансовых и людских ресурсов; и b) осуществить рекомендации, вынесенные в докладе об оценке потенциала, опубликованном в марте 2019 года.</w:t>
      </w:r>
    </w:p>
    <w:p w:rsidR="00A37556" w:rsidRPr="00375F63" w:rsidRDefault="00A37556" w:rsidP="00A37556">
      <w:pPr>
        <w:pStyle w:val="H23G"/>
      </w:pPr>
      <w:r>
        <w:tab/>
      </w:r>
      <w:r>
        <w:tab/>
      </w:r>
      <w:r>
        <w:rPr>
          <w:bCs/>
        </w:rPr>
        <w:t>Меры по борьбе с коррупцией (статьи 2 и 25)</w:t>
      </w:r>
      <w:r>
        <w:t xml:space="preserve"> </w:t>
      </w:r>
    </w:p>
    <w:p w:rsidR="00A37556" w:rsidRPr="00375F63" w:rsidRDefault="00A37556" w:rsidP="00A37556">
      <w:pPr>
        <w:pStyle w:val="SingleTxtG"/>
      </w:pPr>
      <w:r>
        <w:t>3.</w:t>
      </w:r>
      <w:r>
        <w:tab/>
        <w:t>Просьба сообщить о достигнутом прогрессе в эффективном предотвращении и пресечении коррупции, в том числе в связи с преследованием коррупции на самом высоком уровне. Просьба уточнить, предприняты ли шаги с целью: а) криминализации всех обязательных признаков правонарушений в виде взяточничества</w:t>
      </w:r>
      <w:r>
        <w:t>; b) </w:t>
      </w:r>
      <w:r>
        <w:t>криминализации всех коррупционных правонарушений; c) определения значения термина «существенный вред» в качестве одного из элементов правонарушения, связанного со злоупотреблением властью или служебным положением; d) обеспечения ответственности юридических лиц за коррупционные преступления; и e) укрепления оперативной и структурной независимости и специализации сотрудников правоохранительных учреждений и прокуроров, занимающихся коррупционными</w:t>
      </w:r>
      <w:r w:rsidRPr="00B17FE2">
        <w:t xml:space="preserve"> </w:t>
      </w:r>
      <w:r>
        <w:t>делами. Просьба также уточнить, рассмотрен ли вопрос о том, чтобы исключить из мандата органов государственной безопасности функции по борьбе с экономическими и коррупционными</w:t>
      </w:r>
      <w:r w:rsidRPr="00B17FE2">
        <w:t xml:space="preserve"> </w:t>
      </w:r>
      <w:r>
        <w:t>преступлениями.</w:t>
      </w:r>
    </w:p>
    <w:p w:rsidR="00A37556" w:rsidRPr="00C7571B" w:rsidRDefault="00A37556" w:rsidP="00A37556">
      <w:pPr>
        <w:pStyle w:val="H23G"/>
      </w:pPr>
      <w:r>
        <w:tab/>
      </w:r>
      <w:r>
        <w:tab/>
      </w:r>
      <w:proofErr w:type="spellStart"/>
      <w:r>
        <w:rPr>
          <w:bCs/>
        </w:rPr>
        <w:t>Недискриминация</w:t>
      </w:r>
      <w:proofErr w:type="spellEnd"/>
      <w:r>
        <w:rPr>
          <w:bCs/>
        </w:rPr>
        <w:t xml:space="preserve"> (статьи 2 и 26)</w:t>
      </w:r>
      <w:r>
        <w:t xml:space="preserve"> </w:t>
      </w:r>
    </w:p>
    <w:p w:rsidR="00A37556" w:rsidRPr="00375F63" w:rsidRDefault="00A37556" w:rsidP="00A37556">
      <w:pPr>
        <w:pStyle w:val="SingleTxtG"/>
      </w:pPr>
      <w:r>
        <w:t>4.</w:t>
      </w:r>
      <w:r>
        <w:tab/>
        <w:t xml:space="preserve">С учетом предыдущих заключительных замечаний (пункт 6) просьба сообщить о принятых мерах к тому, чтобы правовая структура: а) предоставляла полную и </w:t>
      </w:r>
      <w:r>
        <w:lastRenderedPageBreak/>
        <w:t>эффективную защиту от прямой, косвенной и множественной дискриминации во всех сферах, в том числе в частной сфере, и по всем признакам, запрещенным по Пакту</w:t>
      </w:r>
      <w:r>
        <w:t>, в </w:t>
      </w:r>
      <w:r>
        <w:t>том числе по признаку цвета кожи, политических или иные убеждений, национального происхождения, имущественного положения, рождения, сексуальной ориентации, гендерной идентичности и иного статуса; и b) предоставляла жертвам дискриминации эффективные средства правовой защиты в рамках судебных и административных разбирательств. В этом отношении просьба уточнить, имеются ли планы принятия всеобъемлющего антидискриминационного законодательства для выполнения вышеуказанных требований.</w:t>
      </w:r>
    </w:p>
    <w:p w:rsidR="00A37556" w:rsidRPr="00375F63" w:rsidRDefault="00A37556" w:rsidP="00A37556">
      <w:pPr>
        <w:pStyle w:val="SingleTxtG"/>
      </w:pPr>
      <w:r>
        <w:t>5.</w:t>
      </w:r>
      <w:r>
        <w:tab/>
      </w:r>
      <w:proofErr w:type="gramStart"/>
      <w:r>
        <w:t>С</w:t>
      </w:r>
      <w:proofErr w:type="gramEnd"/>
      <w:r>
        <w:t xml:space="preserve"> учетом информации, содержащейся в пункте 69 доклада государства-участника (CCPR/C/UZB/5), просьба сообщить о принятых мерах: a) по повышению осведомленности населения в целом о принципах универсальности прав человека и </w:t>
      </w:r>
      <w:proofErr w:type="spellStart"/>
      <w:r>
        <w:t>недискриминации</w:t>
      </w:r>
      <w:proofErr w:type="spellEnd"/>
      <w:r>
        <w:t xml:space="preserve">; и b) по реализации давнишней рекомендации Комитета о декриминализации сексуальных отношений между взрослыми мужчинами по взаимному согласию (CCPR/C/UZB/CO/3, пункт 22, и CCPR/C/UZB/CO/4, пункт 7). Просьба прокомментировать сообщения о социальной стигматизации, притеснении, насилии и дискриминации в отношении лесбиянок, </w:t>
      </w:r>
      <w:proofErr w:type="spellStart"/>
      <w:r>
        <w:t>геев</w:t>
      </w:r>
      <w:proofErr w:type="spellEnd"/>
      <w:r>
        <w:t xml:space="preserve">, бисексуалов и трансгендеров как со стороны государственных должностных лиц, так и со стороны частных лиц, включая вымогательства и произвольные аресты и задержания со стороны сотрудников правоохранительных органов. Просьба прояснить процедуру юридического признания смены пола и прокомментировать сообщения о том, что это </w:t>
      </w:r>
      <w:proofErr w:type="gramStart"/>
      <w:r>
        <w:t>требует</w:t>
      </w:r>
      <w:proofErr w:type="gramEnd"/>
      <w:r>
        <w:t xml:space="preserve"> как минимум одномесячной госпитализации в психиатрической клинике.</w:t>
      </w:r>
    </w:p>
    <w:p w:rsidR="00A37556" w:rsidRPr="00375F63" w:rsidRDefault="00A37556" w:rsidP="00A37556">
      <w:pPr>
        <w:pStyle w:val="H23G"/>
      </w:pPr>
      <w:r>
        <w:tab/>
      </w:r>
      <w:r>
        <w:tab/>
      </w:r>
      <w:r>
        <w:rPr>
          <w:bCs/>
        </w:rPr>
        <w:t>Равенство между мужчинами и женщинами и ген</w:t>
      </w:r>
      <w:r>
        <w:rPr>
          <w:bCs/>
        </w:rPr>
        <w:t>дерное насилие (статьи 2–3, 7 и </w:t>
      </w:r>
      <w:r>
        <w:rPr>
          <w:bCs/>
        </w:rPr>
        <w:t>26)</w:t>
      </w:r>
    </w:p>
    <w:p w:rsidR="00A37556" w:rsidRPr="00375F63" w:rsidRDefault="00A37556" w:rsidP="00A37556">
      <w:pPr>
        <w:pStyle w:val="SingleTxtG"/>
      </w:pPr>
      <w:r>
        <w:t>6.</w:t>
      </w:r>
      <w:r>
        <w:tab/>
        <w:t xml:space="preserve">В связи с предыдущими заключительными замечаниями (пункт 8) просьба сообщить: а) о прогрессе в принятии закона о равных правах и возможностях для женщин и мужчин, соответствующего положениям Пакта; b) о шагах по эффективному реагированию на сообщения о хронической устойчивости принудительных и ранних браков и фактической полигамии, особенно в сельской местности, несмотря на их запрет по закону; с) о принятых мерах и достигнутом прогрессе в связи с достижением справедливой представленности женщин в политической и общественной жизни, в том числе в судебных, законодательных и исполнительных органах, особенно на высоких руководящих постах. </w:t>
      </w:r>
    </w:p>
    <w:p w:rsidR="00A37556" w:rsidRPr="00375F63" w:rsidRDefault="00A37556" w:rsidP="00A37556">
      <w:pPr>
        <w:pStyle w:val="SingleTxtG"/>
      </w:pPr>
      <w:r>
        <w:t>7.</w:t>
      </w:r>
      <w:r>
        <w:tab/>
      </w:r>
      <w:proofErr w:type="gramStart"/>
      <w:r>
        <w:t>С</w:t>
      </w:r>
      <w:proofErr w:type="gramEnd"/>
      <w:r>
        <w:t xml:space="preserve"> учетом предыдущих заключительных замечаний (пункт 9) просьба сообщить о достигнутом прогрессе в искоренении насилия в отношении женщин, и в том числе:</w:t>
      </w:r>
    </w:p>
    <w:p w:rsidR="00A37556" w:rsidRPr="00375F63" w:rsidRDefault="00A37556" w:rsidP="00A37556">
      <w:pPr>
        <w:pStyle w:val="SingleTxtG"/>
      </w:pPr>
      <w:r>
        <w:tab/>
      </w:r>
      <w:r>
        <w:tab/>
        <w:t>а)</w:t>
      </w:r>
      <w:r>
        <w:tab/>
        <w:t>о состоянии законопроекта о предотвращении бытового насилия, о его увязке с недавними законопроектами о гарантиях равных прав и возможностей для мужчин и женщин и о защите женщин от притеснений и насилия, дав разъяснение, криминализует ли он эксплицитно бытовое насилие и супружеское изнасилование</w:t>
      </w:r>
      <w:r>
        <w:t>, а </w:t>
      </w:r>
      <w:r>
        <w:t>также об ответственности исполнителей и правоприменительных механизмов;</w:t>
      </w:r>
    </w:p>
    <w:p w:rsidR="00A37556" w:rsidRPr="00375F63" w:rsidRDefault="00A37556" w:rsidP="00A37556">
      <w:pPr>
        <w:pStyle w:val="SingleTxtG"/>
      </w:pPr>
      <w:r>
        <w:tab/>
      </w:r>
      <w:r>
        <w:tab/>
        <w:t>b)</w:t>
      </w:r>
      <w:r>
        <w:tab/>
        <w:t xml:space="preserve">о принятых мерах с целью: i) поощрения </w:t>
      </w:r>
      <w:proofErr w:type="spellStart"/>
      <w:r>
        <w:t>осведомительства</w:t>
      </w:r>
      <w:proofErr w:type="spellEnd"/>
      <w:r>
        <w:t xml:space="preserve"> об инцидентах, связанных с насилием в отношении женщин, включая сексуальное и бытовое насилие; </w:t>
      </w:r>
      <w:proofErr w:type="spellStart"/>
      <w:r>
        <w:t>ii</w:t>
      </w:r>
      <w:proofErr w:type="spellEnd"/>
      <w:r>
        <w:t xml:space="preserve">) преодоления дефицита надлежащей добросовестности сотрудников правоохранительных органов в плане регистрации и расследования насилия в отношении женщин, обеспечения оперативной и эффективной регистрации и расследования таких случаев (просьба включить соответствующую статистику с 2015 года) и адекватного наказания исполнителей; и </w:t>
      </w:r>
      <w:proofErr w:type="spellStart"/>
      <w:r>
        <w:t>iii</w:t>
      </w:r>
      <w:proofErr w:type="spellEnd"/>
      <w:r>
        <w:t>) предоставления женщинам и их семьям в центрах социально-правовой поддержки адекватных и достаточных психологических, социальных, юридических и реабилитационных услуг.</w:t>
      </w:r>
    </w:p>
    <w:p w:rsidR="00A37556" w:rsidRPr="00375F63" w:rsidRDefault="00A37556" w:rsidP="00A37556">
      <w:pPr>
        <w:pStyle w:val="H23G"/>
      </w:pPr>
      <w:r>
        <w:tab/>
      </w:r>
      <w:r>
        <w:tab/>
      </w:r>
      <w:r>
        <w:rPr>
          <w:bCs/>
        </w:rPr>
        <w:t>Чрезвычайное положение, меры по борьбе с терроризмом и экстремизмом (статьи 4, 9, 14, 18 и 19)</w:t>
      </w:r>
    </w:p>
    <w:p w:rsidR="00A37556" w:rsidRPr="00375F63" w:rsidRDefault="00A37556" w:rsidP="00A37556">
      <w:pPr>
        <w:pStyle w:val="SingleTxtG"/>
      </w:pPr>
      <w:r>
        <w:t>8.</w:t>
      </w:r>
      <w:r>
        <w:tab/>
      </w:r>
      <w:proofErr w:type="gramStart"/>
      <w:r>
        <w:t>С</w:t>
      </w:r>
      <w:proofErr w:type="gramEnd"/>
      <w:r>
        <w:t xml:space="preserve"> учетом предыдущих заключительных замечаний (пункт 11) и информации, предоставленной в докладе государства-участника о последующих мерах (CCPR/C/UZB/CO/4/Add.2, пункты 2–9), просьба сообщить о любых законопроектах </w:t>
      </w:r>
      <w:r>
        <w:lastRenderedPageBreak/>
        <w:t>или принятом законодательстве о чрезвычайном пол</w:t>
      </w:r>
      <w:r>
        <w:t>ожении и их соответствии статье </w:t>
      </w:r>
      <w:r>
        <w:t>4 Пакта и, в особенности, пояснить, запрещено ли эксплицитно отступление во время чрезвычайного положения от положений Пакта, не допускающих отступлений. Просьба представить также информацию о применении на практике Закона 2018 года «О борьбе с экстремизмом», включая соответствующую статистику о расследованиях, преследованиях и осуждениях за экстремизм, а также о гарантиях от его произвольного использования для ограничения легитимного осуществления права на свободу религии и выражения мнений.</w:t>
      </w:r>
    </w:p>
    <w:p w:rsidR="00A37556" w:rsidRPr="00375F63" w:rsidRDefault="00A37556" w:rsidP="00A37556">
      <w:pPr>
        <w:pStyle w:val="H23G"/>
      </w:pPr>
      <w:r>
        <w:tab/>
      </w:r>
      <w:r>
        <w:tab/>
      </w:r>
      <w:r>
        <w:rPr>
          <w:bCs/>
        </w:rPr>
        <w:t>Право на жизнь и запрет пыток и д</w:t>
      </w:r>
      <w:r>
        <w:rPr>
          <w:bCs/>
        </w:rPr>
        <w:t>ругих жестоких, бесчеловечных и </w:t>
      </w:r>
      <w:r>
        <w:rPr>
          <w:bCs/>
        </w:rPr>
        <w:t>унижающих достоинство видов обращения и наказания (статьи 6, 7, 9, 10 и 14)</w:t>
      </w:r>
    </w:p>
    <w:p w:rsidR="00A37556" w:rsidRPr="00375F63" w:rsidRDefault="00A37556" w:rsidP="00A37556">
      <w:pPr>
        <w:pStyle w:val="SingleTxtG"/>
      </w:pPr>
      <w:r>
        <w:t>9.</w:t>
      </w:r>
      <w:r>
        <w:tab/>
        <w:t>Просьба сообщить о принятых мерах по осуществлению давнишних рекомендаций Комитета (CCPR/C/UZB/CO/3, пункт 8, и CCPR/C/UZB/CO/4, пункт 10) о проведении независимого и эффективного расследования массовых убийств и ранений вооруженными силами и спецслужбами в ходе андижанских событий в 2005</w:t>
      </w:r>
      <w:r w:rsidR="00024142">
        <w:rPr>
          <w:lang w:val="en-US"/>
        </w:rPr>
        <w:t> </w:t>
      </w:r>
      <w:r>
        <w:t>год</w:t>
      </w:r>
      <w:r w:rsidR="00024142">
        <w:rPr>
          <w:lang w:val="en-US"/>
        </w:rPr>
        <w:t>e</w:t>
      </w:r>
      <w:r>
        <w:t xml:space="preserve">, дабы обеспечить полный, </w:t>
      </w:r>
      <w:proofErr w:type="spellStart"/>
      <w:r>
        <w:t>траспарентный</w:t>
      </w:r>
      <w:proofErr w:type="spellEnd"/>
      <w:r>
        <w:t xml:space="preserve"> и убедительный отчет об обстоятельствах с целью выявления, преследования и наказания исполнителей и предоставления средств правовой защиты потерпевшим и их семьям. С учетом предыдущих заключительных замечаний (пункт 10) просьба представить конкретную информацию о правовых стандартах правомерного применения огнестрельного оружия правоохранительными органами и спецслужбами по отечественному праву и об их соответствии Пакту и Основным принципам применения силы и огнестрельного оружия должностными лицами по поддержанию правопорядка.</w:t>
      </w:r>
    </w:p>
    <w:p w:rsidR="00A37556" w:rsidRPr="00375F63" w:rsidRDefault="00A37556" w:rsidP="00A37556">
      <w:pPr>
        <w:pStyle w:val="SingleTxtG"/>
      </w:pPr>
      <w:r>
        <w:t>10.</w:t>
      </w:r>
      <w:r>
        <w:tab/>
        <w:t>С учетом предыдущих заключительных замечаний (пункт 13) и определения пыток в Уголовном кодексе с поправками 2018 года (CCPR/C/UZB/5, пункт 154) просьба пояснить: a) подразумеваются ли под «сотрудниками правоохранительных органов или других государственных учреждений» все публичные должностные лица и другие лица, действующие в официальном качестве; b) имеются ли планы расширить рамки определения «пыток» в новом Уголовном кодексе, с целью обеспечить, чтобы к числу жертв пыток могло быть отнесено любое лицо, а не ограниченные категории, эксплицитно указанные в нынешнем определении. Просьба также</w:t>
      </w:r>
      <w:r w:rsidRPr="00D32724">
        <w:t xml:space="preserve"> </w:t>
      </w:r>
      <w:r>
        <w:t>пояснить, упразднена ли практика предоставления амнистий лицам, осужденным за пытки или жестокое обращение.</w:t>
      </w:r>
    </w:p>
    <w:p w:rsidR="00A37556" w:rsidRPr="00375F63" w:rsidRDefault="00A37556" w:rsidP="00A37556">
      <w:pPr>
        <w:pStyle w:val="SingleTxtG"/>
      </w:pPr>
      <w:r>
        <w:t>11.</w:t>
      </w:r>
      <w:r>
        <w:tab/>
      </w:r>
      <w:proofErr w:type="gramStart"/>
      <w:r>
        <w:t>С</w:t>
      </w:r>
      <w:proofErr w:type="gramEnd"/>
      <w:r>
        <w:t xml:space="preserve"> учетом предыдущих заключительных замечаний (пункт 14) просьба сообщить об эффекте мер, очерченных в докладе государства-участника об искоренении пыток и жестокого обращения на практике. В частности, просьба:</w:t>
      </w:r>
    </w:p>
    <w:p w:rsidR="00A37556" w:rsidRPr="00375F63" w:rsidRDefault="00A37556" w:rsidP="00A37556">
      <w:pPr>
        <w:pStyle w:val="SingleTxtG"/>
      </w:pPr>
      <w:r>
        <w:tab/>
      </w:r>
      <w:r>
        <w:tab/>
        <w:t>а)</w:t>
      </w:r>
      <w:r>
        <w:tab/>
        <w:t xml:space="preserve">прокомментировать непрестанные сообщения о применении пыток и жестокого обращения к лицам, лишенным свободы, включая бывшего Генерального прокурора </w:t>
      </w:r>
      <w:proofErr w:type="spellStart"/>
      <w:r>
        <w:t>Рашитжона</w:t>
      </w:r>
      <w:proofErr w:type="spellEnd"/>
      <w:r>
        <w:t xml:space="preserve"> Кадырова, его двенадцати сообвиняемых и других лиц, временно задержанных в качестве свидетелей в связи с расследованием, и индивидов, задержанных по политически мотивированным обвинениям, таким как экстремизм;</w:t>
      </w:r>
    </w:p>
    <w:p w:rsidR="00A37556" w:rsidRPr="00375F63" w:rsidRDefault="00A37556" w:rsidP="00A37556">
      <w:pPr>
        <w:pStyle w:val="SingleTxtG"/>
      </w:pPr>
      <w:r>
        <w:tab/>
      </w:r>
      <w:r>
        <w:tab/>
        <w:t>b)</w:t>
      </w:r>
      <w:r>
        <w:tab/>
        <w:t>сообщить о принятых мерах с целью обеспечить оперативное и тщательное расследование поистине независимым механизмом по всем утверждениям о пытках и жестоком обращении;</w:t>
      </w:r>
    </w:p>
    <w:p w:rsidR="00A37556" w:rsidRPr="00375F63" w:rsidRDefault="00A37556" w:rsidP="00A37556">
      <w:pPr>
        <w:pStyle w:val="SingleTxtG"/>
      </w:pPr>
      <w:r>
        <w:tab/>
      </w:r>
      <w:r>
        <w:tab/>
        <w:t>c)</w:t>
      </w:r>
      <w:r>
        <w:tab/>
        <w:t>детально осветить применение наказаний за лжесвидетельство и ложный донос, включая гарантии недопущения их произвольного использования с целью удержать от сообщения пыток и иного жестокого обращения;</w:t>
      </w:r>
    </w:p>
    <w:p w:rsidR="00A37556" w:rsidRPr="00375F63" w:rsidRDefault="00A37556" w:rsidP="00A37556">
      <w:pPr>
        <w:pStyle w:val="SingleTxtG"/>
      </w:pPr>
      <w:r>
        <w:tab/>
      </w:r>
      <w:r>
        <w:tab/>
        <w:t>d)</w:t>
      </w:r>
      <w:r>
        <w:tab/>
        <w:t>прокомментировать низкое число преследований и осуждений</w:t>
      </w:r>
      <w:r>
        <w:t xml:space="preserve"> по статье </w:t>
      </w:r>
      <w:r>
        <w:t>235 Уголовного кодекса и назначаемые зачастую исполнителям снисходительные наказания, такие как вычеты из заработка и штрафы, и предоставить обновленную статистику об общем числе сообщаемых ежегодно с 2015 года</w:t>
      </w:r>
      <w:r w:rsidRPr="00870C9A">
        <w:t xml:space="preserve"> </w:t>
      </w:r>
      <w:r>
        <w:t>случаев пыток и жестокого обращения, последующих расследований и возбужденных преследований по статье 235 и реализованных уголовных осуждений, о типе санкций, назначенных исполнителям, и о возмещениях, предоставленных потерпевшим;</w:t>
      </w:r>
    </w:p>
    <w:p w:rsidR="00A37556" w:rsidRPr="00375F63" w:rsidRDefault="00A37556" w:rsidP="00A37556">
      <w:pPr>
        <w:pStyle w:val="SingleTxtG"/>
      </w:pPr>
      <w:r>
        <w:lastRenderedPageBreak/>
        <w:tab/>
      </w:r>
      <w:r>
        <w:tab/>
        <w:t>e)</w:t>
      </w:r>
      <w:r>
        <w:tab/>
        <w:t>сообщить о достигнутом прогрессе в пересмотре всех уголовных осуждений на основании предположительно вынужденных признаний и о предоставлении эффективного средства правовой защиты неправомерно осужденным.</w:t>
      </w:r>
    </w:p>
    <w:p w:rsidR="00A37556" w:rsidRPr="00375F63" w:rsidRDefault="00A37556" w:rsidP="00A37556">
      <w:pPr>
        <w:pStyle w:val="H23G"/>
      </w:pPr>
      <w:r>
        <w:tab/>
      </w:r>
      <w:r>
        <w:tab/>
      </w:r>
      <w:r>
        <w:rPr>
          <w:bCs/>
        </w:rPr>
        <w:t>Свобода и личная неприкосновенность и обращение с лицами, лишенными свободы (статьи 7, 9 и 10)</w:t>
      </w:r>
    </w:p>
    <w:p w:rsidR="00A37556" w:rsidRPr="00375F63" w:rsidRDefault="00A37556" w:rsidP="00A37556">
      <w:pPr>
        <w:pStyle w:val="SingleTxtG"/>
      </w:pPr>
      <w:r>
        <w:t>12.</w:t>
      </w:r>
      <w:r>
        <w:tab/>
      </w:r>
      <w:proofErr w:type="gramStart"/>
      <w:r>
        <w:t>В</w:t>
      </w:r>
      <w:proofErr w:type="gramEnd"/>
      <w:r>
        <w:t xml:space="preserve"> связи с предыдущими заключительными замечаниями (пункты 15–17):</w:t>
      </w:r>
    </w:p>
    <w:p w:rsidR="00A37556" w:rsidRPr="00375F63" w:rsidRDefault="00A37556" w:rsidP="00A37556">
      <w:pPr>
        <w:pStyle w:val="SingleTxtG"/>
      </w:pPr>
      <w:r>
        <w:tab/>
      </w:r>
      <w:r>
        <w:tab/>
        <w:t>а)</w:t>
      </w:r>
      <w:r>
        <w:tab/>
        <w:t>просьба объяснить, правомочен ли прокурор законом осуществлять судебную власть по смыслу пункта 3 статьи 9 Пакта и прокомментировать сообщения о том, что новый законный 48-часовой лимит не всегда соблюдается на практике и, чтобы обойти законную продолжительность задержания сроком на 48 часов без предъявления обвинения, люди порой задерживаются не как подозреваемые, а как свидетели;</w:t>
      </w:r>
    </w:p>
    <w:p w:rsidR="00A37556" w:rsidRPr="00375F63" w:rsidRDefault="00A37556" w:rsidP="00A37556">
      <w:pPr>
        <w:pStyle w:val="SingleTxtG"/>
      </w:pPr>
      <w:r>
        <w:tab/>
      </w:r>
      <w:r>
        <w:tab/>
        <w:t>b)</w:t>
      </w:r>
      <w:r>
        <w:tab/>
        <w:t>просьба предоставить информацию об альтернативах предварительному заключению, не связанных с лишением свободы, и данные об их применении на практике;</w:t>
      </w:r>
    </w:p>
    <w:p w:rsidR="00A37556" w:rsidRPr="00375F63" w:rsidRDefault="00A37556" w:rsidP="00A37556">
      <w:pPr>
        <w:pStyle w:val="SingleTxtG"/>
      </w:pPr>
      <w:r>
        <w:tab/>
      </w:r>
      <w:r>
        <w:tab/>
        <w:t>c)</w:t>
      </w:r>
      <w:r>
        <w:tab/>
        <w:t xml:space="preserve">просьба сообщить о принятых мерах с целью обеспечить строгое </w:t>
      </w:r>
      <w:proofErr w:type="spellStart"/>
      <w:r>
        <w:t>правоприменение</w:t>
      </w:r>
      <w:proofErr w:type="spellEnd"/>
      <w:r>
        <w:t xml:space="preserve"> на практике положений «</w:t>
      </w:r>
      <w:proofErr w:type="spellStart"/>
      <w:r>
        <w:t>хабеас</w:t>
      </w:r>
      <w:proofErr w:type="spellEnd"/>
      <w:r>
        <w:t xml:space="preserve"> корпус», включая уважение положения о права задержанного лично предстать в суде и иметь доступ к адвокату по собственному выбору;</w:t>
      </w:r>
    </w:p>
    <w:p w:rsidR="00A37556" w:rsidRPr="00375F63" w:rsidRDefault="00A37556" w:rsidP="00A37556">
      <w:pPr>
        <w:pStyle w:val="SingleTxtG"/>
      </w:pPr>
      <w:r>
        <w:tab/>
      </w:r>
      <w:r>
        <w:tab/>
        <w:t>d)</w:t>
      </w:r>
      <w:r>
        <w:tab/>
        <w:t>просьба предоставить обновленную статистику о числе правозащитников, критиков правительства и лиц, осужденных за религиозный экстремизм или членство в запрещенных исламских движениях, которые были осуждены по статье 221 Уголовного кодекса с 2016 года.</w:t>
      </w:r>
    </w:p>
    <w:p w:rsidR="00A37556" w:rsidRPr="00375F63" w:rsidRDefault="00A37556" w:rsidP="00A37556">
      <w:pPr>
        <w:pStyle w:val="SingleTxtG"/>
      </w:pPr>
      <w:r>
        <w:t>13.</w:t>
      </w:r>
      <w:r>
        <w:tab/>
      </w:r>
      <w:proofErr w:type="gramStart"/>
      <w:r>
        <w:t>С</w:t>
      </w:r>
      <w:proofErr w:type="gramEnd"/>
      <w:r>
        <w:t xml:space="preserve"> учетом предыдущих заключительных замечаний (пункт 18) просьба сообщить о принятых мерах по преодолению предположительно плохих условий заключения, включая переполненность; неадекватное питание, санитарные условия и медицинское обслуживание; и по-прежнему высокий уровень заболеваемости туберкулезом.</w:t>
      </w:r>
    </w:p>
    <w:p w:rsidR="00A37556" w:rsidRPr="00375F63" w:rsidRDefault="00A37556" w:rsidP="00A37556">
      <w:pPr>
        <w:pStyle w:val="H23G"/>
      </w:pPr>
      <w:r>
        <w:tab/>
      </w:r>
      <w:r>
        <w:tab/>
      </w:r>
      <w:r>
        <w:rPr>
          <w:bCs/>
        </w:rPr>
        <w:t>Искоренение рабства и подневольного состояния (статья 8)</w:t>
      </w:r>
    </w:p>
    <w:p w:rsidR="00A37556" w:rsidRPr="00375F63" w:rsidRDefault="00A37556" w:rsidP="00A37556">
      <w:pPr>
        <w:pStyle w:val="SingleTxtG"/>
      </w:pPr>
      <w:r>
        <w:t>14.</w:t>
      </w:r>
      <w:r>
        <w:tab/>
      </w:r>
      <w:proofErr w:type="gramStart"/>
      <w:r>
        <w:t>С</w:t>
      </w:r>
      <w:proofErr w:type="gramEnd"/>
      <w:r>
        <w:t xml:space="preserve"> учетом предыдущих заключительных замечаний (пункт 19) и оценки Комитетом доклада государства-участника о последующе</w:t>
      </w:r>
      <w:r>
        <w:t>й деятельности (см. </w:t>
      </w:r>
      <w:r>
        <w:t>CCPR/C/121/2) просьба сообщить о принятых дальнейших мерах по искоренению принудительного труда в хлопковой отрасли и об их практическом эффекте. В частности, просьба:</w:t>
      </w:r>
    </w:p>
    <w:p w:rsidR="00A37556" w:rsidRPr="00375F63" w:rsidRDefault="00A37556" w:rsidP="00A37556">
      <w:pPr>
        <w:pStyle w:val="SingleTxtG"/>
      </w:pPr>
      <w:r>
        <w:tab/>
      </w:r>
      <w:r>
        <w:tab/>
        <w:t xml:space="preserve">а) </w:t>
      </w:r>
      <w:r>
        <w:tab/>
        <w:t>прокомментировать непрестанные сообщения о принудительном труде в ходе уборки хлопка, включая требование к государственным и частным учреждениям, предприятиям и компаниям направлять своих работников на сбор хлопка или оплачивать подменных сборщиков и покрывать их расходы;</w:t>
      </w:r>
    </w:p>
    <w:p w:rsidR="00A37556" w:rsidRPr="00375F63" w:rsidRDefault="00A37556" w:rsidP="00A37556">
      <w:pPr>
        <w:pStyle w:val="SingleTxtG"/>
      </w:pPr>
      <w:r>
        <w:tab/>
      </w:r>
      <w:r>
        <w:tab/>
        <w:t xml:space="preserve">b) </w:t>
      </w:r>
      <w:r>
        <w:tab/>
        <w:t xml:space="preserve">сообщить о принятых мерах с целью обеспечить финансовую </w:t>
      </w:r>
      <w:proofErr w:type="spellStart"/>
      <w:r>
        <w:t>транспарентность</w:t>
      </w:r>
      <w:proofErr w:type="spellEnd"/>
      <w:r>
        <w:t xml:space="preserve"> и преодоление коррупции в хлопковой отрасли, и в том числе о любых планируемых или </w:t>
      </w:r>
      <w:proofErr w:type="gramStart"/>
      <w:r>
        <w:t>осуществляемых реформах системы</w:t>
      </w:r>
      <w:proofErr w:type="gramEnd"/>
      <w:r>
        <w:t xml:space="preserve"> установленных государством обязательных квот на производство хлопка, которая предположительно остается основной причиной принудительного труда и фактором коррупции;</w:t>
      </w:r>
    </w:p>
    <w:p w:rsidR="00A37556" w:rsidRPr="00375F63" w:rsidRDefault="00A37556" w:rsidP="00A37556">
      <w:pPr>
        <w:pStyle w:val="SingleTxtG"/>
      </w:pPr>
      <w:r>
        <w:tab/>
      </w:r>
      <w:r>
        <w:tab/>
        <w:t xml:space="preserve">c) </w:t>
      </w:r>
      <w:r>
        <w:tab/>
        <w:t>прокомментировать утверждения о плохих условиях труда и быта сборщиков хлопка, сообщить о предпринятых шагах по недопущению гибели людей в связи со сбором урожая хлопка и по тщательному расследованию таких случаев (просьба предоставить соответствующую статистику за период с 2015 года) и по предоставлению эффективных средств правовой защиты семьям потерпевших.</w:t>
      </w:r>
    </w:p>
    <w:p w:rsidR="00A37556" w:rsidRPr="00375F63" w:rsidRDefault="00A37556" w:rsidP="00A37556">
      <w:pPr>
        <w:pStyle w:val="SingleTxtG"/>
      </w:pPr>
      <w:r>
        <w:tab/>
      </w:r>
      <w:r>
        <w:tab/>
      </w:r>
      <w:r>
        <w:t xml:space="preserve">Просьба также прокомментировать сообщения об использовании принудительного труда работников государственного сектора, таких как учителя, медицинские работники и служащие государственных учреждений, под угрозой сокращений зарплаты, дисциплинарных мер и увольнения для уборки улиц, </w:t>
      </w:r>
      <w:r>
        <w:lastRenderedPageBreak/>
        <w:t>строительных работ, посадки цветов и поддержания чистоты и порядка на государственных объектах.</w:t>
      </w:r>
    </w:p>
    <w:p w:rsidR="00A37556" w:rsidRPr="00163544" w:rsidRDefault="00A37556" w:rsidP="00A37556">
      <w:pPr>
        <w:pStyle w:val="H23G"/>
      </w:pPr>
      <w:r>
        <w:tab/>
      </w:r>
      <w:r>
        <w:tab/>
      </w:r>
      <w:r>
        <w:rPr>
          <w:bCs/>
        </w:rPr>
        <w:t>Свобода передвижения (статья 12)</w:t>
      </w:r>
    </w:p>
    <w:p w:rsidR="00A37556" w:rsidRPr="00375F63" w:rsidRDefault="00A37556" w:rsidP="00A37556">
      <w:pPr>
        <w:pStyle w:val="SingleTxtG"/>
      </w:pPr>
      <w:r>
        <w:t>15.</w:t>
      </w:r>
      <w:r>
        <w:tab/>
        <w:t>Просьба сообщить о принятых мерах по осуществлению давнишней рекомендации Комитета (CCPR/C/UZB/CO/3, пун</w:t>
      </w:r>
      <w:r>
        <w:t>кт 18, и CCPR/C/UZB/CO/4, пункт </w:t>
      </w:r>
      <w:r>
        <w:t>20) привести систему регистрации местожительства (прописка) в полное соответствие с Пактом. Просьба также прокомментировать озабоченности в связи с тем, что на практике прописка функционирует как разрешительная система, которая необоснованно ограничивает свободу передвижения лиц и их свободу выбора места жительства, и в том числе ограничивает по закону право на постоянную регистрацию в Ташкенте и Ташкентской области лишь определенными категориями правомочных граждан, что является дискриминацией по отношению к тем, кто родился и проживает вне Ташкента и Ташкентской области. Просьба также прокомментировать сообщения об ограничениях на поездки, включая поездки за границу в целях неотложного медицинского лечения, в случае освобожденных заключенных, которые были осуждены по политически мотивированным обвинениям.</w:t>
      </w:r>
    </w:p>
    <w:p w:rsidR="00A37556" w:rsidRPr="00375F63" w:rsidRDefault="00A37556" w:rsidP="00A37556">
      <w:pPr>
        <w:pStyle w:val="H23G"/>
      </w:pPr>
      <w:r>
        <w:tab/>
      </w:r>
      <w:r>
        <w:tab/>
      </w:r>
      <w:r>
        <w:rPr>
          <w:bCs/>
        </w:rPr>
        <w:t>Обращение с иностранцами, и в том числе с беженцами и просителями убежища (статьи 7, 9, 13 и 24)</w:t>
      </w:r>
    </w:p>
    <w:p w:rsidR="00A37556" w:rsidRPr="00375F63" w:rsidRDefault="00A37556" w:rsidP="00A37556">
      <w:pPr>
        <w:pStyle w:val="SingleTxtG"/>
      </w:pPr>
      <w:r>
        <w:t>16.</w:t>
      </w:r>
      <w:r>
        <w:tab/>
        <w:t>Просьба предоставить информацию: а) об осуществлении президентского указа от мая 2017 года «Об утверждении правил предоставления политического убежища»; b) о предпринятых шагах по учреждению национальной системы предоставления убежища, которая гарантировала бы всем людям, нуждающимся в международной защите, доступ на территорию и к процедуре убежища и предусматривала адекватные гарантии защиты от произвольного задержания, депортации и выдворения; с)</w:t>
      </w:r>
      <w:r>
        <w:rPr>
          <w:lang w:val="en-US"/>
        </w:rPr>
        <w:t> </w:t>
      </w:r>
      <w:r>
        <w:t>о</w:t>
      </w:r>
      <w:r>
        <w:rPr>
          <w:lang w:val="en-US"/>
        </w:rPr>
        <w:t> </w:t>
      </w:r>
      <w:r>
        <w:t xml:space="preserve">нынешнем числе апатридов в государстве-участнике и о принятых мерах с целью обеспечить адекватные гарантии защиты от </w:t>
      </w:r>
      <w:proofErr w:type="spellStart"/>
      <w:r>
        <w:t>безгражданства</w:t>
      </w:r>
      <w:proofErr w:type="spellEnd"/>
      <w:r>
        <w:t xml:space="preserve"> в процедурах отказа от гражданства и утраты гражданства.</w:t>
      </w:r>
    </w:p>
    <w:p w:rsidR="00A37556" w:rsidRPr="00375F63" w:rsidRDefault="00A37556" w:rsidP="00A37556">
      <w:pPr>
        <w:pStyle w:val="H23G"/>
      </w:pPr>
      <w:r>
        <w:tab/>
      </w:r>
      <w:r>
        <w:tab/>
      </w:r>
      <w:r>
        <w:rPr>
          <w:bCs/>
        </w:rPr>
        <w:t>Право на справедливое судебное разбирательство и независимость судебных органов (статья 14)</w:t>
      </w:r>
    </w:p>
    <w:p w:rsidR="00A37556" w:rsidRPr="00375F63" w:rsidRDefault="00A37556" w:rsidP="00A37556">
      <w:pPr>
        <w:pStyle w:val="SingleTxtG"/>
      </w:pPr>
      <w:r>
        <w:t>17.</w:t>
      </w:r>
      <w:r>
        <w:tab/>
      </w:r>
      <w:proofErr w:type="gramStart"/>
      <w:r>
        <w:t>С</w:t>
      </w:r>
      <w:proofErr w:type="gramEnd"/>
      <w:r>
        <w:t xml:space="preserve"> учетом предыдущих заключительных замечаний (пункт 21) и реформ</w:t>
      </w:r>
      <w:r w:rsidRPr="00987299">
        <w:t xml:space="preserve"> </w:t>
      </w:r>
      <w:r>
        <w:t>судебной системы, очерченных в докладе государства-участника, просьба предоставить дальнейшую информацию о принятых мерах с целью обеспечить и по закону, и на практике полную независимость и беспристрастность судей и прокуроров и прокомментировать следующие озабоченности:</w:t>
      </w:r>
    </w:p>
    <w:p w:rsidR="00A37556" w:rsidRPr="00375F63" w:rsidRDefault="00A37556" w:rsidP="00A37556">
      <w:pPr>
        <w:pStyle w:val="SingleTxtG"/>
      </w:pPr>
      <w:r>
        <w:tab/>
      </w:r>
      <w:r>
        <w:tab/>
        <w:t>а)</w:t>
      </w:r>
      <w:r>
        <w:tab/>
        <w:t xml:space="preserve">процедура формирования Высшего судебного совета и его состава не обеспечивает достаточных гарантий независимости от исполнительной власти: политические органы по-прежнему причастны к подбору и назначению судей, выходя за рамки официального одобрения, а четкие и объективные критерии отбора кандидатов и детальные и </w:t>
      </w:r>
      <w:proofErr w:type="spellStart"/>
      <w:r>
        <w:t>транспарентные</w:t>
      </w:r>
      <w:proofErr w:type="spellEnd"/>
      <w:r>
        <w:t xml:space="preserve"> процедуры их оценки не определены законом;</w:t>
      </w:r>
    </w:p>
    <w:p w:rsidR="00A37556" w:rsidRPr="00375F63" w:rsidRDefault="00A37556" w:rsidP="00A37556">
      <w:pPr>
        <w:pStyle w:val="SingleTxtG"/>
      </w:pPr>
      <w:r>
        <w:tab/>
      </w:r>
      <w:r>
        <w:tab/>
        <w:t>b)</w:t>
      </w:r>
      <w:r>
        <w:tab/>
        <w:t>временное назначение судей на два срока, а потом их назначение на неопределенный срок, недостаточно четкие и слишком широкие критерии оценки кандидатов для повторного назначения на новый срок и слишком широкие основания для дисциплинарной ответственности судей;</w:t>
      </w:r>
    </w:p>
    <w:p w:rsidR="00A37556" w:rsidRPr="00375F63" w:rsidRDefault="00A37556" w:rsidP="00A37556">
      <w:pPr>
        <w:pStyle w:val="SingleTxtG"/>
      </w:pPr>
      <w:r>
        <w:tab/>
      </w:r>
      <w:r>
        <w:tab/>
        <w:t>c)</w:t>
      </w:r>
      <w:r>
        <w:tab/>
        <w:t>недостаточное финансовое обеспечение судей, включая низкое вознаграждение и дискреционные дополнительные выплаты;</w:t>
      </w:r>
    </w:p>
    <w:p w:rsidR="00A37556" w:rsidRPr="00375F63" w:rsidRDefault="00A37556" w:rsidP="00A37556">
      <w:pPr>
        <w:pStyle w:val="SingleTxtG"/>
      </w:pPr>
      <w:r>
        <w:tab/>
      </w:r>
      <w:r>
        <w:tab/>
        <w:t>d)</w:t>
      </w:r>
      <w:r>
        <w:tab/>
        <w:t>процедура пересмотра судебных решений в порядке надзора Верховным судом и право прокуроров отзывать и оспаривать судебные дела;</w:t>
      </w:r>
    </w:p>
    <w:p w:rsidR="00A37556" w:rsidRPr="00375F63" w:rsidRDefault="00A37556" w:rsidP="00A37556">
      <w:pPr>
        <w:pStyle w:val="SingleTxtG"/>
      </w:pPr>
      <w:r>
        <w:tab/>
      </w:r>
      <w:r>
        <w:tab/>
        <w:t>e)</w:t>
      </w:r>
      <w:r>
        <w:tab/>
        <w:t xml:space="preserve">недостаточная независимость прокуроров от политического влияния на практике, главным образом в силу процедур назначения и смещения Генерального прокурора; чрезмерные полномочия, предоставленные прокурорам, включая широкие надзорные функции; и регламенты и процедуры в связи с дисциплинарной </w:t>
      </w:r>
      <w:r>
        <w:lastRenderedPageBreak/>
        <w:t>ответственностью (неисполнение или ненадлежащее исполнение профессиональных обязанностей) прокуроров по широко определенным основаниям.</w:t>
      </w:r>
    </w:p>
    <w:p w:rsidR="00A37556" w:rsidRPr="00375F63" w:rsidRDefault="00A37556" w:rsidP="00A37556">
      <w:pPr>
        <w:pStyle w:val="SingleTxtG"/>
      </w:pPr>
      <w:r>
        <w:t>18.</w:t>
      </w:r>
      <w:r>
        <w:tab/>
      </w:r>
      <w:proofErr w:type="gramStart"/>
      <w:r>
        <w:t>С</w:t>
      </w:r>
      <w:proofErr w:type="gramEnd"/>
      <w:r>
        <w:t xml:space="preserve"> учетом предыдущих заключительных замечаний (пункт 21) просьба сообщить о принятых мерах с целью гарантировать независимость Палаты адвокатов от исполнительной ветви власти и самих адвокатов и прокомментировать озабоченности в связи с тем, что требование о переаттестации адвокатов с интервалами менее трех лет является предметом злоупотреблений по политическим мотивам.</w:t>
      </w:r>
    </w:p>
    <w:p w:rsidR="00A37556" w:rsidRPr="00375F63" w:rsidRDefault="00A37556" w:rsidP="00A37556">
      <w:pPr>
        <w:pStyle w:val="SingleTxtG"/>
      </w:pPr>
      <w:r>
        <w:t>19.</w:t>
      </w:r>
      <w:r>
        <w:tab/>
        <w:t>Просьба сообщить о предпринятых шагах по учреждению всеобъемлющей системы ювенальной юстиции и об использовании альтернативных мер по отношению к задержанию и тюремному заключению малолетних правонарушителей. Просьба также сообщить о состоянии проекта закона о бесплатной юридической помощи и пояснить, как он гарантирует всем лицам, не имеющим достаточных средств, в пределах территории государства-участника и под его юрисдикцией недискриминационный, свободный и эффективный доступ к качественной юридической помощи.</w:t>
      </w:r>
    </w:p>
    <w:p w:rsidR="00A37556" w:rsidRPr="00375F63" w:rsidRDefault="00A37556" w:rsidP="00A37556">
      <w:pPr>
        <w:pStyle w:val="H23G"/>
      </w:pPr>
      <w:r>
        <w:tab/>
      </w:r>
      <w:r>
        <w:tab/>
      </w:r>
      <w:r>
        <w:rPr>
          <w:bCs/>
        </w:rPr>
        <w:t>Свобода совести и религиозных убеждений (статья 18)</w:t>
      </w:r>
    </w:p>
    <w:p w:rsidR="00A37556" w:rsidRPr="00375F63" w:rsidRDefault="00A37556" w:rsidP="00A37556">
      <w:pPr>
        <w:pStyle w:val="SingleTxtG"/>
      </w:pPr>
      <w:r>
        <w:t>20.</w:t>
      </w:r>
      <w:r>
        <w:tab/>
      </w:r>
      <w:proofErr w:type="gramStart"/>
      <w:r>
        <w:t>В</w:t>
      </w:r>
      <w:proofErr w:type="gramEnd"/>
      <w:r>
        <w:t xml:space="preserve"> связи с предыдущими заключительными замечаниями (пункт 22) просьба сообщить о принятых мерах с целью привести законы и практику в отношении свободы религии и убеждений в соответствие со статьей 18 Пакта, включая информацию относительно следующего:</w:t>
      </w:r>
    </w:p>
    <w:p w:rsidR="00A37556" w:rsidRPr="00375F63" w:rsidRDefault="00A37556" w:rsidP="00A37556">
      <w:pPr>
        <w:pStyle w:val="SingleTxtG"/>
      </w:pPr>
      <w:r>
        <w:tab/>
      </w:r>
      <w:r>
        <w:tab/>
        <w:t>а)</w:t>
      </w:r>
      <w:r>
        <w:tab/>
        <w:t>состояние проекта закона о свободе совести и религиозных организациях, процесс публичных консультаций по проекту законодательства и та степень, в какой проект закона касается нынешних ограничений на свободу религии, включая криминализацию прозелитизма и другой миссионерской деятельности, обременительные требования в отношении регистрации религиозных объединений и криминализацию незарегистрированной религиозной деятельности, цензуру религиозных материалов и ограничения на их использование и строгий государственный контроль над религиозным образованием;</w:t>
      </w:r>
    </w:p>
    <w:p w:rsidR="00A37556" w:rsidRPr="00375F63" w:rsidRDefault="00A37556" w:rsidP="00A37556">
      <w:pPr>
        <w:pStyle w:val="SingleTxtG"/>
      </w:pPr>
      <w:r>
        <w:tab/>
      </w:r>
      <w:r>
        <w:tab/>
        <w:t>b)</w:t>
      </w:r>
      <w:r>
        <w:tab/>
        <w:t xml:space="preserve">непрестанные сообщения о неоднократном отказе Свидетелям Иеговы в регистрации; арестах, задержаниях, штрафах и уголовных осуждениях лиц, принадлежащих к незарегистрированным религиозным группам, за проведение мирной религиозной деятельности; надзоре над религиозными общинами и произвольных арестах, задержаниях, пытках и жестоком обращении и осуждении в случае мусульман, практикующих свою религию вне санкционированных государством структур, по широко сформулированным обвинениям в экстремизме или в связи с ассоциацией с запрещенными религиозными группами. Просьба также пояснить, запрещено ли ношение </w:t>
      </w:r>
      <w:proofErr w:type="spellStart"/>
      <w:r>
        <w:t>хиджабов</w:t>
      </w:r>
      <w:proofErr w:type="spellEnd"/>
      <w:r>
        <w:t xml:space="preserve"> в общественных местах, и в том числе в высших учебных заведениях.</w:t>
      </w:r>
    </w:p>
    <w:p w:rsidR="00A37556" w:rsidRPr="00375F63" w:rsidRDefault="00A37556" w:rsidP="00A37556">
      <w:pPr>
        <w:pStyle w:val="H23G"/>
      </w:pPr>
      <w:r>
        <w:tab/>
      </w:r>
      <w:r>
        <w:tab/>
      </w:r>
      <w:r>
        <w:rPr>
          <w:bCs/>
        </w:rPr>
        <w:t>Свобода выражения мнений и мирных собраний (статьи 19 и 21)</w:t>
      </w:r>
    </w:p>
    <w:p w:rsidR="00A37556" w:rsidRPr="00375F63" w:rsidRDefault="00A37556" w:rsidP="00A37556">
      <w:pPr>
        <w:pStyle w:val="SingleTxtG"/>
      </w:pPr>
      <w:r>
        <w:t>21.</w:t>
      </w:r>
      <w:r>
        <w:tab/>
      </w:r>
      <w:proofErr w:type="gramStart"/>
      <w:r>
        <w:t>В</w:t>
      </w:r>
      <w:proofErr w:type="gramEnd"/>
      <w:r>
        <w:t xml:space="preserve"> связи с предыдущими заключительными замечаниями (пункт 23) просьба прокомментировать непрестанные сообщения о ненадлежащих ограничениях по закону и на практике свободы выражения мнений, включая:</w:t>
      </w:r>
    </w:p>
    <w:p w:rsidR="00A37556" w:rsidRPr="00375F63" w:rsidRDefault="00A37556" w:rsidP="00A37556">
      <w:pPr>
        <w:pStyle w:val="SingleTxtG"/>
      </w:pPr>
      <w:r>
        <w:tab/>
      </w:r>
      <w:r>
        <w:tab/>
        <w:t>а)</w:t>
      </w:r>
      <w:r>
        <w:tab/>
        <w:t xml:space="preserve">криминализацию диффамации, оскорблений, оскорбления президента и распространения ложной информации; </w:t>
      </w:r>
    </w:p>
    <w:p w:rsidR="00A37556" w:rsidRPr="00375F63" w:rsidRDefault="00A37556" w:rsidP="00A37556">
      <w:pPr>
        <w:pStyle w:val="SingleTxtG"/>
      </w:pPr>
      <w:r>
        <w:tab/>
      </w:r>
      <w:r>
        <w:tab/>
        <w:t>b)</w:t>
      </w:r>
      <w:r>
        <w:tab/>
        <w:t>ограничения свободы выражения мнений в Интернете, такие как требование о регистрации информационных интернет-платформ, включая блоги, в качестве медиаканалов, и регламентации об удалении контента и о блокирования онлайновых медиа-платформ по расплывчато определенным критериям;</w:t>
      </w:r>
    </w:p>
    <w:p w:rsidR="00A37556" w:rsidRPr="00375F63" w:rsidRDefault="00A37556" w:rsidP="00A37556">
      <w:pPr>
        <w:pStyle w:val="SingleTxtG"/>
      </w:pPr>
      <w:r>
        <w:tab/>
      </w:r>
      <w:r>
        <w:tab/>
        <w:t>c)</w:t>
      </w:r>
      <w:r>
        <w:tab/>
        <w:t xml:space="preserve">текущее тюремное заключение большого числа индивидов по политически мотивированным обвинениям и продолжающееся применение уголовно-правовых положений для ареста, задержания и преследования независимых журналистов и правозащитников по обвинениям, связанным с экстремизмом, и по другим политически мотивированным обвинениям за мирное выражение ими </w:t>
      </w:r>
      <w:r>
        <w:lastRenderedPageBreak/>
        <w:t xml:space="preserve">критических взглядов, как, например, в случае журналиста и поэта Махмуда </w:t>
      </w:r>
      <w:proofErr w:type="spellStart"/>
      <w:r>
        <w:t>Раджаба</w:t>
      </w:r>
      <w:proofErr w:type="spellEnd"/>
      <w:r>
        <w:t xml:space="preserve">, независимого журналиста </w:t>
      </w:r>
      <w:proofErr w:type="spellStart"/>
      <w:r>
        <w:t>Бобомурода</w:t>
      </w:r>
      <w:proofErr w:type="spellEnd"/>
      <w:r>
        <w:t xml:space="preserve"> Абдуллаева, писателя </w:t>
      </w:r>
      <w:proofErr w:type="spellStart"/>
      <w:r>
        <w:t>Нурулло</w:t>
      </w:r>
      <w:proofErr w:type="spellEnd"/>
      <w:r>
        <w:t xml:space="preserve"> </w:t>
      </w:r>
      <w:proofErr w:type="spellStart"/>
      <w:r>
        <w:t>Отаханова</w:t>
      </w:r>
      <w:proofErr w:type="spellEnd"/>
      <w:r>
        <w:t xml:space="preserve"> и правозащитника </w:t>
      </w:r>
      <w:proofErr w:type="spellStart"/>
      <w:r>
        <w:t>Мусаджона</w:t>
      </w:r>
      <w:proofErr w:type="spellEnd"/>
      <w:r>
        <w:t xml:space="preserve"> Бабаджанова.</w:t>
      </w:r>
    </w:p>
    <w:p w:rsidR="00A37556" w:rsidRPr="00375F63" w:rsidRDefault="00A37556" w:rsidP="00A37556">
      <w:pPr>
        <w:pStyle w:val="SingleTxtG"/>
      </w:pPr>
      <w:r>
        <w:t>22.</w:t>
      </w:r>
      <w:r>
        <w:tab/>
        <w:t>В связи с предыдущими заключительными замечаниями (пункт 24) просьба сообщить о состоянии проекта закона о собраниях, шествиях и демонстрациях и о том, в какой мере этот проект закона позволяет привести в соответствие с Пактом регламентации и практику в отношении свободы собраний, включая постановление</w:t>
      </w:r>
      <w:r>
        <w:rPr>
          <w:lang w:val="en-US"/>
        </w:rPr>
        <w:t> </w:t>
      </w:r>
      <w:r>
        <w:t>№</w:t>
      </w:r>
      <w:r>
        <w:rPr>
          <w:lang w:val="en-US"/>
        </w:rPr>
        <w:t> </w:t>
      </w:r>
      <w:r>
        <w:t xml:space="preserve">205 Кабинета министров от 29 июля 2014 года, которое требует среди прочего предварительного разрешения на проведение массовых мероприятий и ограничивает их проведение специально отведенными местами. Просьба также прокомментировать сообщения об арестах, задержаниях и наказаниях правозащитников за организацию мирных акций протеста и/или участие в них, как, например, в случае 30 женщин, причастных к мирной акции протеста в июле 2018 года, и </w:t>
      </w:r>
      <w:proofErr w:type="gramStart"/>
      <w:r>
        <w:t xml:space="preserve">Ирины </w:t>
      </w:r>
      <w:proofErr w:type="spellStart"/>
      <w:r>
        <w:t>Зайдман</w:t>
      </w:r>
      <w:proofErr w:type="spellEnd"/>
      <w:proofErr w:type="gramEnd"/>
      <w:r>
        <w:t xml:space="preserve"> и Марии </w:t>
      </w:r>
      <w:proofErr w:type="spellStart"/>
      <w:r>
        <w:t>Леглер</w:t>
      </w:r>
      <w:proofErr w:type="spellEnd"/>
      <w:r>
        <w:t>, которые организовали мирное собрание в июне 2017 года.</w:t>
      </w:r>
    </w:p>
    <w:p w:rsidR="00A37556" w:rsidRPr="002413B4" w:rsidRDefault="00A37556" w:rsidP="00A37556">
      <w:pPr>
        <w:pStyle w:val="H23G"/>
      </w:pPr>
      <w:r>
        <w:tab/>
      </w:r>
      <w:r>
        <w:tab/>
      </w:r>
      <w:r>
        <w:rPr>
          <w:bCs/>
        </w:rPr>
        <w:t>Свобода ассоциации (статья 22)</w:t>
      </w:r>
    </w:p>
    <w:p w:rsidR="00A37556" w:rsidRPr="00375F63" w:rsidRDefault="00A37556" w:rsidP="00A37556">
      <w:pPr>
        <w:pStyle w:val="SingleTxtG"/>
      </w:pPr>
      <w:r>
        <w:t>23.</w:t>
      </w:r>
      <w:r>
        <w:tab/>
        <w:t xml:space="preserve">С учетом предыдущих заключительных замечаний (пункт 25) просьба сообщить о состоянии проекта закона о неправительственных организациях (НПО), достигнутом прогрессе в пересмотре необоснованных и обременительных правовых и административных требований в отношении регистрации НПО </w:t>
      </w:r>
      <w:bookmarkStart w:id="0" w:name="_GoBack"/>
      <w:bookmarkEnd w:id="0"/>
      <w:r>
        <w:t>и политических партий и о любом остающемся ненадлежащем мониторинге деятельности, проводимой НПО, как, например, требование о заблаговременном уведомлении Министерства юстиции о планируемых мероприятиях (приказ № 3020 Министерства юстиции от 1 июня 2018</w:t>
      </w:r>
      <w:r>
        <w:rPr>
          <w:lang w:val="en-US"/>
        </w:rPr>
        <w:t> </w:t>
      </w:r>
      <w:r>
        <w:t>года).</w:t>
      </w:r>
    </w:p>
    <w:p w:rsidR="00A37556" w:rsidRPr="00024142" w:rsidRDefault="00A37556" w:rsidP="00A37556">
      <w:pPr>
        <w:pStyle w:val="H23G"/>
      </w:pPr>
      <w:r>
        <w:tab/>
      </w:r>
      <w:r>
        <w:tab/>
      </w:r>
      <w:r>
        <w:rPr>
          <w:bCs/>
        </w:rPr>
        <w:t>Участие в ведении государственных дел</w:t>
      </w:r>
      <w:r w:rsidR="00024142" w:rsidRPr="00024142">
        <w:rPr>
          <w:bCs/>
        </w:rPr>
        <w:t xml:space="preserve"> (</w:t>
      </w:r>
      <w:r w:rsidR="00024142">
        <w:rPr>
          <w:bCs/>
        </w:rPr>
        <w:t>статья 25)</w:t>
      </w:r>
    </w:p>
    <w:p w:rsidR="00381C24" w:rsidRPr="00A37556" w:rsidRDefault="00A37556" w:rsidP="00A37556">
      <w:pPr>
        <w:pStyle w:val="SingleTxtG"/>
      </w:pPr>
      <w:r>
        <w:t>24.</w:t>
      </w:r>
      <w:r>
        <w:tab/>
      </w:r>
      <w:proofErr w:type="gramStart"/>
      <w:r>
        <w:t>С</w:t>
      </w:r>
      <w:proofErr w:type="gramEnd"/>
      <w:r>
        <w:t xml:space="preserve"> учетом предыдущих заключительных замечаний (пункт 26) просьба оконтурить принятые меры с целью культивировать на практике политический плюрализм, включая истинную политическую оппозицию. Просьба сообщить о состоянии проекта избирательного кодекса и о том, в какой мере он переосмысливает ненадлежащие ограничения на право баллотироваться на выборах в зависимости от продолжительности проживания, текущие уголовные разбирательства и выдвижение кандидатур исключительно политическими партиями; и отказ в праве голоса любому лицу, признанному судом недееспособным или отбывающему тюремный приговор вне зависимости от тяжести преступления. Просьба прокомментировать сообщения о том, что решением мэра двум лицам, страдающим зрительными нарушениями, было отказано в баллотировке на пост председателя органа гражданского самоуправления в </w:t>
      </w:r>
      <w:proofErr w:type="spellStart"/>
      <w:r>
        <w:t>Мирабадском</w:t>
      </w:r>
      <w:proofErr w:type="spellEnd"/>
      <w:r>
        <w:t xml:space="preserve"> районе Ташкента. Просьба сообщить, рассматривается ли вопрос о пересмотре процедуры назначения членов нижестоящих комиссий, с тем чтобы обеспечить их достаточную независимость, и регламентов об общем финансировании кампании, с тем чтобы обеспечить </w:t>
      </w:r>
      <w:proofErr w:type="spellStart"/>
      <w:r>
        <w:t>транспарентность</w:t>
      </w:r>
      <w:proofErr w:type="spellEnd"/>
      <w:r>
        <w:t xml:space="preserve"> и подотчетность и позволить избирателям поддерживать финансово в ходе кампаний</w:t>
      </w:r>
      <w:r w:rsidRPr="00FD4347">
        <w:t xml:space="preserve"> </w:t>
      </w:r>
      <w:r>
        <w:t>своих предпочтительных кандидатов.</w:t>
      </w:r>
    </w:p>
    <w:p w:rsidR="00A37556" w:rsidRPr="00A37556" w:rsidRDefault="00A37556" w:rsidP="00A37556">
      <w:pPr>
        <w:pStyle w:val="SingleTxtG"/>
        <w:spacing w:before="240" w:after="0"/>
        <w:jc w:val="center"/>
        <w:rPr>
          <w:u w:val="single"/>
        </w:rPr>
      </w:pPr>
      <w:r>
        <w:rPr>
          <w:u w:val="single"/>
        </w:rPr>
        <w:tab/>
      </w:r>
      <w:r>
        <w:rPr>
          <w:u w:val="single"/>
        </w:rPr>
        <w:tab/>
      </w:r>
      <w:r>
        <w:rPr>
          <w:u w:val="single"/>
        </w:rPr>
        <w:tab/>
      </w:r>
      <w:r>
        <w:rPr>
          <w:u w:val="single"/>
        </w:rPr>
        <w:tab/>
      </w:r>
    </w:p>
    <w:sectPr w:rsidR="00A37556" w:rsidRPr="00A37556" w:rsidSect="00A3755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68" w:rsidRPr="00A312BC" w:rsidRDefault="002A5C68" w:rsidP="00A312BC"/>
  </w:endnote>
  <w:endnote w:type="continuationSeparator" w:id="0">
    <w:p w:rsidR="002A5C68" w:rsidRPr="00A312BC" w:rsidRDefault="002A5C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6" w:rsidRPr="00A37556" w:rsidRDefault="00A37556">
    <w:pPr>
      <w:pStyle w:val="a8"/>
    </w:pPr>
    <w:r w:rsidRPr="00A37556">
      <w:rPr>
        <w:b/>
        <w:sz w:val="18"/>
      </w:rPr>
      <w:fldChar w:fldCharType="begin"/>
    </w:r>
    <w:r w:rsidRPr="00A37556">
      <w:rPr>
        <w:b/>
        <w:sz w:val="18"/>
      </w:rPr>
      <w:instrText xml:space="preserve"> PAGE  \* MERGEFORMAT </w:instrText>
    </w:r>
    <w:r w:rsidRPr="00A37556">
      <w:rPr>
        <w:b/>
        <w:sz w:val="18"/>
      </w:rPr>
      <w:fldChar w:fldCharType="separate"/>
    </w:r>
    <w:r w:rsidR="009306DE">
      <w:rPr>
        <w:b/>
        <w:noProof/>
        <w:sz w:val="18"/>
      </w:rPr>
      <w:t>6</w:t>
    </w:r>
    <w:r w:rsidRPr="00A37556">
      <w:rPr>
        <w:b/>
        <w:sz w:val="18"/>
      </w:rPr>
      <w:fldChar w:fldCharType="end"/>
    </w:r>
    <w:r>
      <w:rPr>
        <w:b/>
        <w:sz w:val="18"/>
      </w:rPr>
      <w:tab/>
    </w:r>
    <w:r>
      <w:t>GE.19-14964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6" w:rsidRPr="00A37556" w:rsidRDefault="00A37556" w:rsidP="00A37556">
    <w:pPr>
      <w:pStyle w:val="a8"/>
      <w:tabs>
        <w:tab w:val="clear" w:pos="9639"/>
        <w:tab w:val="right" w:pos="9638"/>
      </w:tabs>
      <w:rPr>
        <w:b/>
        <w:sz w:val="18"/>
      </w:rPr>
    </w:pPr>
    <w:r>
      <w:t>GE.19-14964</w:t>
    </w:r>
    <w:r>
      <w:tab/>
    </w:r>
    <w:r w:rsidRPr="00A37556">
      <w:rPr>
        <w:b/>
        <w:sz w:val="18"/>
      </w:rPr>
      <w:fldChar w:fldCharType="begin"/>
    </w:r>
    <w:r w:rsidRPr="00A37556">
      <w:rPr>
        <w:b/>
        <w:sz w:val="18"/>
      </w:rPr>
      <w:instrText xml:space="preserve"> PAGE  \* MERGEFORMAT </w:instrText>
    </w:r>
    <w:r w:rsidRPr="00A37556">
      <w:rPr>
        <w:b/>
        <w:sz w:val="18"/>
      </w:rPr>
      <w:fldChar w:fldCharType="separate"/>
    </w:r>
    <w:r w:rsidR="009306DE">
      <w:rPr>
        <w:b/>
        <w:noProof/>
        <w:sz w:val="18"/>
      </w:rPr>
      <w:t>5</w:t>
    </w:r>
    <w:r w:rsidRPr="00A375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37556" w:rsidRDefault="00A37556" w:rsidP="00A3755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14964  (</w:t>
    </w:r>
    <w:proofErr w:type="gramEnd"/>
    <w:r>
      <w:t>R)</w:t>
    </w:r>
    <w:r>
      <w:rPr>
        <w:lang w:val="en-US"/>
      </w:rPr>
      <w:t xml:space="preserve">  180919  200919</w:t>
    </w:r>
    <w:r>
      <w:br/>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sidRPr="00A3755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UZB/Q/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Q/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68" w:rsidRPr="001075E9" w:rsidRDefault="002A5C68" w:rsidP="001075E9">
      <w:pPr>
        <w:tabs>
          <w:tab w:val="right" w:pos="2155"/>
        </w:tabs>
        <w:spacing w:after="80" w:line="240" w:lineRule="auto"/>
        <w:ind w:left="680"/>
        <w:rPr>
          <w:u w:val="single"/>
        </w:rPr>
      </w:pPr>
      <w:r>
        <w:rPr>
          <w:u w:val="single"/>
        </w:rPr>
        <w:tab/>
      </w:r>
    </w:p>
  </w:footnote>
  <w:footnote w:type="continuationSeparator" w:id="0">
    <w:p w:rsidR="002A5C68" w:rsidRDefault="002A5C68" w:rsidP="00407B78">
      <w:pPr>
        <w:tabs>
          <w:tab w:val="right" w:pos="2155"/>
        </w:tabs>
        <w:spacing w:after="80"/>
        <w:ind w:left="680"/>
        <w:rPr>
          <w:u w:val="single"/>
        </w:rPr>
      </w:pPr>
      <w:r>
        <w:rPr>
          <w:u w:val="single"/>
        </w:rPr>
        <w:tab/>
      </w:r>
    </w:p>
  </w:footnote>
  <w:footnote w:id="1">
    <w:p w:rsidR="00A37556" w:rsidRPr="00375F63" w:rsidRDefault="00A37556" w:rsidP="00A37556">
      <w:pPr>
        <w:pStyle w:val="ad"/>
      </w:pPr>
      <w:r>
        <w:tab/>
      </w:r>
      <w:r w:rsidRPr="00A37556">
        <w:rPr>
          <w:sz w:val="20"/>
        </w:rPr>
        <w:t>*</w:t>
      </w:r>
      <w:r>
        <w:tab/>
        <w:t>Принято Комитетом на его 126-й сессии (1–26 июля 2019 года).</w:t>
      </w:r>
    </w:p>
  </w:footnote>
  <w:footnote w:id="2">
    <w:p w:rsidR="00A37556" w:rsidRPr="00375F63" w:rsidRDefault="00A37556" w:rsidP="00A37556">
      <w:pPr>
        <w:pStyle w:val="ad"/>
      </w:pPr>
      <w:r>
        <w:tab/>
      </w:r>
      <w:r w:rsidRPr="00A37556">
        <w:rPr>
          <w:rStyle w:val="aa"/>
          <w:rFonts w:eastAsiaTheme="minorEastAsia"/>
          <w:bCs/>
          <w:sz w:val="20"/>
          <w:vertAlign w:val="baseline"/>
        </w:rPr>
        <w:t>**</w:t>
      </w:r>
      <w:r>
        <w:tab/>
        <w:t>Если только не указано иное, номера пунктов в скобках относятся к предыдущим заключительным замечаниям Комитета (CCPR/C/UZB/CO/4).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6" w:rsidRPr="00A37556" w:rsidRDefault="00A37556">
    <w:pPr>
      <w:pStyle w:val="a5"/>
    </w:pPr>
    <w:fldSimple w:instr=" TITLE  \* MERGEFORMAT ">
      <w:r w:rsidR="009306DE">
        <w:t>CCPR/C/UZB/Q/5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6" w:rsidRPr="00A37556" w:rsidRDefault="00A37556" w:rsidP="00A37556">
    <w:pPr>
      <w:pStyle w:val="a5"/>
      <w:jc w:val="right"/>
    </w:pPr>
    <w:fldSimple w:instr=" TITLE  \* MERGEFORMAT ">
      <w:r w:rsidR="009306DE">
        <w:t>CCPR/C/UZB/Q/5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68"/>
    <w:rsid w:val="00024142"/>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A5C68"/>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06DE"/>
    <w:rsid w:val="00931A71"/>
    <w:rsid w:val="00951972"/>
    <w:rsid w:val="009608F3"/>
    <w:rsid w:val="009918E2"/>
    <w:rsid w:val="009A24AC"/>
    <w:rsid w:val="009D21FD"/>
    <w:rsid w:val="009E6A60"/>
    <w:rsid w:val="00A14DA8"/>
    <w:rsid w:val="00A312BC"/>
    <w:rsid w:val="00A34D07"/>
    <w:rsid w:val="00A37556"/>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47AAD"/>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9812B7"/>
  <w15:docId w15:val="{512EC980-B9C5-4119-9B0E-738E9113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callout,Footnote Refernece,Footnote Reference Number,Fußnotenzeichen_Raxen,BVI fnr,Fago Fußnotenzeichen,Footnotes refss,Style 10,ftref,16 Point,Superscript 6 Point,Footnote number,Endnote Text1,Ref,de nota al pie,16 Poin"/>
    <w:basedOn w:val="a0"/>
    <w:link w:val="4GCharChar"/>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n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a"/>
    <w:uiPriority w:val="99"/>
    <w:rsid w:val="00A37556"/>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2971</Words>
  <Characters>20568</Characters>
  <Application>Microsoft Office Word</Application>
  <DocSecurity>0</DocSecurity>
  <Lines>2285</Lines>
  <Paragraphs>603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CCPR/C/UZB/Q/5</vt:lpstr>
      <vt:lpstr>A/</vt:lpstr>
      <vt:lpstr>A/</vt:lpstr>
    </vt:vector>
  </TitlesOfParts>
  <Company>DCM</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CCPR/C/UZB/Q/5</dc:title>
  <dc:subject/>
  <dc:creator>Marina KOROTKOVA</dc:creator>
  <cp:keywords/>
  <cp:lastModifiedBy>Marina Korotkova</cp:lastModifiedBy>
  <cp:revision>3</cp:revision>
  <cp:lastPrinted>2019-09-20T09:33:00Z</cp:lastPrinted>
  <dcterms:created xsi:type="dcterms:W3CDTF">2019-09-20T09:33:00Z</dcterms:created>
  <dcterms:modified xsi:type="dcterms:W3CDTF">2019-09-20T09:34:00Z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