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254"/>
        <w:gridCol w:w="4111"/>
      </w:tblGrid>
      <w:tr w:rsidR="006B3E27" w:rsidRPr="00ED7442" w:rsidTr="00043E01">
        <w:trPr>
          <w:trHeight w:hRule="exact" w:val="851"/>
        </w:trPr>
        <w:tc>
          <w:tcPr>
            <w:tcW w:w="1274" w:type="dxa"/>
            <w:tcBorders>
              <w:bottom w:val="single" w:sz="4" w:space="0" w:color="auto"/>
            </w:tcBorders>
          </w:tcPr>
          <w:p w:rsidR="006B3E27" w:rsidRPr="003E159A" w:rsidRDefault="006B3E27" w:rsidP="003E159A">
            <w:pPr>
              <w:bidi w:val="0"/>
              <w:jc w:val="right"/>
              <w:rPr>
                <w:szCs w:val="20"/>
              </w:rPr>
            </w:pPr>
            <w:bookmarkStart w:id="0" w:name="_GoBack"/>
            <w:bookmarkEnd w:id="0"/>
          </w:p>
        </w:tc>
        <w:tc>
          <w:tcPr>
            <w:tcW w:w="4254" w:type="dxa"/>
            <w:tcBorders>
              <w:bottom w:val="single" w:sz="4" w:space="0" w:color="auto"/>
            </w:tcBorders>
            <w:vAlign w:val="bottom"/>
          </w:tcPr>
          <w:p w:rsidR="006B3E27" w:rsidRPr="00517BC9" w:rsidRDefault="006B3E27" w:rsidP="00E70E04">
            <w:pPr>
              <w:spacing w:after="80" w:line="480" w:lineRule="exact"/>
              <w:jc w:val="left"/>
              <w:rPr>
                <w:sz w:val="40"/>
                <w:szCs w:val="40"/>
                <w:rtl/>
              </w:rPr>
            </w:pPr>
            <w:r w:rsidRPr="00517BC9">
              <w:rPr>
                <w:rFonts w:hint="cs"/>
                <w:sz w:val="40"/>
                <w:szCs w:val="40"/>
                <w:rtl/>
              </w:rPr>
              <w:t>الأمم المتحدة</w:t>
            </w:r>
          </w:p>
        </w:tc>
        <w:tc>
          <w:tcPr>
            <w:tcW w:w="4111" w:type="dxa"/>
            <w:tcBorders>
              <w:bottom w:val="single" w:sz="4" w:space="0" w:color="auto"/>
            </w:tcBorders>
            <w:vAlign w:val="bottom"/>
          </w:tcPr>
          <w:p w:rsidR="006B3E27" w:rsidRPr="003E159A" w:rsidRDefault="008E7EB0" w:rsidP="008D3FDA">
            <w:pPr>
              <w:bidi w:val="0"/>
              <w:spacing w:after="20"/>
              <w:jc w:val="left"/>
              <w:rPr>
                <w:szCs w:val="20"/>
              </w:rPr>
            </w:pPr>
            <w:r w:rsidRPr="008E7EB0">
              <w:rPr>
                <w:sz w:val="40"/>
                <w:szCs w:val="20"/>
              </w:rPr>
              <w:t>C</w:t>
            </w:r>
            <w:r w:rsidRPr="00F80224">
              <w:rPr>
                <w:sz w:val="40"/>
                <w:szCs w:val="40"/>
              </w:rPr>
              <w:t>RPD</w:t>
            </w:r>
            <w:r>
              <w:rPr>
                <w:szCs w:val="20"/>
              </w:rPr>
              <w:t>/C/15/D/13/2013</w:t>
            </w:r>
          </w:p>
        </w:tc>
      </w:tr>
      <w:tr w:rsidR="006B3E27" w:rsidRPr="00ED7442" w:rsidTr="00043E01">
        <w:trPr>
          <w:trHeight w:hRule="exact" w:val="2835"/>
        </w:trPr>
        <w:tc>
          <w:tcPr>
            <w:tcW w:w="1274" w:type="dxa"/>
            <w:tcBorders>
              <w:top w:val="single" w:sz="4" w:space="0" w:color="auto"/>
              <w:bottom w:val="single" w:sz="12" w:space="0" w:color="auto"/>
            </w:tcBorders>
          </w:tcPr>
          <w:p w:rsidR="006B3E27" w:rsidRPr="00ED7442" w:rsidRDefault="0059622A" w:rsidP="00B477A4">
            <w:pPr>
              <w:jc w:val="center"/>
              <w:rPr>
                <w:sz w:val="56"/>
                <w:szCs w:val="56"/>
                <w:rtl/>
              </w:rPr>
            </w:pPr>
            <w:r w:rsidRPr="00ED7442">
              <w:rPr>
                <w:noProof/>
                <w:sz w:val="56"/>
                <w:szCs w:val="56"/>
              </w:rPr>
              <w:drawing>
                <wp:inline distT="0" distB="0" distL="0" distR="0" wp14:anchorId="739686C5" wp14:editId="70BD3950">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4" w:type="dxa"/>
            <w:tcBorders>
              <w:top w:val="single" w:sz="4" w:space="0" w:color="auto"/>
              <w:bottom w:val="single" w:sz="12" w:space="0" w:color="auto"/>
            </w:tcBorders>
          </w:tcPr>
          <w:p w:rsidR="006B3E27" w:rsidRPr="00687200" w:rsidRDefault="00043E01" w:rsidP="008930DB">
            <w:pPr>
              <w:spacing w:before="120" w:after="40" w:line="640" w:lineRule="exact"/>
              <w:jc w:val="left"/>
              <w:rPr>
                <w:b/>
                <w:bCs/>
                <w:sz w:val="64"/>
                <w:szCs w:val="64"/>
              </w:rPr>
            </w:pPr>
            <w:r w:rsidRPr="00043E01">
              <w:rPr>
                <w:b/>
                <w:bCs/>
                <w:sz w:val="64"/>
                <w:szCs w:val="64"/>
                <w:rtl/>
              </w:rPr>
              <w:t>اتفاقية حقوق الأشخاص ذوي الإعاقة</w:t>
            </w:r>
          </w:p>
        </w:tc>
        <w:tc>
          <w:tcPr>
            <w:tcW w:w="4111" w:type="dxa"/>
            <w:tcBorders>
              <w:top w:val="single" w:sz="4" w:space="0" w:color="auto"/>
              <w:bottom w:val="single" w:sz="12" w:space="0" w:color="auto"/>
            </w:tcBorders>
          </w:tcPr>
          <w:p w:rsidR="006B3E27" w:rsidRDefault="008D3FDA" w:rsidP="008D3FDA">
            <w:pPr>
              <w:bidi w:val="0"/>
              <w:spacing w:before="240"/>
              <w:jc w:val="left"/>
              <w:rPr>
                <w:szCs w:val="20"/>
              </w:rPr>
            </w:pPr>
            <w:r>
              <w:rPr>
                <w:szCs w:val="20"/>
              </w:rPr>
              <w:t>Distr.: General</w:t>
            </w:r>
          </w:p>
          <w:p w:rsidR="008D3FDA" w:rsidRDefault="008D3FDA" w:rsidP="008D3FDA">
            <w:pPr>
              <w:bidi w:val="0"/>
              <w:jc w:val="left"/>
              <w:rPr>
                <w:szCs w:val="20"/>
              </w:rPr>
            </w:pPr>
            <w:r>
              <w:rPr>
                <w:szCs w:val="20"/>
              </w:rPr>
              <w:t>30 May 2016</w:t>
            </w:r>
          </w:p>
          <w:p w:rsidR="008D3FDA" w:rsidRDefault="008D3FDA" w:rsidP="008D3FDA">
            <w:pPr>
              <w:bidi w:val="0"/>
              <w:jc w:val="left"/>
              <w:rPr>
                <w:szCs w:val="20"/>
              </w:rPr>
            </w:pPr>
            <w:r>
              <w:rPr>
                <w:szCs w:val="20"/>
              </w:rPr>
              <w:t>Arabic</w:t>
            </w:r>
          </w:p>
          <w:p w:rsidR="008D3FDA" w:rsidRPr="003E159A" w:rsidRDefault="008D3FDA" w:rsidP="008D3FDA">
            <w:pPr>
              <w:bidi w:val="0"/>
              <w:jc w:val="left"/>
              <w:rPr>
                <w:szCs w:val="20"/>
              </w:rPr>
            </w:pPr>
            <w:r>
              <w:rPr>
                <w:szCs w:val="20"/>
              </w:rPr>
              <w:t>Original: English</w:t>
            </w:r>
          </w:p>
        </w:tc>
      </w:tr>
    </w:tbl>
    <w:p w:rsidR="008D3FDA" w:rsidRPr="008D3FDA" w:rsidRDefault="008D3FDA" w:rsidP="008D3FDA">
      <w:pPr>
        <w:spacing w:before="120" w:line="380" w:lineRule="exact"/>
        <w:jc w:val="both"/>
        <w:textDirection w:val="tbRlV"/>
        <w:rPr>
          <w:rFonts w:ascii="Traditional Arabic" w:hAnsi="Traditional Arabic"/>
          <w:b/>
          <w:bCs/>
          <w:sz w:val="36"/>
          <w:szCs w:val="36"/>
          <w:rtl/>
          <w:lang w:eastAsia="zh-TW"/>
        </w:rPr>
      </w:pPr>
      <w:r w:rsidRPr="008D3FDA">
        <w:rPr>
          <w:rFonts w:ascii="Traditional Arabic" w:hAnsi="Traditional Arabic"/>
          <w:b/>
          <w:bCs/>
          <w:sz w:val="36"/>
          <w:szCs w:val="36"/>
          <w:rtl/>
          <w:lang w:eastAsia="zh-TW"/>
        </w:rPr>
        <w:t>اللجنة المعنية بحقوق الأشخاص ذوي الإعاقة</w:t>
      </w:r>
      <w:r w:rsidRPr="008D3FDA">
        <w:rPr>
          <w:rFonts w:cs="Times New Roman" w:hint="cs"/>
          <w:b/>
          <w:bCs/>
          <w:sz w:val="36"/>
          <w:szCs w:val="36"/>
          <w:rtl/>
          <w:lang w:eastAsia="zh-TW"/>
        </w:rPr>
        <w:t>‬</w:t>
      </w:r>
      <w:r w:rsidRPr="008D3FDA">
        <w:rPr>
          <w:rFonts w:cs="Times New Roman" w:hint="cs"/>
          <w:b/>
          <w:bCs/>
          <w:sz w:val="36"/>
          <w:szCs w:val="36"/>
          <w:rtl/>
          <w:lang w:eastAsia="zh-TW"/>
        </w:rPr>
        <w:t>‬</w:t>
      </w:r>
      <w:r w:rsidRPr="008D3FDA">
        <w:rPr>
          <w:rFonts w:cs="Times New Roman" w:hint="cs"/>
          <w:b/>
          <w:bCs/>
          <w:sz w:val="36"/>
          <w:szCs w:val="36"/>
          <w:rtl/>
          <w:lang w:eastAsia="zh-TW"/>
        </w:rPr>
        <w:t>‬</w:t>
      </w:r>
      <w:r w:rsidRPr="008D3FDA">
        <w:rPr>
          <w:rFonts w:cs="Times New Roman" w:hint="cs"/>
          <w:b/>
          <w:bCs/>
          <w:sz w:val="36"/>
          <w:szCs w:val="36"/>
          <w:rtl/>
          <w:lang w:eastAsia="zh-TW"/>
        </w:rPr>
        <w:t>‬</w:t>
      </w:r>
      <w:r w:rsidRPr="008D3FDA">
        <w:rPr>
          <w:rFonts w:cs="Times New Roman" w:hint="cs"/>
          <w:b/>
          <w:bCs/>
          <w:sz w:val="36"/>
          <w:szCs w:val="36"/>
          <w:rtl/>
          <w:lang w:eastAsia="zh-TW"/>
        </w:rPr>
        <w:t>‬</w:t>
      </w:r>
      <w:r w:rsidRPr="008D3FDA">
        <w:rPr>
          <w:rFonts w:cs="Times New Roman" w:hint="cs"/>
          <w:b/>
          <w:bCs/>
          <w:sz w:val="36"/>
          <w:szCs w:val="36"/>
          <w:rtl/>
          <w:lang w:eastAsia="zh-TW"/>
        </w:rPr>
        <w:t>‬</w:t>
      </w:r>
      <w:r w:rsidRPr="008D3FDA">
        <w:rPr>
          <w:rFonts w:cs="Times New Roman" w:hint="cs"/>
          <w:b/>
          <w:bCs/>
          <w:sz w:val="36"/>
          <w:szCs w:val="36"/>
          <w:rtl/>
          <w:lang w:eastAsia="zh-TW"/>
        </w:rPr>
        <w:t>‬</w:t>
      </w:r>
      <w:r w:rsidRPr="008D3FDA">
        <w:rPr>
          <w:rFonts w:cs="Times New Roman" w:hint="cs"/>
          <w:b/>
          <w:bCs/>
          <w:sz w:val="36"/>
          <w:szCs w:val="36"/>
          <w:rtl/>
          <w:lang w:eastAsia="zh-TW"/>
        </w:rPr>
        <w:t>‬</w:t>
      </w:r>
      <w:r w:rsidRPr="008D3FDA">
        <w:rPr>
          <w:rFonts w:cs="Times New Roman"/>
          <w:b/>
          <w:bCs/>
          <w:sz w:val="36"/>
          <w:szCs w:val="36"/>
        </w:rPr>
        <w:t>‬</w:t>
      </w:r>
      <w:r w:rsidRPr="008D3FDA">
        <w:rPr>
          <w:rFonts w:cs="Times New Roman"/>
          <w:sz w:val="36"/>
          <w:szCs w:val="36"/>
        </w:rPr>
        <w:t>‬</w:t>
      </w:r>
    </w:p>
    <w:p w:rsidR="008D3FDA" w:rsidRPr="003C36EA" w:rsidRDefault="007A4F0B" w:rsidP="007A4F0B">
      <w:pPr>
        <w:pStyle w:val="HChGA"/>
        <w:rPr>
          <w:rtl/>
          <w:lang w:eastAsia="zh-TW"/>
        </w:rPr>
      </w:pPr>
      <w:r w:rsidRPr="007A4F0B">
        <w:rPr>
          <w:rtl/>
          <w:lang w:eastAsia="zh-TW"/>
        </w:rPr>
        <w:tab/>
      </w:r>
      <w:r w:rsidRPr="007A4F0B">
        <w:rPr>
          <w:rtl/>
          <w:lang w:eastAsia="zh-TW"/>
        </w:rPr>
        <w:tab/>
        <w:t>الآراء التي اعتمدتها اللجنة بموجب المادة 5 من البروتوكول الاختياري، بشأن البلاغ رقم 13/2013</w:t>
      </w:r>
      <w:r w:rsidR="00B95CEA" w:rsidRPr="00B95CEA">
        <w:rPr>
          <w:rStyle w:val="FootnoteReference"/>
          <w:b/>
          <w:bCs w:val="0"/>
          <w:sz w:val="30"/>
          <w:szCs w:val="30"/>
          <w:vertAlign w:val="baseline"/>
          <w:rtl/>
          <w:lang w:eastAsia="zh-TW"/>
        </w:rPr>
        <w:footnoteReference w:customMarkFollows="1" w:id="1"/>
        <w:t>*</w:t>
      </w:r>
      <w:r w:rsidR="00F80224">
        <w:rPr>
          <w:rFonts w:hint="cs"/>
          <w:rtl/>
          <w:lang w:eastAsia="zh-TW"/>
        </w:rPr>
        <w:t xml:space="preserve"> </w:t>
      </w:r>
      <w:r w:rsidR="00B95CEA" w:rsidRPr="00B95CEA">
        <w:rPr>
          <w:rStyle w:val="FootnoteReference"/>
          <w:b/>
          <w:bCs w:val="0"/>
          <w:sz w:val="30"/>
          <w:szCs w:val="30"/>
          <w:vertAlign w:val="baseline"/>
          <w:rtl/>
          <w:lang w:eastAsia="zh-TW"/>
        </w:rPr>
        <w:footnoteReference w:customMarkFollows="1" w:id="2"/>
        <w:t>**</w:t>
      </w:r>
    </w:p>
    <w:p w:rsidR="008D3FDA" w:rsidRPr="008D3FDA" w:rsidRDefault="008D3FDA" w:rsidP="00E30533">
      <w:pPr>
        <w:pStyle w:val="SingleTxtGA"/>
        <w:tabs>
          <w:tab w:val="clear" w:pos="1928"/>
          <w:tab w:val="clear" w:pos="2608"/>
          <w:tab w:val="clear" w:pos="3289"/>
          <w:tab w:val="clear" w:pos="3969"/>
          <w:tab w:val="clear" w:pos="4649"/>
          <w:tab w:val="left" w:pos="4394"/>
        </w:tabs>
        <w:ind w:left="4394" w:hanging="2466"/>
        <w:rPr>
          <w:rtl/>
          <w:lang w:eastAsia="zh-TW"/>
        </w:rPr>
      </w:pPr>
      <w:r w:rsidRPr="00E30533">
        <w:rPr>
          <w:i/>
          <w:iCs/>
          <w:rtl/>
          <w:lang w:eastAsia="zh-TW"/>
        </w:rPr>
        <w:t>بلاغ مقدم من:</w:t>
      </w:r>
      <w:r>
        <w:rPr>
          <w:rFonts w:hint="cs"/>
          <w:rtl/>
          <w:lang w:eastAsia="zh-TW"/>
        </w:rPr>
        <w:tab/>
      </w:r>
      <w:r w:rsidRPr="008D3FDA">
        <w:rPr>
          <w:rtl/>
          <w:lang w:eastAsia="zh-TW"/>
        </w:rPr>
        <w:t>مايكل لوكري (يمثله المركز الأسترالي لقانون الأشخاص ذوي الإعاقة)</w:t>
      </w:r>
    </w:p>
    <w:p w:rsidR="008D3FDA" w:rsidRPr="008D3FDA" w:rsidRDefault="008D3FDA" w:rsidP="00E30533">
      <w:pPr>
        <w:pStyle w:val="SingleTxtGA"/>
        <w:tabs>
          <w:tab w:val="clear" w:pos="1928"/>
          <w:tab w:val="clear" w:pos="2608"/>
          <w:tab w:val="clear" w:pos="3289"/>
          <w:tab w:val="clear" w:pos="3969"/>
          <w:tab w:val="clear" w:pos="4649"/>
          <w:tab w:val="left" w:pos="4394"/>
        </w:tabs>
        <w:ind w:left="4394" w:hanging="2466"/>
        <w:rPr>
          <w:rtl/>
          <w:lang w:eastAsia="zh-TW"/>
        </w:rPr>
      </w:pPr>
      <w:r w:rsidRPr="00E30533">
        <w:rPr>
          <w:i/>
          <w:iCs/>
          <w:rtl/>
          <w:lang w:eastAsia="zh-TW"/>
        </w:rPr>
        <w:t>الشخص المدعى أنه ضحية:</w:t>
      </w:r>
      <w:r>
        <w:rPr>
          <w:rFonts w:cs="Times New Roman"/>
          <w:rtl/>
          <w:lang w:eastAsia="zh-TW"/>
        </w:rPr>
        <w:tab/>
      </w:r>
      <w:r w:rsidRPr="008D3FDA">
        <w:rPr>
          <w:rFonts w:hint="cs"/>
          <w:rtl/>
          <w:lang w:eastAsia="zh-TW"/>
        </w:rPr>
        <w:t>صاحب</w:t>
      </w:r>
      <w:r w:rsidRPr="008D3FDA">
        <w:rPr>
          <w:rtl/>
          <w:lang w:eastAsia="zh-TW"/>
        </w:rPr>
        <w:t xml:space="preserve"> </w:t>
      </w:r>
      <w:r w:rsidRPr="008D3FDA">
        <w:rPr>
          <w:rFonts w:hint="cs"/>
          <w:rtl/>
          <w:lang w:eastAsia="zh-TW"/>
        </w:rPr>
        <w:t>البلاغ</w:t>
      </w:r>
      <w:r w:rsidRPr="008D3FDA">
        <w:rPr>
          <w:rtl/>
          <w:lang w:eastAsia="zh-TW"/>
        </w:rPr>
        <w:t xml:space="preserve"> </w:t>
      </w:r>
      <w:r w:rsidRPr="008D3FDA">
        <w:rPr>
          <w:rFonts w:cs="Times New Roman" w:hint="cs"/>
          <w:rtl/>
          <w:lang w:eastAsia="zh-TW"/>
        </w:rPr>
        <w:t>‬</w:t>
      </w:r>
      <w:r w:rsidRPr="008D3FDA">
        <w:t>‬</w:t>
      </w:r>
      <w:r w:rsidRPr="008D3FDA">
        <w:t>‬</w:t>
      </w:r>
      <w:r w:rsidRPr="008D3FDA">
        <w:t>‬</w:t>
      </w:r>
      <w:r w:rsidRPr="008D3FDA">
        <w:t>‬</w:t>
      </w:r>
    </w:p>
    <w:p w:rsidR="008D3FDA" w:rsidRPr="008D3FDA" w:rsidRDefault="008D3FDA" w:rsidP="00E30533">
      <w:pPr>
        <w:pStyle w:val="SingleTxtGA"/>
        <w:tabs>
          <w:tab w:val="clear" w:pos="1928"/>
          <w:tab w:val="clear" w:pos="2608"/>
          <w:tab w:val="clear" w:pos="3289"/>
          <w:tab w:val="clear" w:pos="3969"/>
          <w:tab w:val="clear" w:pos="4649"/>
          <w:tab w:val="left" w:pos="4394"/>
        </w:tabs>
        <w:ind w:left="4394" w:hanging="2466"/>
        <w:rPr>
          <w:rtl/>
          <w:lang w:eastAsia="zh-TW"/>
        </w:rPr>
      </w:pPr>
      <w:r w:rsidRPr="00E30533">
        <w:rPr>
          <w:i/>
          <w:iCs/>
          <w:rtl/>
          <w:lang w:eastAsia="zh-TW"/>
        </w:rPr>
        <w:t>الدولة الطرف:</w:t>
      </w:r>
      <w:r>
        <w:rPr>
          <w:rFonts w:hint="cs"/>
          <w:rtl/>
          <w:lang w:eastAsia="zh-TW"/>
        </w:rPr>
        <w:tab/>
      </w:r>
      <w:r w:rsidRPr="008D3FDA">
        <w:rPr>
          <w:rtl/>
          <w:lang w:eastAsia="zh-TW"/>
        </w:rPr>
        <w:t>أستراليا</w:t>
      </w:r>
    </w:p>
    <w:p w:rsidR="008D3FDA" w:rsidRPr="008D3FDA" w:rsidRDefault="008D3FDA" w:rsidP="00E30533">
      <w:pPr>
        <w:pStyle w:val="SingleTxtGA"/>
        <w:tabs>
          <w:tab w:val="clear" w:pos="1928"/>
          <w:tab w:val="clear" w:pos="2608"/>
          <w:tab w:val="clear" w:pos="3289"/>
          <w:tab w:val="clear" w:pos="3969"/>
          <w:tab w:val="clear" w:pos="4649"/>
          <w:tab w:val="left" w:pos="4394"/>
        </w:tabs>
        <w:ind w:left="4394" w:hanging="2466"/>
        <w:rPr>
          <w:rtl/>
          <w:lang w:eastAsia="zh-TW"/>
        </w:rPr>
      </w:pPr>
      <w:r w:rsidRPr="00E30533">
        <w:rPr>
          <w:i/>
          <w:iCs/>
          <w:rtl/>
          <w:lang w:eastAsia="zh-TW"/>
        </w:rPr>
        <w:t>تاريخ تقديم البلاغ:</w:t>
      </w:r>
      <w:r>
        <w:rPr>
          <w:rFonts w:hint="cs"/>
          <w:rtl/>
          <w:lang w:eastAsia="zh-TW"/>
        </w:rPr>
        <w:tab/>
      </w:r>
      <w:r w:rsidR="00B95CEA">
        <w:rPr>
          <w:rtl/>
          <w:lang w:eastAsia="zh-TW"/>
        </w:rPr>
        <w:t>٨ نيسان/أبريل ٢٠١٣</w:t>
      </w:r>
      <w:r w:rsidRPr="008D3FDA">
        <w:rPr>
          <w:rtl/>
          <w:lang w:eastAsia="zh-TW"/>
        </w:rPr>
        <w:t xml:space="preserve"> (</w:t>
      </w:r>
      <w:r w:rsidRPr="008D3FDA">
        <w:rPr>
          <w:rFonts w:hint="cs"/>
          <w:rtl/>
          <w:lang w:eastAsia="zh-TW"/>
        </w:rPr>
        <w:t>تاريخ</w:t>
      </w:r>
      <w:r w:rsidRPr="008D3FDA">
        <w:rPr>
          <w:rtl/>
          <w:lang w:eastAsia="zh-TW"/>
        </w:rPr>
        <w:t xml:space="preserve"> </w:t>
      </w:r>
      <w:r w:rsidRPr="008D3FDA">
        <w:rPr>
          <w:rFonts w:hint="cs"/>
          <w:rtl/>
          <w:lang w:eastAsia="zh-TW"/>
        </w:rPr>
        <w:t>الرسالة</w:t>
      </w:r>
      <w:r w:rsidRPr="008D3FDA">
        <w:rPr>
          <w:rtl/>
          <w:lang w:eastAsia="zh-TW"/>
        </w:rPr>
        <w:t xml:space="preserve"> </w:t>
      </w:r>
      <w:r w:rsidRPr="008D3FDA">
        <w:rPr>
          <w:rFonts w:hint="cs"/>
          <w:rtl/>
          <w:lang w:eastAsia="zh-TW"/>
        </w:rPr>
        <w:t>الأولى</w:t>
      </w:r>
      <w:r w:rsidRPr="008D3FDA">
        <w:rPr>
          <w:rtl/>
          <w:lang w:eastAsia="zh-TW"/>
        </w:rPr>
        <w:t xml:space="preserve">) </w:t>
      </w:r>
      <w:r w:rsidRPr="008D3FDA">
        <w:rPr>
          <w:rFonts w:cs="Times New Roman" w:hint="cs"/>
          <w:rtl/>
          <w:lang w:eastAsia="zh-TW"/>
        </w:rPr>
        <w:t>‬</w:t>
      </w:r>
      <w:r w:rsidRPr="008D3FDA">
        <w:rPr>
          <w:rFonts w:cs="Times New Roman" w:hint="cs"/>
          <w:rtl/>
          <w:lang w:eastAsia="zh-TW"/>
        </w:rPr>
        <w:t>‬</w:t>
      </w:r>
      <w:r w:rsidRPr="008D3FDA">
        <w:rPr>
          <w:rFonts w:cs="Times New Roman" w:hint="cs"/>
          <w:rtl/>
          <w:lang w:eastAsia="zh-TW"/>
        </w:rPr>
        <w:t>‬</w:t>
      </w:r>
    </w:p>
    <w:p w:rsidR="00492FF6" w:rsidRDefault="008D3FDA" w:rsidP="00E30533">
      <w:pPr>
        <w:pStyle w:val="SingleTxtGA"/>
        <w:tabs>
          <w:tab w:val="clear" w:pos="1928"/>
          <w:tab w:val="clear" w:pos="2608"/>
          <w:tab w:val="clear" w:pos="3289"/>
          <w:tab w:val="clear" w:pos="3969"/>
          <w:tab w:val="clear" w:pos="4649"/>
          <w:tab w:val="left" w:pos="4394"/>
        </w:tabs>
        <w:ind w:left="4394" w:hanging="2466"/>
        <w:rPr>
          <w:rtl/>
          <w:lang w:eastAsia="zh-TW"/>
        </w:rPr>
      </w:pPr>
      <w:r w:rsidRPr="00E30533">
        <w:rPr>
          <w:i/>
          <w:iCs/>
          <w:rtl/>
          <w:lang w:eastAsia="zh-TW"/>
        </w:rPr>
        <w:t>الوثائق المرجعية:</w:t>
      </w:r>
      <w:r>
        <w:rPr>
          <w:rFonts w:hint="cs"/>
          <w:rtl/>
          <w:lang w:eastAsia="zh-TW"/>
        </w:rPr>
        <w:tab/>
      </w:r>
      <w:r w:rsidRPr="008D3FDA">
        <w:rPr>
          <w:rFonts w:hint="cs"/>
          <w:rtl/>
          <w:lang w:eastAsia="zh-TW"/>
        </w:rPr>
        <w:t>القرار</w:t>
      </w:r>
      <w:r w:rsidRPr="008D3FDA">
        <w:rPr>
          <w:rtl/>
          <w:lang w:eastAsia="zh-TW"/>
        </w:rPr>
        <w:t xml:space="preserve"> </w:t>
      </w:r>
      <w:r w:rsidRPr="008D3FDA">
        <w:rPr>
          <w:rFonts w:hint="cs"/>
          <w:rtl/>
          <w:lang w:eastAsia="zh-TW"/>
        </w:rPr>
        <w:t>المتخذ</w:t>
      </w:r>
      <w:r w:rsidRPr="008D3FDA">
        <w:rPr>
          <w:rtl/>
          <w:lang w:eastAsia="zh-TW"/>
        </w:rPr>
        <w:t xml:space="preserve"> </w:t>
      </w:r>
      <w:r w:rsidRPr="008D3FDA">
        <w:rPr>
          <w:rFonts w:hint="cs"/>
          <w:rtl/>
          <w:lang w:eastAsia="zh-TW"/>
        </w:rPr>
        <w:t>بموجب</w:t>
      </w:r>
      <w:r w:rsidRPr="008D3FDA">
        <w:rPr>
          <w:rtl/>
          <w:lang w:eastAsia="zh-TW"/>
        </w:rPr>
        <w:t xml:space="preserve"> </w:t>
      </w:r>
      <w:r w:rsidRPr="008D3FDA">
        <w:rPr>
          <w:rFonts w:hint="cs"/>
          <w:rtl/>
          <w:lang w:eastAsia="zh-TW"/>
        </w:rPr>
        <w:t>المادة</w:t>
      </w:r>
      <w:r w:rsidRPr="008D3FDA">
        <w:rPr>
          <w:rtl/>
          <w:lang w:eastAsia="zh-TW"/>
        </w:rPr>
        <w:t xml:space="preserve"> 70 </w:t>
      </w:r>
      <w:r w:rsidRPr="008D3FDA">
        <w:rPr>
          <w:rFonts w:hint="cs"/>
          <w:rtl/>
          <w:lang w:eastAsia="zh-TW"/>
        </w:rPr>
        <w:t>من</w:t>
      </w:r>
      <w:r w:rsidRPr="008D3FDA">
        <w:rPr>
          <w:rtl/>
          <w:lang w:eastAsia="zh-TW"/>
        </w:rPr>
        <w:t xml:space="preserve"> </w:t>
      </w:r>
      <w:r w:rsidRPr="008D3FDA">
        <w:rPr>
          <w:rFonts w:hint="cs"/>
          <w:rtl/>
          <w:lang w:eastAsia="zh-TW"/>
        </w:rPr>
        <w:t>النظام</w:t>
      </w:r>
      <w:r w:rsidRPr="008D3FDA">
        <w:rPr>
          <w:rtl/>
          <w:lang w:eastAsia="zh-TW"/>
        </w:rPr>
        <w:t xml:space="preserve"> </w:t>
      </w:r>
      <w:r w:rsidRPr="008D3FDA">
        <w:rPr>
          <w:rFonts w:hint="cs"/>
          <w:rtl/>
          <w:lang w:eastAsia="zh-TW"/>
        </w:rPr>
        <w:t>الداخلي</w:t>
      </w:r>
      <w:r w:rsidRPr="008D3FDA">
        <w:rPr>
          <w:rtl/>
          <w:lang w:eastAsia="zh-TW"/>
        </w:rPr>
        <w:t xml:space="preserve"> </w:t>
      </w:r>
      <w:r w:rsidRPr="008D3FDA">
        <w:rPr>
          <w:rFonts w:hint="cs"/>
          <w:rtl/>
          <w:lang w:eastAsia="zh-TW"/>
        </w:rPr>
        <w:t>للجنة،</w:t>
      </w:r>
      <w:r w:rsidRPr="008D3FDA">
        <w:rPr>
          <w:rtl/>
          <w:lang w:eastAsia="zh-TW"/>
        </w:rPr>
        <w:t xml:space="preserve"> </w:t>
      </w:r>
      <w:r w:rsidRPr="008D3FDA">
        <w:rPr>
          <w:rFonts w:hint="cs"/>
          <w:rtl/>
          <w:lang w:eastAsia="zh-TW"/>
        </w:rPr>
        <w:t>والمحال</w:t>
      </w:r>
      <w:r w:rsidRPr="008D3FDA">
        <w:rPr>
          <w:rtl/>
          <w:lang w:eastAsia="zh-TW"/>
        </w:rPr>
        <w:t xml:space="preserve"> </w:t>
      </w:r>
      <w:r w:rsidRPr="008D3FDA">
        <w:rPr>
          <w:rFonts w:hint="cs"/>
          <w:rtl/>
          <w:lang w:eastAsia="zh-TW"/>
        </w:rPr>
        <w:t>إلى</w:t>
      </w:r>
      <w:r w:rsidRPr="008D3FDA">
        <w:rPr>
          <w:rtl/>
          <w:lang w:eastAsia="zh-TW"/>
        </w:rPr>
        <w:t xml:space="preserve"> </w:t>
      </w:r>
      <w:r w:rsidRPr="008D3FDA">
        <w:rPr>
          <w:rFonts w:hint="cs"/>
          <w:rtl/>
          <w:lang w:eastAsia="zh-TW"/>
        </w:rPr>
        <w:t>الدولة</w:t>
      </w:r>
      <w:r w:rsidRPr="008D3FDA">
        <w:rPr>
          <w:rtl/>
          <w:lang w:eastAsia="zh-TW"/>
        </w:rPr>
        <w:t xml:space="preserve"> </w:t>
      </w:r>
      <w:r w:rsidRPr="008D3FDA">
        <w:rPr>
          <w:rFonts w:hint="cs"/>
          <w:rtl/>
          <w:lang w:eastAsia="zh-TW"/>
        </w:rPr>
        <w:t>الطرف</w:t>
      </w:r>
      <w:r w:rsidRPr="008D3FDA">
        <w:rPr>
          <w:rtl/>
          <w:lang w:eastAsia="zh-TW"/>
        </w:rPr>
        <w:t xml:space="preserve"> </w:t>
      </w:r>
      <w:r w:rsidRPr="008D3FDA">
        <w:rPr>
          <w:rFonts w:hint="cs"/>
          <w:rtl/>
          <w:lang w:eastAsia="zh-TW"/>
        </w:rPr>
        <w:t>في</w:t>
      </w:r>
      <w:r w:rsidRPr="008D3FDA">
        <w:rPr>
          <w:rtl/>
          <w:lang w:eastAsia="zh-TW"/>
        </w:rPr>
        <w:t xml:space="preserve"> 7 </w:t>
      </w:r>
      <w:r w:rsidRPr="008D3FDA">
        <w:rPr>
          <w:rFonts w:hint="cs"/>
          <w:rtl/>
          <w:lang w:eastAsia="zh-TW"/>
        </w:rPr>
        <w:t>حزيران</w:t>
      </w:r>
      <w:r w:rsidRPr="008D3FDA">
        <w:rPr>
          <w:rtl/>
          <w:lang w:eastAsia="zh-TW"/>
        </w:rPr>
        <w:t>/</w:t>
      </w:r>
      <w:r w:rsidRPr="008D3FDA">
        <w:rPr>
          <w:rFonts w:hint="cs"/>
          <w:rtl/>
          <w:lang w:eastAsia="zh-TW"/>
        </w:rPr>
        <w:t>يونيه</w:t>
      </w:r>
      <w:r w:rsidRPr="008D3FDA">
        <w:rPr>
          <w:rtl/>
          <w:lang w:eastAsia="zh-TW"/>
        </w:rPr>
        <w:t xml:space="preserve"> 2014 (</w:t>
      </w:r>
      <w:r w:rsidRPr="008D3FDA">
        <w:rPr>
          <w:rFonts w:hint="cs"/>
          <w:rtl/>
          <w:lang w:eastAsia="zh-TW"/>
        </w:rPr>
        <w:t>لم</w:t>
      </w:r>
      <w:r w:rsidRPr="008D3FDA">
        <w:rPr>
          <w:rtl/>
          <w:lang w:eastAsia="zh-TW"/>
        </w:rPr>
        <w:t xml:space="preserve"> </w:t>
      </w:r>
      <w:r w:rsidRPr="008D3FDA">
        <w:rPr>
          <w:rFonts w:hint="cs"/>
          <w:rtl/>
          <w:lang w:eastAsia="zh-TW"/>
        </w:rPr>
        <w:t>يصدر</w:t>
      </w:r>
      <w:r w:rsidRPr="008D3FDA">
        <w:rPr>
          <w:rtl/>
          <w:lang w:eastAsia="zh-TW"/>
        </w:rPr>
        <w:t xml:space="preserve"> </w:t>
      </w:r>
      <w:r w:rsidRPr="008D3FDA">
        <w:rPr>
          <w:rFonts w:hint="cs"/>
          <w:rtl/>
          <w:lang w:eastAsia="zh-TW"/>
        </w:rPr>
        <w:t>في</w:t>
      </w:r>
      <w:r w:rsidRPr="008D3FDA">
        <w:rPr>
          <w:rtl/>
          <w:lang w:eastAsia="zh-TW"/>
        </w:rPr>
        <w:t xml:space="preserve"> </w:t>
      </w:r>
      <w:r w:rsidRPr="008D3FDA">
        <w:rPr>
          <w:rFonts w:hint="cs"/>
          <w:rtl/>
          <w:lang w:eastAsia="zh-TW"/>
        </w:rPr>
        <w:t>شكل</w:t>
      </w:r>
      <w:r w:rsidRPr="008D3FDA">
        <w:rPr>
          <w:rtl/>
          <w:lang w:eastAsia="zh-TW"/>
        </w:rPr>
        <w:t xml:space="preserve"> </w:t>
      </w:r>
      <w:r w:rsidRPr="008D3FDA">
        <w:rPr>
          <w:rFonts w:hint="cs"/>
          <w:rtl/>
          <w:lang w:eastAsia="zh-TW"/>
        </w:rPr>
        <w:t>وثيقة</w:t>
      </w:r>
      <w:r w:rsidRPr="008D3FDA">
        <w:rPr>
          <w:rtl/>
          <w:lang w:eastAsia="zh-TW"/>
        </w:rPr>
        <w:t xml:space="preserve">) </w:t>
      </w:r>
    </w:p>
    <w:p w:rsidR="008D3FDA" w:rsidRPr="008D3FDA" w:rsidRDefault="008D3FDA" w:rsidP="00492FF6">
      <w:pPr>
        <w:pStyle w:val="SingleTxtGA"/>
        <w:tabs>
          <w:tab w:val="clear" w:pos="1928"/>
          <w:tab w:val="clear" w:pos="2608"/>
          <w:tab w:val="clear" w:pos="3289"/>
          <w:tab w:val="clear" w:pos="3969"/>
          <w:tab w:val="clear" w:pos="4649"/>
          <w:tab w:val="left" w:pos="4394"/>
        </w:tabs>
        <w:ind w:left="4394" w:hanging="2466"/>
        <w:rPr>
          <w:rtl/>
          <w:lang w:eastAsia="zh-TW"/>
        </w:rPr>
      </w:pPr>
      <w:r w:rsidRPr="008D3FDA">
        <w:rPr>
          <w:rFonts w:hint="cs"/>
          <w:rtl/>
          <w:lang w:eastAsia="zh-TW"/>
        </w:rPr>
        <w:t>تاريخ</w:t>
      </w:r>
      <w:r w:rsidRPr="008D3FDA">
        <w:rPr>
          <w:rtl/>
          <w:lang w:eastAsia="zh-TW"/>
        </w:rPr>
        <w:t xml:space="preserve"> </w:t>
      </w:r>
      <w:r w:rsidRPr="008D3FDA">
        <w:rPr>
          <w:rFonts w:hint="cs"/>
          <w:rtl/>
          <w:lang w:eastAsia="zh-TW"/>
        </w:rPr>
        <w:t>اعتماد</w:t>
      </w:r>
      <w:r w:rsidRPr="008D3FDA">
        <w:rPr>
          <w:rtl/>
          <w:lang w:eastAsia="zh-TW"/>
        </w:rPr>
        <w:t xml:space="preserve"> </w:t>
      </w:r>
      <w:r w:rsidRPr="008D3FDA">
        <w:rPr>
          <w:rFonts w:hint="cs"/>
          <w:rtl/>
          <w:lang w:eastAsia="zh-TW"/>
        </w:rPr>
        <w:t>هذه</w:t>
      </w:r>
      <w:r w:rsidRPr="008D3FDA">
        <w:rPr>
          <w:rtl/>
          <w:lang w:eastAsia="zh-TW"/>
        </w:rPr>
        <w:t xml:space="preserve"> </w:t>
      </w:r>
      <w:r w:rsidRPr="008D3FDA">
        <w:rPr>
          <w:rFonts w:hint="cs"/>
          <w:rtl/>
          <w:lang w:eastAsia="zh-TW"/>
        </w:rPr>
        <w:t>الآراء</w:t>
      </w:r>
      <w:r w:rsidR="00492FF6">
        <w:rPr>
          <w:rFonts w:hint="cs"/>
          <w:rtl/>
          <w:lang w:eastAsia="zh-TW"/>
        </w:rPr>
        <w:t>:</w:t>
      </w:r>
      <w:r w:rsidR="00492FF6">
        <w:rPr>
          <w:rtl/>
          <w:lang w:eastAsia="zh-TW"/>
        </w:rPr>
        <w:tab/>
      </w:r>
      <w:r w:rsidRPr="008D3FDA">
        <w:rPr>
          <w:rFonts w:hint="cs"/>
          <w:rtl/>
          <w:lang w:eastAsia="zh-TW"/>
        </w:rPr>
        <w:t>١</w:t>
      </w:r>
      <w:r w:rsidRPr="008D3FDA">
        <w:rPr>
          <w:rtl/>
          <w:lang w:eastAsia="zh-TW"/>
        </w:rPr>
        <w:t xml:space="preserve"> </w:t>
      </w:r>
      <w:r w:rsidRPr="008D3FDA">
        <w:rPr>
          <w:rFonts w:hint="cs"/>
          <w:rtl/>
          <w:lang w:eastAsia="zh-TW"/>
        </w:rPr>
        <w:t>نيسان</w:t>
      </w:r>
      <w:r w:rsidRPr="008D3FDA">
        <w:rPr>
          <w:rtl/>
          <w:lang w:eastAsia="zh-TW"/>
        </w:rPr>
        <w:t>/</w:t>
      </w:r>
      <w:r w:rsidRPr="008D3FDA">
        <w:rPr>
          <w:rFonts w:hint="cs"/>
          <w:rtl/>
          <w:lang w:eastAsia="zh-TW"/>
        </w:rPr>
        <w:t>أبريل</w:t>
      </w:r>
      <w:r w:rsidRPr="008D3FDA">
        <w:rPr>
          <w:rtl/>
          <w:lang w:eastAsia="zh-TW"/>
        </w:rPr>
        <w:t xml:space="preserve"> </w:t>
      </w:r>
      <w:r w:rsidRPr="008D3FDA">
        <w:rPr>
          <w:rFonts w:hint="cs"/>
          <w:rtl/>
          <w:lang w:eastAsia="zh-TW"/>
        </w:rPr>
        <w:t>٢٠١٦</w:t>
      </w:r>
    </w:p>
    <w:p w:rsidR="008D3FDA" w:rsidRPr="008D3FDA" w:rsidRDefault="008D3FDA" w:rsidP="00E30533">
      <w:pPr>
        <w:pStyle w:val="SingleTxtGA"/>
        <w:tabs>
          <w:tab w:val="clear" w:pos="1928"/>
          <w:tab w:val="clear" w:pos="2608"/>
          <w:tab w:val="clear" w:pos="3289"/>
          <w:tab w:val="clear" w:pos="3969"/>
          <w:tab w:val="clear" w:pos="4649"/>
          <w:tab w:val="left" w:pos="4394"/>
        </w:tabs>
        <w:ind w:left="4394" w:hanging="2466"/>
        <w:rPr>
          <w:rtl/>
          <w:lang w:eastAsia="zh-TW"/>
        </w:rPr>
      </w:pPr>
      <w:r w:rsidRPr="00E30533">
        <w:rPr>
          <w:i/>
          <w:iCs/>
          <w:rtl/>
          <w:lang w:eastAsia="zh-TW"/>
        </w:rPr>
        <w:t>الموضوع:</w:t>
      </w:r>
      <w:r>
        <w:rPr>
          <w:rFonts w:hint="cs"/>
          <w:rtl/>
          <w:lang w:eastAsia="zh-TW"/>
        </w:rPr>
        <w:tab/>
      </w:r>
      <w:r>
        <w:rPr>
          <w:rtl/>
          <w:lang w:eastAsia="zh-TW"/>
        </w:rPr>
        <w:t xml:space="preserve">مشاركة الصم في </w:t>
      </w:r>
      <w:r w:rsidRPr="008D3FDA">
        <w:rPr>
          <w:rtl/>
          <w:lang w:eastAsia="zh-TW"/>
        </w:rPr>
        <w:t>هيئة محلفين</w:t>
      </w:r>
    </w:p>
    <w:p w:rsidR="008D3FDA" w:rsidRPr="008D3FDA" w:rsidRDefault="008D3FDA" w:rsidP="00E30533">
      <w:pPr>
        <w:pStyle w:val="SingleTxtGA"/>
        <w:tabs>
          <w:tab w:val="clear" w:pos="1928"/>
          <w:tab w:val="clear" w:pos="2608"/>
          <w:tab w:val="clear" w:pos="3289"/>
          <w:tab w:val="clear" w:pos="3969"/>
          <w:tab w:val="clear" w:pos="4649"/>
          <w:tab w:val="left" w:pos="4394"/>
        </w:tabs>
        <w:ind w:left="4394" w:hanging="2466"/>
        <w:rPr>
          <w:rtl/>
          <w:lang w:eastAsia="zh-TW"/>
        </w:rPr>
      </w:pPr>
      <w:r w:rsidRPr="00E30533">
        <w:rPr>
          <w:i/>
          <w:iCs/>
          <w:rtl/>
          <w:lang w:eastAsia="zh-TW"/>
        </w:rPr>
        <w:t>المسائل الإجرائية</w:t>
      </w:r>
      <w:r w:rsidRPr="00E30533">
        <w:rPr>
          <w:rFonts w:hint="cs"/>
          <w:i/>
          <w:iCs/>
          <w:rtl/>
          <w:lang w:eastAsia="zh-TW"/>
        </w:rPr>
        <w:t>:</w:t>
      </w:r>
      <w:r w:rsidRPr="00E30533">
        <w:rPr>
          <w:rFonts w:cs="Times New Roman" w:hint="cs"/>
          <w:i/>
          <w:iCs/>
          <w:rtl/>
          <w:lang w:eastAsia="zh-TW"/>
        </w:rPr>
        <w:t>‬</w:t>
      </w:r>
      <w:r w:rsidRPr="008D3FDA">
        <w:rPr>
          <w:lang w:eastAsia="zh-TW"/>
        </w:rPr>
        <w:tab/>
      </w:r>
      <w:r w:rsidRPr="008D3FDA">
        <w:rPr>
          <w:rFonts w:hint="cs"/>
          <w:rtl/>
          <w:lang w:eastAsia="zh-TW"/>
        </w:rPr>
        <w:t>مقبولية</w:t>
      </w:r>
      <w:r w:rsidRPr="008D3FDA">
        <w:rPr>
          <w:rtl/>
          <w:lang w:eastAsia="zh-TW"/>
        </w:rPr>
        <w:t xml:space="preserve"> </w:t>
      </w:r>
      <w:r w:rsidRPr="008D3FDA">
        <w:rPr>
          <w:rFonts w:hint="cs"/>
          <w:rtl/>
          <w:lang w:eastAsia="zh-TW"/>
        </w:rPr>
        <w:t>الادعاءات</w:t>
      </w:r>
    </w:p>
    <w:p w:rsidR="008D3FDA" w:rsidRPr="008D3FDA" w:rsidRDefault="008D3FDA" w:rsidP="00B95CEA">
      <w:pPr>
        <w:pStyle w:val="SingleTxtGA"/>
        <w:keepNext/>
        <w:keepLines/>
        <w:tabs>
          <w:tab w:val="clear" w:pos="1928"/>
          <w:tab w:val="clear" w:pos="2608"/>
          <w:tab w:val="clear" w:pos="3289"/>
          <w:tab w:val="clear" w:pos="3969"/>
          <w:tab w:val="clear" w:pos="4649"/>
          <w:tab w:val="left" w:pos="4394"/>
        </w:tabs>
        <w:ind w:left="4394" w:hanging="2466"/>
        <w:rPr>
          <w:rtl/>
          <w:lang w:eastAsia="zh-TW"/>
        </w:rPr>
      </w:pPr>
      <w:r w:rsidRPr="00E30533">
        <w:rPr>
          <w:i/>
          <w:iCs/>
          <w:rtl/>
          <w:lang w:eastAsia="zh-TW"/>
        </w:rPr>
        <w:lastRenderedPageBreak/>
        <w:t>المسائل الموضوعية:</w:t>
      </w:r>
      <w:r>
        <w:rPr>
          <w:rFonts w:hint="cs"/>
          <w:rtl/>
          <w:lang w:eastAsia="zh-TW"/>
        </w:rPr>
        <w:tab/>
      </w:r>
      <w:dir w:val="rtl">
        <w:r w:rsidRPr="008D3FDA">
          <w:rPr>
            <w:rFonts w:hint="cs"/>
            <w:rtl/>
            <w:lang w:eastAsia="zh-TW"/>
          </w:rPr>
          <w:t>المساواة</w:t>
        </w:r>
        <w:r w:rsidRPr="008D3FDA">
          <w:rPr>
            <w:rtl/>
            <w:lang w:eastAsia="zh-TW"/>
          </w:rPr>
          <w:t xml:space="preserve"> </w:t>
        </w:r>
        <w:r w:rsidRPr="008D3FDA">
          <w:rPr>
            <w:rFonts w:hint="cs"/>
            <w:rtl/>
            <w:lang w:eastAsia="zh-TW"/>
          </w:rPr>
          <w:t>وعدم</w:t>
        </w:r>
        <w:r w:rsidRPr="008D3FDA">
          <w:rPr>
            <w:rtl/>
            <w:lang w:eastAsia="zh-TW"/>
          </w:rPr>
          <w:t xml:space="preserve"> </w:t>
        </w:r>
        <w:r w:rsidRPr="008D3FDA">
          <w:rPr>
            <w:rFonts w:hint="cs"/>
            <w:rtl/>
            <w:lang w:eastAsia="zh-TW"/>
          </w:rPr>
          <w:t>التمييز؛</w:t>
        </w:r>
        <w:r w:rsidRPr="008D3FDA">
          <w:rPr>
            <w:rtl/>
            <w:lang w:eastAsia="zh-TW"/>
          </w:rPr>
          <w:t xml:space="preserve"> </w:t>
        </w:r>
        <w:r w:rsidRPr="008D3FDA">
          <w:rPr>
            <w:rFonts w:hint="cs"/>
            <w:rtl/>
            <w:lang w:eastAsia="zh-TW"/>
          </w:rPr>
          <w:t>توفير</w:t>
        </w:r>
        <w:r w:rsidRPr="008D3FDA">
          <w:rPr>
            <w:rtl/>
            <w:lang w:eastAsia="zh-TW"/>
          </w:rPr>
          <w:t xml:space="preserve"> </w:t>
        </w:r>
        <w:r w:rsidRPr="008D3FDA">
          <w:rPr>
            <w:rFonts w:hint="cs"/>
            <w:rtl/>
            <w:lang w:eastAsia="zh-TW"/>
          </w:rPr>
          <w:t>الترتيبات</w:t>
        </w:r>
        <w:r w:rsidRPr="008D3FDA">
          <w:rPr>
            <w:rtl/>
            <w:lang w:eastAsia="zh-TW"/>
          </w:rPr>
          <w:t xml:space="preserve"> </w:t>
        </w:r>
        <w:proofErr w:type="spellStart"/>
        <w:r w:rsidRPr="008D3FDA">
          <w:rPr>
            <w:rFonts w:hint="cs"/>
            <w:rtl/>
            <w:lang w:eastAsia="zh-TW"/>
          </w:rPr>
          <w:t>التيسيرية</w:t>
        </w:r>
        <w:proofErr w:type="spellEnd"/>
        <w:r w:rsidRPr="008D3FDA">
          <w:rPr>
            <w:rtl/>
            <w:lang w:eastAsia="zh-TW"/>
          </w:rPr>
          <w:t xml:space="preserve"> </w:t>
        </w:r>
        <w:r w:rsidRPr="008D3FDA">
          <w:rPr>
            <w:rFonts w:hint="cs"/>
            <w:rtl/>
            <w:lang w:eastAsia="zh-TW"/>
          </w:rPr>
          <w:t>المعقولة؛</w:t>
        </w:r>
        <w:r w:rsidRPr="008D3FDA">
          <w:rPr>
            <w:rtl/>
            <w:lang w:eastAsia="zh-TW"/>
          </w:rPr>
          <w:t xml:space="preserve"> </w:t>
        </w:r>
        <w:r w:rsidRPr="008D3FDA">
          <w:rPr>
            <w:rFonts w:hint="cs"/>
            <w:rtl/>
            <w:lang w:eastAsia="zh-TW"/>
          </w:rPr>
          <w:t>الاعتراف</w:t>
        </w:r>
        <w:r w:rsidRPr="008D3FDA">
          <w:rPr>
            <w:rtl/>
            <w:lang w:eastAsia="zh-TW"/>
          </w:rPr>
          <w:t xml:space="preserve"> </w:t>
        </w:r>
        <w:r w:rsidRPr="008D3FDA">
          <w:rPr>
            <w:rFonts w:hint="cs"/>
            <w:rtl/>
            <w:lang w:eastAsia="zh-TW"/>
          </w:rPr>
          <w:t>بالأشخاص</w:t>
        </w:r>
        <w:r w:rsidRPr="008D3FDA">
          <w:rPr>
            <w:rtl/>
            <w:lang w:eastAsia="zh-TW"/>
          </w:rPr>
          <w:t xml:space="preserve"> </w:t>
        </w:r>
        <w:r w:rsidRPr="008D3FDA">
          <w:rPr>
            <w:rFonts w:hint="cs"/>
            <w:rtl/>
            <w:lang w:eastAsia="zh-TW"/>
          </w:rPr>
          <w:t>ذوي</w:t>
        </w:r>
        <w:r w:rsidRPr="008D3FDA">
          <w:rPr>
            <w:rtl/>
            <w:lang w:eastAsia="zh-TW"/>
          </w:rPr>
          <w:t xml:space="preserve"> </w:t>
        </w:r>
        <w:r w:rsidRPr="008D3FDA">
          <w:rPr>
            <w:rFonts w:hint="cs"/>
            <w:rtl/>
            <w:lang w:eastAsia="zh-TW"/>
          </w:rPr>
          <w:t>الإعاقة</w:t>
        </w:r>
        <w:r w:rsidRPr="008D3FDA">
          <w:rPr>
            <w:rtl/>
            <w:lang w:eastAsia="zh-TW"/>
          </w:rPr>
          <w:t xml:space="preserve"> </w:t>
        </w:r>
        <w:r w:rsidRPr="008D3FDA">
          <w:rPr>
            <w:rFonts w:hint="cs"/>
            <w:rtl/>
            <w:lang w:eastAsia="zh-TW"/>
          </w:rPr>
          <w:t>على</w:t>
        </w:r>
        <w:r w:rsidRPr="008D3FDA">
          <w:rPr>
            <w:rtl/>
            <w:lang w:eastAsia="zh-TW"/>
          </w:rPr>
          <w:t xml:space="preserve"> </w:t>
        </w:r>
        <w:r w:rsidRPr="008D3FDA">
          <w:rPr>
            <w:rFonts w:hint="cs"/>
            <w:rtl/>
            <w:lang w:eastAsia="zh-TW"/>
          </w:rPr>
          <w:t>قدم</w:t>
        </w:r>
        <w:r w:rsidRPr="008D3FDA">
          <w:rPr>
            <w:rtl/>
            <w:lang w:eastAsia="zh-TW"/>
          </w:rPr>
          <w:t xml:space="preserve"> </w:t>
        </w:r>
        <w:r w:rsidRPr="008D3FDA">
          <w:rPr>
            <w:rFonts w:hint="cs"/>
            <w:rtl/>
            <w:lang w:eastAsia="zh-TW"/>
          </w:rPr>
          <w:t>المساواة</w:t>
        </w:r>
        <w:r w:rsidRPr="008D3FDA">
          <w:rPr>
            <w:rtl/>
            <w:lang w:eastAsia="zh-TW"/>
          </w:rPr>
          <w:t xml:space="preserve"> </w:t>
        </w:r>
        <w:r w:rsidRPr="008D3FDA">
          <w:rPr>
            <w:rFonts w:hint="cs"/>
            <w:rtl/>
            <w:lang w:eastAsia="zh-TW"/>
          </w:rPr>
          <w:t>مع</w:t>
        </w:r>
        <w:r w:rsidRPr="008D3FDA">
          <w:rPr>
            <w:rtl/>
            <w:lang w:eastAsia="zh-TW"/>
          </w:rPr>
          <w:t xml:space="preserve"> </w:t>
        </w:r>
        <w:r w:rsidRPr="008D3FDA">
          <w:rPr>
            <w:rFonts w:hint="cs"/>
            <w:rtl/>
            <w:lang w:eastAsia="zh-TW"/>
          </w:rPr>
          <w:t>الآخرين</w:t>
        </w:r>
        <w:r w:rsidRPr="008D3FDA">
          <w:rPr>
            <w:rtl/>
            <w:lang w:eastAsia="zh-TW"/>
          </w:rPr>
          <w:t xml:space="preserve"> </w:t>
        </w:r>
        <w:r w:rsidRPr="008D3FDA">
          <w:rPr>
            <w:rFonts w:hint="cs"/>
            <w:rtl/>
            <w:lang w:eastAsia="zh-TW"/>
          </w:rPr>
          <w:t>أمام</w:t>
        </w:r>
        <w:r w:rsidRPr="008D3FDA">
          <w:rPr>
            <w:rtl/>
            <w:lang w:eastAsia="zh-TW"/>
          </w:rPr>
          <w:t xml:space="preserve"> </w:t>
        </w:r>
        <w:r w:rsidRPr="008D3FDA">
          <w:rPr>
            <w:rFonts w:hint="cs"/>
            <w:rtl/>
            <w:lang w:eastAsia="zh-TW"/>
          </w:rPr>
          <w:t>القانون؛</w:t>
        </w:r>
        <w:r w:rsidRPr="008D3FDA">
          <w:rPr>
            <w:rtl/>
            <w:lang w:eastAsia="zh-TW"/>
          </w:rPr>
          <w:t xml:space="preserve"> </w:t>
        </w:r>
        <w:r w:rsidRPr="008D3FDA">
          <w:rPr>
            <w:rFonts w:hint="cs"/>
            <w:rtl/>
            <w:lang w:eastAsia="zh-TW"/>
          </w:rPr>
          <w:t>حرية</w:t>
        </w:r>
        <w:r w:rsidRPr="008D3FDA">
          <w:rPr>
            <w:rtl/>
            <w:lang w:eastAsia="zh-TW"/>
          </w:rPr>
          <w:t xml:space="preserve"> </w:t>
        </w:r>
        <w:r w:rsidRPr="008D3FDA">
          <w:rPr>
            <w:rFonts w:hint="cs"/>
            <w:rtl/>
            <w:lang w:eastAsia="zh-TW"/>
          </w:rPr>
          <w:t>التعبير؛</w:t>
        </w:r>
        <w:r w:rsidRPr="008D3FDA">
          <w:rPr>
            <w:rtl/>
            <w:lang w:eastAsia="zh-TW"/>
          </w:rPr>
          <w:t xml:space="preserve"> </w:t>
        </w:r>
        <w:r w:rsidRPr="008D3FDA">
          <w:rPr>
            <w:rFonts w:hint="cs"/>
            <w:rtl/>
            <w:lang w:eastAsia="zh-TW"/>
          </w:rPr>
          <w:t>المشاركة</w:t>
        </w:r>
        <w:r w:rsidRPr="008D3FDA">
          <w:rPr>
            <w:rtl/>
            <w:lang w:eastAsia="zh-TW"/>
          </w:rPr>
          <w:t xml:space="preserve"> </w:t>
        </w:r>
        <w:r w:rsidRPr="008D3FDA">
          <w:rPr>
            <w:rFonts w:hint="cs"/>
            <w:rtl/>
            <w:lang w:eastAsia="zh-TW"/>
          </w:rPr>
          <w:t>السيا</w:t>
        </w:r>
        <w:r w:rsidRPr="008D3FDA">
          <w:rPr>
            <w:rtl/>
            <w:lang w:eastAsia="zh-TW"/>
          </w:rPr>
          <w:t>سية</w:t>
        </w:r>
        <w:r w:rsidRPr="008D3FDA">
          <w:rPr>
            <w:rFonts w:cs="Times New Roman" w:hint="cs"/>
            <w:rtl/>
            <w:lang w:eastAsia="zh-TW"/>
          </w:rPr>
          <w:t>‬</w:t>
        </w:r>
        <w:r w:rsidRPr="008D3FDA">
          <w:rPr>
            <w:rFonts w:cs="Times New Roman" w:hint="cs"/>
            <w:rtl/>
            <w:lang w:eastAsia="zh-TW"/>
          </w:rPr>
          <w:t>‬</w:t>
        </w:r>
        <w:r w:rsidR="002809DC">
          <w:t>‬</w:t>
        </w:r>
        <w:r w:rsidR="00043E01">
          <w:t>‬</w:t>
        </w:r>
        <w:r w:rsidR="005E6E98">
          <w:t>‬</w:t>
        </w:r>
      </w:dir>
    </w:p>
    <w:p w:rsidR="008D3FDA" w:rsidRPr="008D3FDA" w:rsidRDefault="008D3FDA" w:rsidP="00B95CEA">
      <w:pPr>
        <w:pStyle w:val="SingleTxtGA"/>
        <w:tabs>
          <w:tab w:val="clear" w:pos="1928"/>
          <w:tab w:val="clear" w:pos="2608"/>
          <w:tab w:val="clear" w:pos="3289"/>
          <w:tab w:val="clear" w:pos="3969"/>
          <w:tab w:val="clear" w:pos="4649"/>
          <w:tab w:val="left" w:pos="4394"/>
        </w:tabs>
        <w:ind w:left="4394" w:hanging="2466"/>
        <w:rPr>
          <w:rtl/>
          <w:lang w:eastAsia="zh-TW"/>
        </w:rPr>
      </w:pPr>
      <w:r w:rsidRPr="00E30533">
        <w:rPr>
          <w:i/>
          <w:iCs/>
          <w:rtl/>
          <w:lang w:eastAsia="zh-TW"/>
        </w:rPr>
        <w:t>مواد الاتفاقية:</w:t>
      </w:r>
      <w:r>
        <w:rPr>
          <w:rFonts w:hint="cs"/>
          <w:rtl/>
          <w:lang w:eastAsia="zh-TW"/>
        </w:rPr>
        <w:tab/>
      </w:r>
      <w:r w:rsidRPr="008D3FDA">
        <w:rPr>
          <w:rtl/>
          <w:lang w:eastAsia="zh-TW"/>
        </w:rPr>
        <w:t xml:space="preserve">2 </w:t>
      </w:r>
      <w:r w:rsidRPr="008D3FDA">
        <w:rPr>
          <w:rFonts w:hint="cs"/>
          <w:rtl/>
          <w:lang w:eastAsia="zh-TW"/>
        </w:rPr>
        <w:t>و</w:t>
      </w:r>
      <w:r w:rsidRPr="008D3FDA">
        <w:rPr>
          <w:rtl/>
          <w:lang w:eastAsia="zh-TW"/>
        </w:rPr>
        <w:t xml:space="preserve">4 </w:t>
      </w:r>
      <w:r w:rsidRPr="008D3FDA">
        <w:rPr>
          <w:rFonts w:hint="cs"/>
          <w:rtl/>
          <w:lang w:eastAsia="zh-TW"/>
        </w:rPr>
        <w:t>و</w:t>
      </w:r>
      <w:r w:rsidRPr="008D3FDA">
        <w:rPr>
          <w:rtl/>
          <w:lang w:eastAsia="zh-TW"/>
        </w:rPr>
        <w:t xml:space="preserve">5 </w:t>
      </w:r>
      <w:r w:rsidRPr="008D3FDA">
        <w:rPr>
          <w:rFonts w:hint="cs"/>
          <w:rtl/>
          <w:lang w:eastAsia="zh-TW"/>
        </w:rPr>
        <w:t>و</w:t>
      </w:r>
      <w:r w:rsidRPr="008D3FDA">
        <w:rPr>
          <w:rtl/>
          <w:lang w:eastAsia="zh-TW"/>
        </w:rPr>
        <w:t xml:space="preserve">9 </w:t>
      </w:r>
      <w:r w:rsidRPr="008D3FDA">
        <w:rPr>
          <w:rFonts w:hint="cs"/>
          <w:rtl/>
          <w:lang w:eastAsia="zh-TW"/>
        </w:rPr>
        <w:t>و</w:t>
      </w:r>
      <w:r w:rsidRPr="008D3FDA">
        <w:rPr>
          <w:rtl/>
          <w:lang w:eastAsia="zh-TW"/>
        </w:rPr>
        <w:t xml:space="preserve">12 </w:t>
      </w:r>
      <w:r w:rsidRPr="008D3FDA">
        <w:rPr>
          <w:rFonts w:hint="cs"/>
          <w:rtl/>
          <w:lang w:eastAsia="zh-TW"/>
        </w:rPr>
        <w:t>و</w:t>
      </w:r>
      <w:r w:rsidRPr="008D3FDA">
        <w:rPr>
          <w:rtl/>
          <w:lang w:eastAsia="zh-TW"/>
        </w:rPr>
        <w:t xml:space="preserve">13 </w:t>
      </w:r>
      <w:r w:rsidRPr="008D3FDA">
        <w:rPr>
          <w:rFonts w:hint="cs"/>
          <w:rtl/>
          <w:lang w:eastAsia="zh-TW"/>
        </w:rPr>
        <w:t>و</w:t>
      </w:r>
      <w:r w:rsidRPr="008D3FDA">
        <w:rPr>
          <w:rtl/>
          <w:lang w:eastAsia="zh-TW"/>
        </w:rPr>
        <w:t xml:space="preserve">21 </w:t>
      </w:r>
      <w:r w:rsidRPr="008D3FDA">
        <w:rPr>
          <w:rFonts w:hint="cs"/>
          <w:rtl/>
          <w:lang w:eastAsia="zh-TW"/>
        </w:rPr>
        <w:t>و</w:t>
      </w:r>
      <w:r w:rsidRPr="008D3FDA">
        <w:rPr>
          <w:rtl/>
          <w:lang w:eastAsia="zh-TW"/>
        </w:rPr>
        <w:t xml:space="preserve">29 </w:t>
      </w:r>
      <w:r w:rsidRPr="008D3FDA">
        <w:rPr>
          <w:rFonts w:cs="Times New Roman" w:hint="cs"/>
          <w:rtl/>
          <w:lang w:eastAsia="zh-TW"/>
        </w:rPr>
        <w:t>‬</w:t>
      </w:r>
      <w:r w:rsidRPr="008D3FDA">
        <w:rPr>
          <w:rFonts w:cs="Times New Roman" w:hint="cs"/>
          <w:rtl/>
          <w:lang w:eastAsia="zh-TW"/>
        </w:rPr>
        <w:t>‬</w:t>
      </w:r>
    </w:p>
    <w:p w:rsidR="008D3FDA" w:rsidRPr="008D3FDA" w:rsidRDefault="008D3FDA" w:rsidP="00E30533">
      <w:pPr>
        <w:pStyle w:val="SingleTxtGA"/>
        <w:tabs>
          <w:tab w:val="clear" w:pos="1928"/>
          <w:tab w:val="clear" w:pos="2608"/>
          <w:tab w:val="clear" w:pos="3289"/>
          <w:tab w:val="clear" w:pos="3969"/>
          <w:tab w:val="clear" w:pos="4649"/>
          <w:tab w:val="left" w:pos="4394"/>
        </w:tabs>
        <w:ind w:left="4394" w:hanging="2466"/>
        <w:rPr>
          <w:rtl/>
          <w:lang w:val="en-GB" w:eastAsia="zh-TW"/>
        </w:rPr>
      </w:pPr>
      <w:r w:rsidRPr="00E30533">
        <w:rPr>
          <w:i/>
          <w:iCs/>
          <w:rtl/>
          <w:lang w:eastAsia="zh-TW"/>
        </w:rPr>
        <w:t>مواد البروتوكول الاختياري:</w:t>
      </w:r>
      <w:r>
        <w:rPr>
          <w:rFonts w:hint="cs"/>
          <w:rtl/>
          <w:lang w:eastAsia="zh-TW"/>
        </w:rPr>
        <w:tab/>
      </w:r>
      <w:r>
        <w:rPr>
          <w:rtl/>
          <w:lang w:eastAsia="zh-TW"/>
        </w:rPr>
        <w:t>2</w:t>
      </w:r>
      <w:r w:rsidRPr="008D3FDA">
        <w:rPr>
          <w:rtl/>
          <w:lang w:eastAsia="zh-TW"/>
        </w:rPr>
        <w:t>(</w:t>
      </w:r>
      <w:r w:rsidRPr="008D3FDA">
        <w:rPr>
          <w:rFonts w:hint="cs"/>
          <w:rtl/>
          <w:lang w:eastAsia="zh-TW"/>
        </w:rPr>
        <w:t>د</w:t>
      </w:r>
      <w:r w:rsidRPr="008D3FDA">
        <w:rPr>
          <w:rtl/>
          <w:lang w:eastAsia="zh-TW"/>
        </w:rPr>
        <w:t xml:space="preserve">) </w:t>
      </w:r>
      <w:r w:rsidRPr="008D3FDA">
        <w:rPr>
          <w:rFonts w:hint="cs"/>
          <w:rtl/>
          <w:lang w:eastAsia="zh-TW"/>
        </w:rPr>
        <w:t>و</w:t>
      </w:r>
      <w:r w:rsidRPr="008D3FDA">
        <w:rPr>
          <w:rtl/>
          <w:lang w:eastAsia="zh-TW"/>
        </w:rPr>
        <w:t>(</w:t>
      </w:r>
      <w:r w:rsidRPr="008D3FDA">
        <w:rPr>
          <w:rFonts w:hint="cs"/>
          <w:rtl/>
          <w:lang w:eastAsia="zh-TW"/>
        </w:rPr>
        <w:t>هـ</w:t>
      </w:r>
      <w:r w:rsidRPr="008D3FDA">
        <w:rPr>
          <w:rtl/>
          <w:lang w:eastAsia="zh-TW"/>
        </w:rPr>
        <w:t>)</w:t>
      </w:r>
      <w:r w:rsidRPr="008D3FDA">
        <w:rPr>
          <w:rFonts w:cs="Times New Roman" w:hint="cs"/>
          <w:rtl/>
          <w:lang w:eastAsia="zh-TW"/>
        </w:rPr>
        <w:t>‬</w:t>
      </w:r>
      <w:r w:rsidRPr="008D3FDA">
        <w:rPr>
          <w:rFonts w:cs="Times New Roman" w:hint="cs"/>
          <w:rtl/>
          <w:lang w:eastAsia="zh-TW"/>
        </w:rPr>
        <w:t>‬</w:t>
      </w:r>
    </w:p>
    <w:p w:rsidR="008D3FDA" w:rsidRPr="00B95CEA" w:rsidRDefault="008D3FDA" w:rsidP="00B95CEA">
      <w:pPr>
        <w:pStyle w:val="SingleTxtGA"/>
        <w:rPr>
          <w:rtl/>
          <w:lang w:eastAsia="zh-TW"/>
        </w:rPr>
      </w:pPr>
      <w:r w:rsidRPr="003C36EA">
        <w:rPr>
          <w:iCs/>
        </w:rPr>
        <w:br w:type="page"/>
      </w:r>
      <w:r w:rsidR="00B95CEA" w:rsidRPr="004A5905">
        <w:rPr>
          <w:rtl/>
          <w:lang w:eastAsia="zh-TW"/>
        </w:rPr>
        <w:lastRenderedPageBreak/>
        <w:t>١</w:t>
      </w:r>
      <w:r w:rsidR="00B95CEA" w:rsidRPr="004A5905">
        <w:rPr>
          <w:rFonts w:hint="cs"/>
          <w:rtl/>
          <w:lang w:eastAsia="zh-TW"/>
        </w:rPr>
        <w:t>-</w:t>
      </w:r>
      <w:r w:rsidR="00B95CEA" w:rsidRPr="004A5905">
        <w:rPr>
          <w:rtl/>
          <w:lang w:eastAsia="zh-TW"/>
        </w:rPr>
        <w:tab/>
      </w:r>
      <w:r w:rsidR="00B95CEA" w:rsidRPr="004A5905">
        <w:rPr>
          <w:rFonts w:hint="cs"/>
          <w:rtl/>
          <w:lang w:eastAsia="zh-TW"/>
        </w:rPr>
        <w:t>صاحب</w:t>
      </w:r>
      <w:r w:rsidR="00B95CEA" w:rsidRPr="004A5905">
        <w:rPr>
          <w:rtl/>
          <w:lang w:eastAsia="zh-TW"/>
        </w:rPr>
        <w:t xml:space="preserve"> </w:t>
      </w:r>
      <w:r w:rsidR="00B95CEA" w:rsidRPr="004A5905">
        <w:rPr>
          <w:rFonts w:hint="cs"/>
          <w:rtl/>
          <w:lang w:eastAsia="zh-TW"/>
        </w:rPr>
        <w:t>البلاغ</w:t>
      </w:r>
      <w:r w:rsidR="00B95CEA" w:rsidRPr="004A5905">
        <w:rPr>
          <w:rtl/>
          <w:lang w:eastAsia="zh-TW"/>
        </w:rPr>
        <w:t xml:space="preserve"> </w:t>
      </w:r>
      <w:r w:rsidR="00B95CEA" w:rsidRPr="004A5905">
        <w:rPr>
          <w:rFonts w:hint="cs"/>
          <w:rtl/>
          <w:lang w:eastAsia="zh-TW"/>
        </w:rPr>
        <w:t>هو</w:t>
      </w:r>
      <w:r w:rsidR="00B95CEA" w:rsidRPr="004A5905">
        <w:rPr>
          <w:rtl/>
          <w:lang w:eastAsia="zh-TW"/>
        </w:rPr>
        <w:t xml:space="preserve"> </w:t>
      </w:r>
      <w:r w:rsidR="00B95CEA" w:rsidRPr="004A5905">
        <w:rPr>
          <w:rFonts w:hint="cs"/>
          <w:rtl/>
          <w:lang w:eastAsia="zh-TW"/>
        </w:rPr>
        <w:t>مايكل</w:t>
      </w:r>
      <w:r w:rsidR="00B95CEA" w:rsidRPr="004A5905">
        <w:rPr>
          <w:rtl/>
          <w:lang w:eastAsia="zh-TW"/>
        </w:rPr>
        <w:t xml:space="preserve"> </w:t>
      </w:r>
      <w:r w:rsidR="00B95CEA" w:rsidRPr="004A5905">
        <w:rPr>
          <w:rFonts w:hint="cs"/>
          <w:rtl/>
          <w:lang w:eastAsia="zh-TW"/>
        </w:rPr>
        <w:t>لوكري،</w:t>
      </w:r>
      <w:r w:rsidR="00B95CEA" w:rsidRPr="004A5905">
        <w:rPr>
          <w:rtl/>
          <w:lang w:eastAsia="zh-TW"/>
        </w:rPr>
        <w:t xml:space="preserve"> </w:t>
      </w:r>
      <w:r w:rsidR="00B95CEA" w:rsidRPr="004A5905">
        <w:rPr>
          <w:rFonts w:hint="cs"/>
          <w:rtl/>
          <w:lang w:eastAsia="zh-TW"/>
        </w:rPr>
        <w:t>مواطن</w:t>
      </w:r>
      <w:r w:rsidR="00B95CEA" w:rsidRPr="004A5905">
        <w:rPr>
          <w:rtl/>
          <w:lang w:eastAsia="zh-TW"/>
        </w:rPr>
        <w:t xml:space="preserve"> </w:t>
      </w:r>
      <w:r w:rsidR="00B95CEA" w:rsidRPr="004A5905">
        <w:rPr>
          <w:rFonts w:hint="cs"/>
          <w:rtl/>
          <w:lang w:eastAsia="zh-TW"/>
        </w:rPr>
        <w:t>أسترالي</w:t>
      </w:r>
      <w:r w:rsidR="00B95CEA" w:rsidRPr="004A5905">
        <w:rPr>
          <w:rtl/>
          <w:lang w:eastAsia="zh-TW"/>
        </w:rPr>
        <w:t xml:space="preserve"> </w:t>
      </w:r>
      <w:r w:rsidR="00B95CEA" w:rsidRPr="004A5905">
        <w:rPr>
          <w:rFonts w:hint="cs"/>
          <w:rtl/>
          <w:lang w:eastAsia="zh-TW"/>
        </w:rPr>
        <w:t>ولد</w:t>
      </w:r>
      <w:r w:rsidR="00B95CEA" w:rsidRPr="004A5905">
        <w:rPr>
          <w:rtl/>
          <w:lang w:eastAsia="zh-TW"/>
        </w:rPr>
        <w:t xml:space="preserve"> </w:t>
      </w:r>
      <w:r w:rsidR="00B95CEA" w:rsidRPr="004A5905">
        <w:rPr>
          <w:rFonts w:hint="cs"/>
          <w:rtl/>
          <w:lang w:eastAsia="zh-TW"/>
        </w:rPr>
        <w:t>في</w:t>
      </w:r>
      <w:r w:rsidR="00B95CEA" w:rsidRPr="004A5905">
        <w:rPr>
          <w:rtl/>
          <w:lang w:eastAsia="zh-TW"/>
        </w:rPr>
        <w:t xml:space="preserve"> 28 </w:t>
      </w:r>
      <w:r w:rsidR="00B95CEA" w:rsidRPr="004A5905">
        <w:rPr>
          <w:rFonts w:hint="cs"/>
          <w:rtl/>
          <w:lang w:eastAsia="zh-TW"/>
        </w:rPr>
        <w:t>كانون</w:t>
      </w:r>
      <w:r w:rsidR="00B95CEA" w:rsidRPr="004A5905">
        <w:rPr>
          <w:rtl/>
          <w:lang w:eastAsia="zh-TW"/>
        </w:rPr>
        <w:t xml:space="preserve"> </w:t>
      </w:r>
      <w:r w:rsidR="00B95CEA" w:rsidRPr="004A5905">
        <w:rPr>
          <w:rFonts w:hint="cs"/>
          <w:rtl/>
          <w:lang w:eastAsia="zh-TW"/>
        </w:rPr>
        <w:t>الأول</w:t>
      </w:r>
      <w:r w:rsidR="00B95CEA" w:rsidRPr="004A5905">
        <w:rPr>
          <w:rtl/>
          <w:lang w:eastAsia="zh-TW"/>
        </w:rPr>
        <w:t>/</w:t>
      </w:r>
      <w:r w:rsidR="004A5905">
        <w:rPr>
          <w:rFonts w:hint="cs"/>
          <w:rtl/>
          <w:lang w:eastAsia="zh-TW"/>
        </w:rPr>
        <w:t xml:space="preserve"> </w:t>
      </w:r>
      <w:r w:rsidR="00B95CEA" w:rsidRPr="004A5905">
        <w:rPr>
          <w:rFonts w:hint="cs"/>
          <w:rtl/>
          <w:lang w:eastAsia="zh-TW"/>
        </w:rPr>
        <w:t>ديسمبر</w:t>
      </w:r>
      <w:r w:rsidR="004A5905">
        <w:rPr>
          <w:rFonts w:hint="cs"/>
          <w:rtl/>
          <w:lang w:eastAsia="zh-TW"/>
        </w:rPr>
        <w:t> </w:t>
      </w:r>
      <w:r w:rsidR="00B95CEA" w:rsidRPr="004A5905">
        <w:rPr>
          <w:rtl/>
          <w:lang w:eastAsia="zh-TW"/>
        </w:rPr>
        <w:t>1969</w:t>
      </w:r>
      <w:r w:rsidR="00B95CEA" w:rsidRPr="00B95CEA">
        <w:rPr>
          <w:rtl/>
          <w:lang w:eastAsia="zh-TW"/>
        </w:rPr>
        <w:t xml:space="preserve">. </w:t>
      </w:r>
      <w:dir w:val="rtl">
        <w:r w:rsidR="00B95CEA" w:rsidRPr="00B95CEA">
          <w:rPr>
            <w:rFonts w:hint="cs"/>
            <w:rtl/>
            <w:lang w:eastAsia="zh-TW"/>
          </w:rPr>
          <w:t>وهو</w:t>
        </w:r>
        <w:r w:rsidR="00B95CEA" w:rsidRPr="00B95CEA">
          <w:rPr>
            <w:rtl/>
            <w:lang w:eastAsia="zh-TW"/>
          </w:rPr>
          <w:t xml:space="preserve"> </w:t>
        </w:r>
        <w:r w:rsidR="00B95CEA" w:rsidRPr="00B95CEA">
          <w:rPr>
            <w:rFonts w:hint="cs"/>
            <w:rtl/>
            <w:lang w:eastAsia="zh-TW"/>
          </w:rPr>
          <w:t>يدعي</w:t>
        </w:r>
        <w:r w:rsidR="00B95CEA" w:rsidRPr="00B95CEA">
          <w:rPr>
            <w:rtl/>
            <w:lang w:eastAsia="zh-TW"/>
          </w:rPr>
          <w:t xml:space="preserve"> </w:t>
        </w:r>
        <w:r w:rsidR="00B95CEA" w:rsidRPr="00B95CEA">
          <w:rPr>
            <w:rFonts w:hint="cs"/>
            <w:rtl/>
            <w:lang w:eastAsia="zh-TW"/>
          </w:rPr>
          <w:t>أنه</w:t>
        </w:r>
        <w:r w:rsidR="00B95CEA" w:rsidRPr="00B95CEA">
          <w:rPr>
            <w:rtl/>
            <w:lang w:eastAsia="zh-TW"/>
          </w:rPr>
          <w:t xml:space="preserve"> </w:t>
        </w:r>
        <w:r w:rsidR="00B95CEA" w:rsidRPr="00B95CEA">
          <w:rPr>
            <w:rFonts w:hint="cs"/>
            <w:rtl/>
            <w:lang w:eastAsia="zh-TW"/>
          </w:rPr>
          <w:t>ضحية</w:t>
        </w:r>
        <w:r w:rsidR="00B95CEA" w:rsidRPr="00B95CEA">
          <w:rPr>
            <w:rtl/>
            <w:lang w:eastAsia="zh-TW"/>
          </w:rPr>
          <w:t xml:space="preserve"> </w:t>
        </w:r>
        <w:r w:rsidR="00B95CEA" w:rsidRPr="00B95CEA">
          <w:rPr>
            <w:rFonts w:hint="cs"/>
            <w:rtl/>
            <w:lang w:eastAsia="zh-TW"/>
          </w:rPr>
          <w:t>انتهاك</w:t>
        </w:r>
        <w:r w:rsidR="00B95CEA" w:rsidRPr="00B95CEA">
          <w:rPr>
            <w:rtl/>
            <w:lang w:eastAsia="zh-TW"/>
          </w:rPr>
          <w:t xml:space="preserve"> </w:t>
        </w:r>
        <w:r w:rsidR="00B95CEA" w:rsidRPr="00B95CEA">
          <w:rPr>
            <w:rFonts w:hint="cs"/>
            <w:rtl/>
            <w:lang w:eastAsia="zh-TW"/>
          </w:rPr>
          <w:t>أستراليا</w:t>
        </w:r>
        <w:r w:rsidR="00B95CEA" w:rsidRPr="00B95CEA">
          <w:rPr>
            <w:rtl/>
            <w:lang w:eastAsia="zh-TW"/>
          </w:rPr>
          <w:t xml:space="preserve"> </w:t>
        </w:r>
        <w:r w:rsidR="00B95CEA" w:rsidRPr="00B95CEA">
          <w:rPr>
            <w:rFonts w:hint="cs"/>
            <w:rtl/>
            <w:lang w:eastAsia="zh-TW"/>
          </w:rPr>
          <w:t>للمواد</w:t>
        </w:r>
        <w:r w:rsidR="00B95CEA" w:rsidRPr="00B95CEA">
          <w:rPr>
            <w:rtl/>
            <w:lang w:eastAsia="zh-TW"/>
          </w:rPr>
          <w:t xml:space="preserve"> 2 </w:t>
        </w:r>
        <w:r w:rsidR="00B95CEA" w:rsidRPr="00B95CEA">
          <w:rPr>
            <w:rFonts w:hint="cs"/>
            <w:rtl/>
            <w:lang w:eastAsia="zh-TW"/>
          </w:rPr>
          <w:t>و</w:t>
        </w:r>
        <w:r w:rsidR="00B95CEA" w:rsidRPr="00B95CEA">
          <w:rPr>
            <w:rtl/>
            <w:lang w:eastAsia="zh-TW"/>
          </w:rPr>
          <w:t xml:space="preserve">4 </w:t>
        </w:r>
        <w:r w:rsidR="00B95CEA" w:rsidRPr="00B95CEA">
          <w:rPr>
            <w:rFonts w:hint="cs"/>
            <w:rtl/>
            <w:lang w:eastAsia="zh-TW"/>
          </w:rPr>
          <w:t>و</w:t>
        </w:r>
        <w:r w:rsidR="00B95CEA" w:rsidRPr="00B95CEA">
          <w:rPr>
            <w:rtl/>
            <w:lang w:eastAsia="zh-TW"/>
          </w:rPr>
          <w:t xml:space="preserve">5 </w:t>
        </w:r>
        <w:r w:rsidR="00B95CEA" w:rsidRPr="00B95CEA">
          <w:rPr>
            <w:rFonts w:hint="cs"/>
            <w:rtl/>
            <w:lang w:eastAsia="zh-TW"/>
          </w:rPr>
          <w:t>و</w:t>
        </w:r>
        <w:r w:rsidR="00B95CEA" w:rsidRPr="00B95CEA">
          <w:rPr>
            <w:rtl/>
            <w:lang w:eastAsia="zh-TW"/>
          </w:rPr>
          <w:t xml:space="preserve">9 </w:t>
        </w:r>
        <w:r w:rsidR="00B95CEA" w:rsidRPr="00B95CEA">
          <w:rPr>
            <w:rFonts w:hint="cs"/>
            <w:rtl/>
            <w:lang w:eastAsia="zh-TW"/>
          </w:rPr>
          <w:t>و</w:t>
        </w:r>
        <w:r w:rsidR="00B95CEA" w:rsidRPr="00B95CEA">
          <w:rPr>
            <w:rtl/>
            <w:lang w:eastAsia="zh-TW"/>
          </w:rPr>
          <w:t xml:space="preserve">12 </w:t>
        </w:r>
        <w:r w:rsidR="00B95CEA" w:rsidRPr="00B95CEA">
          <w:rPr>
            <w:rFonts w:hint="cs"/>
            <w:rtl/>
            <w:lang w:eastAsia="zh-TW"/>
          </w:rPr>
          <w:t>و</w:t>
        </w:r>
        <w:r w:rsidR="00B95CEA" w:rsidRPr="00B95CEA">
          <w:rPr>
            <w:rtl/>
            <w:lang w:eastAsia="zh-TW"/>
          </w:rPr>
          <w:t xml:space="preserve">13 </w:t>
        </w:r>
        <w:r w:rsidR="00B95CEA" w:rsidRPr="00B95CEA">
          <w:rPr>
            <w:rFonts w:hint="cs"/>
            <w:rtl/>
            <w:lang w:eastAsia="zh-TW"/>
          </w:rPr>
          <w:t>و</w:t>
        </w:r>
        <w:r w:rsidR="00B95CEA" w:rsidRPr="00B95CEA">
          <w:rPr>
            <w:rtl/>
            <w:lang w:eastAsia="zh-TW"/>
          </w:rPr>
          <w:t xml:space="preserve">21 </w:t>
        </w:r>
        <w:r w:rsidR="00B95CEA" w:rsidRPr="00B95CEA">
          <w:rPr>
            <w:rFonts w:hint="cs"/>
            <w:rtl/>
            <w:lang w:eastAsia="zh-TW"/>
          </w:rPr>
          <w:t>و</w:t>
        </w:r>
        <w:r w:rsidR="004A5905">
          <w:rPr>
            <w:rtl/>
            <w:lang w:eastAsia="zh-TW"/>
          </w:rPr>
          <w:t xml:space="preserve">29 </w:t>
        </w:r>
        <w:r w:rsidR="00B95CEA" w:rsidRPr="00B95CEA">
          <w:rPr>
            <w:rFonts w:hint="cs"/>
            <w:rtl/>
            <w:lang w:eastAsia="zh-TW"/>
          </w:rPr>
          <w:t>من</w:t>
        </w:r>
        <w:r w:rsidR="00B95CEA" w:rsidRPr="00B95CEA">
          <w:rPr>
            <w:rtl/>
            <w:lang w:eastAsia="zh-TW"/>
          </w:rPr>
          <w:t xml:space="preserve"> </w:t>
        </w:r>
        <w:r w:rsidR="00B95CEA" w:rsidRPr="00B95CEA">
          <w:rPr>
            <w:rFonts w:hint="cs"/>
            <w:rtl/>
            <w:lang w:eastAsia="zh-TW"/>
          </w:rPr>
          <w:t>الاتفاقية</w:t>
        </w:r>
        <w:r w:rsidR="00B95CEA" w:rsidRPr="00B95CEA">
          <w:rPr>
            <w:rtl/>
            <w:lang w:eastAsia="zh-TW"/>
          </w:rPr>
          <w:t>.</w:t>
        </w:r>
        <w:r w:rsidR="00B95CEA" w:rsidRPr="00B95CEA">
          <w:rPr>
            <w:rFonts w:cs="Times New Roman" w:hint="cs"/>
            <w:rtl/>
            <w:lang w:eastAsia="zh-TW"/>
          </w:rPr>
          <w:t>‬</w:t>
        </w:r>
        <w:r w:rsidR="00B95CEA" w:rsidRPr="00B95CEA">
          <w:rPr>
            <w:rtl/>
            <w:lang w:eastAsia="zh-TW"/>
          </w:rPr>
          <w:t xml:space="preserve"> </w:t>
        </w:r>
        <w:dir w:val="rtl">
          <w:r w:rsidR="00B95CEA" w:rsidRPr="00B95CEA">
            <w:rPr>
              <w:rFonts w:hint="cs"/>
              <w:rtl/>
              <w:lang w:eastAsia="zh-TW"/>
            </w:rPr>
            <w:t>ويمثله</w:t>
          </w:r>
          <w:r w:rsidR="00B95CEA" w:rsidRPr="00B95CEA">
            <w:rPr>
              <w:rtl/>
              <w:lang w:eastAsia="zh-TW"/>
            </w:rPr>
            <w:t xml:space="preserve"> </w:t>
          </w:r>
          <w:r w:rsidR="00B95CEA" w:rsidRPr="00B95CEA">
            <w:rPr>
              <w:rFonts w:hint="cs"/>
              <w:rtl/>
              <w:lang w:eastAsia="zh-TW"/>
            </w:rPr>
            <w:t>المركز</w:t>
          </w:r>
          <w:r w:rsidR="00B95CEA" w:rsidRPr="00B95CEA">
            <w:rPr>
              <w:rtl/>
              <w:lang w:eastAsia="zh-TW"/>
            </w:rPr>
            <w:t xml:space="preserve"> </w:t>
          </w:r>
          <w:r w:rsidR="00B95CEA" w:rsidRPr="00B95CEA">
            <w:rPr>
              <w:rFonts w:hint="cs"/>
              <w:rtl/>
              <w:lang w:eastAsia="zh-TW"/>
            </w:rPr>
            <w:t>الأسترالي</w:t>
          </w:r>
          <w:r w:rsidR="00B95CEA" w:rsidRPr="00B95CEA">
            <w:rPr>
              <w:rtl/>
              <w:lang w:eastAsia="zh-TW"/>
            </w:rPr>
            <w:t xml:space="preserve"> </w:t>
          </w:r>
          <w:r w:rsidR="00B95CEA" w:rsidRPr="00B95CEA">
            <w:rPr>
              <w:rFonts w:hint="cs"/>
              <w:rtl/>
              <w:lang w:eastAsia="zh-TW"/>
            </w:rPr>
            <w:t>لقانون</w:t>
          </w:r>
          <w:r w:rsidR="00B95CEA" w:rsidRPr="00B95CEA">
            <w:rPr>
              <w:rtl/>
              <w:lang w:eastAsia="zh-TW"/>
            </w:rPr>
            <w:t xml:space="preserve"> </w:t>
          </w:r>
          <w:r w:rsidR="00B95CEA" w:rsidRPr="00B95CEA">
            <w:rPr>
              <w:rFonts w:hint="cs"/>
              <w:rtl/>
              <w:lang w:eastAsia="zh-TW"/>
            </w:rPr>
            <w:t>الأشخاص</w:t>
          </w:r>
          <w:r w:rsidR="00B95CEA" w:rsidRPr="00B95CEA">
            <w:rPr>
              <w:rtl/>
              <w:lang w:eastAsia="zh-TW"/>
            </w:rPr>
            <w:t xml:space="preserve"> </w:t>
          </w:r>
          <w:r w:rsidR="00B95CEA" w:rsidRPr="00B95CEA">
            <w:rPr>
              <w:rFonts w:hint="cs"/>
              <w:rtl/>
              <w:lang w:eastAsia="zh-TW"/>
            </w:rPr>
            <w:t>ذوي</w:t>
          </w:r>
          <w:r w:rsidR="00B95CEA" w:rsidRPr="00B95CEA">
            <w:rPr>
              <w:rtl/>
              <w:lang w:eastAsia="zh-TW"/>
            </w:rPr>
            <w:t xml:space="preserve"> </w:t>
          </w:r>
          <w:r w:rsidR="00B95CEA" w:rsidRPr="00B95CEA">
            <w:rPr>
              <w:rFonts w:hint="cs"/>
              <w:rtl/>
              <w:lang w:eastAsia="zh-TW"/>
            </w:rPr>
            <w:t>الإعاقة</w:t>
          </w:r>
          <w:r w:rsidR="00B95CEA" w:rsidRPr="00B95CEA">
            <w:rPr>
              <w:rtl/>
              <w:lang w:eastAsia="zh-TW"/>
            </w:rPr>
            <w:t>.</w:t>
          </w:r>
          <w:r w:rsidR="00B95CEA" w:rsidRPr="00B95CEA">
            <w:rPr>
              <w:rFonts w:cs="Times New Roman" w:hint="cs"/>
              <w:rtl/>
              <w:lang w:eastAsia="zh-TW"/>
            </w:rPr>
            <w:t>‬</w:t>
          </w:r>
          <w:r w:rsidR="00B95CEA" w:rsidRPr="00B95CEA">
            <w:rPr>
              <w:rtl/>
              <w:lang w:eastAsia="zh-TW"/>
            </w:rPr>
            <w:t xml:space="preserve"> </w:t>
          </w:r>
          <w:dir w:val="rtl">
            <w:r w:rsidR="00B95CEA" w:rsidRPr="00B95CEA">
              <w:rPr>
                <w:rFonts w:hint="cs"/>
                <w:rtl/>
                <w:lang w:eastAsia="zh-TW"/>
              </w:rPr>
              <w:t>وقد</w:t>
            </w:r>
            <w:r w:rsidR="00B95CEA" w:rsidRPr="00B95CEA">
              <w:rPr>
                <w:rtl/>
                <w:lang w:eastAsia="zh-TW"/>
              </w:rPr>
              <w:t xml:space="preserve"> </w:t>
            </w:r>
            <w:r w:rsidR="00B95CEA" w:rsidRPr="00B95CEA">
              <w:rPr>
                <w:rFonts w:hint="cs"/>
                <w:rtl/>
                <w:lang w:eastAsia="zh-TW"/>
              </w:rPr>
              <w:t>دخلت</w:t>
            </w:r>
            <w:r w:rsidR="00B95CEA" w:rsidRPr="00B95CEA">
              <w:rPr>
                <w:rtl/>
                <w:lang w:eastAsia="zh-TW"/>
              </w:rPr>
              <w:t xml:space="preserve"> </w:t>
            </w:r>
            <w:r w:rsidR="00B95CEA" w:rsidRPr="00B95CEA">
              <w:rPr>
                <w:rFonts w:hint="cs"/>
                <w:rtl/>
                <w:lang w:eastAsia="zh-TW"/>
              </w:rPr>
              <w:t>الاتفاقية</w:t>
            </w:r>
            <w:r w:rsidR="00B95CEA" w:rsidRPr="00B95CEA">
              <w:rPr>
                <w:rtl/>
                <w:lang w:eastAsia="zh-TW"/>
              </w:rPr>
              <w:t xml:space="preserve"> </w:t>
            </w:r>
            <w:r w:rsidR="00B95CEA" w:rsidRPr="00B95CEA">
              <w:rPr>
                <w:rFonts w:hint="cs"/>
                <w:rtl/>
                <w:lang w:eastAsia="zh-TW"/>
              </w:rPr>
              <w:t>والبروتوكول</w:t>
            </w:r>
            <w:r w:rsidR="00B95CEA" w:rsidRPr="00B95CEA">
              <w:rPr>
                <w:rtl/>
                <w:lang w:eastAsia="zh-TW"/>
              </w:rPr>
              <w:t xml:space="preserve"> </w:t>
            </w:r>
            <w:r w:rsidR="00B95CEA" w:rsidRPr="00B95CEA">
              <w:rPr>
                <w:rFonts w:hint="cs"/>
                <w:rtl/>
                <w:lang w:eastAsia="zh-TW"/>
              </w:rPr>
              <w:t>الاخ</w:t>
            </w:r>
            <w:r w:rsidR="00B95CEA" w:rsidRPr="00B95CEA">
              <w:rPr>
                <w:rtl/>
                <w:lang w:eastAsia="zh-TW"/>
              </w:rPr>
              <w:t>تياري حيز النفاذ بالنسبة إلى الدول</w:t>
            </w:r>
            <w:r w:rsidR="004A5905">
              <w:rPr>
                <w:rtl/>
                <w:lang w:eastAsia="zh-TW"/>
              </w:rPr>
              <w:t>ة الطرف في 17 آب/أغسطس 2008 وفي</w:t>
            </w:r>
            <w:r w:rsidR="004A5905">
              <w:rPr>
                <w:rFonts w:hint="cs"/>
                <w:rtl/>
                <w:lang w:eastAsia="zh-TW"/>
              </w:rPr>
              <w:t> </w:t>
            </w:r>
            <w:r w:rsidR="00B95CEA" w:rsidRPr="00B95CEA">
              <w:rPr>
                <w:rtl/>
                <w:lang w:eastAsia="zh-TW"/>
              </w:rPr>
              <w:t>19 أيلول/سبتمبر 2009، على التوالي.</w:t>
            </w:r>
            <w:r w:rsidR="00B95CEA" w:rsidRPr="00B95CEA">
              <w:rPr>
                <w:rFonts w:cs="Times New Roman" w:hint="cs"/>
                <w:rtl/>
                <w:lang w:eastAsia="zh-TW"/>
              </w:rPr>
              <w:t>‬</w:t>
            </w:r>
            <w:r w:rsidR="00B95CEA" w:rsidRPr="00B95CEA">
              <w:rPr>
                <w:rFonts w:cs="Times New Roman" w:hint="cs"/>
                <w:rtl/>
                <w:lang w:eastAsia="zh-TW"/>
              </w:rPr>
              <w:t>‬</w:t>
            </w:r>
            <w:r w:rsidR="00B95CEA" w:rsidRPr="00B95CEA">
              <w:rPr>
                <w:rFonts w:cs="Times New Roman" w:hint="cs"/>
                <w:rtl/>
                <w:lang w:eastAsia="zh-TW"/>
              </w:rPr>
              <w:t>‬</w:t>
            </w:r>
            <w:r w:rsidR="00B95CEA" w:rsidRPr="00B95CEA">
              <w:rPr>
                <w:rFonts w:cs="Times New Roman" w:hint="cs"/>
                <w:rtl/>
                <w:lang w:eastAsia="zh-TW"/>
              </w:rPr>
              <w:t>‬</w:t>
            </w:r>
            <w:r w:rsidR="00B95CEA" w:rsidRPr="00B95CEA">
              <w:rPr>
                <w:rFonts w:cs="Times New Roman" w:hint="cs"/>
                <w:rtl/>
                <w:lang w:eastAsia="zh-TW"/>
              </w:rPr>
              <w:t>‬</w:t>
            </w:r>
            <w:r w:rsidR="00B95CEA" w:rsidRPr="00B95CEA">
              <w:rPr>
                <w:rFonts w:cs="Times New Roman" w:hint="cs"/>
                <w:rtl/>
                <w:lang w:eastAsia="zh-TW"/>
              </w:rPr>
              <w:t>‬</w:t>
            </w:r>
            <w:r w:rsidR="00B95CEA" w:rsidRPr="00B95CEA">
              <w:rPr>
                <w:rFonts w:cs="Times New Roman" w:hint="cs"/>
                <w:rtl/>
                <w:lang w:eastAsia="zh-TW"/>
              </w:rPr>
              <w:t>‬</w:t>
            </w:r>
            <w:r w:rsidR="00B95CEA" w:rsidRPr="00B95CEA">
              <w:rPr>
                <w:rFonts w:cs="Times New Roman" w:hint="cs"/>
                <w:rtl/>
                <w:lang w:eastAsia="zh-TW"/>
              </w:rPr>
              <w:t>‬</w:t>
            </w:r>
            <w:r w:rsidR="00B95CEA" w:rsidRPr="00B95CEA">
              <w:rPr>
                <w:rFonts w:cs="Times New Roman" w:hint="cs"/>
                <w:rtl/>
                <w:lang w:eastAsia="zh-TW"/>
              </w:rPr>
              <w:t>‬</w:t>
            </w:r>
            <w:r w:rsidR="00B95CEA">
              <w:rPr>
                <w:rFonts w:hint="cs"/>
                <w:rtl/>
                <w:lang w:eastAsia="zh-TW"/>
              </w:rPr>
              <w:t xml:space="preserve"> </w:t>
            </w:r>
            <w:r w:rsidR="002809DC">
              <w:t>‬</w:t>
            </w:r>
            <w:r w:rsidR="002809DC">
              <w:t>‬</w:t>
            </w:r>
            <w:r w:rsidR="002809DC">
              <w:t>‬</w:t>
            </w:r>
            <w:r w:rsidR="00043E01">
              <w:t>‬</w:t>
            </w:r>
            <w:r w:rsidR="00043E01">
              <w:t>‬</w:t>
            </w:r>
            <w:r w:rsidR="00043E01">
              <w:t>‬</w:t>
            </w:r>
            <w:r w:rsidR="005E6E98">
              <w:t>‬</w:t>
            </w:r>
            <w:r w:rsidR="005E6E98">
              <w:t>‬</w:t>
            </w:r>
            <w:r w:rsidR="005E6E98">
              <w:t>‬</w:t>
            </w:r>
          </w:dir>
        </w:dir>
      </w:dir>
    </w:p>
    <w:p w:rsidR="004A5905" w:rsidRPr="004A5905" w:rsidRDefault="000E1564" w:rsidP="000E1564">
      <w:pPr>
        <w:pStyle w:val="H1GA"/>
        <w:rPr>
          <w:rtl/>
          <w:lang w:eastAsia="zh-TW"/>
        </w:rPr>
      </w:pPr>
      <w:r>
        <w:rPr>
          <w:rFonts w:cs="Times New Roman"/>
          <w:rtl/>
          <w:lang w:eastAsia="zh-TW"/>
        </w:rPr>
        <w:tab/>
      </w:r>
      <w:dir w:val="rtl">
        <w:r w:rsidR="004A5905" w:rsidRPr="004A5905">
          <w:rPr>
            <w:rFonts w:hint="cs"/>
            <w:rtl/>
            <w:lang w:eastAsia="zh-TW"/>
          </w:rPr>
          <w:t>ألف</w:t>
        </w:r>
        <w:r w:rsidR="004A5905" w:rsidRPr="004A5905">
          <w:rPr>
            <w:rtl/>
            <w:lang w:eastAsia="zh-TW"/>
          </w:rPr>
          <w:t>-</w:t>
        </w:r>
        <w:r>
          <w:rPr>
            <w:rFonts w:hint="cs"/>
            <w:rtl/>
            <w:lang w:eastAsia="zh-TW"/>
          </w:rPr>
          <w:tab/>
        </w:r>
        <w:dir w:val="rtl">
          <w:r w:rsidR="004A5905" w:rsidRPr="004A5905">
            <w:rPr>
              <w:rFonts w:hint="cs"/>
              <w:rtl/>
              <w:lang w:eastAsia="zh-TW"/>
            </w:rPr>
            <w:t>موجز</w:t>
          </w:r>
          <w:r w:rsidR="004A5905" w:rsidRPr="004A5905">
            <w:rPr>
              <w:rtl/>
              <w:lang w:eastAsia="zh-TW"/>
            </w:rPr>
            <w:t xml:space="preserve"> </w:t>
          </w:r>
          <w:r w:rsidR="004A5905" w:rsidRPr="004A5905">
            <w:rPr>
              <w:rFonts w:hint="cs"/>
              <w:rtl/>
              <w:lang w:eastAsia="zh-TW"/>
            </w:rPr>
            <w:t>المعلومات</w:t>
          </w:r>
          <w:r w:rsidR="004A5905" w:rsidRPr="004A5905">
            <w:rPr>
              <w:rtl/>
              <w:lang w:eastAsia="zh-TW"/>
            </w:rPr>
            <w:t xml:space="preserve"> </w:t>
          </w:r>
          <w:r w:rsidR="004A5905" w:rsidRPr="004A5905">
            <w:rPr>
              <w:rFonts w:hint="cs"/>
              <w:rtl/>
              <w:lang w:eastAsia="zh-TW"/>
            </w:rPr>
            <w:t>والحجج</w:t>
          </w:r>
          <w:r w:rsidR="004A5905" w:rsidRPr="004A5905">
            <w:rPr>
              <w:rtl/>
              <w:lang w:eastAsia="zh-TW"/>
            </w:rPr>
            <w:t xml:space="preserve"> </w:t>
          </w:r>
          <w:r w:rsidR="004A5905" w:rsidRPr="004A5905">
            <w:rPr>
              <w:rFonts w:hint="cs"/>
              <w:rtl/>
              <w:lang w:eastAsia="zh-TW"/>
            </w:rPr>
            <w:t>التي</w:t>
          </w:r>
          <w:r w:rsidR="004A5905" w:rsidRPr="004A5905">
            <w:rPr>
              <w:rtl/>
              <w:lang w:eastAsia="zh-TW"/>
            </w:rPr>
            <w:t xml:space="preserve"> </w:t>
          </w:r>
          <w:r w:rsidR="004A5905" w:rsidRPr="004A5905">
            <w:rPr>
              <w:rFonts w:hint="cs"/>
              <w:rtl/>
              <w:lang w:eastAsia="zh-TW"/>
            </w:rPr>
            <w:t>قدمها</w:t>
          </w:r>
          <w:r w:rsidR="004A5905" w:rsidRPr="004A5905">
            <w:rPr>
              <w:rtl/>
              <w:lang w:eastAsia="zh-TW"/>
            </w:rPr>
            <w:t xml:space="preserve"> </w:t>
          </w:r>
          <w:r w:rsidR="004A5905" w:rsidRPr="004A5905">
            <w:rPr>
              <w:rFonts w:hint="cs"/>
              <w:rtl/>
              <w:lang w:eastAsia="zh-TW"/>
            </w:rPr>
            <w:t>الطرفان</w:t>
          </w:r>
          <w:r w:rsidR="004A5905" w:rsidRPr="004A5905">
            <w:rPr>
              <w:rFonts w:cs="Times New Roman" w:hint="cs"/>
              <w:rtl/>
              <w:lang w:eastAsia="zh-TW"/>
            </w:rPr>
            <w:t>‬</w:t>
          </w:r>
          <w:r w:rsidR="004A5905" w:rsidRPr="004A5905">
            <w:rPr>
              <w:rFonts w:cs="Times New Roman" w:hint="cs"/>
              <w:rtl/>
              <w:lang w:eastAsia="zh-TW"/>
            </w:rPr>
            <w:t>‬</w:t>
          </w:r>
          <w:r w:rsidR="004A5905" w:rsidRPr="004A5905">
            <w:rPr>
              <w:rFonts w:cs="Times New Roman" w:hint="cs"/>
              <w:rtl/>
              <w:lang w:eastAsia="zh-TW"/>
            </w:rPr>
            <w:t>‬</w:t>
          </w:r>
          <w:r w:rsidR="004A5905" w:rsidRPr="004A5905">
            <w:rPr>
              <w:rFonts w:cs="Times New Roman" w:hint="cs"/>
              <w:rtl/>
              <w:lang w:eastAsia="zh-TW"/>
            </w:rPr>
            <w:t>‬</w:t>
          </w:r>
          <w:r w:rsidR="004A5905" w:rsidRPr="004A5905">
            <w:rPr>
              <w:rFonts w:cs="Times New Roman" w:hint="cs"/>
              <w:rtl/>
              <w:lang w:eastAsia="zh-TW"/>
            </w:rPr>
            <w:t>‬</w:t>
          </w:r>
          <w:r w:rsidR="002809DC">
            <w:t>‬</w:t>
          </w:r>
          <w:r w:rsidR="002809DC">
            <w:t>‬</w:t>
          </w:r>
          <w:r w:rsidR="00043E01">
            <w:t>‬</w:t>
          </w:r>
          <w:r w:rsidR="00043E01">
            <w:t>‬</w:t>
          </w:r>
          <w:r w:rsidR="005E6E98">
            <w:t>‬</w:t>
          </w:r>
          <w:r w:rsidR="005E6E98">
            <w:t>‬</w:t>
          </w:r>
        </w:dir>
      </w:dir>
    </w:p>
    <w:p w:rsidR="004A5905" w:rsidRPr="004A5905" w:rsidRDefault="004A5905" w:rsidP="000E1564">
      <w:pPr>
        <w:pStyle w:val="H23GA"/>
        <w:rPr>
          <w:rtl/>
        </w:rPr>
      </w:pPr>
      <w:r w:rsidRPr="004A5905">
        <w:rPr>
          <w:rtl/>
        </w:rPr>
        <w:tab/>
      </w:r>
      <w:r w:rsidRPr="004A5905">
        <w:rPr>
          <w:rtl/>
        </w:rPr>
        <w:tab/>
      </w:r>
      <w:dir w:val="rtl">
        <w:r w:rsidRPr="004A5905">
          <w:rPr>
            <w:rFonts w:hint="cs"/>
            <w:rtl/>
          </w:rPr>
          <w:t>الوقائع</w:t>
        </w:r>
        <w:r w:rsidRPr="004A5905">
          <w:rPr>
            <w:rtl/>
          </w:rPr>
          <w:t xml:space="preserve"> </w:t>
        </w:r>
        <w:r w:rsidRPr="004A5905">
          <w:rPr>
            <w:rFonts w:hint="cs"/>
            <w:rtl/>
          </w:rPr>
          <w:t>كما</w:t>
        </w:r>
        <w:r w:rsidRPr="004A5905">
          <w:rPr>
            <w:rtl/>
          </w:rPr>
          <w:t xml:space="preserve"> </w:t>
        </w:r>
        <w:r w:rsidRPr="004A5905">
          <w:rPr>
            <w:rFonts w:hint="cs"/>
            <w:rtl/>
          </w:rPr>
          <w:t>عرضها</w:t>
        </w:r>
        <w:r w:rsidRPr="004A5905">
          <w:rPr>
            <w:rtl/>
          </w:rPr>
          <w:t xml:space="preserve"> </w:t>
        </w:r>
        <w:r w:rsidRPr="004A5905">
          <w:rPr>
            <w:rFonts w:hint="cs"/>
            <w:rtl/>
          </w:rPr>
          <w:t>صاحب</w:t>
        </w:r>
        <w:r w:rsidRPr="004A5905">
          <w:rPr>
            <w:rtl/>
          </w:rPr>
          <w:t xml:space="preserve"> </w:t>
        </w:r>
        <w:r w:rsidRPr="004A5905">
          <w:rPr>
            <w:rFonts w:hint="cs"/>
            <w:rtl/>
          </w:rPr>
          <w:t>البلاغ</w:t>
        </w:r>
        <w:r w:rsidRPr="004A5905">
          <w:rPr>
            <w:rFonts w:cs="Times New Roman" w:hint="cs"/>
            <w:rtl/>
          </w:rPr>
          <w:t>‬</w:t>
        </w:r>
        <w:r w:rsidRPr="004A5905">
          <w:rPr>
            <w:rFonts w:cs="Times New Roman" w:hint="cs"/>
            <w:rtl/>
          </w:rPr>
          <w:t>‬</w:t>
        </w:r>
        <w:r w:rsidRPr="004A5905">
          <w:rPr>
            <w:rFonts w:cs="Times New Roman" w:hint="cs"/>
            <w:rtl/>
          </w:rPr>
          <w:t>‬</w:t>
        </w:r>
        <w:r w:rsidR="002809DC">
          <w:t>‬</w:t>
        </w:r>
        <w:r w:rsidR="00043E01">
          <w:t>‬</w:t>
        </w:r>
        <w:r w:rsidR="005E6E98">
          <w:t>‬</w:t>
        </w:r>
      </w:dir>
    </w:p>
    <w:p w:rsidR="004A5905" w:rsidRPr="004A5905" w:rsidRDefault="000E1564" w:rsidP="000E1564">
      <w:pPr>
        <w:pStyle w:val="SingleTxtGA"/>
        <w:rPr>
          <w:rtl/>
          <w:lang w:eastAsia="zh-TW"/>
        </w:rPr>
      </w:pPr>
      <w:r>
        <w:rPr>
          <w:rFonts w:hint="cs"/>
          <w:rtl/>
          <w:lang w:eastAsia="zh-TW"/>
        </w:rPr>
        <w:t>2-1</w:t>
      </w:r>
      <w:r>
        <w:rPr>
          <w:rtl/>
          <w:lang w:eastAsia="zh-TW"/>
        </w:rPr>
        <w:tab/>
      </w:r>
      <w:r w:rsidR="004A5905" w:rsidRPr="004A5905">
        <w:rPr>
          <w:rtl/>
          <w:lang w:eastAsia="zh-TW"/>
        </w:rPr>
        <w:t xml:space="preserve">صاحب البلاغ مصاب بالصمم ويحتاج إلى خدمة العرض النصي بالاختزال للاتصالات الرسمية لكي يتواصل مع الآخرين. وبموجب إشعار مؤرخ 28 شباط/فبراير 2012، استدعت </w:t>
      </w:r>
      <w:proofErr w:type="spellStart"/>
      <w:r w:rsidR="004A5905" w:rsidRPr="004A5905">
        <w:rPr>
          <w:rtl/>
          <w:lang w:eastAsia="zh-TW"/>
        </w:rPr>
        <w:t>والية</w:t>
      </w:r>
      <w:proofErr w:type="spellEnd"/>
      <w:r w:rsidR="004A5905" w:rsidRPr="004A5905">
        <w:rPr>
          <w:rtl/>
          <w:lang w:eastAsia="zh-TW"/>
        </w:rPr>
        <w:t xml:space="preserve"> القضاء في ولاية نيو ساوث ويلز صاحب البلاغ لأداء دور المحلف في 26 آذار/مارس 2012 (الاستدعاء الأول). وفي الفترة ما ب</w:t>
      </w:r>
      <w:r>
        <w:rPr>
          <w:rtl/>
          <w:lang w:eastAsia="zh-TW"/>
        </w:rPr>
        <w:t>ين 28 شباط/فبراير و19 آذار/</w:t>
      </w:r>
      <w:r>
        <w:rPr>
          <w:rFonts w:hint="cs"/>
          <w:rtl/>
          <w:lang w:eastAsia="zh-TW"/>
        </w:rPr>
        <w:t xml:space="preserve"> </w:t>
      </w:r>
      <w:r>
        <w:rPr>
          <w:rtl/>
          <w:lang w:eastAsia="zh-TW"/>
        </w:rPr>
        <w:t>مارس</w:t>
      </w:r>
      <w:r>
        <w:rPr>
          <w:rFonts w:hint="cs"/>
          <w:rtl/>
          <w:lang w:eastAsia="zh-TW"/>
        </w:rPr>
        <w:t> </w:t>
      </w:r>
      <w:r w:rsidR="004A5905" w:rsidRPr="004A5905">
        <w:rPr>
          <w:rtl/>
          <w:lang w:eastAsia="zh-TW"/>
        </w:rPr>
        <w:t xml:space="preserve">2012، خاطب صاحب البلاغ مرارا مكتب </w:t>
      </w:r>
      <w:proofErr w:type="spellStart"/>
      <w:r w:rsidR="004A5905" w:rsidRPr="004A5905">
        <w:rPr>
          <w:rtl/>
          <w:lang w:eastAsia="zh-TW"/>
        </w:rPr>
        <w:t>والية</w:t>
      </w:r>
      <w:proofErr w:type="spellEnd"/>
      <w:r w:rsidR="004A5905" w:rsidRPr="004A5905">
        <w:rPr>
          <w:rtl/>
          <w:lang w:eastAsia="zh-TW"/>
        </w:rPr>
        <w:t xml:space="preserve"> القضاء طالبا الحصول على خدمة العرض النصي بالاختزال حتى يتمكن من المشاركة في عملية اختيار المحلفين على قدم المساواة مع الآخرين. </w:t>
      </w:r>
      <w:dir w:val="rtl">
        <w:r w:rsidR="004A5905" w:rsidRPr="004A5905">
          <w:rPr>
            <w:rFonts w:ascii="Traditional Arabic" w:hAnsi="Traditional Arabic" w:hint="cs"/>
            <w:rtl/>
            <w:lang w:eastAsia="zh-TW"/>
          </w:rPr>
          <w:t>ولم</w:t>
        </w:r>
        <w:r w:rsidR="004A5905" w:rsidRPr="004A5905">
          <w:rPr>
            <w:rtl/>
            <w:lang w:eastAsia="zh-TW"/>
          </w:rPr>
          <w:t xml:space="preserve"> يتلق رداً. </w:t>
        </w:r>
        <w:r w:rsidR="004A5905" w:rsidRPr="004A5905">
          <w:rPr>
            <w:rFonts w:cs="Times New Roman" w:hint="cs"/>
            <w:rtl/>
            <w:lang w:eastAsia="zh-TW"/>
          </w:rPr>
          <w:t>‬</w:t>
        </w:r>
        <w:r w:rsidR="004A5905" w:rsidRPr="004A5905">
          <w:rPr>
            <w:rtl/>
            <w:lang w:eastAsia="zh-TW"/>
          </w:rPr>
          <w:t xml:space="preserve"> </w:t>
        </w:r>
        <w:r w:rsidR="004A5905" w:rsidRPr="004A5905">
          <w:rPr>
            <w:rFonts w:ascii="Traditional Arabic" w:hAnsi="Traditional Arabic" w:hint="cs"/>
            <w:rtl/>
            <w:lang w:eastAsia="zh-TW"/>
          </w:rPr>
          <w:t>وفي</w:t>
        </w:r>
        <w:r w:rsidR="004A5905" w:rsidRPr="004A5905">
          <w:rPr>
            <w:rtl/>
            <w:lang w:eastAsia="zh-TW"/>
          </w:rPr>
          <w:t xml:space="preserve"> 19 </w:t>
        </w:r>
        <w:r w:rsidR="004A5905" w:rsidRPr="004A5905">
          <w:rPr>
            <w:rFonts w:ascii="Traditional Arabic" w:hAnsi="Traditional Arabic" w:hint="cs"/>
            <w:rtl/>
            <w:lang w:eastAsia="zh-TW"/>
          </w:rPr>
          <w:t>آذار</w:t>
        </w:r>
        <w:r w:rsidR="004A5905" w:rsidRPr="004A5905">
          <w:rPr>
            <w:rtl/>
            <w:lang w:eastAsia="zh-TW"/>
          </w:rPr>
          <w:t>/</w:t>
        </w:r>
        <w:r w:rsidR="004A5905" w:rsidRPr="004A5905">
          <w:rPr>
            <w:rFonts w:ascii="Traditional Arabic" w:hAnsi="Traditional Arabic" w:hint="cs"/>
            <w:rtl/>
            <w:lang w:eastAsia="zh-TW"/>
          </w:rPr>
          <w:t>مارس</w:t>
        </w:r>
        <w:r w:rsidR="004A5905" w:rsidRPr="004A5905">
          <w:rPr>
            <w:rtl/>
            <w:lang w:eastAsia="zh-TW"/>
          </w:rPr>
          <w:t xml:space="preserve"> 2012</w:t>
        </w:r>
        <w:r w:rsidR="004A5905" w:rsidRPr="004A5905">
          <w:rPr>
            <w:rFonts w:ascii="Traditional Arabic" w:hAnsi="Traditional Arabic" w:hint="cs"/>
            <w:rtl/>
            <w:lang w:eastAsia="zh-TW"/>
          </w:rPr>
          <w:t>،</w:t>
        </w:r>
        <w:r w:rsidR="004A5905" w:rsidRPr="004A5905">
          <w:rPr>
            <w:rtl/>
            <w:lang w:eastAsia="zh-TW"/>
          </w:rPr>
          <w:t xml:space="preserve"> </w:t>
        </w:r>
        <w:r w:rsidR="004A5905" w:rsidRPr="004A5905">
          <w:rPr>
            <w:rFonts w:ascii="Traditional Arabic" w:hAnsi="Traditional Arabic" w:hint="cs"/>
            <w:rtl/>
            <w:lang w:eastAsia="zh-TW"/>
          </w:rPr>
          <w:t>عاود</w:t>
        </w:r>
        <w:r w:rsidR="004A5905" w:rsidRPr="004A5905">
          <w:rPr>
            <w:rtl/>
            <w:lang w:eastAsia="zh-TW"/>
          </w:rPr>
          <w:t xml:space="preserve"> </w:t>
        </w:r>
        <w:r w:rsidR="004A5905" w:rsidRPr="004A5905">
          <w:rPr>
            <w:rFonts w:ascii="Traditional Arabic" w:hAnsi="Traditional Arabic" w:hint="cs"/>
            <w:rtl/>
            <w:lang w:eastAsia="zh-TW"/>
          </w:rPr>
          <w:t>صاحب</w:t>
        </w:r>
        <w:r w:rsidR="004A5905" w:rsidRPr="004A5905">
          <w:rPr>
            <w:rtl/>
            <w:lang w:eastAsia="zh-TW"/>
          </w:rPr>
          <w:t xml:space="preserve"> </w:t>
        </w:r>
        <w:r w:rsidR="004A5905" w:rsidRPr="004A5905">
          <w:rPr>
            <w:rFonts w:ascii="Traditional Arabic" w:hAnsi="Traditional Arabic" w:hint="cs"/>
            <w:rtl/>
            <w:lang w:eastAsia="zh-TW"/>
          </w:rPr>
          <w:t>البلاغ</w:t>
        </w:r>
        <w:r w:rsidR="004A5905" w:rsidRPr="004A5905">
          <w:rPr>
            <w:rtl/>
            <w:lang w:eastAsia="zh-TW"/>
          </w:rPr>
          <w:t xml:space="preserve"> </w:t>
        </w:r>
        <w:r w:rsidR="004A5905" w:rsidRPr="004A5905">
          <w:rPr>
            <w:rFonts w:ascii="Traditional Arabic" w:hAnsi="Traditional Arabic" w:hint="cs"/>
            <w:rtl/>
            <w:lang w:eastAsia="zh-TW"/>
          </w:rPr>
          <w:t>مكتب</w:t>
        </w:r>
        <w:r w:rsidR="004A5905" w:rsidRPr="004A5905">
          <w:rPr>
            <w:rtl/>
            <w:lang w:eastAsia="zh-TW"/>
          </w:rPr>
          <w:t xml:space="preserve"> </w:t>
        </w:r>
        <w:proofErr w:type="spellStart"/>
        <w:r w:rsidR="004A5905" w:rsidRPr="004A5905">
          <w:rPr>
            <w:rFonts w:ascii="Traditional Arabic" w:hAnsi="Traditional Arabic" w:hint="cs"/>
            <w:rtl/>
            <w:lang w:eastAsia="zh-TW"/>
          </w:rPr>
          <w:t>والية</w:t>
        </w:r>
        <w:proofErr w:type="spellEnd"/>
        <w:r w:rsidR="004A5905" w:rsidRPr="004A5905">
          <w:rPr>
            <w:rtl/>
            <w:lang w:eastAsia="zh-TW"/>
          </w:rPr>
          <w:t xml:space="preserve"> </w:t>
        </w:r>
        <w:r w:rsidR="004A5905" w:rsidRPr="004A5905">
          <w:rPr>
            <w:rFonts w:ascii="Traditional Arabic" w:hAnsi="Traditional Arabic" w:hint="cs"/>
            <w:rtl/>
            <w:lang w:eastAsia="zh-TW"/>
          </w:rPr>
          <w:t>القضاء</w:t>
        </w:r>
        <w:r w:rsidR="004A5905" w:rsidRPr="004A5905">
          <w:rPr>
            <w:rtl/>
            <w:lang w:eastAsia="zh-TW"/>
          </w:rPr>
          <w:t xml:space="preserve"> </w:t>
        </w:r>
        <w:r w:rsidR="004A5905" w:rsidRPr="004A5905">
          <w:rPr>
            <w:rFonts w:ascii="Traditional Arabic" w:hAnsi="Traditional Arabic" w:hint="cs"/>
            <w:rtl/>
            <w:lang w:eastAsia="zh-TW"/>
          </w:rPr>
          <w:t>بالطلب</w:t>
        </w:r>
        <w:r w:rsidR="004A5905" w:rsidRPr="004A5905">
          <w:rPr>
            <w:rtl/>
            <w:lang w:eastAsia="zh-TW"/>
          </w:rPr>
          <w:t xml:space="preserve"> </w:t>
        </w:r>
        <w:r w:rsidR="004A5905" w:rsidRPr="004A5905">
          <w:rPr>
            <w:rFonts w:ascii="Traditional Arabic" w:hAnsi="Traditional Arabic" w:hint="cs"/>
            <w:rtl/>
            <w:lang w:eastAsia="zh-TW"/>
          </w:rPr>
          <w:t>عن</w:t>
        </w:r>
        <w:r w:rsidR="004A5905" w:rsidRPr="004A5905">
          <w:rPr>
            <w:rtl/>
            <w:lang w:eastAsia="zh-TW"/>
          </w:rPr>
          <w:t xml:space="preserve"> </w:t>
        </w:r>
        <w:r w:rsidR="004A5905" w:rsidRPr="004A5905">
          <w:rPr>
            <w:rFonts w:ascii="Traditional Arabic" w:hAnsi="Traditional Arabic" w:hint="cs"/>
            <w:rtl/>
            <w:lang w:eastAsia="zh-TW"/>
          </w:rPr>
          <w:t>طريق</w:t>
        </w:r>
        <w:r w:rsidR="004A5905" w:rsidRPr="004A5905">
          <w:rPr>
            <w:rtl/>
            <w:lang w:eastAsia="zh-TW"/>
          </w:rPr>
          <w:t xml:space="preserve"> </w:t>
        </w:r>
        <w:r w:rsidR="004A5905" w:rsidRPr="004A5905">
          <w:rPr>
            <w:rFonts w:ascii="Traditional Arabic" w:hAnsi="Traditional Arabic" w:hint="cs"/>
            <w:rtl/>
            <w:lang w:eastAsia="zh-TW"/>
          </w:rPr>
          <w:t>البريد</w:t>
        </w:r>
        <w:r w:rsidR="004A5905" w:rsidRPr="004A5905">
          <w:rPr>
            <w:rtl/>
            <w:lang w:eastAsia="zh-TW"/>
          </w:rPr>
          <w:t xml:space="preserve"> </w:t>
        </w:r>
        <w:r w:rsidR="004A5905" w:rsidRPr="004A5905">
          <w:rPr>
            <w:rFonts w:ascii="Traditional Arabic" w:hAnsi="Traditional Arabic" w:hint="cs"/>
            <w:rtl/>
            <w:lang w:eastAsia="zh-TW"/>
          </w:rPr>
          <w:t>الإلكتروني،</w:t>
        </w:r>
        <w:r w:rsidR="004A5905" w:rsidRPr="004A5905">
          <w:rPr>
            <w:rtl/>
            <w:lang w:eastAsia="zh-TW"/>
          </w:rPr>
          <w:t xml:space="preserve"> </w:t>
        </w:r>
        <w:r w:rsidR="004A5905" w:rsidRPr="004A5905">
          <w:rPr>
            <w:rFonts w:ascii="Traditional Arabic" w:hAnsi="Traditional Arabic" w:hint="cs"/>
            <w:rtl/>
            <w:lang w:eastAsia="zh-TW"/>
          </w:rPr>
          <w:t>ولكن</w:t>
        </w:r>
        <w:r w:rsidR="004A5905" w:rsidRPr="004A5905">
          <w:rPr>
            <w:rtl/>
            <w:lang w:eastAsia="zh-TW"/>
          </w:rPr>
          <w:t xml:space="preserve"> </w:t>
        </w:r>
        <w:r w:rsidR="004A5905" w:rsidRPr="004A5905">
          <w:rPr>
            <w:rFonts w:ascii="Traditional Arabic" w:hAnsi="Traditional Arabic" w:hint="cs"/>
            <w:rtl/>
            <w:lang w:eastAsia="zh-TW"/>
          </w:rPr>
          <w:t>دون</w:t>
        </w:r>
        <w:r w:rsidR="004A5905" w:rsidRPr="004A5905">
          <w:rPr>
            <w:rtl/>
            <w:lang w:eastAsia="zh-TW"/>
          </w:rPr>
          <w:t xml:space="preserve"> </w:t>
        </w:r>
        <w:r w:rsidR="004A5905" w:rsidRPr="004A5905">
          <w:rPr>
            <w:rFonts w:ascii="Traditional Arabic" w:hAnsi="Traditional Arabic" w:hint="cs"/>
            <w:rtl/>
            <w:lang w:eastAsia="zh-TW"/>
          </w:rPr>
          <w:t>جدوى</w:t>
        </w:r>
        <w:r w:rsidR="004A5905" w:rsidRPr="004A5905">
          <w:rPr>
            <w:rtl/>
            <w:lang w:eastAsia="zh-TW"/>
          </w:rPr>
          <w:t xml:space="preserve">. </w:t>
        </w:r>
        <w:r w:rsidR="004A5905" w:rsidRPr="004A5905">
          <w:rPr>
            <w:rFonts w:cs="Times New Roman" w:hint="cs"/>
            <w:rtl/>
            <w:lang w:eastAsia="zh-TW"/>
          </w:rPr>
          <w:t>‬</w:t>
        </w:r>
        <w:r w:rsidR="004A5905" w:rsidRPr="004A5905">
          <w:rPr>
            <w:rFonts w:cs="Times New Roman" w:hint="cs"/>
            <w:rtl/>
            <w:lang w:eastAsia="zh-TW"/>
          </w:rPr>
          <w:t>‬</w:t>
        </w:r>
        <w:r w:rsidR="002809DC">
          <w:t>‬</w:t>
        </w:r>
        <w:r w:rsidR="00043E01">
          <w:t>‬</w:t>
        </w:r>
        <w:r w:rsidR="005E6E98">
          <w:t>‬</w:t>
        </w:r>
      </w:dir>
    </w:p>
    <w:p w:rsidR="004A5905" w:rsidRPr="004A5905" w:rsidRDefault="000E1564" w:rsidP="000E1564">
      <w:pPr>
        <w:pStyle w:val="SingleTxtGA"/>
        <w:rPr>
          <w:rtl/>
          <w:lang w:eastAsia="zh-TW"/>
        </w:rPr>
      </w:pPr>
      <w:r>
        <w:rPr>
          <w:rFonts w:hint="cs"/>
          <w:rtl/>
          <w:lang w:eastAsia="zh-TW"/>
        </w:rPr>
        <w:t>2-2</w:t>
      </w:r>
      <w:r>
        <w:rPr>
          <w:rtl/>
          <w:lang w:eastAsia="zh-TW"/>
        </w:rPr>
        <w:tab/>
      </w:r>
      <w:r w:rsidR="004A5905" w:rsidRPr="004A5905">
        <w:rPr>
          <w:rtl/>
          <w:lang w:eastAsia="zh-TW"/>
        </w:rPr>
        <w:t xml:space="preserve">وفي 26 آذار/مارس 2012، تلقى صاحب البلاغ رسالة من </w:t>
      </w:r>
      <w:proofErr w:type="spellStart"/>
      <w:r>
        <w:rPr>
          <w:rFonts w:hint="cs"/>
          <w:rtl/>
          <w:lang w:eastAsia="zh-TW"/>
        </w:rPr>
        <w:t>وا</w:t>
      </w:r>
      <w:r w:rsidRPr="004A5905">
        <w:rPr>
          <w:rFonts w:hint="cs"/>
          <w:rtl/>
          <w:lang w:eastAsia="zh-TW"/>
        </w:rPr>
        <w:t>لية</w:t>
      </w:r>
      <w:proofErr w:type="spellEnd"/>
      <w:r w:rsidR="004A5905" w:rsidRPr="004A5905">
        <w:rPr>
          <w:rtl/>
          <w:lang w:eastAsia="zh-TW"/>
        </w:rPr>
        <w:t xml:space="preserve"> القضاء تفيد برفض طلبه الإعفاء من أداء واجب المحلف في حين أن صاحب البلاغ لم يطلب قط شيئا</w:t>
      </w:r>
      <w:r w:rsidR="008B5358">
        <w:rPr>
          <w:rFonts w:hint="cs"/>
          <w:rtl/>
          <w:lang w:eastAsia="zh-TW"/>
        </w:rPr>
        <w:t>ً</w:t>
      </w:r>
      <w:r w:rsidR="004A5905" w:rsidRPr="004A5905">
        <w:rPr>
          <w:rtl/>
          <w:lang w:eastAsia="zh-TW"/>
        </w:rPr>
        <w:t xml:space="preserve"> من هذا القبيل. وفي 28</w:t>
      </w:r>
      <w:r w:rsidR="00673B57">
        <w:rPr>
          <w:rFonts w:hint="cs"/>
          <w:rtl/>
          <w:lang w:eastAsia="zh-TW"/>
        </w:rPr>
        <w:t xml:space="preserve"> </w:t>
      </w:r>
      <w:r w:rsidR="004A5905" w:rsidRPr="004A5905">
        <w:rPr>
          <w:rtl/>
          <w:lang w:eastAsia="zh-TW"/>
        </w:rPr>
        <w:t>آذار/مارس 2012، اتصل هاتفيا</w:t>
      </w:r>
      <w:r w:rsidR="008B5358">
        <w:rPr>
          <w:rFonts w:hint="cs"/>
          <w:rtl/>
          <w:lang w:eastAsia="zh-TW"/>
        </w:rPr>
        <w:t>ً</w:t>
      </w:r>
      <w:r w:rsidR="004A5905" w:rsidRPr="004A5905">
        <w:rPr>
          <w:rtl/>
          <w:lang w:eastAsia="zh-TW"/>
        </w:rPr>
        <w:t xml:space="preserve"> بمكتب </w:t>
      </w:r>
      <w:proofErr w:type="spellStart"/>
      <w:r w:rsidR="004A5905" w:rsidRPr="004A5905">
        <w:rPr>
          <w:rtl/>
          <w:lang w:eastAsia="zh-TW"/>
        </w:rPr>
        <w:t>والية</w:t>
      </w:r>
      <w:proofErr w:type="spellEnd"/>
      <w:r w:rsidR="004A5905" w:rsidRPr="004A5905">
        <w:rPr>
          <w:rtl/>
          <w:lang w:eastAsia="zh-TW"/>
        </w:rPr>
        <w:t xml:space="preserve"> القضاء. وأفاد بأنه لا يريد أن يعفى من أداء واجب المحلف، وطلب مجددا</w:t>
      </w:r>
      <w:r w:rsidR="008B5358">
        <w:rPr>
          <w:rFonts w:hint="cs"/>
          <w:rtl/>
          <w:lang w:eastAsia="zh-TW"/>
        </w:rPr>
        <w:t>ً</w:t>
      </w:r>
      <w:r w:rsidR="004A5905" w:rsidRPr="004A5905">
        <w:rPr>
          <w:rtl/>
          <w:lang w:eastAsia="zh-TW"/>
        </w:rPr>
        <w:t xml:space="preserve"> الحصول على خدمة العرض النصي بالاختزال. ورفض طلبه، وأشير عليه بأن يقدم شهادة طبية تثبت أنه مصاب بالصمم وإلا فرضت عليه دفع غرامة قدرها 100 1 دولار أسترالي لتخلفه عن حضور هيئة المحلفين. ولم يقدم صاحب البلاغ شهادة طبية لأنه لم يعتبر نفسه عاجزا عن أداء واجب المحلف. </w:t>
      </w:r>
      <w:dir w:val="rtl">
        <w:r w:rsidR="004A5905" w:rsidRPr="004A5905">
          <w:rPr>
            <w:rFonts w:ascii="Traditional Arabic" w:hAnsi="Traditional Arabic" w:hint="cs"/>
            <w:rtl/>
            <w:lang w:eastAsia="zh-TW"/>
          </w:rPr>
          <w:t>ولم</w:t>
        </w:r>
        <w:r w:rsidR="004A5905" w:rsidRPr="004A5905">
          <w:rPr>
            <w:rtl/>
            <w:lang w:eastAsia="zh-TW"/>
          </w:rPr>
          <w:t xml:space="preserve"> </w:t>
        </w:r>
        <w:r w:rsidR="004A5905" w:rsidRPr="004A5905">
          <w:rPr>
            <w:rFonts w:ascii="Traditional Arabic" w:hAnsi="Traditional Arabic" w:hint="cs"/>
            <w:rtl/>
            <w:lang w:eastAsia="zh-TW"/>
          </w:rPr>
          <w:t>تفرض</w:t>
        </w:r>
        <w:r w:rsidR="004A5905" w:rsidRPr="004A5905">
          <w:rPr>
            <w:rtl/>
            <w:lang w:eastAsia="zh-TW"/>
          </w:rPr>
          <w:t xml:space="preserve"> </w:t>
        </w:r>
        <w:r w:rsidR="004A5905" w:rsidRPr="004A5905">
          <w:rPr>
            <w:rFonts w:ascii="Traditional Arabic" w:hAnsi="Traditional Arabic" w:hint="cs"/>
            <w:rtl/>
            <w:lang w:eastAsia="zh-TW"/>
          </w:rPr>
          <w:t>عليه</w:t>
        </w:r>
        <w:r w:rsidR="004A5905" w:rsidRPr="004A5905">
          <w:rPr>
            <w:rtl/>
            <w:lang w:eastAsia="zh-TW"/>
          </w:rPr>
          <w:t xml:space="preserve"> </w:t>
        </w:r>
        <w:r w:rsidR="004A5905" w:rsidRPr="004A5905">
          <w:rPr>
            <w:rFonts w:ascii="Traditional Arabic" w:hAnsi="Traditional Arabic" w:hint="cs"/>
            <w:rtl/>
            <w:lang w:eastAsia="zh-TW"/>
          </w:rPr>
          <w:t>أي</w:t>
        </w:r>
        <w:r w:rsidR="004A5905" w:rsidRPr="004A5905">
          <w:rPr>
            <w:rtl/>
            <w:lang w:eastAsia="zh-TW"/>
          </w:rPr>
          <w:t xml:space="preserve"> </w:t>
        </w:r>
        <w:r w:rsidR="004A5905" w:rsidRPr="004A5905">
          <w:rPr>
            <w:rFonts w:ascii="Traditional Arabic" w:hAnsi="Traditional Arabic" w:hint="cs"/>
            <w:rtl/>
            <w:lang w:eastAsia="zh-TW"/>
          </w:rPr>
          <w:t>غرامة</w:t>
        </w:r>
        <w:r w:rsidR="004A5905" w:rsidRPr="004A5905">
          <w:rPr>
            <w:rtl/>
            <w:lang w:eastAsia="zh-TW"/>
          </w:rPr>
          <w:t xml:space="preserve"> </w:t>
        </w:r>
        <w:r w:rsidR="004A5905" w:rsidRPr="004A5905">
          <w:rPr>
            <w:rFonts w:ascii="Traditional Arabic" w:hAnsi="Traditional Arabic" w:hint="cs"/>
            <w:rtl/>
            <w:lang w:eastAsia="zh-TW"/>
          </w:rPr>
          <w:t>حتى</w:t>
        </w:r>
        <w:r w:rsidR="004A5905" w:rsidRPr="004A5905">
          <w:rPr>
            <w:rtl/>
            <w:lang w:eastAsia="zh-TW"/>
          </w:rPr>
          <w:t xml:space="preserve"> </w:t>
        </w:r>
        <w:r w:rsidR="004A5905" w:rsidRPr="004A5905">
          <w:rPr>
            <w:rFonts w:ascii="Traditional Arabic" w:hAnsi="Traditional Arabic" w:hint="cs"/>
            <w:rtl/>
            <w:lang w:eastAsia="zh-TW"/>
          </w:rPr>
          <w:t>الآن</w:t>
        </w:r>
        <w:r w:rsidR="004A5905" w:rsidRPr="004A5905">
          <w:rPr>
            <w:rtl/>
            <w:lang w:eastAsia="zh-TW"/>
          </w:rPr>
          <w:t xml:space="preserve">. </w:t>
        </w:r>
        <w:r w:rsidR="004A5905" w:rsidRPr="004A5905">
          <w:rPr>
            <w:rFonts w:cs="Times New Roman" w:hint="cs"/>
            <w:rtl/>
            <w:lang w:eastAsia="zh-TW"/>
          </w:rPr>
          <w:t>‬</w:t>
        </w:r>
        <w:r w:rsidR="004A5905" w:rsidRPr="004A5905">
          <w:rPr>
            <w:rtl/>
            <w:lang w:eastAsia="zh-TW"/>
          </w:rPr>
          <w:t xml:space="preserve"> </w:t>
        </w:r>
        <w:r w:rsidR="004A5905" w:rsidRPr="004A5905">
          <w:rPr>
            <w:rFonts w:cs="Times New Roman" w:hint="cs"/>
            <w:rtl/>
            <w:lang w:eastAsia="zh-TW"/>
          </w:rPr>
          <w:t>‬</w:t>
        </w:r>
        <w:r w:rsidR="004A5905" w:rsidRPr="004A5905">
          <w:rPr>
            <w:rFonts w:cs="Times New Roman" w:hint="cs"/>
            <w:rtl/>
            <w:lang w:eastAsia="zh-TW"/>
          </w:rPr>
          <w:t>‬</w:t>
        </w:r>
        <w:r w:rsidR="002809DC">
          <w:t>‬</w:t>
        </w:r>
        <w:r w:rsidR="00043E01">
          <w:t>‬</w:t>
        </w:r>
        <w:r w:rsidR="005E6E98">
          <w:t>‬</w:t>
        </w:r>
      </w:dir>
    </w:p>
    <w:p w:rsidR="004A5905" w:rsidRPr="004A5905" w:rsidRDefault="000E1564" w:rsidP="000E1564">
      <w:pPr>
        <w:pStyle w:val="SingleTxtGA"/>
        <w:rPr>
          <w:rtl/>
          <w:lang w:eastAsia="zh-TW"/>
        </w:rPr>
      </w:pPr>
      <w:r>
        <w:rPr>
          <w:rFonts w:hint="cs"/>
          <w:rtl/>
          <w:lang w:eastAsia="zh-TW"/>
        </w:rPr>
        <w:t>2-3</w:t>
      </w:r>
      <w:r>
        <w:rPr>
          <w:rtl/>
          <w:lang w:eastAsia="zh-TW"/>
        </w:rPr>
        <w:tab/>
      </w:r>
      <w:r w:rsidR="004A5905" w:rsidRPr="004A5905">
        <w:rPr>
          <w:rtl/>
          <w:lang w:eastAsia="zh-TW"/>
        </w:rPr>
        <w:t xml:space="preserve">وبموجب إشعار مؤرخ 3 أيار/مايو 2012، استدعت </w:t>
      </w:r>
      <w:proofErr w:type="spellStart"/>
      <w:r w:rsidR="004A5905" w:rsidRPr="004A5905">
        <w:rPr>
          <w:rtl/>
          <w:lang w:eastAsia="zh-TW"/>
        </w:rPr>
        <w:t>والية</w:t>
      </w:r>
      <w:proofErr w:type="spellEnd"/>
      <w:r w:rsidR="004A5905" w:rsidRPr="004A5905">
        <w:rPr>
          <w:rtl/>
          <w:lang w:eastAsia="zh-TW"/>
        </w:rPr>
        <w:t xml:space="preserve"> القضاء صاحب البلاغ من جديد لأداء دور المحلف في 30 أيار/مايو 2012 (الاستدعاء الثاني). وبعث صاحب البلاغ رسالة بالفاكس، مؤرخة 24 أيار/مايو 2012، إلى </w:t>
      </w:r>
      <w:proofErr w:type="spellStart"/>
      <w:r w:rsidR="004A5905" w:rsidRPr="004A5905">
        <w:rPr>
          <w:rtl/>
          <w:lang w:eastAsia="zh-TW"/>
        </w:rPr>
        <w:t>والية</w:t>
      </w:r>
      <w:proofErr w:type="spellEnd"/>
      <w:r w:rsidR="004A5905" w:rsidRPr="004A5905">
        <w:rPr>
          <w:rtl/>
          <w:lang w:eastAsia="zh-TW"/>
        </w:rPr>
        <w:t xml:space="preserve"> القضاء </w:t>
      </w:r>
      <w:proofErr w:type="spellStart"/>
      <w:r w:rsidR="004A5905" w:rsidRPr="004A5905">
        <w:rPr>
          <w:rtl/>
          <w:lang w:eastAsia="zh-TW"/>
        </w:rPr>
        <w:t>يخطرها</w:t>
      </w:r>
      <w:proofErr w:type="spellEnd"/>
      <w:r w:rsidR="004A5905" w:rsidRPr="004A5905">
        <w:rPr>
          <w:rtl/>
          <w:lang w:eastAsia="zh-TW"/>
        </w:rPr>
        <w:t xml:space="preserve"> فيها بأنه يملك الأهلية والقدرة والاستعداد لأداء واجب المحلف وطلب تو</w:t>
      </w:r>
      <w:r w:rsidR="006B0B45">
        <w:rPr>
          <w:rtl/>
          <w:lang w:eastAsia="zh-TW"/>
        </w:rPr>
        <w:t xml:space="preserve">فير خدمة العرض النصي بالاختزال </w:t>
      </w:r>
      <w:r w:rsidR="004A5905" w:rsidRPr="004A5905">
        <w:rPr>
          <w:rtl/>
          <w:lang w:eastAsia="zh-TW"/>
        </w:rPr>
        <w:t xml:space="preserve">على سبيل التكييف للملاءمة. وأصر على </w:t>
      </w:r>
      <w:proofErr w:type="spellStart"/>
      <w:r w:rsidR="004A5905" w:rsidRPr="004A5905">
        <w:rPr>
          <w:rtl/>
          <w:lang w:eastAsia="zh-TW"/>
        </w:rPr>
        <w:t>والية</w:t>
      </w:r>
      <w:proofErr w:type="spellEnd"/>
      <w:r w:rsidR="004A5905" w:rsidRPr="004A5905">
        <w:rPr>
          <w:rtl/>
          <w:lang w:eastAsia="zh-TW"/>
        </w:rPr>
        <w:t xml:space="preserve"> القضاء أن توفر له خدمة العرض النصي وإلا رفع شكوى بدعوى التعرض للتمييز على أساس الإعاقة إلى اللجنة الأسترالية لحقوق الإنسان بموجب القانون </w:t>
      </w:r>
      <w:r w:rsidR="004A5905" w:rsidRPr="006B0B45">
        <w:rPr>
          <w:spacing w:val="-2"/>
          <w:rtl/>
          <w:lang w:eastAsia="zh-TW"/>
        </w:rPr>
        <w:lastRenderedPageBreak/>
        <w:t>المتعلق بالتمي</w:t>
      </w:r>
      <w:r w:rsidRPr="006B0B45">
        <w:rPr>
          <w:spacing w:val="-2"/>
          <w:rtl/>
          <w:lang w:eastAsia="zh-TW"/>
        </w:rPr>
        <w:t>يز على أساس الإعاقة لعام 1992</w:t>
      </w:r>
      <w:r w:rsidR="002A572D" w:rsidRPr="006B0B45">
        <w:rPr>
          <w:spacing w:val="-2"/>
          <w:vertAlign w:val="superscript"/>
          <w:rtl/>
          <w:lang w:eastAsia="zh-TW"/>
        </w:rPr>
        <w:t>(</w:t>
      </w:r>
      <w:r w:rsidR="002A572D" w:rsidRPr="006B0B45">
        <w:rPr>
          <w:rStyle w:val="FootnoteReference"/>
          <w:spacing w:val="-2"/>
          <w:rtl/>
          <w:lang w:eastAsia="zh-TW"/>
        </w:rPr>
        <w:footnoteReference w:id="3"/>
      </w:r>
      <w:r w:rsidR="002A572D" w:rsidRPr="006B0B45">
        <w:rPr>
          <w:spacing w:val="-2"/>
          <w:vertAlign w:val="superscript"/>
          <w:rtl/>
          <w:lang w:eastAsia="zh-TW"/>
        </w:rPr>
        <w:t>)</w:t>
      </w:r>
      <w:r w:rsidRPr="006B0B45">
        <w:rPr>
          <w:spacing w:val="-2"/>
          <w:rtl/>
          <w:lang w:eastAsia="zh-TW"/>
        </w:rPr>
        <w:t xml:space="preserve">. </w:t>
      </w:r>
      <w:r w:rsidR="004A5905" w:rsidRPr="006B0B45">
        <w:rPr>
          <w:rFonts w:ascii="Traditional Arabic" w:hAnsi="Traditional Arabic" w:hint="cs"/>
          <w:spacing w:val="-2"/>
          <w:rtl/>
          <w:lang w:eastAsia="zh-TW"/>
        </w:rPr>
        <w:t>ولم</w:t>
      </w:r>
      <w:r w:rsidR="004A5905" w:rsidRPr="006B0B45">
        <w:rPr>
          <w:spacing w:val="-2"/>
          <w:rtl/>
          <w:lang w:eastAsia="zh-TW"/>
        </w:rPr>
        <w:t xml:space="preserve"> </w:t>
      </w:r>
      <w:r w:rsidR="004A5905" w:rsidRPr="006B0B45">
        <w:rPr>
          <w:rFonts w:ascii="Traditional Arabic" w:hAnsi="Traditional Arabic" w:hint="cs"/>
          <w:spacing w:val="-2"/>
          <w:rtl/>
          <w:lang w:eastAsia="zh-TW"/>
        </w:rPr>
        <w:t>يتلق</w:t>
      </w:r>
      <w:r w:rsidR="004A5905" w:rsidRPr="006B0B45">
        <w:rPr>
          <w:spacing w:val="-2"/>
          <w:rtl/>
          <w:lang w:eastAsia="zh-TW"/>
        </w:rPr>
        <w:t xml:space="preserve"> </w:t>
      </w:r>
      <w:r w:rsidR="004A5905" w:rsidRPr="006B0B45">
        <w:rPr>
          <w:rFonts w:ascii="Traditional Arabic" w:hAnsi="Traditional Arabic" w:hint="cs"/>
          <w:spacing w:val="-2"/>
          <w:rtl/>
          <w:lang w:eastAsia="zh-TW"/>
        </w:rPr>
        <w:t>أي</w:t>
      </w:r>
      <w:r w:rsidR="004A5905" w:rsidRPr="006B0B45">
        <w:rPr>
          <w:spacing w:val="-2"/>
          <w:rtl/>
          <w:lang w:eastAsia="zh-TW"/>
        </w:rPr>
        <w:t xml:space="preserve"> </w:t>
      </w:r>
      <w:r w:rsidR="004A5905" w:rsidRPr="006B0B45">
        <w:rPr>
          <w:rFonts w:ascii="Traditional Arabic" w:hAnsi="Traditional Arabic" w:hint="cs"/>
          <w:spacing w:val="-2"/>
          <w:rtl/>
          <w:lang w:eastAsia="zh-TW"/>
        </w:rPr>
        <w:t>رد</w:t>
      </w:r>
      <w:r w:rsidRPr="006B0B45">
        <w:rPr>
          <w:spacing w:val="-2"/>
          <w:rtl/>
          <w:lang w:eastAsia="zh-TW"/>
        </w:rPr>
        <w:t>.</w:t>
      </w:r>
      <w:r w:rsidR="004A5905" w:rsidRPr="006B0B45">
        <w:rPr>
          <w:spacing w:val="-2"/>
          <w:rtl/>
          <w:lang w:eastAsia="zh-TW"/>
        </w:rPr>
        <w:t xml:space="preserve"> </w:t>
      </w:r>
      <w:r w:rsidR="004A5905" w:rsidRPr="006B0B45">
        <w:rPr>
          <w:rFonts w:ascii="Traditional Arabic" w:hAnsi="Traditional Arabic" w:hint="cs"/>
          <w:spacing w:val="-2"/>
          <w:rtl/>
          <w:lang w:eastAsia="zh-TW"/>
        </w:rPr>
        <w:t>وفي</w:t>
      </w:r>
      <w:r w:rsidR="004A5905" w:rsidRPr="006B0B45">
        <w:rPr>
          <w:spacing w:val="-2"/>
          <w:rtl/>
          <w:lang w:eastAsia="zh-TW"/>
        </w:rPr>
        <w:t xml:space="preserve"> 30 </w:t>
      </w:r>
      <w:r w:rsidR="004A5905" w:rsidRPr="006B0B45">
        <w:rPr>
          <w:rFonts w:ascii="Traditional Arabic" w:hAnsi="Traditional Arabic" w:hint="cs"/>
          <w:spacing w:val="-2"/>
          <w:rtl/>
          <w:lang w:eastAsia="zh-TW"/>
        </w:rPr>
        <w:t>أيار</w:t>
      </w:r>
      <w:r w:rsidR="004A5905" w:rsidRPr="006B0B45">
        <w:rPr>
          <w:spacing w:val="-2"/>
          <w:rtl/>
          <w:lang w:eastAsia="zh-TW"/>
        </w:rPr>
        <w:t>/</w:t>
      </w:r>
      <w:r w:rsidR="004A5905" w:rsidRPr="006B0B45">
        <w:rPr>
          <w:rFonts w:ascii="Traditional Arabic" w:hAnsi="Traditional Arabic" w:hint="cs"/>
          <w:spacing w:val="-2"/>
          <w:rtl/>
          <w:lang w:eastAsia="zh-TW"/>
        </w:rPr>
        <w:t>مايو</w:t>
      </w:r>
      <w:r w:rsidR="004A5905" w:rsidRPr="006B0B45">
        <w:rPr>
          <w:spacing w:val="-2"/>
          <w:rtl/>
          <w:lang w:eastAsia="zh-TW"/>
        </w:rPr>
        <w:t xml:space="preserve"> 2012،</w:t>
      </w:r>
      <w:r w:rsidR="004A5905" w:rsidRPr="004A5905">
        <w:rPr>
          <w:rtl/>
          <w:lang w:eastAsia="zh-TW"/>
        </w:rPr>
        <w:t xml:space="preserve"> مثل صاحب ال</w:t>
      </w:r>
      <w:r w:rsidR="006B0B45">
        <w:rPr>
          <w:rtl/>
          <w:lang w:eastAsia="zh-TW"/>
        </w:rPr>
        <w:t xml:space="preserve">بلاغ أمام محكمة </w:t>
      </w:r>
      <w:proofErr w:type="spellStart"/>
      <w:r w:rsidR="006B0B45">
        <w:rPr>
          <w:rtl/>
          <w:lang w:eastAsia="zh-TW"/>
        </w:rPr>
        <w:t>ليسمور</w:t>
      </w:r>
      <w:proofErr w:type="spellEnd"/>
      <w:r w:rsidR="006B0B45">
        <w:rPr>
          <w:rtl/>
          <w:lang w:eastAsia="zh-TW"/>
        </w:rPr>
        <w:t xml:space="preserve">. وأخبره </w:t>
      </w:r>
      <w:r w:rsidR="004A5905" w:rsidRPr="004A5905">
        <w:rPr>
          <w:rtl/>
          <w:lang w:eastAsia="zh-TW"/>
        </w:rPr>
        <w:t xml:space="preserve">موظف في مكتب </w:t>
      </w:r>
      <w:proofErr w:type="spellStart"/>
      <w:r w:rsidR="004A5905" w:rsidRPr="004A5905">
        <w:rPr>
          <w:rtl/>
          <w:lang w:eastAsia="zh-TW"/>
        </w:rPr>
        <w:t>والية</w:t>
      </w:r>
      <w:proofErr w:type="spellEnd"/>
      <w:r w:rsidR="004A5905" w:rsidRPr="004A5905">
        <w:rPr>
          <w:rtl/>
          <w:lang w:eastAsia="zh-TW"/>
        </w:rPr>
        <w:t xml:space="preserve"> القضاء أن خدمة العرض النصي لن تتاح له.</w:t>
      </w:r>
      <w:r w:rsidR="006B0B45">
        <w:rPr>
          <w:rtl/>
          <w:lang w:eastAsia="zh-TW"/>
        </w:rPr>
        <w:t xml:space="preserve"> و</w:t>
      </w:r>
      <w:r w:rsidR="004A5905" w:rsidRPr="004A5905">
        <w:rPr>
          <w:rtl/>
          <w:lang w:eastAsia="zh-TW"/>
        </w:rPr>
        <w:t>قال صاحب الب</w:t>
      </w:r>
      <w:r w:rsidR="006B0B45">
        <w:rPr>
          <w:rtl/>
          <w:lang w:eastAsia="zh-TW"/>
        </w:rPr>
        <w:t>لاغ لموظف المحكمة إنه يمكنه</w:t>
      </w:r>
      <w:r w:rsidR="004A5905" w:rsidRPr="004A5905">
        <w:rPr>
          <w:rtl/>
          <w:lang w:eastAsia="zh-TW"/>
        </w:rPr>
        <w:t xml:space="preserve"> المشاركة بواسطة جهاز تواصل شخصي يقوم مقام "محرر محاضر المحكمة" ويحول الكلام المنطوق إلى نص مكتوب،</w:t>
      </w:r>
      <w:r w:rsidR="006B0B45">
        <w:rPr>
          <w:rtl/>
          <w:lang w:eastAsia="zh-TW"/>
        </w:rPr>
        <w:t xml:space="preserve"> و</w:t>
      </w:r>
      <w:r w:rsidR="004A5905" w:rsidRPr="004A5905">
        <w:rPr>
          <w:rtl/>
          <w:lang w:eastAsia="zh-TW"/>
        </w:rPr>
        <w:t xml:space="preserve">أطلع موظف المحكمة على هذا الجهاز. وأُبلِغ بأنه لن يسمح له بالمشاركة في عملية اختيار المحلفين لإصابته بالصمم. </w:t>
      </w:r>
      <w:r w:rsidR="004A5905" w:rsidRPr="004A5905">
        <w:rPr>
          <w:rFonts w:cs="Times New Roman" w:hint="cs"/>
          <w:rtl/>
          <w:lang w:eastAsia="zh-TW"/>
        </w:rPr>
        <w:t>‬</w:t>
      </w:r>
      <w:r w:rsidR="004A5905" w:rsidRPr="004A5905">
        <w:rPr>
          <w:rFonts w:cs="Times New Roman" w:hint="cs"/>
          <w:rtl/>
          <w:lang w:eastAsia="zh-TW"/>
        </w:rPr>
        <w:t>‬</w:t>
      </w:r>
    </w:p>
    <w:p w:rsidR="004A5905" w:rsidRPr="004A5905" w:rsidRDefault="000E1564" w:rsidP="000E1564">
      <w:pPr>
        <w:pStyle w:val="SingleTxtGA"/>
        <w:rPr>
          <w:rtl/>
          <w:lang w:eastAsia="zh-TW"/>
        </w:rPr>
      </w:pPr>
      <w:r>
        <w:rPr>
          <w:rFonts w:hint="cs"/>
          <w:rtl/>
          <w:lang w:eastAsia="zh-TW"/>
        </w:rPr>
        <w:t>2-4</w:t>
      </w:r>
      <w:r>
        <w:rPr>
          <w:rFonts w:hint="cs"/>
          <w:rtl/>
          <w:lang w:eastAsia="zh-TW"/>
        </w:rPr>
        <w:tab/>
      </w:r>
      <w:r w:rsidR="004A5905" w:rsidRPr="004A5905">
        <w:rPr>
          <w:rtl/>
          <w:lang w:eastAsia="zh-TW"/>
        </w:rPr>
        <w:t xml:space="preserve">وبموجب إشعار مؤرخ 13 تموز/يوليه 2012، استدعت </w:t>
      </w:r>
      <w:proofErr w:type="spellStart"/>
      <w:r w:rsidR="004A5905" w:rsidRPr="004A5905">
        <w:rPr>
          <w:rtl/>
          <w:lang w:eastAsia="zh-TW"/>
        </w:rPr>
        <w:t>والية</w:t>
      </w:r>
      <w:proofErr w:type="spellEnd"/>
      <w:r w:rsidR="004A5905" w:rsidRPr="004A5905">
        <w:rPr>
          <w:rtl/>
          <w:lang w:eastAsia="zh-TW"/>
        </w:rPr>
        <w:t xml:space="preserve"> القضاء، صاحب البلاغ من جديد لأداء دور المحلف في 15 آب/أغسطس 2012 (الاستدعاء الثالث). وفي رسالة مؤرخة 20 تموز/يوليه 2012، أظهر صاحب البلاغ استعداده مجددا</w:t>
      </w:r>
      <w:r w:rsidR="008B5358">
        <w:rPr>
          <w:rFonts w:hint="cs"/>
          <w:rtl/>
          <w:lang w:eastAsia="zh-TW"/>
        </w:rPr>
        <w:t>ً</w:t>
      </w:r>
      <w:r w:rsidR="004A5905" w:rsidRPr="004A5905">
        <w:rPr>
          <w:rtl/>
          <w:lang w:eastAsia="zh-TW"/>
        </w:rPr>
        <w:t xml:space="preserve"> لأداء دور المحلف، وأصر من جديد على الحصول على خدمة العرض النصي، وإلا تقدم بشكوى بدعوى التعرض للتمييز على أساس الإعاقة إلى اللجنة الأسترالية لحقوق الإنسان بموجب قانون مكافحة التمييز على أساس الإعاقة. وفي 27 تموز/يوليه 2012، رفضت </w:t>
      </w:r>
      <w:proofErr w:type="spellStart"/>
      <w:r w:rsidR="004A5905" w:rsidRPr="004A5905">
        <w:rPr>
          <w:rtl/>
          <w:lang w:eastAsia="zh-TW"/>
        </w:rPr>
        <w:t>والية</w:t>
      </w:r>
      <w:proofErr w:type="spellEnd"/>
      <w:r w:rsidR="004A5905" w:rsidRPr="004A5905">
        <w:rPr>
          <w:rtl/>
          <w:lang w:eastAsia="zh-TW"/>
        </w:rPr>
        <w:t xml:space="preserve"> القضاء طلب صاحب البلاغ مشيرة إلى أن "مشاركة شخص يعاني من إعاقة سمعية في عملية اختيار المحلفين أمر ممكن ... باستخدام أجهزة مساعدة على السمع</w:t>
      </w:r>
      <w:r w:rsidR="006B0B45">
        <w:rPr>
          <w:rtl/>
          <w:lang w:eastAsia="zh-TW"/>
        </w:rPr>
        <w:t xml:space="preserve">. </w:t>
      </w:r>
      <w:r w:rsidR="004A5905" w:rsidRPr="004A5905">
        <w:rPr>
          <w:rtl/>
          <w:lang w:eastAsia="zh-TW"/>
        </w:rPr>
        <w:t>ومع أن العرض النصي بالاختزال يمكن توفيره لعرض الأدلة في قاعة المحكمة</w:t>
      </w:r>
      <w:r>
        <w:rPr>
          <w:rFonts w:hint="cs"/>
          <w:rtl/>
          <w:lang w:eastAsia="zh-TW"/>
        </w:rPr>
        <w:t xml:space="preserve"> </w:t>
      </w:r>
      <w:r w:rsidR="004A5905" w:rsidRPr="004A5905">
        <w:rPr>
          <w:rtl/>
          <w:lang w:eastAsia="zh-TW"/>
        </w:rPr>
        <w:t xml:space="preserve">...، فإن المادة 48 من قانون المحلفين لعام 1977 لا تجيز استخدام هذه التقنية خلال مداولات أعضاء هيئة المحلفين في قاعة المحلفين [إذ] </w:t>
      </w:r>
      <w:r w:rsidR="006B0B45">
        <w:rPr>
          <w:rtl/>
          <w:lang w:eastAsia="zh-TW"/>
        </w:rPr>
        <w:t xml:space="preserve">أن ذلك سيؤدي إلى جلب شخص </w:t>
      </w:r>
      <w:r w:rsidR="004A5905" w:rsidRPr="004A5905">
        <w:rPr>
          <w:rtl/>
          <w:lang w:eastAsia="zh-TW"/>
        </w:rPr>
        <w:t>من غير المحلفين، لم يستدع ولم يخضع لعملية الاقتراع العشوائي، إلى قاعة مداولات هيئة المحلفين. والمداولات في قاعة المحلفين هي عملية سرية والمحلفون ملزمون بالحفاظ على هذه السرية". ويدفع صاحب البلاغ بأنه مصاب بصمم شديد ويتعذر عليه سماع الأصوات بواسطة أجهزة السمع المعينة. ويؤكد كذلك أن ا</w:t>
      </w:r>
      <w:r>
        <w:rPr>
          <w:rtl/>
          <w:lang w:eastAsia="zh-TW"/>
        </w:rPr>
        <w:t>لمادة 48 من قانون المحلفين لعام</w:t>
      </w:r>
      <w:r>
        <w:rPr>
          <w:rFonts w:hint="cs"/>
          <w:rtl/>
          <w:lang w:eastAsia="zh-TW"/>
        </w:rPr>
        <w:t> </w:t>
      </w:r>
      <w:r w:rsidR="004A5905" w:rsidRPr="004A5905">
        <w:rPr>
          <w:rtl/>
          <w:lang w:eastAsia="zh-TW"/>
        </w:rPr>
        <w:t>1977 (</w:t>
      </w:r>
      <w:proofErr w:type="spellStart"/>
      <w:r w:rsidR="004A5905" w:rsidRPr="004A5905">
        <w:rPr>
          <w:rtl/>
          <w:lang w:eastAsia="zh-TW"/>
        </w:rPr>
        <w:t>نيوساوث</w:t>
      </w:r>
      <w:proofErr w:type="spellEnd"/>
      <w:r w:rsidR="004A5905" w:rsidRPr="004A5905">
        <w:rPr>
          <w:rtl/>
          <w:lang w:eastAsia="zh-TW"/>
        </w:rPr>
        <w:t xml:space="preserve"> ويلز) لا تنظم استخدام تقنية العرض النصي بالاختزال في قاعة المحلفين أو مشاركة الصم في أداء واجب المحلف.</w:t>
      </w:r>
      <w:r>
        <w:rPr>
          <w:rFonts w:hint="cs"/>
          <w:rtl/>
          <w:lang w:eastAsia="zh-TW"/>
        </w:rPr>
        <w:t xml:space="preserve"> </w:t>
      </w:r>
    </w:p>
    <w:p w:rsidR="004A5905" w:rsidRPr="004A5905" w:rsidRDefault="000E1564" w:rsidP="008B5358">
      <w:pPr>
        <w:pStyle w:val="SingleTxtGA"/>
        <w:rPr>
          <w:rtl/>
          <w:lang w:eastAsia="zh-TW"/>
        </w:rPr>
      </w:pPr>
      <w:r>
        <w:rPr>
          <w:rFonts w:hint="cs"/>
          <w:rtl/>
          <w:lang w:eastAsia="zh-TW"/>
        </w:rPr>
        <w:t>2-5</w:t>
      </w:r>
      <w:r>
        <w:rPr>
          <w:rtl/>
          <w:lang w:eastAsia="zh-TW"/>
        </w:rPr>
        <w:tab/>
      </w:r>
      <w:r w:rsidR="004A5905" w:rsidRPr="004A5905">
        <w:rPr>
          <w:rtl/>
          <w:lang w:eastAsia="zh-TW"/>
        </w:rPr>
        <w:t xml:space="preserve">وفي 2 نيسان/أبريل 2012، قدم صاحب البلاغ شكوى إلى اللجنة الأسترالية لحقوق الإنسان، عملا بالمادة </w:t>
      </w:r>
      <w:r>
        <w:rPr>
          <w:lang w:val="fr-CH" w:eastAsia="zh-TW"/>
        </w:rPr>
        <w:t>46</w:t>
      </w:r>
      <w:r w:rsidR="008B5358">
        <w:rPr>
          <w:lang w:val="fr-CH" w:eastAsia="zh-TW"/>
        </w:rPr>
        <w:t>P</w:t>
      </w:r>
      <w:r w:rsidR="004A5905" w:rsidRPr="004A5905">
        <w:rPr>
          <w:rtl/>
          <w:lang w:eastAsia="zh-TW"/>
        </w:rPr>
        <w:t xml:space="preserve"> من القانون </w:t>
      </w:r>
      <w:r w:rsidRPr="004A5905">
        <w:rPr>
          <w:rFonts w:hint="cs"/>
          <w:rtl/>
          <w:lang w:eastAsia="zh-TW"/>
        </w:rPr>
        <w:t>الأسترالي</w:t>
      </w:r>
      <w:r w:rsidR="004A5905" w:rsidRPr="004A5905">
        <w:rPr>
          <w:rtl/>
          <w:lang w:eastAsia="zh-TW"/>
        </w:rPr>
        <w:t xml:space="preserve"> المتعلق باللجنة الأسترالية لحقو</w:t>
      </w:r>
      <w:r>
        <w:rPr>
          <w:rtl/>
          <w:lang w:eastAsia="zh-TW"/>
        </w:rPr>
        <w:t>ق الإنسان لعام</w:t>
      </w:r>
      <w:r>
        <w:rPr>
          <w:rFonts w:hint="cs"/>
          <w:rtl/>
          <w:lang w:eastAsia="zh-TW"/>
        </w:rPr>
        <w:t> </w:t>
      </w:r>
      <w:r>
        <w:rPr>
          <w:rtl/>
          <w:lang w:eastAsia="zh-TW"/>
        </w:rPr>
        <w:t>1986 (الكومنولث)</w:t>
      </w:r>
      <w:r w:rsidR="004A5905" w:rsidRPr="004A5905">
        <w:rPr>
          <w:rtl/>
          <w:lang w:eastAsia="zh-TW"/>
        </w:rPr>
        <w:t xml:space="preserve">، يدعي فيها أن ولاية نيو ساوث ويلز قد مارست ضده التمييز على أساس الإعاقة دون وجه حق، مخالفة بذلك أحكام المادتين 5 و24 من قانون مكافحة التمييز على أساس الإعاقة، إذ رفضت أن توفر له خدمة العرض النصي لتمكينه من المشاركة في عملية اختيار المحلفين في 26 آذار/مارس 2012. وفي 27 حزيران/يونيه 2012، ردت </w:t>
      </w:r>
      <w:proofErr w:type="spellStart"/>
      <w:r w:rsidR="004A5905" w:rsidRPr="004A5905">
        <w:rPr>
          <w:rtl/>
          <w:lang w:eastAsia="zh-TW"/>
        </w:rPr>
        <w:t>والية</w:t>
      </w:r>
      <w:proofErr w:type="spellEnd"/>
      <w:r w:rsidR="004A5905" w:rsidRPr="004A5905">
        <w:rPr>
          <w:rtl/>
          <w:lang w:eastAsia="zh-TW"/>
        </w:rPr>
        <w:t xml:space="preserve"> القضاء على اللجنة بنفس ما ردت به على صاحب البلاغ مضيفة أن إدارة المدعي العام والعدل، وهي كيان يتبع له مكتب </w:t>
      </w:r>
      <w:proofErr w:type="spellStart"/>
      <w:r w:rsidR="004A5905" w:rsidRPr="004A5905">
        <w:rPr>
          <w:rtl/>
          <w:lang w:eastAsia="zh-TW"/>
        </w:rPr>
        <w:t>والية</w:t>
      </w:r>
      <w:proofErr w:type="spellEnd"/>
      <w:r w:rsidR="004A5905" w:rsidRPr="004A5905">
        <w:rPr>
          <w:rtl/>
          <w:lang w:eastAsia="zh-TW"/>
        </w:rPr>
        <w:t xml:space="preserve"> القضاء، لا تملك سياسة محددة تتيح للصم أداء واجب المحلف. </w:t>
      </w:r>
      <w:r w:rsidR="004A5905" w:rsidRPr="004A5905">
        <w:rPr>
          <w:rtl/>
          <w:lang w:eastAsia="zh-TW"/>
        </w:rPr>
        <w:lastRenderedPageBreak/>
        <w:t>وفي</w:t>
      </w:r>
      <w:r w:rsidR="00673B57">
        <w:rPr>
          <w:rFonts w:hint="cs"/>
          <w:rtl/>
          <w:lang w:eastAsia="zh-TW"/>
        </w:rPr>
        <w:t> </w:t>
      </w:r>
      <w:r w:rsidR="004A5905" w:rsidRPr="004A5905">
        <w:rPr>
          <w:rtl/>
          <w:lang w:eastAsia="zh-TW"/>
        </w:rPr>
        <w:t>سياق توصية قدمتها لجنة إصلاح القوانين في نيو ساوث ويلز بشأن جملة أمور بينها، ضرورة تخويل الصم أهلية العمل في هيئات المحلفين، ردت الحكومة بأن حقوق الأشخاص ذوي الإعاقة في هذا الصدد يجب أن تقيم في ضوء حقوق المتهم في محاكمة عادلة والحاجة إلى المحافظة على نظام محلفين يتسم بالكفاءة والفعالية. وإدخال خدمة العرض النصي بالاختزال يتطلب إدخال تغيير على التشريعات السارية حاليا</w:t>
      </w:r>
      <w:r>
        <w:rPr>
          <w:rFonts w:hint="cs"/>
          <w:rtl/>
          <w:lang w:eastAsia="zh-TW"/>
        </w:rPr>
        <w:t>ً</w:t>
      </w:r>
      <w:r w:rsidR="004A5905" w:rsidRPr="004A5905">
        <w:rPr>
          <w:rtl/>
          <w:lang w:eastAsia="zh-TW"/>
        </w:rPr>
        <w:t xml:space="preserve"> التي لا تؤيد ذلك فضلا عن أن الإدارة غير</w:t>
      </w:r>
      <w:r w:rsidR="002A572D">
        <w:rPr>
          <w:rtl/>
          <w:lang w:eastAsia="zh-TW"/>
        </w:rPr>
        <w:t xml:space="preserve"> قادرة على </w:t>
      </w:r>
      <w:r>
        <w:rPr>
          <w:rtl/>
          <w:lang w:eastAsia="zh-TW"/>
        </w:rPr>
        <w:t xml:space="preserve">إتاحة هذا النوع من </w:t>
      </w:r>
      <w:r w:rsidR="004A5905" w:rsidRPr="004A5905">
        <w:rPr>
          <w:rtl/>
          <w:lang w:eastAsia="zh-TW"/>
        </w:rPr>
        <w:t xml:space="preserve">التكييف لأعضاء هيئة المحلفين. </w:t>
      </w:r>
    </w:p>
    <w:p w:rsidR="004A5905" w:rsidRPr="004A5905" w:rsidRDefault="000E1564" w:rsidP="002A572D">
      <w:pPr>
        <w:pStyle w:val="SingleTxtGA"/>
        <w:rPr>
          <w:rtl/>
          <w:lang w:eastAsia="zh-TW"/>
        </w:rPr>
      </w:pPr>
      <w:r>
        <w:rPr>
          <w:rFonts w:hint="cs"/>
          <w:rtl/>
          <w:lang w:eastAsia="zh-TW"/>
        </w:rPr>
        <w:t>2-6</w:t>
      </w:r>
      <w:r>
        <w:rPr>
          <w:rtl/>
          <w:lang w:eastAsia="zh-TW"/>
        </w:rPr>
        <w:tab/>
      </w:r>
      <w:r w:rsidR="004A5905" w:rsidRPr="004A5905">
        <w:rPr>
          <w:rtl/>
          <w:lang w:eastAsia="zh-TW"/>
        </w:rPr>
        <w:t>وفي شهري حزيران/يونيه وآب/أغسطس من عام 2012، ضم صاحب البلاغ ادعاءات إضافية إلى شكواه، مشيرا إلى أن طلبه بشأن الحصول على خدمة العرض النصي بالاختزال قد رفض مجددا</w:t>
      </w:r>
      <w:r w:rsidR="008B5358">
        <w:rPr>
          <w:rFonts w:hint="cs"/>
          <w:rtl/>
          <w:lang w:eastAsia="zh-TW"/>
        </w:rPr>
        <w:t>ً</w:t>
      </w:r>
      <w:r w:rsidR="004A5905" w:rsidRPr="004A5905">
        <w:rPr>
          <w:rtl/>
          <w:lang w:eastAsia="zh-TW"/>
        </w:rPr>
        <w:t xml:space="preserve"> في 30 أيار/مايو</w:t>
      </w:r>
      <w:r w:rsidR="006B0B45">
        <w:rPr>
          <w:rtl/>
          <w:lang w:eastAsia="zh-TW"/>
        </w:rPr>
        <w:t xml:space="preserve"> و</w:t>
      </w:r>
      <w:r w:rsidR="004A5905" w:rsidRPr="004A5905">
        <w:rPr>
          <w:rtl/>
          <w:lang w:eastAsia="zh-TW"/>
        </w:rPr>
        <w:t xml:space="preserve">15 آب/أغسطس 2012. وفي آب/أغسطس من عام 2012، ردت </w:t>
      </w:r>
      <w:proofErr w:type="spellStart"/>
      <w:r w:rsidR="004A5905" w:rsidRPr="004A5905">
        <w:rPr>
          <w:rtl/>
          <w:lang w:eastAsia="zh-TW"/>
        </w:rPr>
        <w:t>والية</w:t>
      </w:r>
      <w:proofErr w:type="spellEnd"/>
      <w:r w:rsidR="004A5905" w:rsidRPr="004A5905">
        <w:rPr>
          <w:rtl/>
          <w:lang w:eastAsia="zh-TW"/>
        </w:rPr>
        <w:t xml:space="preserve"> القضاء على هذه الادعاءات بالصيغة نفسها التي وردت في ردودها السابقة، وأضافت ما يلي:</w:t>
      </w:r>
      <w:r>
        <w:rPr>
          <w:rFonts w:hint="cs"/>
          <w:rtl/>
          <w:lang w:eastAsia="zh-TW"/>
        </w:rPr>
        <w:t xml:space="preserve"> </w:t>
      </w:r>
    </w:p>
    <w:p w:rsidR="004A5905" w:rsidRPr="004A5905" w:rsidRDefault="003D58CC" w:rsidP="00A94FBB">
      <w:pPr>
        <w:pStyle w:val="SingleTxtGA"/>
        <w:ind w:left="1928"/>
        <w:rPr>
          <w:rtl/>
          <w:lang w:eastAsia="zh-TW"/>
        </w:rPr>
      </w:pPr>
      <w:r>
        <w:rPr>
          <w:rFonts w:hint="cs"/>
          <w:rtl/>
          <w:lang w:eastAsia="zh-TW"/>
        </w:rPr>
        <w:tab/>
      </w:r>
      <w:r w:rsidR="004A5905" w:rsidRPr="004A5905">
        <w:rPr>
          <w:rtl/>
          <w:lang w:eastAsia="zh-TW"/>
        </w:rPr>
        <w:t xml:space="preserve">نظرت الحكومة بعناية في </w:t>
      </w:r>
      <w:r w:rsidR="000E1564">
        <w:rPr>
          <w:rtl/>
          <w:lang w:eastAsia="zh-TW"/>
        </w:rPr>
        <w:t>توصيات لجنة إصلاح القوانين</w:t>
      </w:r>
      <w:r w:rsidR="004A5905" w:rsidRPr="004A5905">
        <w:rPr>
          <w:rtl/>
          <w:lang w:eastAsia="zh-TW"/>
        </w:rPr>
        <w:t xml:space="preserve"> و... قررت عدم إدخال أي تغيير على الأحكام التشريعية التي تنظم هذا المجال. وعليه، فإن أهلية الشخص لأداء واجب المحلف هي مسألة ينبغي أن ينظر فيها على أساس كل حالة على حدة بحسب الظروف الخاصة للمحاكمة</w:t>
      </w:r>
      <w:r w:rsidR="000E1564">
        <w:rPr>
          <w:rFonts w:hint="cs"/>
          <w:rtl/>
          <w:lang w:eastAsia="zh-TW"/>
        </w:rPr>
        <w:t xml:space="preserve"> </w:t>
      </w:r>
      <w:r w:rsidR="004A5905" w:rsidRPr="004A5905">
        <w:rPr>
          <w:rtl/>
          <w:lang w:eastAsia="zh-TW"/>
        </w:rPr>
        <w:t>... أما الأشخاص الذين يختارون بشكل عشوائي من القائمة فيتلقون إشعارا</w:t>
      </w:r>
      <w:r w:rsidR="000E1564">
        <w:rPr>
          <w:rFonts w:hint="cs"/>
          <w:rtl/>
          <w:lang w:eastAsia="zh-TW"/>
        </w:rPr>
        <w:t>ً</w:t>
      </w:r>
      <w:r w:rsidR="004A5905" w:rsidRPr="004A5905">
        <w:rPr>
          <w:rtl/>
          <w:lang w:eastAsia="zh-TW"/>
        </w:rPr>
        <w:t xml:space="preserve"> بإدراجهم يفيد بأن اسمهم وقع عليه الاختيار وأدرج عشوائيا</w:t>
      </w:r>
      <w:r w:rsidR="000E1564">
        <w:rPr>
          <w:rFonts w:hint="cs"/>
          <w:rtl/>
          <w:lang w:eastAsia="zh-TW"/>
        </w:rPr>
        <w:t>ً</w:t>
      </w:r>
      <w:r w:rsidR="004A5905" w:rsidRPr="004A5905">
        <w:rPr>
          <w:rtl/>
          <w:lang w:eastAsia="zh-TW"/>
        </w:rPr>
        <w:t xml:space="preserve"> في</w:t>
      </w:r>
      <w:r w:rsidR="000E1564">
        <w:rPr>
          <w:rFonts w:hint="cs"/>
          <w:rtl/>
          <w:lang w:eastAsia="zh-TW"/>
        </w:rPr>
        <w:t xml:space="preserve"> </w:t>
      </w:r>
      <w:r w:rsidR="004A5905" w:rsidRPr="004A5905">
        <w:rPr>
          <w:rtl/>
          <w:lang w:eastAsia="zh-TW"/>
        </w:rPr>
        <w:t xml:space="preserve">... قائمة المحلفين. ويمكن للشخص في تلك المرحلة أن يتصل بمكتب </w:t>
      </w:r>
      <w:proofErr w:type="spellStart"/>
      <w:r w:rsidR="004A5905" w:rsidRPr="004A5905">
        <w:rPr>
          <w:rtl/>
          <w:lang w:eastAsia="zh-TW"/>
        </w:rPr>
        <w:t>والية</w:t>
      </w:r>
      <w:proofErr w:type="spellEnd"/>
      <w:r w:rsidR="004A5905" w:rsidRPr="004A5905">
        <w:rPr>
          <w:rtl/>
          <w:lang w:eastAsia="zh-TW"/>
        </w:rPr>
        <w:t xml:space="preserve"> القضاء إذا ما كان يرغب في إعفائه من أداء واجب المحلف بموجب الجدول 2 من قانون المحلفين</w:t>
      </w:r>
      <w:r w:rsidR="000E1564">
        <w:rPr>
          <w:rFonts w:hint="cs"/>
          <w:rtl/>
          <w:lang w:eastAsia="zh-TW"/>
        </w:rPr>
        <w:t xml:space="preserve"> </w:t>
      </w:r>
      <w:r w:rsidR="004A5905" w:rsidRPr="004A5905">
        <w:rPr>
          <w:rtl/>
          <w:lang w:eastAsia="zh-TW"/>
        </w:rPr>
        <w:t xml:space="preserve">... إذا كان الشخص يعاني من إعاقة تتطلب ترتيبات تيسيرية، ينبغي له أن يتصل بمكتب </w:t>
      </w:r>
      <w:proofErr w:type="spellStart"/>
      <w:r w:rsidR="004A5905" w:rsidRPr="004A5905">
        <w:rPr>
          <w:rtl/>
          <w:lang w:eastAsia="zh-TW"/>
        </w:rPr>
        <w:t>والية</w:t>
      </w:r>
      <w:proofErr w:type="spellEnd"/>
      <w:r w:rsidR="004A5905" w:rsidRPr="004A5905">
        <w:rPr>
          <w:rtl/>
          <w:lang w:eastAsia="zh-TW"/>
        </w:rPr>
        <w:t xml:space="preserve"> القضاء لإجراء تقييم يتقرر على أساسه ما إذا كان من الممكن تدبير الترتيبات </w:t>
      </w:r>
      <w:proofErr w:type="spellStart"/>
      <w:r w:rsidR="004A5905" w:rsidRPr="004A5905">
        <w:rPr>
          <w:rtl/>
          <w:lang w:eastAsia="zh-TW"/>
        </w:rPr>
        <w:t>التيسيرية</w:t>
      </w:r>
      <w:proofErr w:type="spellEnd"/>
      <w:r w:rsidR="004A5905" w:rsidRPr="004A5905">
        <w:rPr>
          <w:rtl/>
          <w:lang w:eastAsia="zh-TW"/>
        </w:rPr>
        <w:t xml:space="preserve"> المطلوبة في حالة الإعاقة تلك في محكمة بعينها. وتتمتع </w:t>
      </w:r>
      <w:proofErr w:type="spellStart"/>
      <w:r w:rsidR="004A5905" w:rsidRPr="004A5905">
        <w:rPr>
          <w:rtl/>
          <w:lang w:eastAsia="zh-TW"/>
        </w:rPr>
        <w:t>والية</w:t>
      </w:r>
      <w:proofErr w:type="spellEnd"/>
      <w:r w:rsidR="004A5905" w:rsidRPr="004A5905">
        <w:rPr>
          <w:rtl/>
          <w:lang w:eastAsia="zh-TW"/>
        </w:rPr>
        <w:t xml:space="preserve"> القضاء أيضا</w:t>
      </w:r>
      <w:r w:rsidR="000E1564">
        <w:rPr>
          <w:rFonts w:hint="cs"/>
          <w:rtl/>
          <w:lang w:eastAsia="zh-TW"/>
        </w:rPr>
        <w:t>ً</w:t>
      </w:r>
      <w:r w:rsidR="004A5905" w:rsidRPr="004A5905">
        <w:rPr>
          <w:rtl/>
          <w:lang w:eastAsia="zh-TW"/>
        </w:rPr>
        <w:t xml:space="preserve"> بسلطة تقديرية</w:t>
      </w:r>
      <w:r w:rsidR="000E1564">
        <w:rPr>
          <w:rFonts w:hint="cs"/>
          <w:rtl/>
          <w:lang w:eastAsia="zh-TW"/>
        </w:rPr>
        <w:t xml:space="preserve"> </w:t>
      </w:r>
      <w:r w:rsidR="004A5905" w:rsidRPr="004A5905">
        <w:rPr>
          <w:rtl/>
          <w:lang w:eastAsia="zh-TW"/>
        </w:rPr>
        <w:t>... لتقييم ما إذا كانت إعاقة الشخص تمنعه من أداء الواجبات المنوطة بالمحلف.</w:t>
      </w:r>
      <w:r w:rsidR="000E1564">
        <w:rPr>
          <w:rFonts w:hint="cs"/>
          <w:rtl/>
          <w:lang w:eastAsia="zh-TW"/>
        </w:rPr>
        <w:t xml:space="preserve"> </w:t>
      </w:r>
    </w:p>
    <w:p w:rsidR="004A5905" w:rsidRPr="004A5905" w:rsidRDefault="002A572D" w:rsidP="002A572D">
      <w:pPr>
        <w:pStyle w:val="SingleTxtGA"/>
        <w:rPr>
          <w:rtl/>
          <w:lang w:eastAsia="zh-TW"/>
        </w:rPr>
      </w:pPr>
      <w:r>
        <w:rPr>
          <w:rFonts w:hint="cs"/>
          <w:rtl/>
          <w:lang w:eastAsia="zh-TW"/>
        </w:rPr>
        <w:t>2-7</w:t>
      </w:r>
      <w:r>
        <w:rPr>
          <w:rtl/>
          <w:lang w:eastAsia="zh-TW"/>
        </w:rPr>
        <w:tab/>
      </w:r>
      <w:r w:rsidR="004A5905" w:rsidRPr="004A5905">
        <w:rPr>
          <w:rtl/>
          <w:lang w:eastAsia="zh-TW"/>
        </w:rPr>
        <w:t>وفي 23 تشرين الثاني/نوفمبر 2012، عقدت اللجنة الأسترالية لحقوق الإنسان اجتماع مصالحة سريا</w:t>
      </w:r>
      <w:r>
        <w:rPr>
          <w:rFonts w:hint="cs"/>
          <w:rtl/>
          <w:lang w:eastAsia="zh-TW"/>
        </w:rPr>
        <w:t>ً</w:t>
      </w:r>
      <w:r w:rsidR="004A5905" w:rsidRPr="004A5905">
        <w:rPr>
          <w:rtl/>
          <w:lang w:eastAsia="zh-TW"/>
        </w:rPr>
        <w:t xml:space="preserve"> بين صاحب البلاغ وولاية نيو ساوث ويلز. </w:t>
      </w:r>
      <w:dir w:val="rtl">
        <w:r w:rsidR="004A5905" w:rsidRPr="004A5905">
          <w:rPr>
            <w:rFonts w:ascii="Traditional Arabic" w:hAnsi="Traditional Arabic" w:hint="cs"/>
            <w:rtl/>
            <w:lang w:eastAsia="zh-TW"/>
          </w:rPr>
          <w:t>ولم</w:t>
        </w:r>
        <w:r w:rsidR="004A5905" w:rsidRPr="004A5905">
          <w:rPr>
            <w:rtl/>
            <w:lang w:eastAsia="zh-TW"/>
          </w:rPr>
          <w:t xml:space="preserve"> </w:t>
        </w:r>
        <w:r w:rsidR="004A5905" w:rsidRPr="004A5905">
          <w:rPr>
            <w:rFonts w:ascii="Traditional Arabic" w:hAnsi="Traditional Arabic" w:hint="cs"/>
            <w:rtl/>
            <w:lang w:eastAsia="zh-TW"/>
          </w:rPr>
          <w:t>يُتوصل</w:t>
        </w:r>
        <w:r w:rsidR="004A5905" w:rsidRPr="004A5905">
          <w:rPr>
            <w:rtl/>
            <w:lang w:eastAsia="zh-TW"/>
          </w:rPr>
          <w:t xml:space="preserve"> </w:t>
        </w:r>
        <w:r w:rsidR="004A5905" w:rsidRPr="004A5905">
          <w:rPr>
            <w:rFonts w:ascii="Traditional Arabic" w:hAnsi="Traditional Arabic" w:hint="cs"/>
            <w:rtl/>
            <w:lang w:eastAsia="zh-TW"/>
          </w:rPr>
          <w:t>إلى</w:t>
        </w:r>
        <w:r w:rsidR="004A5905" w:rsidRPr="004A5905">
          <w:rPr>
            <w:rtl/>
            <w:lang w:eastAsia="zh-TW"/>
          </w:rPr>
          <w:t xml:space="preserve"> </w:t>
        </w:r>
        <w:r w:rsidR="004A5905" w:rsidRPr="004A5905">
          <w:rPr>
            <w:rFonts w:ascii="Traditional Arabic" w:hAnsi="Traditional Arabic" w:hint="cs"/>
            <w:rtl/>
            <w:lang w:eastAsia="zh-TW"/>
          </w:rPr>
          <w:t>أي</w:t>
        </w:r>
        <w:r w:rsidR="004A5905" w:rsidRPr="004A5905">
          <w:rPr>
            <w:rtl/>
            <w:lang w:eastAsia="zh-TW"/>
          </w:rPr>
          <w:t xml:space="preserve"> </w:t>
        </w:r>
        <w:r w:rsidR="004A5905" w:rsidRPr="004A5905">
          <w:rPr>
            <w:rFonts w:ascii="Traditional Arabic" w:hAnsi="Traditional Arabic" w:hint="cs"/>
            <w:rtl/>
            <w:lang w:eastAsia="zh-TW"/>
          </w:rPr>
          <w:t>اتفاق</w:t>
        </w:r>
        <w:r w:rsidR="004A5905" w:rsidRPr="004A5905">
          <w:rPr>
            <w:rtl/>
            <w:lang w:eastAsia="zh-TW"/>
          </w:rPr>
          <w:t xml:space="preserve">. </w:t>
        </w:r>
        <w:r w:rsidR="004A5905" w:rsidRPr="004A5905">
          <w:rPr>
            <w:rFonts w:cs="Times New Roman" w:hint="cs"/>
            <w:rtl/>
            <w:lang w:eastAsia="zh-TW"/>
          </w:rPr>
          <w:t>‬</w:t>
        </w:r>
        <w:r w:rsidR="004A5905" w:rsidRPr="004A5905">
          <w:rPr>
            <w:rFonts w:ascii="Traditional Arabic" w:hAnsi="Traditional Arabic" w:hint="cs"/>
            <w:rtl/>
            <w:lang w:eastAsia="zh-TW"/>
          </w:rPr>
          <w:t>وتبعا</w:t>
        </w:r>
        <w:r w:rsidR="004A5905" w:rsidRPr="004A5905">
          <w:rPr>
            <w:rtl/>
            <w:lang w:eastAsia="zh-TW"/>
          </w:rPr>
          <w:t xml:space="preserve"> </w:t>
        </w:r>
        <w:r w:rsidR="004A5905" w:rsidRPr="004A5905">
          <w:rPr>
            <w:rFonts w:ascii="Traditional Arabic" w:hAnsi="Traditional Arabic" w:hint="cs"/>
            <w:rtl/>
            <w:lang w:eastAsia="zh-TW"/>
          </w:rPr>
          <w:t>لذلك</w:t>
        </w:r>
        <w:r w:rsidR="004A5905" w:rsidRPr="004A5905">
          <w:rPr>
            <w:rtl/>
            <w:lang w:eastAsia="zh-TW"/>
          </w:rPr>
          <w:t xml:space="preserve"> </w:t>
        </w:r>
        <w:r w:rsidR="004A5905" w:rsidRPr="004A5905">
          <w:rPr>
            <w:rFonts w:ascii="Traditional Arabic" w:hAnsi="Traditional Arabic" w:hint="cs"/>
            <w:rtl/>
            <w:lang w:eastAsia="zh-TW"/>
          </w:rPr>
          <w:t>أوقفت</w:t>
        </w:r>
        <w:r w:rsidR="004A5905" w:rsidRPr="004A5905">
          <w:rPr>
            <w:rtl/>
            <w:lang w:eastAsia="zh-TW"/>
          </w:rPr>
          <w:t xml:space="preserve"> </w:t>
        </w:r>
        <w:r w:rsidR="004A5905" w:rsidRPr="004A5905">
          <w:rPr>
            <w:rFonts w:ascii="Traditional Arabic" w:hAnsi="Traditional Arabic" w:hint="cs"/>
            <w:rtl/>
            <w:lang w:eastAsia="zh-TW"/>
          </w:rPr>
          <w:t>اللجنة</w:t>
        </w:r>
        <w:r w:rsidR="004A5905" w:rsidRPr="004A5905">
          <w:rPr>
            <w:rtl/>
            <w:lang w:eastAsia="zh-TW"/>
          </w:rPr>
          <w:t xml:space="preserve"> </w:t>
        </w:r>
        <w:r w:rsidR="004A5905" w:rsidRPr="004A5905">
          <w:rPr>
            <w:rFonts w:ascii="Traditional Arabic" w:hAnsi="Traditional Arabic" w:hint="cs"/>
            <w:rtl/>
            <w:lang w:eastAsia="zh-TW"/>
          </w:rPr>
          <w:t>الأسترالية</w:t>
        </w:r>
        <w:r w:rsidR="004A5905" w:rsidRPr="004A5905">
          <w:rPr>
            <w:rtl/>
            <w:lang w:eastAsia="zh-TW"/>
          </w:rPr>
          <w:t xml:space="preserve"> </w:t>
        </w:r>
        <w:r w:rsidR="004A5905" w:rsidRPr="004A5905">
          <w:rPr>
            <w:rFonts w:ascii="Traditional Arabic" w:hAnsi="Traditional Arabic" w:hint="cs"/>
            <w:rtl/>
            <w:lang w:eastAsia="zh-TW"/>
          </w:rPr>
          <w:t>لحق</w:t>
        </w:r>
        <w:r w:rsidR="004A5905" w:rsidRPr="004A5905">
          <w:rPr>
            <w:rtl/>
            <w:lang w:eastAsia="zh-TW"/>
          </w:rPr>
          <w:t xml:space="preserve">وق الإنسان شكوى صاحب البلاغ في 29 تشرين الثاني/نوفمبر 2012. ويعتقد صاحب البلاغ أنه قد استنفد جميع سبل الانتصاف المحلية المتاحة. </w:t>
        </w:r>
        <w:r w:rsidR="004A5905" w:rsidRPr="004A5905">
          <w:rPr>
            <w:rFonts w:cs="Times New Roman" w:hint="cs"/>
            <w:rtl/>
            <w:lang w:eastAsia="zh-TW"/>
          </w:rPr>
          <w:t>‬</w:t>
        </w:r>
        <w:r w:rsidR="004A5905" w:rsidRPr="004A5905">
          <w:rPr>
            <w:rFonts w:ascii="Traditional Arabic" w:hAnsi="Traditional Arabic" w:hint="cs"/>
            <w:rtl/>
            <w:lang w:eastAsia="zh-TW"/>
          </w:rPr>
          <w:t>ويدفع</w:t>
        </w:r>
        <w:r w:rsidR="004A5905" w:rsidRPr="004A5905">
          <w:rPr>
            <w:rtl/>
            <w:lang w:eastAsia="zh-TW"/>
          </w:rPr>
          <w:t xml:space="preserve"> </w:t>
        </w:r>
        <w:r w:rsidR="004A5905" w:rsidRPr="004A5905">
          <w:rPr>
            <w:rFonts w:ascii="Traditional Arabic" w:hAnsi="Traditional Arabic" w:hint="cs"/>
            <w:rtl/>
            <w:lang w:eastAsia="zh-TW"/>
          </w:rPr>
          <w:t>بأن</w:t>
        </w:r>
        <w:r w:rsidR="004A5905" w:rsidRPr="004A5905">
          <w:rPr>
            <w:rtl/>
            <w:lang w:eastAsia="zh-TW"/>
          </w:rPr>
          <w:t xml:space="preserve"> </w:t>
        </w:r>
        <w:r w:rsidR="004A5905" w:rsidRPr="004A5905">
          <w:rPr>
            <w:rFonts w:ascii="Traditional Arabic" w:hAnsi="Traditional Arabic" w:hint="cs"/>
            <w:rtl/>
            <w:lang w:eastAsia="zh-TW"/>
          </w:rPr>
          <w:t>قانون</w:t>
        </w:r>
        <w:r w:rsidR="004A5905" w:rsidRPr="004A5905">
          <w:rPr>
            <w:rtl/>
            <w:lang w:eastAsia="zh-TW"/>
          </w:rPr>
          <w:t xml:space="preserve"> </w:t>
        </w:r>
        <w:r w:rsidR="004A5905" w:rsidRPr="004A5905">
          <w:rPr>
            <w:rFonts w:ascii="Traditional Arabic" w:hAnsi="Traditional Arabic" w:hint="cs"/>
            <w:rtl/>
            <w:lang w:eastAsia="zh-TW"/>
          </w:rPr>
          <w:t>مكافحة</w:t>
        </w:r>
        <w:r w:rsidR="004A5905" w:rsidRPr="004A5905">
          <w:rPr>
            <w:rtl/>
            <w:lang w:eastAsia="zh-TW"/>
          </w:rPr>
          <w:t xml:space="preserve"> </w:t>
        </w:r>
        <w:r w:rsidR="004A5905" w:rsidRPr="004A5905">
          <w:rPr>
            <w:rFonts w:ascii="Traditional Arabic" w:hAnsi="Traditional Arabic" w:hint="cs"/>
            <w:rtl/>
            <w:lang w:eastAsia="zh-TW"/>
          </w:rPr>
          <w:t>التمييز</w:t>
        </w:r>
        <w:r w:rsidR="004A5905" w:rsidRPr="004A5905">
          <w:rPr>
            <w:rtl/>
            <w:lang w:eastAsia="zh-TW"/>
          </w:rPr>
          <w:t xml:space="preserve"> </w:t>
        </w:r>
        <w:r w:rsidR="004A5905" w:rsidRPr="004A5905">
          <w:rPr>
            <w:rFonts w:ascii="Traditional Arabic" w:hAnsi="Traditional Arabic" w:hint="cs"/>
            <w:rtl/>
            <w:lang w:eastAsia="zh-TW"/>
          </w:rPr>
          <w:t>على</w:t>
        </w:r>
        <w:r w:rsidR="004A5905" w:rsidRPr="004A5905">
          <w:rPr>
            <w:rtl/>
            <w:lang w:eastAsia="zh-TW"/>
          </w:rPr>
          <w:t xml:space="preserve"> </w:t>
        </w:r>
        <w:r w:rsidR="004A5905" w:rsidRPr="004A5905">
          <w:rPr>
            <w:rFonts w:ascii="Traditional Arabic" w:hAnsi="Traditional Arabic" w:hint="cs"/>
            <w:rtl/>
            <w:lang w:eastAsia="zh-TW"/>
          </w:rPr>
          <w:t>أساس</w:t>
        </w:r>
        <w:r w:rsidR="004A5905" w:rsidRPr="004A5905">
          <w:rPr>
            <w:rtl/>
            <w:lang w:eastAsia="zh-TW"/>
          </w:rPr>
          <w:t xml:space="preserve"> </w:t>
        </w:r>
        <w:r w:rsidR="004A5905" w:rsidRPr="004A5905">
          <w:rPr>
            <w:rFonts w:ascii="Traditional Arabic" w:hAnsi="Traditional Arabic" w:hint="cs"/>
            <w:rtl/>
            <w:lang w:eastAsia="zh-TW"/>
          </w:rPr>
          <w:t>الإعاقة</w:t>
        </w:r>
        <w:r w:rsidR="004A5905" w:rsidRPr="004A5905">
          <w:rPr>
            <w:rtl/>
            <w:lang w:eastAsia="zh-TW"/>
          </w:rPr>
          <w:t xml:space="preserve"> </w:t>
        </w:r>
        <w:r w:rsidR="004A5905" w:rsidRPr="004A5905">
          <w:rPr>
            <w:rFonts w:ascii="Traditional Arabic" w:hAnsi="Traditional Arabic" w:hint="cs"/>
            <w:rtl/>
            <w:lang w:eastAsia="zh-TW"/>
          </w:rPr>
          <w:t>يحظر</w:t>
        </w:r>
        <w:r w:rsidR="004A5905" w:rsidRPr="004A5905">
          <w:rPr>
            <w:rtl/>
            <w:lang w:eastAsia="zh-TW"/>
          </w:rPr>
          <w:t xml:space="preserve"> </w:t>
        </w:r>
        <w:r w:rsidR="004A5905" w:rsidRPr="004A5905">
          <w:rPr>
            <w:rFonts w:ascii="Traditional Arabic" w:hAnsi="Traditional Arabic" w:hint="cs"/>
            <w:rtl/>
            <w:lang w:eastAsia="zh-TW"/>
          </w:rPr>
          <w:t>التمييز</w:t>
        </w:r>
        <w:r w:rsidR="004A5905" w:rsidRPr="004A5905">
          <w:rPr>
            <w:rtl/>
            <w:lang w:eastAsia="zh-TW"/>
          </w:rPr>
          <w:t xml:space="preserve"> </w:t>
        </w:r>
        <w:r w:rsidR="004A5905" w:rsidRPr="004A5905">
          <w:rPr>
            <w:rFonts w:ascii="Traditional Arabic" w:hAnsi="Traditional Arabic" w:hint="cs"/>
            <w:rtl/>
            <w:lang w:eastAsia="zh-TW"/>
          </w:rPr>
          <w:t>على</w:t>
        </w:r>
        <w:r w:rsidR="004A5905" w:rsidRPr="004A5905">
          <w:rPr>
            <w:rtl/>
            <w:lang w:eastAsia="zh-TW"/>
          </w:rPr>
          <w:t xml:space="preserve"> </w:t>
        </w:r>
        <w:r w:rsidR="004A5905" w:rsidRPr="004A5905">
          <w:rPr>
            <w:rFonts w:ascii="Traditional Arabic" w:hAnsi="Traditional Arabic" w:hint="cs"/>
            <w:rtl/>
            <w:lang w:eastAsia="zh-TW"/>
          </w:rPr>
          <w:t>أساس</w:t>
        </w:r>
        <w:r w:rsidR="004A5905" w:rsidRPr="004A5905">
          <w:rPr>
            <w:rtl/>
            <w:lang w:eastAsia="zh-TW"/>
          </w:rPr>
          <w:t xml:space="preserve"> </w:t>
        </w:r>
        <w:r w:rsidR="004A5905" w:rsidRPr="004A5905">
          <w:rPr>
            <w:rFonts w:ascii="Traditional Arabic" w:hAnsi="Traditional Arabic" w:hint="cs"/>
            <w:rtl/>
            <w:lang w:eastAsia="zh-TW"/>
          </w:rPr>
          <w:t>الإعاقة</w:t>
        </w:r>
        <w:r w:rsidR="004A5905" w:rsidRPr="004A5905">
          <w:rPr>
            <w:rtl/>
            <w:lang w:eastAsia="zh-TW"/>
          </w:rPr>
          <w:t xml:space="preserve"> </w:t>
        </w:r>
        <w:r w:rsidR="004A5905" w:rsidRPr="004A5905">
          <w:rPr>
            <w:rFonts w:ascii="Traditional Arabic" w:hAnsi="Traditional Arabic" w:hint="cs"/>
            <w:rtl/>
            <w:lang w:eastAsia="zh-TW"/>
          </w:rPr>
          <w:t>في</w:t>
        </w:r>
        <w:r w:rsidR="004A5905" w:rsidRPr="004A5905">
          <w:rPr>
            <w:rtl/>
            <w:lang w:eastAsia="zh-TW"/>
          </w:rPr>
          <w:t xml:space="preserve"> </w:t>
        </w:r>
        <w:r w:rsidR="004A5905" w:rsidRPr="004A5905">
          <w:rPr>
            <w:rFonts w:ascii="Traditional Arabic" w:hAnsi="Traditional Arabic" w:hint="cs"/>
            <w:rtl/>
            <w:lang w:eastAsia="zh-TW"/>
          </w:rPr>
          <w:t>مجالات</w:t>
        </w:r>
        <w:r w:rsidR="004A5905" w:rsidRPr="004A5905">
          <w:rPr>
            <w:rtl/>
            <w:lang w:eastAsia="zh-TW"/>
          </w:rPr>
          <w:t xml:space="preserve"> </w:t>
        </w:r>
        <w:r w:rsidR="004A5905" w:rsidRPr="004A5905">
          <w:rPr>
            <w:rFonts w:ascii="Traditional Arabic" w:hAnsi="Traditional Arabic" w:hint="cs"/>
            <w:rtl/>
            <w:lang w:eastAsia="zh-TW"/>
          </w:rPr>
          <w:t>محددة</w:t>
        </w:r>
        <w:r w:rsidR="004A5905" w:rsidRPr="004A5905">
          <w:rPr>
            <w:rtl/>
            <w:lang w:eastAsia="zh-TW"/>
          </w:rPr>
          <w:t xml:space="preserve"> </w:t>
        </w:r>
        <w:r w:rsidR="004A5905" w:rsidRPr="004A5905">
          <w:rPr>
            <w:rFonts w:ascii="Traditional Arabic" w:hAnsi="Traditional Arabic" w:hint="cs"/>
            <w:rtl/>
            <w:lang w:eastAsia="zh-TW"/>
          </w:rPr>
          <w:t>من</w:t>
        </w:r>
        <w:r w:rsidR="004A5905" w:rsidRPr="004A5905">
          <w:rPr>
            <w:rtl/>
            <w:lang w:eastAsia="zh-TW"/>
          </w:rPr>
          <w:t xml:space="preserve"> </w:t>
        </w:r>
        <w:r w:rsidR="004A5905" w:rsidRPr="004A5905">
          <w:rPr>
            <w:rFonts w:ascii="Traditional Arabic" w:hAnsi="Traditional Arabic" w:hint="cs"/>
            <w:rtl/>
            <w:lang w:eastAsia="zh-TW"/>
          </w:rPr>
          <w:t>الحياة</w:t>
        </w:r>
        <w:r w:rsidR="004A5905" w:rsidRPr="004A5905">
          <w:rPr>
            <w:rtl/>
            <w:lang w:eastAsia="zh-TW"/>
          </w:rPr>
          <w:t xml:space="preserve"> </w:t>
        </w:r>
        <w:r w:rsidR="004A5905" w:rsidRPr="004A5905">
          <w:rPr>
            <w:rFonts w:ascii="Traditional Arabic" w:hAnsi="Traditional Arabic" w:hint="cs"/>
            <w:rtl/>
            <w:lang w:eastAsia="zh-TW"/>
          </w:rPr>
          <w:t>العامة</w:t>
        </w:r>
        <w:r w:rsidR="004A5905" w:rsidRPr="004A5905">
          <w:rPr>
            <w:rtl/>
            <w:lang w:eastAsia="zh-TW"/>
          </w:rPr>
          <w:t xml:space="preserve"> </w:t>
        </w:r>
        <w:r w:rsidR="004A5905" w:rsidRPr="004A5905">
          <w:rPr>
            <w:rFonts w:ascii="Traditional Arabic" w:hAnsi="Traditional Arabic" w:hint="cs"/>
            <w:rtl/>
            <w:lang w:eastAsia="zh-TW"/>
          </w:rPr>
          <w:t>رهنا</w:t>
        </w:r>
        <w:r w:rsidR="004A5905" w:rsidRPr="004A5905">
          <w:rPr>
            <w:rtl/>
            <w:lang w:eastAsia="zh-TW"/>
          </w:rPr>
          <w:t xml:space="preserve"> </w:t>
        </w:r>
        <w:r w:rsidR="004A5905" w:rsidRPr="004A5905">
          <w:rPr>
            <w:rFonts w:ascii="Traditional Arabic" w:hAnsi="Traditional Arabic" w:hint="cs"/>
            <w:rtl/>
            <w:lang w:eastAsia="zh-TW"/>
          </w:rPr>
          <w:t>باستثناءات</w:t>
        </w:r>
        <w:r w:rsidR="004A5905" w:rsidRPr="004A5905">
          <w:rPr>
            <w:rtl/>
            <w:lang w:eastAsia="zh-TW"/>
          </w:rPr>
          <w:t xml:space="preserve"> ودفوع معين</w:t>
        </w:r>
        <w:r>
          <w:rPr>
            <w:rtl/>
            <w:lang w:eastAsia="zh-TW"/>
          </w:rPr>
          <w:t>ة. ويتضمن قانون مكافحة التمييز</w:t>
        </w:r>
        <w:r w:rsidR="00832A0C">
          <w:rPr>
            <w:vertAlign w:val="superscript"/>
            <w:rtl/>
            <w:lang w:eastAsia="zh-TW"/>
          </w:rPr>
          <w:t>(</w:t>
        </w:r>
        <w:r w:rsidR="00832A0C">
          <w:rPr>
            <w:rStyle w:val="FootnoteReference"/>
            <w:rtl/>
            <w:lang w:eastAsia="zh-TW"/>
          </w:rPr>
          <w:footnoteReference w:id="4"/>
        </w:r>
        <w:r w:rsidR="00832A0C">
          <w:rPr>
            <w:vertAlign w:val="superscript"/>
            <w:rtl/>
            <w:lang w:eastAsia="zh-TW"/>
          </w:rPr>
          <w:t>)</w:t>
        </w:r>
        <w:r>
          <w:rPr>
            <w:rtl/>
            <w:lang w:eastAsia="zh-TW"/>
          </w:rPr>
          <w:t xml:space="preserve"> </w:t>
        </w:r>
        <w:r w:rsidR="004A5905" w:rsidRPr="004A5905">
          <w:rPr>
            <w:rtl/>
            <w:lang w:eastAsia="zh-TW"/>
          </w:rPr>
          <w:t>أيضا</w:t>
        </w:r>
        <w:r>
          <w:rPr>
            <w:rFonts w:hint="cs"/>
            <w:rtl/>
            <w:lang w:eastAsia="zh-TW"/>
          </w:rPr>
          <w:t>ً</w:t>
        </w:r>
        <w:r w:rsidR="004A5905" w:rsidRPr="004A5905">
          <w:rPr>
            <w:rtl/>
            <w:lang w:eastAsia="zh-TW"/>
          </w:rPr>
          <w:t xml:space="preserve">، أحكاما تحظر التمييز على أساس الإعاقة في مجالات محددة من مجالات الحياة </w:t>
        </w:r>
        <w:r w:rsidR="004A5905" w:rsidRPr="004A5905">
          <w:rPr>
            <w:rtl/>
            <w:lang w:eastAsia="zh-TW"/>
          </w:rPr>
          <w:lastRenderedPageBreak/>
          <w:t xml:space="preserve">العامة. ويشير صاحب البلاغ إلى أن واجب المحلف هو "واجب عام أو التزام عام"، وبالتالي، فإنه لا يحظى بالحماية بموجب هذه الأحكام. ويحظر قانون مكافحة التمييز على أساس الإعاقة ممارسة التمييز على أساس الإعاقة في تطبيق قوانين وبرامج الكومنولث؛ في حين أن قانون المحلفين لعام 1977، الذي تؤدي </w:t>
        </w:r>
        <w:proofErr w:type="spellStart"/>
        <w:r w:rsidR="004A5905" w:rsidRPr="004A5905">
          <w:rPr>
            <w:rtl/>
            <w:lang w:eastAsia="zh-TW"/>
          </w:rPr>
          <w:t>والية</w:t>
        </w:r>
        <w:proofErr w:type="spellEnd"/>
        <w:r w:rsidR="004A5905" w:rsidRPr="004A5905">
          <w:rPr>
            <w:rtl/>
            <w:lang w:eastAsia="zh-TW"/>
          </w:rPr>
          <w:t xml:space="preserve"> القضاء بموجبه مهامها المتعلقة بإدارة شؤون المحلفين، هو قانون جديد في ولاية نيو ساوث ويلز. ولا ينص قانون مكافحة التمييز على أساس الإعاقة وقانون مكافحة التمييز لعام 1992 على أي حظر للتمييز على أساس الإعاقة في تطبيق قوانين وبرامج الولاية. </w:t>
        </w:r>
        <w:r w:rsidR="004A5905" w:rsidRPr="004A5905">
          <w:rPr>
            <w:rFonts w:cs="Times New Roman" w:hint="cs"/>
            <w:rtl/>
            <w:lang w:eastAsia="zh-TW"/>
          </w:rPr>
          <w:t>‬</w:t>
        </w:r>
        <w:r w:rsidR="004A5905" w:rsidRPr="004A5905">
          <w:rPr>
            <w:rtl/>
            <w:lang w:eastAsia="zh-TW"/>
          </w:rPr>
          <w:t xml:space="preserve"> </w:t>
        </w:r>
        <w:r w:rsidR="004A5905" w:rsidRPr="004A5905">
          <w:rPr>
            <w:rFonts w:cs="Times New Roman" w:hint="cs"/>
            <w:rtl/>
            <w:lang w:eastAsia="zh-TW"/>
          </w:rPr>
          <w:t>‬</w:t>
        </w:r>
        <w:r w:rsidR="004A5905" w:rsidRPr="004A5905">
          <w:rPr>
            <w:rFonts w:cs="Times New Roman" w:hint="cs"/>
            <w:rtl/>
            <w:lang w:eastAsia="zh-TW"/>
          </w:rPr>
          <w:t>‬</w:t>
        </w:r>
        <w:r w:rsidR="002809DC">
          <w:t>‬</w:t>
        </w:r>
        <w:r w:rsidR="00043E01">
          <w:t>‬</w:t>
        </w:r>
        <w:r w:rsidR="005E6E98">
          <w:t>‬</w:t>
        </w:r>
      </w:dir>
    </w:p>
    <w:p w:rsidR="004A5905" w:rsidRPr="004A5905" w:rsidRDefault="002A572D" w:rsidP="002A572D">
      <w:pPr>
        <w:pStyle w:val="SingleTxtGA"/>
        <w:rPr>
          <w:rtl/>
          <w:lang w:eastAsia="zh-TW"/>
        </w:rPr>
      </w:pPr>
      <w:r>
        <w:rPr>
          <w:rFonts w:hint="cs"/>
          <w:rtl/>
          <w:lang w:eastAsia="zh-TW"/>
        </w:rPr>
        <w:t>2-8</w:t>
      </w:r>
      <w:r>
        <w:rPr>
          <w:rFonts w:hint="cs"/>
          <w:rtl/>
          <w:lang w:eastAsia="zh-TW"/>
        </w:rPr>
        <w:tab/>
      </w:r>
      <w:r w:rsidR="004A5905" w:rsidRPr="004A5905">
        <w:rPr>
          <w:rtl/>
          <w:lang w:eastAsia="zh-TW"/>
        </w:rPr>
        <w:t xml:space="preserve">واستند صاحب البلاغ في شكواه إلى اللجنة الأسترالية لحقوق الإنسان إلى حجة مفادها أن </w:t>
      </w:r>
      <w:proofErr w:type="spellStart"/>
      <w:r w:rsidR="004A5905" w:rsidRPr="004A5905">
        <w:rPr>
          <w:rtl/>
          <w:lang w:eastAsia="zh-TW"/>
        </w:rPr>
        <w:t>والية</w:t>
      </w:r>
      <w:proofErr w:type="spellEnd"/>
      <w:r w:rsidR="004A5905" w:rsidRPr="004A5905">
        <w:rPr>
          <w:rtl/>
          <w:lang w:eastAsia="zh-TW"/>
        </w:rPr>
        <w:t xml:space="preserve"> القضاء مسؤولة عن توفير الخدمات والتسهيلات للمحلفين الفعليين والمحتملين. وينص كل من قانون مكافحة التمييز على أساس الإعاقة وقانون مكافحة التمييز على عدم مشروعية ممارسة التمييز على أساس الإعاقة في توفير الخدمات العامة والتسهيلات. فلا اللجنة الأسترالية لحقوق الإنسان، المسؤولة عن معالجة الشكاوى المقدمة بموجب قانون مكافحة التمييز على أساس الإعاقة، ولا مجلس مكافحة التمييز في نيو ساوث ويلز، المسؤول عن معالجة الشكاوى المقدمة بموجب قانون مكافحة التمييز، يملك صلاحيات البت في شكاوى التمييز. </w:t>
      </w:r>
    </w:p>
    <w:p w:rsidR="004A5905" w:rsidRPr="004A5905" w:rsidRDefault="002A572D" w:rsidP="004A5905">
      <w:pPr>
        <w:pStyle w:val="SingleTxtGA"/>
        <w:rPr>
          <w:rtl/>
          <w:lang w:eastAsia="zh-TW"/>
        </w:rPr>
      </w:pPr>
      <w:r>
        <w:rPr>
          <w:rFonts w:hint="cs"/>
          <w:rtl/>
          <w:lang w:eastAsia="zh-TW"/>
        </w:rPr>
        <w:t>2-9</w:t>
      </w:r>
      <w:r>
        <w:rPr>
          <w:rtl/>
          <w:lang w:eastAsia="zh-TW"/>
        </w:rPr>
        <w:tab/>
      </w:r>
      <w:r w:rsidR="004A5905" w:rsidRPr="004A5905">
        <w:rPr>
          <w:rtl/>
          <w:lang w:eastAsia="zh-TW"/>
        </w:rPr>
        <w:t xml:space="preserve">ويرى صاحب البلاغ أن الذهاب أبعد من ذلك في هذه القضية، يتطلب منه تقديم طلب إلى المحكمة الاتحادية أو إلى محكمة الدائرة الاتحادية في أستراليا، التي ستقرر ما إذا كانت المهام المنوطة </w:t>
      </w:r>
      <w:proofErr w:type="spellStart"/>
      <w:r w:rsidR="004A5905" w:rsidRPr="004A5905">
        <w:rPr>
          <w:rtl/>
          <w:lang w:eastAsia="zh-TW"/>
        </w:rPr>
        <w:t>بوالية</w:t>
      </w:r>
      <w:proofErr w:type="spellEnd"/>
      <w:r w:rsidR="004A5905" w:rsidRPr="004A5905">
        <w:rPr>
          <w:rtl/>
          <w:lang w:eastAsia="zh-TW"/>
        </w:rPr>
        <w:t xml:space="preserve"> القضاء لاختيار وتشكيل هيئة المحلفين توازي "توفير الخدمات والتسهيلات" للمحلفين، وما إذا كان سلوك </w:t>
      </w:r>
      <w:proofErr w:type="spellStart"/>
      <w:r w:rsidR="004A5905" w:rsidRPr="004A5905">
        <w:rPr>
          <w:rtl/>
          <w:lang w:eastAsia="zh-TW"/>
        </w:rPr>
        <w:t>والية</w:t>
      </w:r>
      <w:proofErr w:type="spellEnd"/>
      <w:r w:rsidR="004A5905" w:rsidRPr="004A5905">
        <w:rPr>
          <w:rtl/>
          <w:lang w:eastAsia="zh-TW"/>
        </w:rPr>
        <w:t xml:space="preserve"> القضاء يدخل في إطار أحد مجالات الحياة العامة التي يحظر فيها التمييز. وعلم صاحب البلاغ من مستشار قانوني أن المحكمة القانونية قد تقضي بأن واجب المحلف ومهام </w:t>
      </w:r>
      <w:proofErr w:type="spellStart"/>
      <w:r w:rsidR="004A5905" w:rsidRPr="004A5905">
        <w:rPr>
          <w:rtl/>
          <w:lang w:eastAsia="zh-TW"/>
        </w:rPr>
        <w:t>والية</w:t>
      </w:r>
      <w:proofErr w:type="spellEnd"/>
      <w:r w:rsidR="004A5905" w:rsidRPr="004A5905">
        <w:rPr>
          <w:rtl/>
          <w:lang w:eastAsia="zh-TW"/>
        </w:rPr>
        <w:t xml:space="preserve"> القضاء في مجالي اختيار وتشكيل هيئة المحلفين لا يندرجان في إطار أي مجال من مجالات الحياة العامة، وبالتالي لا يشملهما قانون مكافحة التمييز على أساس الإعاقة. وإذا ما مضى صاحب البلاغ في الدعوى وخسرها، فإنه يتحمل النفقات القانونية لدعواه والنفقات التي تكون ولاية نيو ساوث ويلز قد </w:t>
      </w:r>
      <w:proofErr w:type="spellStart"/>
      <w:r w:rsidR="004A5905" w:rsidRPr="004A5905">
        <w:rPr>
          <w:rtl/>
          <w:lang w:eastAsia="zh-TW"/>
        </w:rPr>
        <w:t>تكبدتها</w:t>
      </w:r>
      <w:proofErr w:type="spellEnd"/>
      <w:r w:rsidR="004A5905" w:rsidRPr="004A5905">
        <w:rPr>
          <w:rtl/>
          <w:lang w:eastAsia="zh-TW"/>
        </w:rPr>
        <w:t>، أي ما يتراوح بين 50 ألف و100 ألف دولار أسترالي</w:t>
      </w:r>
      <w:r w:rsidR="00832A0C">
        <w:rPr>
          <w:vertAlign w:val="superscript"/>
          <w:rtl/>
          <w:lang w:eastAsia="zh-TW"/>
        </w:rPr>
        <w:t>(</w:t>
      </w:r>
      <w:r w:rsidR="00832A0C">
        <w:rPr>
          <w:rStyle w:val="FootnoteReference"/>
          <w:rtl/>
          <w:lang w:eastAsia="zh-TW"/>
        </w:rPr>
        <w:footnoteReference w:id="5"/>
      </w:r>
      <w:r w:rsidR="00832A0C">
        <w:rPr>
          <w:vertAlign w:val="superscript"/>
          <w:rtl/>
          <w:lang w:eastAsia="zh-TW"/>
        </w:rPr>
        <w:t>)</w:t>
      </w:r>
      <w:r w:rsidR="004A5905" w:rsidRPr="004A5905">
        <w:rPr>
          <w:rtl/>
          <w:lang w:eastAsia="zh-TW"/>
        </w:rPr>
        <w:t>،</w:t>
      </w:r>
      <w:r w:rsidR="006B0B45">
        <w:rPr>
          <w:rtl/>
          <w:lang w:eastAsia="zh-TW"/>
        </w:rPr>
        <w:t xml:space="preserve"> </w:t>
      </w:r>
      <w:r w:rsidR="004A5905" w:rsidRPr="004A5905">
        <w:rPr>
          <w:rtl/>
          <w:lang w:eastAsia="zh-TW"/>
        </w:rPr>
        <w:t xml:space="preserve">وهو ما يجعل سبل الانتصاف المحلية غير متاحة على نحو معقول بالنسبة له. </w:t>
      </w:r>
    </w:p>
    <w:p w:rsidR="004A5905" w:rsidRPr="004A5905" w:rsidRDefault="002A572D" w:rsidP="004A5905">
      <w:pPr>
        <w:pStyle w:val="SingleTxtGA"/>
        <w:rPr>
          <w:rtl/>
          <w:lang w:eastAsia="zh-TW"/>
        </w:rPr>
      </w:pPr>
      <w:r>
        <w:rPr>
          <w:rFonts w:hint="cs"/>
          <w:rtl/>
          <w:lang w:eastAsia="zh-TW"/>
        </w:rPr>
        <w:t>2-10</w:t>
      </w:r>
      <w:r>
        <w:rPr>
          <w:rtl/>
          <w:lang w:eastAsia="zh-TW"/>
        </w:rPr>
        <w:tab/>
      </w:r>
      <w:r w:rsidR="004A5905" w:rsidRPr="004A5905">
        <w:rPr>
          <w:rtl/>
          <w:lang w:eastAsia="zh-TW"/>
        </w:rPr>
        <w:t>ويدعي صاحب البلاغ أيضا أن المدعي الع</w:t>
      </w:r>
      <w:r>
        <w:rPr>
          <w:rtl/>
          <w:lang w:eastAsia="zh-TW"/>
        </w:rPr>
        <w:t>ام في نيو ساوث ويلز عمد، في عام</w:t>
      </w:r>
      <w:r>
        <w:rPr>
          <w:rFonts w:hint="cs"/>
          <w:rtl/>
          <w:lang w:eastAsia="zh-TW"/>
        </w:rPr>
        <w:t> </w:t>
      </w:r>
      <w:r w:rsidR="004A5905" w:rsidRPr="004A5905">
        <w:rPr>
          <w:rtl/>
          <w:lang w:eastAsia="zh-TW"/>
        </w:rPr>
        <w:t>2002، إلى إحالة مسألة البت فيما إذا كان بإمكان الشخص الأصم أو المكفوف أداء دور المحلف إلى لجنة إصلاح القوانين في نيو ساوث ويلز لكي تدرسها. وبعثت اللجنة تقريرا</w:t>
      </w:r>
      <w:r>
        <w:rPr>
          <w:rFonts w:hint="cs"/>
          <w:rtl/>
          <w:lang w:eastAsia="zh-TW"/>
        </w:rPr>
        <w:t>ً</w:t>
      </w:r>
      <w:r w:rsidR="004A5905" w:rsidRPr="004A5905">
        <w:rPr>
          <w:rtl/>
          <w:lang w:eastAsia="zh-TW"/>
        </w:rPr>
        <w:t xml:space="preserve"> في أيلول/سبتمبر 2006، يتضمن أربع توصيات، بينها توصية تدعو حكومة نيو ساوث ويلز إلى إدخال تعديلات على قانون المحلفين لعام 1977 (نيو</w:t>
      </w:r>
      <w:r w:rsidR="00A94FBB">
        <w:rPr>
          <w:rFonts w:hint="cs"/>
          <w:rtl/>
          <w:lang w:eastAsia="zh-TW"/>
        </w:rPr>
        <w:t xml:space="preserve"> </w:t>
      </w:r>
      <w:r w:rsidR="004A5905" w:rsidRPr="004A5905">
        <w:rPr>
          <w:rtl/>
          <w:lang w:eastAsia="zh-TW"/>
        </w:rPr>
        <w:t>ساوث ويلز) لتمكين المكفو</w:t>
      </w:r>
      <w:r>
        <w:rPr>
          <w:rtl/>
          <w:lang w:eastAsia="zh-TW"/>
        </w:rPr>
        <w:t xml:space="preserve">فين أو الصم </w:t>
      </w:r>
      <w:r>
        <w:rPr>
          <w:rtl/>
          <w:lang w:eastAsia="zh-TW"/>
        </w:rPr>
        <w:lastRenderedPageBreak/>
        <w:t>من العمل كمحلفين</w:t>
      </w:r>
      <w:r w:rsidR="00832A0C">
        <w:rPr>
          <w:vertAlign w:val="superscript"/>
          <w:rtl/>
          <w:lang w:eastAsia="zh-TW"/>
        </w:rPr>
        <w:t>(</w:t>
      </w:r>
      <w:r w:rsidR="00832A0C">
        <w:rPr>
          <w:rStyle w:val="FootnoteReference"/>
          <w:rtl/>
          <w:lang w:eastAsia="zh-TW"/>
        </w:rPr>
        <w:footnoteReference w:id="6"/>
      </w:r>
      <w:r w:rsidR="00832A0C">
        <w:rPr>
          <w:vertAlign w:val="superscript"/>
          <w:rtl/>
          <w:lang w:eastAsia="zh-TW"/>
        </w:rPr>
        <w:t>)</w:t>
      </w:r>
      <w:r>
        <w:rPr>
          <w:rtl/>
          <w:lang w:eastAsia="zh-TW"/>
        </w:rPr>
        <w:t>.</w:t>
      </w:r>
      <w:r>
        <w:rPr>
          <w:rFonts w:hint="cs"/>
          <w:rtl/>
          <w:lang w:eastAsia="zh-TW"/>
        </w:rPr>
        <w:t xml:space="preserve"> </w:t>
      </w:r>
      <w:r w:rsidR="004A5905" w:rsidRPr="004A5905">
        <w:rPr>
          <w:rtl/>
          <w:lang w:eastAsia="zh-TW"/>
        </w:rPr>
        <w:t>وفي حزيران/يونيه 2010، أعربت حكومة نيو ساوث ويلز في ردها عن رفضها للعناصر الرئيسية الواردة في توصيات اللجنة، بما في ذلك إتاحة الفرصة للصم للعمل كمحلفين بالاستعانة</w:t>
      </w:r>
      <w:r>
        <w:rPr>
          <w:rtl/>
          <w:lang w:eastAsia="zh-TW"/>
        </w:rPr>
        <w:t xml:space="preserve"> بجهاز للعرض النصي بالاختزال</w:t>
      </w:r>
      <w:r w:rsidR="00832A0C">
        <w:rPr>
          <w:vertAlign w:val="superscript"/>
          <w:rtl/>
          <w:lang w:eastAsia="zh-TW"/>
        </w:rPr>
        <w:t>(</w:t>
      </w:r>
      <w:r w:rsidR="00832A0C">
        <w:rPr>
          <w:rStyle w:val="FootnoteReference"/>
          <w:rtl/>
          <w:lang w:eastAsia="zh-TW"/>
        </w:rPr>
        <w:footnoteReference w:id="7"/>
      </w:r>
      <w:r w:rsidR="00832A0C">
        <w:rPr>
          <w:vertAlign w:val="superscript"/>
          <w:rtl/>
          <w:lang w:eastAsia="zh-TW"/>
        </w:rPr>
        <w:t>)</w:t>
      </w:r>
      <w:r>
        <w:rPr>
          <w:rtl/>
          <w:lang w:eastAsia="zh-TW"/>
        </w:rPr>
        <w:t xml:space="preserve">. </w:t>
      </w:r>
      <w:r w:rsidR="004A5905" w:rsidRPr="004A5905">
        <w:rPr>
          <w:rtl/>
          <w:lang w:eastAsia="zh-TW"/>
        </w:rPr>
        <w:t xml:space="preserve">وفي نيو ساوث ويلز، ينظم قانون المحلفين لعام 1977، بصيغته المعدلة بموجب قانون المحلفين المعدل لعام 2010، شروط الأهلية والكفاءة التي ينبغي استيفاؤها لأداء دور المحلف. ويشير صاحب البلاغ إلى أن </w:t>
      </w:r>
      <w:proofErr w:type="spellStart"/>
      <w:r w:rsidR="004A5905" w:rsidRPr="004A5905">
        <w:rPr>
          <w:rtl/>
          <w:lang w:eastAsia="zh-TW"/>
        </w:rPr>
        <w:t>والية</w:t>
      </w:r>
      <w:proofErr w:type="spellEnd"/>
      <w:r w:rsidR="004A5905" w:rsidRPr="004A5905">
        <w:rPr>
          <w:rtl/>
          <w:lang w:eastAsia="zh-TW"/>
        </w:rPr>
        <w:t xml:space="preserve"> القضاء قد منعته من أداء واجب المحلف بموجب الفقرة (4) من المادة 14 من قانون المحلفين لعام 1977. </w:t>
      </w:r>
    </w:p>
    <w:p w:rsidR="004A5905" w:rsidRPr="004A5905" w:rsidRDefault="002A572D" w:rsidP="002A572D">
      <w:pPr>
        <w:pStyle w:val="SingleTxtGA"/>
        <w:rPr>
          <w:rtl/>
          <w:lang w:eastAsia="zh-TW"/>
        </w:rPr>
      </w:pPr>
      <w:r>
        <w:rPr>
          <w:rFonts w:hint="cs"/>
          <w:rtl/>
          <w:lang w:eastAsia="zh-TW"/>
        </w:rPr>
        <w:t>2-11</w:t>
      </w:r>
      <w:r>
        <w:rPr>
          <w:rtl/>
          <w:lang w:eastAsia="zh-TW"/>
        </w:rPr>
        <w:tab/>
      </w:r>
      <w:r w:rsidR="004A5905" w:rsidRPr="004A5905">
        <w:rPr>
          <w:rtl/>
          <w:lang w:eastAsia="zh-TW"/>
        </w:rPr>
        <w:t xml:space="preserve">ويوضح صاحب البلاغ </w:t>
      </w:r>
      <w:r w:rsidR="008B5358">
        <w:rPr>
          <w:rtl/>
          <w:lang w:eastAsia="zh-TW"/>
        </w:rPr>
        <w:t>أيضاً</w:t>
      </w:r>
      <w:r w:rsidR="004A5905" w:rsidRPr="004A5905">
        <w:rPr>
          <w:rtl/>
          <w:lang w:eastAsia="zh-TW"/>
        </w:rPr>
        <w:t xml:space="preserve"> أن قانون مكافحة التمييز وقانون مكافحة التمييز على أساس الإعاقة لا يقضيان بعدم مشروعية ممارسة التمييز في جميع مجالات الحياة العامة، وعدم مشروعة ممارسة التمييز على أساس الإعاقة في مجال الواجبات المدنية، بما في ذلك أداء واجب المحلف. وبالتالي، فإنه لا توجد هناك سبل انتصاف بشأن استبعاده من أداء واجب مدني. وإذا ما مضى صاحب البلاغ في دعوى التعرض للتمييز على أساس الإعاقة، فإن </w:t>
      </w:r>
      <w:proofErr w:type="spellStart"/>
      <w:r w:rsidR="004A5905" w:rsidRPr="004A5905">
        <w:rPr>
          <w:rtl/>
          <w:lang w:eastAsia="zh-TW"/>
        </w:rPr>
        <w:t>والية</w:t>
      </w:r>
      <w:proofErr w:type="spellEnd"/>
      <w:r w:rsidR="004A5905" w:rsidRPr="004A5905">
        <w:rPr>
          <w:rtl/>
          <w:lang w:eastAsia="zh-TW"/>
        </w:rPr>
        <w:t xml:space="preserve"> القضاء ستدفع بأن المهام المنوطة بها فيما يتعلق بالمحلفين تشمل مما</w:t>
      </w:r>
      <w:r>
        <w:rPr>
          <w:rtl/>
          <w:lang w:eastAsia="zh-TW"/>
        </w:rPr>
        <w:t>رسة صلاحيات وواجبات قانونية، لا</w:t>
      </w:r>
      <w:r>
        <w:rPr>
          <w:rFonts w:hint="cs"/>
          <w:rtl/>
          <w:lang w:eastAsia="zh-TW"/>
        </w:rPr>
        <w:t> </w:t>
      </w:r>
      <w:r w:rsidR="004A5905" w:rsidRPr="004A5905">
        <w:rPr>
          <w:rtl/>
          <w:lang w:eastAsia="zh-TW"/>
        </w:rPr>
        <w:t>يدخل في نطاقها توفير الخدمات وبالتالي، فإن ذلك لا يندرج ضمن قانون مكافحة التمييز على أساس الإعاقة، وقانون مكافحة التمييز. ويدعي صاحب البلاغ بأنه سيكون ملزما</w:t>
      </w:r>
      <w:r>
        <w:rPr>
          <w:rFonts w:hint="cs"/>
          <w:rtl/>
          <w:lang w:eastAsia="zh-TW"/>
        </w:rPr>
        <w:t>ً</w:t>
      </w:r>
      <w:r w:rsidR="004A5905" w:rsidRPr="004A5905">
        <w:rPr>
          <w:rtl/>
          <w:lang w:eastAsia="zh-TW"/>
        </w:rPr>
        <w:t>، بحس</w:t>
      </w:r>
      <w:r>
        <w:rPr>
          <w:rtl/>
          <w:lang w:eastAsia="zh-TW"/>
        </w:rPr>
        <w:t>ب السوابق القضائية الأسترالية</w:t>
      </w:r>
      <w:r w:rsidR="00832A0C">
        <w:rPr>
          <w:vertAlign w:val="superscript"/>
          <w:rtl/>
          <w:lang w:eastAsia="zh-TW"/>
        </w:rPr>
        <w:t>(</w:t>
      </w:r>
      <w:r w:rsidR="00832A0C">
        <w:rPr>
          <w:rStyle w:val="FootnoteReference"/>
          <w:rtl/>
          <w:lang w:eastAsia="zh-TW"/>
        </w:rPr>
        <w:footnoteReference w:id="8"/>
      </w:r>
      <w:r w:rsidR="00832A0C">
        <w:rPr>
          <w:vertAlign w:val="superscript"/>
          <w:rtl/>
          <w:lang w:eastAsia="zh-TW"/>
        </w:rPr>
        <w:t>)</w:t>
      </w:r>
      <w:r>
        <w:rPr>
          <w:rtl/>
          <w:lang w:eastAsia="zh-TW"/>
        </w:rPr>
        <w:t xml:space="preserve">، </w:t>
      </w:r>
      <w:r w:rsidR="004A5905" w:rsidRPr="004A5905">
        <w:rPr>
          <w:rtl/>
          <w:lang w:eastAsia="zh-TW"/>
        </w:rPr>
        <w:t xml:space="preserve">بتحديد الخدمات التي امتنعت </w:t>
      </w:r>
      <w:proofErr w:type="spellStart"/>
      <w:r w:rsidR="004A5905" w:rsidRPr="004A5905">
        <w:rPr>
          <w:rtl/>
          <w:lang w:eastAsia="zh-TW"/>
        </w:rPr>
        <w:t>والية</w:t>
      </w:r>
      <w:proofErr w:type="spellEnd"/>
      <w:r w:rsidR="004A5905" w:rsidRPr="004A5905">
        <w:rPr>
          <w:rtl/>
          <w:lang w:eastAsia="zh-TW"/>
        </w:rPr>
        <w:t xml:space="preserve"> القضاء عن توفيرها، في حين أن جوهر الشكوى التي تقدم بها هو رفضها إجراء الترتيب المعقول الذي يحتاج إليه لأداء واجب المحلف. وفي السوابق القضائية المحلية، لا يعد الترتيب المعقول "خدمة"، واحتمال التمكن من إقامة الدليل على أن </w:t>
      </w:r>
      <w:proofErr w:type="spellStart"/>
      <w:r w:rsidR="004A5905" w:rsidRPr="004A5905">
        <w:rPr>
          <w:rtl/>
          <w:lang w:eastAsia="zh-TW"/>
        </w:rPr>
        <w:t>والية</w:t>
      </w:r>
      <w:proofErr w:type="spellEnd"/>
      <w:r w:rsidR="004A5905" w:rsidRPr="004A5905">
        <w:rPr>
          <w:rtl/>
          <w:lang w:eastAsia="zh-TW"/>
        </w:rPr>
        <w:t xml:space="preserve"> القضاء تقدم "خدمات" لجميع المحلفين، هو احتمال ضعيف. ويشير صاحب البلاغ إلى اجتهادات قضائية وطنية إضافية مفادها أن إقامة دعاوى التمييز على أساس الإعاقة بموجب قانون مكافحة التمييز على أساس الإعاقة يُبَتُّ فيها في إطار معياري، وهو يشمل نظر المحكمة في الالتزامات والمسؤوليات </w:t>
      </w:r>
      <w:r>
        <w:rPr>
          <w:rtl/>
          <w:lang w:eastAsia="zh-TW"/>
        </w:rPr>
        <w:t>الأوسع لمرتكب التمييز المزعوم</w:t>
      </w:r>
      <w:r w:rsidR="00F9584A">
        <w:rPr>
          <w:vertAlign w:val="superscript"/>
          <w:rtl/>
          <w:lang w:eastAsia="zh-TW"/>
        </w:rPr>
        <w:t>(</w:t>
      </w:r>
      <w:r w:rsidR="00F9584A">
        <w:rPr>
          <w:rStyle w:val="FootnoteReference"/>
          <w:rtl/>
          <w:lang w:eastAsia="zh-TW"/>
        </w:rPr>
        <w:footnoteReference w:id="9"/>
      </w:r>
      <w:r w:rsidR="00F9584A">
        <w:rPr>
          <w:vertAlign w:val="superscript"/>
          <w:rtl/>
          <w:lang w:eastAsia="zh-TW"/>
        </w:rPr>
        <w:t>)</w:t>
      </w:r>
      <w:r>
        <w:rPr>
          <w:rtl/>
          <w:lang w:eastAsia="zh-TW"/>
        </w:rPr>
        <w:t xml:space="preserve">. </w:t>
      </w:r>
      <w:r w:rsidR="004A5905" w:rsidRPr="004A5905">
        <w:rPr>
          <w:rtl/>
          <w:lang w:eastAsia="zh-TW"/>
        </w:rPr>
        <w:t xml:space="preserve">وعلاوة على ذلك، تدعي </w:t>
      </w:r>
      <w:proofErr w:type="spellStart"/>
      <w:r w:rsidR="004A5905" w:rsidRPr="004A5905">
        <w:rPr>
          <w:rtl/>
          <w:lang w:eastAsia="zh-TW"/>
        </w:rPr>
        <w:t>والية</w:t>
      </w:r>
      <w:proofErr w:type="spellEnd"/>
      <w:r w:rsidR="004A5905" w:rsidRPr="004A5905">
        <w:rPr>
          <w:rtl/>
          <w:lang w:eastAsia="zh-TW"/>
        </w:rPr>
        <w:t xml:space="preserve"> القضاء أنها م</w:t>
      </w:r>
      <w:r w:rsidR="00962665">
        <w:rPr>
          <w:rtl/>
          <w:lang w:eastAsia="zh-TW"/>
        </w:rPr>
        <w:t xml:space="preserve">ضطرة إلى استبعاد صاحب البلاغ </w:t>
      </w:r>
      <w:r w:rsidR="00962665">
        <w:rPr>
          <w:rtl/>
          <w:lang w:eastAsia="zh-TW"/>
        </w:rPr>
        <w:lastRenderedPageBreak/>
        <w:t>من</w:t>
      </w:r>
      <w:r w:rsidR="00962665">
        <w:rPr>
          <w:rFonts w:hint="cs"/>
          <w:rtl/>
          <w:lang w:eastAsia="zh-TW"/>
        </w:rPr>
        <w:t> </w:t>
      </w:r>
      <w:r w:rsidR="004A5905" w:rsidRPr="004A5905">
        <w:rPr>
          <w:rtl/>
          <w:lang w:eastAsia="zh-TW"/>
        </w:rPr>
        <w:t>أداء واجب المحلف بسبب القاعدة التي تقضي بأن يلتزم المحلف بسرية المداولات. ووفقا</w:t>
      </w:r>
      <w:r w:rsidR="003D6F86">
        <w:rPr>
          <w:rFonts w:hint="cs"/>
          <w:rtl/>
          <w:lang w:eastAsia="zh-TW"/>
        </w:rPr>
        <w:t>ً</w:t>
      </w:r>
      <w:r w:rsidR="004A5905" w:rsidRPr="004A5905">
        <w:rPr>
          <w:rtl/>
          <w:lang w:eastAsia="zh-TW"/>
        </w:rPr>
        <w:t xml:space="preserve"> للسوابق القضائية، تنص هذه القاعدة على أنه إذا وجد شخص "غريب" برهةً طويلة من الوقت خلال مداولات هيئة المحلفين، يصبح قرار هذه الهيئة باطلا</w:t>
      </w:r>
      <w:r w:rsidR="00832A0C">
        <w:rPr>
          <w:rFonts w:hint="cs"/>
          <w:rtl/>
          <w:lang w:eastAsia="zh-TW"/>
        </w:rPr>
        <w:t>ً</w:t>
      </w:r>
      <w:r w:rsidR="004A5905" w:rsidRPr="004A5905">
        <w:rPr>
          <w:rtl/>
          <w:lang w:eastAsia="zh-TW"/>
        </w:rPr>
        <w:t xml:space="preserve">. وفي ضوء هذا الاجتهاد القضائي، يرجح أن تخلص المحكمة إلى أن "الأساس الحقيقي" لسلوك </w:t>
      </w:r>
      <w:proofErr w:type="spellStart"/>
      <w:r w:rsidR="004A5905" w:rsidRPr="004A5905">
        <w:rPr>
          <w:rtl/>
          <w:lang w:eastAsia="zh-TW"/>
        </w:rPr>
        <w:t>والية</w:t>
      </w:r>
      <w:proofErr w:type="spellEnd"/>
      <w:r w:rsidR="004A5905" w:rsidRPr="004A5905">
        <w:rPr>
          <w:rtl/>
          <w:lang w:eastAsia="zh-TW"/>
        </w:rPr>
        <w:t xml:space="preserve"> القضاء لم يكن هو التمييز على أساس الإعاقة، بل الالتزام بحماية نزاهة مداولات هيئة المحلفين، حتى وإن تبين للمحكمة أنها قدمت "خدمات" إلى المحلفين. وعلاوة على ذلك، لا يشمل تعريف التمييز، بموجب المادة </w:t>
      </w:r>
      <w:r>
        <w:rPr>
          <w:lang w:val="fr-CH" w:eastAsia="zh-TW"/>
        </w:rPr>
        <w:t>49</w:t>
      </w:r>
      <w:r w:rsidR="00D83618">
        <w:rPr>
          <w:lang w:val="fr-CH" w:eastAsia="zh-TW"/>
        </w:rPr>
        <w:t>B</w:t>
      </w:r>
      <w:r>
        <w:rPr>
          <w:rFonts w:hint="cs"/>
          <w:rtl/>
          <w:lang w:eastAsia="zh-TW"/>
        </w:rPr>
        <w:t xml:space="preserve"> </w:t>
      </w:r>
      <w:r w:rsidR="004A5905" w:rsidRPr="004A5905">
        <w:rPr>
          <w:rtl/>
          <w:lang w:eastAsia="zh-TW"/>
        </w:rPr>
        <w:t xml:space="preserve">من قانون مكافحة التمييز، رفض إجراء ترتيب معقول. وحتى إذا ثبت أن </w:t>
      </w:r>
      <w:proofErr w:type="spellStart"/>
      <w:r w:rsidR="004A5905" w:rsidRPr="004A5905">
        <w:rPr>
          <w:rtl/>
          <w:lang w:eastAsia="zh-TW"/>
        </w:rPr>
        <w:t>والية</w:t>
      </w:r>
      <w:proofErr w:type="spellEnd"/>
      <w:r w:rsidR="004A5905" w:rsidRPr="004A5905">
        <w:rPr>
          <w:rtl/>
          <w:lang w:eastAsia="zh-TW"/>
        </w:rPr>
        <w:t xml:space="preserve"> القضاء توفر "خدمات" للمحلفين، يبقى من الصعب إقامة الدليل على أنها ملزمة بتوفير خدمة العرض النصي باعتباره من الترتيبات اللازمة. وأخيرا، يؤكد صاحب البلاغ أنه من المعروف أن من الصعب المضي في الدعاوى المقامة بموجب قانون مكافحة التمييز على أساس الإعاقة، وقانون مكافحة التمييز، وأنها تفضي في حالات كثيرة إلى إجراءات مطولة ومعقدة للغاية.</w:t>
      </w:r>
      <w:r>
        <w:rPr>
          <w:rFonts w:hint="cs"/>
          <w:rtl/>
          <w:lang w:eastAsia="zh-TW"/>
        </w:rPr>
        <w:t xml:space="preserve"> </w:t>
      </w:r>
    </w:p>
    <w:p w:rsidR="004A5905" w:rsidRPr="004A5905" w:rsidRDefault="004A5905" w:rsidP="00220B49">
      <w:pPr>
        <w:pStyle w:val="H23GA"/>
        <w:rPr>
          <w:rtl/>
        </w:rPr>
      </w:pPr>
      <w:r w:rsidRPr="004A5905">
        <w:rPr>
          <w:rtl/>
        </w:rPr>
        <w:tab/>
      </w:r>
      <w:r w:rsidRPr="004A5905">
        <w:rPr>
          <w:rtl/>
        </w:rPr>
        <w:tab/>
        <w:t>الشكوى</w:t>
      </w:r>
    </w:p>
    <w:p w:rsidR="004A5905" w:rsidRPr="004A5905" w:rsidRDefault="00220B49" w:rsidP="003D6F86">
      <w:pPr>
        <w:pStyle w:val="SingleTxtGA"/>
        <w:rPr>
          <w:rtl/>
          <w:lang w:eastAsia="zh-TW"/>
        </w:rPr>
      </w:pPr>
      <w:r>
        <w:rPr>
          <w:rFonts w:hint="cs"/>
          <w:rtl/>
          <w:lang w:eastAsia="zh-TW"/>
        </w:rPr>
        <w:t>3-1</w:t>
      </w:r>
      <w:r>
        <w:rPr>
          <w:rtl/>
          <w:lang w:eastAsia="zh-TW"/>
        </w:rPr>
        <w:tab/>
      </w:r>
      <w:r w:rsidR="004A5905" w:rsidRPr="004A5905">
        <w:rPr>
          <w:rtl/>
          <w:lang w:eastAsia="zh-TW"/>
        </w:rPr>
        <w:t xml:space="preserve">يدعي صاحب البلاغ أن الإجراءات التي اتخذتها </w:t>
      </w:r>
      <w:proofErr w:type="spellStart"/>
      <w:r w:rsidR="004A5905" w:rsidRPr="004A5905">
        <w:rPr>
          <w:rtl/>
          <w:lang w:eastAsia="zh-TW"/>
        </w:rPr>
        <w:t>والية</w:t>
      </w:r>
      <w:proofErr w:type="spellEnd"/>
      <w:r w:rsidR="004A5905" w:rsidRPr="004A5905">
        <w:rPr>
          <w:rtl/>
          <w:lang w:eastAsia="zh-TW"/>
        </w:rPr>
        <w:t xml:space="preserve"> القضاء تشكل انتهاكا</w:t>
      </w:r>
      <w:r>
        <w:rPr>
          <w:rFonts w:hint="cs"/>
          <w:rtl/>
          <w:lang w:eastAsia="zh-TW"/>
        </w:rPr>
        <w:t>ً</w:t>
      </w:r>
      <w:r w:rsidR="004A5905" w:rsidRPr="004A5905">
        <w:rPr>
          <w:rtl/>
          <w:lang w:eastAsia="zh-TW"/>
        </w:rPr>
        <w:t xml:space="preserve"> لحقه في الاعتراف به على قدم المساواة مع الآخرين أمام القانون، الذي تكفله له المادة 12 من الاتفاقية. وهو يرى أن الإفادات التي أدلت بها </w:t>
      </w:r>
      <w:proofErr w:type="spellStart"/>
      <w:r w:rsidR="004A5905" w:rsidRPr="004A5905">
        <w:rPr>
          <w:rtl/>
          <w:lang w:eastAsia="zh-TW"/>
        </w:rPr>
        <w:t>والية</w:t>
      </w:r>
      <w:proofErr w:type="spellEnd"/>
      <w:r w:rsidR="004A5905" w:rsidRPr="004A5905">
        <w:rPr>
          <w:rtl/>
          <w:lang w:eastAsia="zh-TW"/>
        </w:rPr>
        <w:t xml:space="preserve"> القضاء للجنة الأسترالية لحقوق الإنسان يستشف منها أن الأصم لا يفهم الإجراءات القانونية</w:t>
      </w:r>
      <w:r w:rsidR="003D6F86">
        <w:rPr>
          <w:rtl/>
          <w:lang w:eastAsia="zh-TW"/>
        </w:rPr>
        <w:t xml:space="preserve"> فهما كافيا لعجز متأصل فيه، وأن</w:t>
      </w:r>
      <w:r w:rsidR="003D6F86">
        <w:rPr>
          <w:rFonts w:hint="cs"/>
          <w:rtl/>
          <w:lang w:eastAsia="zh-TW"/>
        </w:rPr>
        <w:t> </w:t>
      </w:r>
      <w:r w:rsidR="004A5905" w:rsidRPr="004A5905">
        <w:rPr>
          <w:rtl/>
          <w:lang w:eastAsia="zh-TW"/>
        </w:rPr>
        <w:t>مشاركته من شأنها أن تنتقص من الحق في محاكمة عادلة. وينطوي هذا الموقف، من وجهة نظره، على انتهاك لحقه في التمتع بالأهلية القانونية على قدم المساواة مع الآخرين.</w:t>
      </w:r>
      <w:r w:rsidR="004A5905" w:rsidRPr="004A5905">
        <w:rPr>
          <w:rFonts w:cs="Times New Roman" w:hint="cs"/>
          <w:rtl/>
          <w:lang w:eastAsia="zh-TW"/>
        </w:rPr>
        <w:t>‬</w:t>
      </w:r>
      <w:r w:rsidR="004A5905" w:rsidRPr="004A5905">
        <w:rPr>
          <w:rtl/>
          <w:lang w:eastAsia="zh-TW"/>
        </w:rPr>
        <w:t xml:space="preserve"> </w:t>
      </w:r>
      <w:r w:rsidR="004A5905" w:rsidRPr="004A5905">
        <w:rPr>
          <w:rFonts w:ascii="Traditional Arabic" w:hAnsi="Traditional Arabic" w:hint="cs"/>
          <w:rtl/>
          <w:lang w:eastAsia="zh-TW"/>
        </w:rPr>
        <w:t>ويدعي</w:t>
      </w:r>
      <w:r w:rsidR="004A5905" w:rsidRPr="004A5905">
        <w:rPr>
          <w:rtl/>
          <w:lang w:eastAsia="zh-TW"/>
        </w:rPr>
        <w:t xml:space="preserve"> </w:t>
      </w:r>
      <w:r w:rsidR="004A5905" w:rsidRPr="004A5905">
        <w:rPr>
          <w:rFonts w:ascii="Traditional Arabic" w:hAnsi="Traditional Arabic" w:hint="cs"/>
          <w:rtl/>
          <w:lang w:eastAsia="zh-TW"/>
        </w:rPr>
        <w:t>صاحب</w:t>
      </w:r>
      <w:r w:rsidR="004A5905" w:rsidRPr="004A5905">
        <w:rPr>
          <w:rtl/>
          <w:lang w:eastAsia="zh-TW"/>
        </w:rPr>
        <w:t xml:space="preserve"> </w:t>
      </w:r>
      <w:r w:rsidR="004A5905" w:rsidRPr="004A5905">
        <w:rPr>
          <w:rFonts w:ascii="Traditional Arabic" w:hAnsi="Traditional Arabic" w:hint="cs"/>
          <w:rtl/>
          <w:lang w:eastAsia="zh-TW"/>
        </w:rPr>
        <w:t>البلاغ</w:t>
      </w:r>
      <w:r w:rsidR="004A5905" w:rsidRPr="004A5905">
        <w:rPr>
          <w:rtl/>
          <w:lang w:eastAsia="zh-TW"/>
        </w:rPr>
        <w:t xml:space="preserve"> </w:t>
      </w:r>
      <w:r w:rsidR="008B5358">
        <w:rPr>
          <w:rFonts w:ascii="Traditional Arabic" w:hAnsi="Traditional Arabic" w:hint="cs"/>
          <w:rtl/>
          <w:lang w:eastAsia="zh-TW"/>
        </w:rPr>
        <w:t>أيضاً</w:t>
      </w:r>
      <w:r w:rsidR="004A5905" w:rsidRPr="004A5905">
        <w:rPr>
          <w:rtl/>
          <w:lang w:eastAsia="zh-TW"/>
        </w:rPr>
        <w:t xml:space="preserve"> </w:t>
      </w:r>
      <w:r w:rsidR="004A5905" w:rsidRPr="004A5905">
        <w:rPr>
          <w:rFonts w:ascii="Traditional Arabic" w:hAnsi="Traditional Arabic" w:hint="cs"/>
          <w:rtl/>
          <w:lang w:eastAsia="zh-TW"/>
        </w:rPr>
        <w:t>أن</w:t>
      </w:r>
      <w:r w:rsidR="004A5905" w:rsidRPr="004A5905">
        <w:rPr>
          <w:rtl/>
          <w:lang w:eastAsia="zh-TW"/>
        </w:rPr>
        <w:t xml:space="preserve"> </w:t>
      </w:r>
      <w:r w:rsidR="004A5905" w:rsidRPr="004A5905">
        <w:rPr>
          <w:rFonts w:ascii="Traditional Arabic" w:hAnsi="Traditional Arabic" w:hint="cs"/>
          <w:rtl/>
          <w:lang w:eastAsia="zh-TW"/>
        </w:rPr>
        <w:t>رفض</w:t>
      </w:r>
      <w:r w:rsidR="004A5905" w:rsidRPr="004A5905">
        <w:rPr>
          <w:rtl/>
          <w:lang w:eastAsia="zh-TW"/>
        </w:rPr>
        <w:t xml:space="preserve"> </w:t>
      </w:r>
      <w:r w:rsidR="004A5905" w:rsidRPr="004A5905">
        <w:rPr>
          <w:rFonts w:ascii="Traditional Arabic" w:hAnsi="Traditional Arabic" w:hint="cs"/>
          <w:rtl/>
          <w:lang w:eastAsia="zh-TW"/>
        </w:rPr>
        <w:t>السماح</w:t>
      </w:r>
      <w:r w:rsidR="004A5905" w:rsidRPr="004A5905">
        <w:rPr>
          <w:rtl/>
          <w:lang w:eastAsia="zh-TW"/>
        </w:rPr>
        <w:t xml:space="preserve"> </w:t>
      </w:r>
      <w:r w:rsidR="004A5905" w:rsidRPr="004A5905">
        <w:rPr>
          <w:rFonts w:ascii="Traditional Arabic" w:hAnsi="Traditional Arabic" w:hint="cs"/>
          <w:rtl/>
          <w:lang w:eastAsia="zh-TW"/>
        </w:rPr>
        <w:t>باستخدام</w:t>
      </w:r>
      <w:r w:rsidR="004A5905" w:rsidRPr="004A5905">
        <w:rPr>
          <w:rtl/>
          <w:lang w:eastAsia="zh-TW"/>
        </w:rPr>
        <w:t xml:space="preserve"> </w:t>
      </w:r>
      <w:r w:rsidR="004A5905" w:rsidRPr="004A5905">
        <w:rPr>
          <w:rFonts w:ascii="Traditional Arabic" w:hAnsi="Traditional Arabic" w:hint="cs"/>
          <w:rtl/>
          <w:lang w:eastAsia="zh-TW"/>
        </w:rPr>
        <w:t>العرض</w:t>
      </w:r>
      <w:r w:rsidR="004A5905" w:rsidRPr="004A5905">
        <w:rPr>
          <w:rtl/>
          <w:lang w:eastAsia="zh-TW"/>
        </w:rPr>
        <w:t xml:space="preserve"> </w:t>
      </w:r>
      <w:r w:rsidR="004A5905" w:rsidRPr="004A5905">
        <w:rPr>
          <w:rFonts w:ascii="Traditional Arabic" w:hAnsi="Traditional Arabic" w:hint="cs"/>
          <w:rtl/>
          <w:lang w:eastAsia="zh-TW"/>
        </w:rPr>
        <w:t>النصي</w:t>
      </w:r>
      <w:r w:rsidR="004A5905" w:rsidRPr="004A5905">
        <w:rPr>
          <w:rtl/>
          <w:lang w:eastAsia="zh-TW"/>
        </w:rPr>
        <w:t xml:space="preserve"> </w:t>
      </w:r>
      <w:r w:rsidR="004A5905" w:rsidRPr="004A5905">
        <w:rPr>
          <w:rFonts w:ascii="Traditional Arabic" w:hAnsi="Traditional Arabic" w:hint="cs"/>
          <w:rtl/>
          <w:lang w:eastAsia="zh-TW"/>
        </w:rPr>
        <w:t>بالاختزال</w:t>
      </w:r>
      <w:r w:rsidR="004A5905" w:rsidRPr="004A5905">
        <w:rPr>
          <w:rtl/>
          <w:lang w:eastAsia="zh-TW"/>
        </w:rPr>
        <w:t xml:space="preserve"> </w:t>
      </w:r>
      <w:r w:rsidR="004A5905" w:rsidRPr="004A5905">
        <w:rPr>
          <w:rFonts w:ascii="Traditional Arabic" w:hAnsi="Traditional Arabic" w:hint="cs"/>
          <w:rtl/>
          <w:lang w:eastAsia="zh-TW"/>
        </w:rPr>
        <w:t>يشكل</w:t>
      </w:r>
      <w:r w:rsidR="004A5905" w:rsidRPr="004A5905">
        <w:rPr>
          <w:rtl/>
          <w:lang w:eastAsia="zh-TW"/>
        </w:rPr>
        <w:t xml:space="preserve"> </w:t>
      </w:r>
      <w:r w:rsidR="004A5905" w:rsidRPr="004A5905">
        <w:rPr>
          <w:rFonts w:ascii="Traditional Arabic" w:hAnsi="Traditional Arabic" w:hint="cs"/>
          <w:rtl/>
          <w:lang w:eastAsia="zh-TW"/>
        </w:rPr>
        <w:t>انتهاكا</w:t>
      </w:r>
      <w:r w:rsidR="003D6F86">
        <w:rPr>
          <w:rFonts w:hint="cs"/>
          <w:rtl/>
          <w:lang w:eastAsia="zh-TW"/>
        </w:rPr>
        <w:t>ً</w:t>
      </w:r>
      <w:r w:rsidR="004A5905" w:rsidRPr="004A5905">
        <w:rPr>
          <w:rtl/>
          <w:lang w:eastAsia="zh-TW"/>
        </w:rPr>
        <w:t xml:space="preserve"> </w:t>
      </w:r>
      <w:r w:rsidR="004A5905" w:rsidRPr="004A5905">
        <w:rPr>
          <w:rFonts w:ascii="Traditional Arabic" w:hAnsi="Traditional Arabic" w:hint="cs"/>
          <w:rtl/>
          <w:lang w:eastAsia="zh-TW"/>
        </w:rPr>
        <w:t>لحقوقه</w:t>
      </w:r>
      <w:r w:rsidR="004A5905" w:rsidRPr="004A5905">
        <w:rPr>
          <w:rtl/>
          <w:lang w:eastAsia="zh-TW"/>
        </w:rPr>
        <w:t xml:space="preserve"> </w:t>
      </w:r>
      <w:r w:rsidR="004A5905" w:rsidRPr="004A5905">
        <w:rPr>
          <w:rFonts w:ascii="Traditional Arabic" w:hAnsi="Traditional Arabic" w:hint="cs"/>
          <w:rtl/>
          <w:lang w:eastAsia="zh-TW"/>
        </w:rPr>
        <w:t>التالية</w:t>
      </w:r>
      <w:r w:rsidR="004A5905" w:rsidRPr="004A5905">
        <w:rPr>
          <w:rtl/>
          <w:lang w:eastAsia="zh-TW"/>
        </w:rPr>
        <w:t>: (</w:t>
      </w:r>
      <w:r w:rsidR="004A5905" w:rsidRPr="004A5905">
        <w:rPr>
          <w:rFonts w:ascii="Traditional Arabic" w:hAnsi="Traditional Arabic" w:hint="cs"/>
          <w:rtl/>
          <w:lang w:eastAsia="zh-TW"/>
        </w:rPr>
        <w:t>أ</w:t>
      </w:r>
      <w:r w:rsidR="004A5905" w:rsidRPr="004A5905">
        <w:rPr>
          <w:rtl/>
          <w:lang w:eastAsia="zh-TW"/>
        </w:rPr>
        <w:t>)</w:t>
      </w:r>
      <w:r w:rsidR="003D6F86">
        <w:rPr>
          <w:rFonts w:ascii="Traditional Arabic" w:hAnsi="Traditional Arabic" w:hint="eastAsia"/>
          <w:rtl/>
          <w:lang w:eastAsia="zh-TW"/>
        </w:rPr>
        <w:t> </w:t>
      </w:r>
      <w:r w:rsidR="004A5905" w:rsidRPr="004A5905">
        <w:rPr>
          <w:rFonts w:ascii="Traditional Arabic" w:hAnsi="Traditional Arabic" w:hint="cs"/>
          <w:rtl/>
          <w:lang w:eastAsia="zh-TW"/>
        </w:rPr>
        <w:t>حقه</w:t>
      </w:r>
      <w:r w:rsidR="004A5905" w:rsidRPr="004A5905">
        <w:rPr>
          <w:rtl/>
          <w:lang w:eastAsia="zh-TW"/>
        </w:rPr>
        <w:t xml:space="preserve"> </w:t>
      </w:r>
      <w:r w:rsidR="004A5905" w:rsidRPr="004A5905">
        <w:rPr>
          <w:rFonts w:ascii="Traditional Arabic" w:hAnsi="Traditional Arabic" w:hint="cs"/>
          <w:rtl/>
          <w:lang w:eastAsia="zh-TW"/>
        </w:rPr>
        <w:t>في</w:t>
      </w:r>
      <w:r w:rsidR="004A5905" w:rsidRPr="004A5905">
        <w:rPr>
          <w:rtl/>
          <w:lang w:eastAsia="zh-TW"/>
        </w:rPr>
        <w:t xml:space="preserve"> </w:t>
      </w:r>
      <w:r w:rsidR="004A5905" w:rsidRPr="004A5905">
        <w:rPr>
          <w:rFonts w:ascii="Traditional Arabic" w:hAnsi="Traditional Arabic" w:hint="cs"/>
          <w:rtl/>
          <w:lang w:eastAsia="zh-TW"/>
        </w:rPr>
        <w:t>الحصول</w:t>
      </w:r>
      <w:r w:rsidR="004A5905" w:rsidRPr="004A5905">
        <w:rPr>
          <w:rtl/>
          <w:lang w:eastAsia="zh-TW"/>
        </w:rPr>
        <w:t xml:space="preserve"> </w:t>
      </w:r>
      <w:r w:rsidR="004A5905" w:rsidRPr="004A5905">
        <w:rPr>
          <w:rFonts w:ascii="Traditional Arabic" w:hAnsi="Traditional Arabic" w:hint="cs"/>
          <w:rtl/>
          <w:lang w:eastAsia="zh-TW"/>
        </w:rPr>
        <w:t>على</w:t>
      </w:r>
      <w:r w:rsidR="004A5905" w:rsidRPr="004A5905">
        <w:rPr>
          <w:rtl/>
          <w:lang w:eastAsia="zh-TW"/>
        </w:rPr>
        <w:t xml:space="preserve"> الدعم الذي يحت</w:t>
      </w:r>
      <w:r w:rsidR="006E14CA">
        <w:rPr>
          <w:rtl/>
          <w:lang w:eastAsia="zh-TW"/>
        </w:rPr>
        <w:t>اجه في ممارسة أهليته القانونية</w:t>
      </w:r>
      <w:r w:rsidR="004A5905" w:rsidRPr="004A5905">
        <w:rPr>
          <w:rtl/>
          <w:lang w:eastAsia="zh-TW"/>
        </w:rPr>
        <w:t xml:space="preserve"> المحلف عملا</w:t>
      </w:r>
      <w:r w:rsidR="003D6F86">
        <w:rPr>
          <w:rFonts w:hint="cs"/>
          <w:rtl/>
          <w:lang w:eastAsia="zh-TW"/>
        </w:rPr>
        <w:t>ً</w:t>
      </w:r>
      <w:r w:rsidR="004A5905" w:rsidRPr="004A5905">
        <w:rPr>
          <w:rtl/>
          <w:lang w:eastAsia="zh-TW"/>
        </w:rPr>
        <w:t xml:space="preserve"> بالفقرة (3) من المادة 12 من الاتفاقية؛ و(ب) حقه في عدم التعرض للتمييز بموجب المادتين 5 و12 من الاتفاقية؛ و(ج) حريته في طلب معلومات وأفكار، وتلقيها، والإفصاح عنها على قدم المساواة مع الآخرين طريق وسيلة الاتصال التي يختارها بنفسه عملا بالمادة 21 من الاتفاقية. </w:t>
      </w:r>
    </w:p>
    <w:p w:rsidR="004A5905" w:rsidRPr="004A5905" w:rsidRDefault="006E14CA" w:rsidP="006E14CA">
      <w:pPr>
        <w:pStyle w:val="SingleTxtGA"/>
        <w:rPr>
          <w:rtl/>
          <w:lang w:eastAsia="zh-TW"/>
        </w:rPr>
      </w:pPr>
      <w:r>
        <w:rPr>
          <w:rFonts w:hint="cs"/>
          <w:rtl/>
          <w:lang w:eastAsia="zh-TW"/>
        </w:rPr>
        <w:t>3-2</w:t>
      </w:r>
      <w:r>
        <w:rPr>
          <w:rtl/>
          <w:lang w:eastAsia="zh-TW"/>
        </w:rPr>
        <w:tab/>
      </w:r>
      <w:r w:rsidR="004A5905" w:rsidRPr="004A5905">
        <w:rPr>
          <w:rtl/>
          <w:lang w:eastAsia="zh-TW"/>
        </w:rPr>
        <w:t>وفيما يتعلق بالانتهاك المزعوم للمادة 13 من الاتفاقية، يدعي صاحب البلاغ أن رفض السماح باستخدام العرض النصي يشكل انتهاكا</w:t>
      </w:r>
      <w:r w:rsidR="0096560F">
        <w:rPr>
          <w:rFonts w:hint="cs"/>
          <w:rtl/>
          <w:lang w:eastAsia="zh-TW"/>
        </w:rPr>
        <w:t>ً</w:t>
      </w:r>
      <w:r w:rsidR="004A5905" w:rsidRPr="004A5905">
        <w:rPr>
          <w:rtl/>
          <w:lang w:eastAsia="zh-TW"/>
        </w:rPr>
        <w:t xml:space="preserve"> لحقوقه فيما يلي: (أ) الحصول على سبيل فعال للجوء إلى القضاء، بما في ذلك من خلال توفير </w:t>
      </w:r>
      <w:proofErr w:type="spellStart"/>
      <w:r w:rsidR="004A5905" w:rsidRPr="004A5905">
        <w:rPr>
          <w:rtl/>
          <w:lang w:eastAsia="zh-TW"/>
        </w:rPr>
        <w:t>التيسيرات</w:t>
      </w:r>
      <w:proofErr w:type="spellEnd"/>
      <w:r w:rsidR="004A5905" w:rsidRPr="004A5905">
        <w:rPr>
          <w:rtl/>
          <w:lang w:eastAsia="zh-TW"/>
        </w:rPr>
        <w:t xml:space="preserve"> الإجرائية؛ و(ب) عدم التعرض للتمييز خلافا</w:t>
      </w:r>
      <w:r>
        <w:rPr>
          <w:rFonts w:hint="cs"/>
          <w:rtl/>
          <w:lang w:eastAsia="zh-TW"/>
        </w:rPr>
        <w:t>ً</w:t>
      </w:r>
      <w:r w:rsidR="004A5905" w:rsidRPr="004A5905">
        <w:rPr>
          <w:rtl/>
          <w:lang w:eastAsia="zh-TW"/>
        </w:rPr>
        <w:t xml:space="preserve"> لأحكام المادتين 5</w:t>
      </w:r>
      <w:r>
        <w:rPr>
          <w:rFonts w:hint="cs"/>
          <w:rtl/>
          <w:lang w:eastAsia="zh-TW"/>
        </w:rPr>
        <w:t xml:space="preserve"> و</w:t>
      </w:r>
      <w:r>
        <w:rPr>
          <w:rtl/>
          <w:lang w:eastAsia="zh-TW"/>
        </w:rPr>
        <w:t>13 من الاتفاقية؛ و</w:t>
      </w:r>
      <w:r w:rsidR="004A5905" w:rsidRPr="004A5905">
        <w:rPr>
          <w:rtl/>
          <w:lang w:eastAsia="zh-TW"/>
        </w:rPr>
        <w:t>(ج) الحق في طلب معلومات وأفكار، وتلقيها، والإفصاح عنها على قدم المساواة مع الآخرين عن طريق وسيلة الاتصال التي يختارها بنفسه، خلافا</w:t>
      </w:r>
      <w:r w:rsidR="0096560F">
        <w:rPr>
          <w:rFonts w:hint="cs"/>
          <w:rtl/>
          <w:lang w:eastAsia="zh-TW"/>
        </w:rPr>
        <w:t>ً</w:t>
      </w:r>
      <w:r w:rsidR="004A5905" w:rsidRPr="004A5905">
        <w:rPr>
          <w:rtl/>
          <w:lang w:eastAsia="zh-TW"/>
        </w:rPr>
        <w:t xml:space="preserve"> للمادتين 13 و21 من الاتفاقية. </w:t>
      </w:r>
    </w:p>
    <w:p w:rsidR="004A5905" w:rsidRPr="0027111A" w:rsidRDefault="0027111A" w:rsidP="0027111A">
      <w:pPr>
        <w:pStyle w:val="SingleTxtGA"/>
        <w:rPr>
          <w:rtl/>
          <w:lang w:eastAsia="zh-TW"/>
        </w:rPr>
      </w:pPr>
      <w:r w:rsidRPr="0027111A">
        <w:rPr>
          <w:rFonts w:hint="cs"/>
          <w:spacing w:val="-2"/>
          <w:rtl/>
          <w:lang w:eastAsia="zh-TW"/>
        </w:rPr>
        <w:t>3-3</w:t>
      </w:r>
      <w:r w:rsidRPr="0027111A">
        <w:rPr>
          <w:spacing w:val="-2"/>
          <w:rtl/>
          <w:lang w:eastAsia="zh-TW"/>
        </w:rPr>
        <w:tab/>
      </w:r>
      <w:r w:rsidR="004A5905" w:rsidRPr="0027111A">
        <w:rPr>
          <w:spacing w:val="-2"/>
          <w:rtl/>
          <w:lang w:eastAsia="zh-TW"/>
        </w:rPr>
        <w:t>ويرى صاحب البلاغ أن خدمة العرض النصي ينبغي أن ينظر إليها على أنها من وسائل "الاتصال" التي ا</w:t>
      </w:r>
      <w:r w:rsidR="004A5905" w:rsidRPr="0027111A">
        <w:rPr>
          <w:spacing w:val="-2"/>
          <w:rtl/>
        </w:rPr>
        <w:t>خ</w:t>
      </w:r>
      <w:r w:rsidR="004A5905" w:rsidRPr="0027111A">
        <w:rPr>
          <w:spacing w:val="-2"/>
          <w:rtl/>
          <w:lang w:eastAsia="zh-TW"/>
        </w:rPr>
        <w:t>تار بنفسه أن يستعين بها في "معاملة رسمية" بالمعنى المقصود في الما</w:t>
      </w:r>
      <w:r w:rsidRPr="0027111A">
        <w:rPr>
          <w:spacing w:val="-2"/>
          <w:rtl/>
          <w:lang w:eastAsia="zh-TW"/>
        </w:rPr>
        <w:t>دة</w:t>
      </w:r>
      <w:r w:rsidRPr="0027111A">
        <w:rPr>
          <w:rFonts w:hint="cs"/>
          <w:spacing w:val="-2"/>
          <w:rtl/>
          <w:lang w:eastAsia="zh-TW"/>
        </w:rPr>
        <w:t> </w:t>
      </w:r>
      <w:r w:rsidR="004A5905" w:rsidRPr="0027111A">
        <w:rPr>
          <w:spacing w:val="-2"/>
          <w:rtl/>
          <w:lang w:eastAsia="zh-TW"/>
        </w:rPr>
        <w:t xml:space="preserve">21 من </w:t>
      </w:r>
      <w:r w:rsidR="004A5905" w:rsidRPr="0027111A">
        <w:rPr>
          <w:rtl/>
          <w:lang w:eastAsia="zh-TW"/>
        </w:rPr>
        <w:lastRenderedPageBreak/>
        <w:t xml:space="preserve">الاتفاقية، وخلص بالتالي، إلى أن امتناع </w:t>
      </w:r>
      <w:proofErr w:type="spellStart"/>
      <w:r w:rsidR="004A5905" w:rsidRPr="0027111A">
        <w:rPr>
          <w:rtl/>
          <w:lang w:eastAsia="zh-TW"/>
        </w:rPr>
        <w:t>والية</w:t>
      </w:r>
      <w:proofErr w:type="spellEnd"/>
      <w:r w:rsidR="004A5905" w:rsidRPr="0027111A">
        <w:rPr>
          <w:rtl/>
          <w:lang w:eastAsia="zh-TW"/>
        </w:rPr>
        <w:t xml:space="preserve"> القضاء عن توفير هذه الخدمة يشكل انتهاكا</w:t>
      </w:r>
      <w:r w:rsidRPr="0027111A">
        <w:rPr>
          <w:rFonts w:hint="cs"/>
          <w:rtl/>
          <w:lang w:eastAsia="zh-TW"/>
        </w:rPr>
        <w:t>ً</w:t>
      </w:r>
      <w:r w:rsidR="004A5905" w:rsidRPr="0027111A">
        <w:rPr>
          <w:rtl/>
          <w:lang w:eastAsia="zh-TW"/>
        </w:rPr>
        <w:t xml:space="preserve"> لحقه في حرية التعبير وحقه في عدم التعرض للتمييز، اللذين تكفلهما المادتان 5 و21. </w:t>
      </w:r>
    </w:p>
    <w:p w:rsidR="004A5905" w:rsidRPr="004A5905" w:rsidRDefault="00BC3790" w:rsidP="00BC3790">
      <w:pPr>
        <w:pStyle w:val="SingleTxtGA"/>
        <w:rPr>
          <w:rtl/>
          <w:lang w:eastAsia="zh-TW"/>
        </w:rPr>
      </w:pPr>
      <w:r>
        <w:rPr>
          <w:rFonts w:hint="cs"/>
          <w:rtl/>
          <w:lang w:eastAsia="zh-TW"/>
        </w:rPr>
        <w:t>3-4</w:t>
      </w:r>
      <w:r>
        <w:rPr>
          <w:rtl/>
          <w:lang w:eastAsia="zh-TW"/>
        </w:rPr>
        <w:tab/>
      </w:r>
      <w:r w:rsidR="004A5905" w:rsidRPr="004A5905">
        <w:rPr>
          <w:rtl/>
          <w:lang w:eastAsia="zh-TW"/>
        </w:rPr>
        <w:t>وفيما يتعلق بادعائه بموجب المادة 29 من الاتفاقية، يؤكد صاحب البلاغ أن المشاركة في أداء واجب المحلف هو "حق سياسي" وأن، نظام المحلفين يمثل، بوصفه من عناصر إقامة العدل، وجها</w:t>
      </w:r>
      <w:r>
        <w:rPr>
          <w:rFonts w:hint="cs"/>
          <w:rtl/>
          <w:lang w:eastAsia="zh-TW"/>
        </w:rPr>
        <w:t>ً</w:t>
      </w:r>
      <w:r w:rsidR="004A5905" w:rsidRPr="004A5905">
        <w:rPr>
          <w:rtl/>
          <w:lang w:eastAsia="zh-TW"/>
        </w:rPr>
        <w:t xml:space="preserve"> من وجوه "تسيير الشؤون العامة" بالمعنى المقصود في هذه المادة. وعليه، يرى صاحب البلاغ أن رفض </w:t>
      </w:r>
      <w:proofErr w:type="spellStart"/>
      <w:r w:rsidR="004A5905" w:rsidRPr="004A5905">
        <w:rPr>
          <w:rtl/>
          <w:lang w:eastAsia="zh-TW"/>
        </w:rPr>
        <w:t>والية</w:t>
      </w:r>
      <w:proofErr w:type="spellEnd"/>
      <w:r w:rsidR="004A5905" w:rsidRPr="004A5905">
        <w:rPr>
          <w:rtl/>
          <w:lang w:eastAsia="zh-TW"/>
        </w:rPr>
        <w:t xml:space="preserve"> القضاء السماح باستخدام العرض النصي يعد بمثابة انتهاك لحقه فيما يلي: (أ) التمتع بالحقوق السياسية والحق في تقلد الوظائف العامة على قدم المساواة مع الآخرين؛ و(ب) والتمتع بحقوقه السياسية دون تمييز.</w:t>
      </w:r>
      <w:r w:rsidR="00E37EF9">
        <w:rPr>
          <w:rFonts w:hint="cs"/>
          <w:rtl/>
          <w:lang w:eastAsia="zh-TW"/>
        </w:rPr>
        <w:t xml:space="preserve"> </w:t>
      </w:r>
    </w:p>
    <w:p w:rsidR="004A5905" w:rsidRPr="004A5905" w:rsidRDefault="00E37EF9" w:rsidP="00E37EF9">
      <w:pPr>
        <w:pStyle w:val="SingleTxtGA"/>
        <w:rPr>
          <w:rtl/>
          <w:lang w:eastAsia="zh-TW"/>
        </w:rPr>
      </w:pPr>
      <w:r w:rsidRPr="00E37EF9">
        <w:rPr>
          <w:rFonts w:hint="cs"/>
          <w:spacing w:val="-6"/>
          <w:rtl/>
          <w:lang w:eastAsia="zh-TW"/>
        </w:rPr>
        <w:t>3-5</w:t>
      </w:r>
      <w:r w:rsidRPr="00E37EF9">
        <w:rPr>
          <w:spacing w:val="-6"/>
          <w:rtl/>
          <w:lang w:eastAsia="zh-TW"/>
        </w:rPr>
        <w:tab/>
      </w:r>
      <w:r w:rsidR="004A5905" w:rsidRPr="00E37EF9">
        <w:rPr>
          <w:spacing w:val="-4"/>
          <w:rtl/>
          <w:lang w:eastAsia="zh-TW"/>
        </w:rPr>
        <w:t>ويؤكد صاحب البلاغ في الأخير، أن حقوقه المكفولة بموجب المواد</w:t>
      </w:r>
      <w:r w:rsidR="004A5905" w:rsidRPr="00E37EF9">
        <w:rPr>
          <w:spacing w:val="-6"/>
          <w:rtl/>
          <w:lang w:eastAsia="zh-TW"/>
        </w:rPr>
        <w:t xml:space="preserve"> 5 و9 و12 و13 </w:t>
      </w:r>
      <w:r>
        <w:rPr>
          <w:rFonts w:hint="cs"/>
          <w:spacing w:val="-6"/>
          <w:rtl/>
          <w:lang w:eastAsia="zh-TW"/>
        </w:rPr>
        <w:t>و</w:t>
      </w:r>
      <w:r w:rsidR="004A5905" w:rsidRPr="00E37EF9">
        <w:rPr>
          <w:spacing w:val="-6"/>
          <w:rtl/>
          <w:lang w:eastAsia="zh-TW"/>
        </w:rPr>
        <w:t>21</w:t>
      </w:r>
      <w:r w:rsidR="004A5905" w:rsidRPr="004A5905">
        <w:rPr>
          <w:rtl/>
          <w:lang w:eastAsia="zh-TW"/>
        </w:rPr>
        <w:t xml:space="preserve"> و29 قد انتهكت جراء عدم احترام الدولة الطرف للالتزامات الواقعة عليها بموجب كل مادة من هذه المواد، مقروءة منفردة وبالاقتران مع المادتين 2 و4 من الاتفاقية. </w:t>
      </w:r>
    </w:p>
    <w:p w:rsidR="004A5905" w:rsidRPr="004A5905" w:rsidRDefault="004A5905" w:rsidP="00E37EF9">
      <w:pPr>
        <w:pStyle w:val="H23GA"/>
        <w:rPr>
          <w:rtl/>
        </w:rPr>
      </w:pPr>
      <w:r w:rsidRPr="004A5905">
        <w:rPr>
          <w:rtl/>
        </w:rPr>
        <w:tab/>
      </w:r>
      <w:r w:rsidRPr="004A5905">
        <w:rPr>
          <w:rtl/>
        </w:rPr>
        <w:tab/>
      </w:r>
      <w:dir w:val="rtl">
        <w:r w:rsidRPr="004A5905">
          <w:rPr>
            <w:rFonts w:hint="cs"/>
            <w:rtl/>
          </w:rPr>
          <w:t>ملاحظات</w:t>
        </w:r>
        <w:r w:rsidRPr="004A5905">
          <w:rPr>
            <w:rtl/>
          </w:rPr>
          <w:t xml:space="preserve"> </w:t>
        </w:r>
        <w:r w:rsidRPr="004A5905">
          <w:rPr>
            <w:rFonts w:hint="cs"/>
            <w:rtl/>
          </w:rPr>
          <w:t>الدولة</w:t>
        </w:r>
        <w:r w:rsidRPr="004A5905">
          <w:rPr>
            <w:rtl/>
          </w:rPr>
          <w:t xml:space="preserve"> </w:t>
        </w:r>
        <w:r w:rsidRPr="004A5905">
          <w:rPr>
            <w:rFonts w:hint="cs"/>
            <w:rtl/>
          </w:rPr>
          <w:t>الطرف</w:t>
        </w:r>
        <w:r w:rsidRPr="004A5905">
          <w:rPr>
            <w:rtl/>
          </w:rPr>
          <w:t xml:space="preserve"> </w:t>
        </w:r>
        <w:r w:rsidRPr="004A5905">
          <w:rPr>
            <w:rFonts w:hint="cs"/>
            <w:rtl/>
          </w:rPr>
          <w:t>بشأن</w:t>
        </w:r>
        <w:r w:rsidRPr="004A5905">
          <w:rPr>
            <w:rtl/>
          </w:rPr>
          <w:t xml:space="preserve"> </w:t>
        </w:r>
        <w:r w:rsidRPr="004A5905">
          <w:rPr>
            <w:rFonts w:hint="cs"/>
            <w:rtl/>
          </w:rPr>
          <w:t>المقبولية</w:t>
        </w:r>
        <w:r w:rsidRPr="004A5905">
          <w:rPr>
            <w:rtl/>
          </w:rPr>
          <w:t xml:space="preserve"> </w:t>
        </w:r>
        <w:r w:rsidRPr="004A5905">
          <w:rPr>
            <w:rFonts w:hint="cs"/>
            <w:rtl/>
          </w:rPr>
          <w:t>والأسس</w:t>
        </w:r>
        <w:r w:rsidRPr="004A5905">
          <w:rPr>
            <w:rtl/>
          </w:rPr>
          <w:t xml:space="preserve"> </w:t>
        </w:r>
        <w:r w:rsidRPr="004A5905">
          <w:rPr>
            <w:rFonts w:hint="cs"/>
            <w:rtl/>
          </w:rPr>
          <w:t>الموضوعية</w:t>
        </w:r>
        <w:r w:rsidRPr="004A5905">
          <w:rPr>
            <w:rFonts w:cs="Times New Roman" w:hint="cs"/>
            <w:rtl/>
          </w:rPr>
          <w:t>‬</w:t>
        </w:r>
        <w:r w:rsidRPr="004A5905">
          <w:rPr>
            <w:rFonts w:cs="Times New Roman" w:hint="cs"/>
            <w:rtl/>
          </w:rPr>
          <w:t>‬</w:t>
        </w:r>
        <w:r w:rsidRPr="004A5905">
          <w:rPr>
            <w:rFonts w:cs="Times New Roman" w:hint="cs"/>
            <w:rtl/>
          </w:rPr>
          <w:t>‬</w:t>
        </w:r>
        <w:r w:rsidR="002809DC">
          <w:t>‬</w:t>
        </w:r>
        <w:r w:rsidR="00043E01">
          <w:t>‬</w:t>
        </w:r>
        <w:r w:rsidR="005E6E98">
          <w:t>‬</w:t>
        </w:r>
      </w:dir>
    </w:p>
    <w:p w:rsidR="004A5905" w:rsidRPr="004A5905" w:rsidRDefault="00E37EF9" w:rsidP="00E37EF9">
      <w:pPr>
        <w:pStyle w:val="SingleTxtGA"/>
        <w:rPr>
          <w:rtl/>
          <w:lang w:eastAsia="zh-TW"/>
        </w:rPr>
      </w:pPr>
      <w:r>
        <w:rPr>
          <w:rFonts w:hint="cs"/>
          <w:rtl/>
          <w:lang w:eastAsia="zh-TW"/>
        </w:rPr>
        <w:t>4-1</w:t>
      </w:r>
      <w:r>
        <w:rPr>
          <w:rFonts w:hint="cs"/>
          <w:rtl/>
          <w:lang w:eastAsia="zh-TW"/>
        </w:rPr>
        <w:tab/>
      </w:r>
      <w:r w:rsidR="004A5905" w:rsidRPr="004A5905">
        <w:rPr>
          <w:rtl/>
          <w:lang w:eastAsia="zh-TW"/>
        </w:rPr>
        <w:t xml:space="preserve">في 28 تشرين الثاني/نوفمبر 2014، قدمت الدولة الطرف ملاحظاتها بشأن مقبولية هذا البلاغ وأسسه الموضوعية، وكذلك بشأن البلاغ رقم 11/2013. وتقر الدولة الطرف بالوقائع العامة التي ذكرها صاحب البلاغ، لكنها ترفض توصيف صاحب البلاغ لإجراءات </w:t>
      </w:r>
      <w:proofErr w:type="spellStart"/>
      <w:r w:rsidR="004A5905" w:rsidRPr="004A5905">
        <w:rPr>
          <w:rtl/>
          <w:lang w:eastAsia="zh-TW"/>
        </w:rPr>
        <w:t>والية</w:t>
      </w:r>
      <w:proofErr w:type="spellEnd"/>
      <w:r w:rsidR="004A5905" w:rsidRPr="004A5905">
        <w:rPr>
          <w:rtl/>
          <w:lang w:eastAsia="zh-TW"/>
        </w:rPr>
        <w:t xml:space="preserve"> القضاء ولسياسة ولاية نيو ساوث ويلز فيما يخص المحلفين الصم. وهي تؤكد على وجه الخصوص، أن حكومة ولاية نيو ساوث ويلز توفر ترتيبات تيسيرية معقولة للعديد من الأشخاص ذوي الإعاقة الذين استدعوا لأداء واجب المحلف، من قبيل أجهزة السمع المعينة وتكنولوجيا الأشعة تحت الحمراء. وبالإضافة إلى ذلك، يبين الهدف 14 من الخطة العشرية للولاية سياسة حكومة نيو ساوث ويلز الأوسع بشأن زيادة مشاركة الأشخاص ذوي الإعاقة</w:t>
      </w:r>
      <w:r w:rsidR="00F9584A">
        <w:rPr>
          <w:vertAlign w:val="superscript"/>
          <w:rtl/>
          <w:lang w:eastAsia="zh-TW"/>
        </w:rPr>
        <w:t>(</w:t>
      </w:r>
      <w:r w:rsidR="00F9584A">
        <w:rPr>
          <w:rStyle w:val="FootnoteReference"/>
          <w:rtl/>
          <w:lang w:eastAsia="zh-TW"/>
        </w:rPr>
        <w:footnoteReference w:id="10"/>
      </w:r>
      <w:r w:rsidR="00F9584A">
        <w:rPr>
          <w:vertAlign w:val="superscript"/>
          <w:rtl/>
          <w:lang w:eastAsia="zh-TW"/>
        </w:rPr>
        <w:t>)</w:t>
      </w:r>
      <w:r w:rsidR="004A5905" w:rsidRPr="004A5905">
        <w:rPr>
          <w:rtl/>
          <w:lang w:eastAsia="zh-TW"/>
        </w:rPr>
        <w:t>.</w:t>
      </w:r>
      <w:r w:rsidR="006B0B45">
        <w:rPr>
          <w:rtl/>
          <w:lang w:eastAsia="zh-TW"/>
        </w:rPr>
        <w:t xml:space="preserve"> </w:t>
      </w:r>
      <w:r w:rsidR="004A5905" w:rsidRPr="004A5905">
        <w:rPr>
          <w:rtl/>
          <w:lang w:eastAsia="zh-TW"/>
        </w:rPr>
        <w:t xml:space="preserve">وفي هذا الصدد، تشير الدولة الطرف إلى أن وزارة العدل في نيو ساوث ويلز ستُقْدم، عقب رد حكومة نيو ساوث ويلز الوارد في تقرير لجنة إصلاح القوانين في عام 2010، على إجراء استعراض لدراسة إمكانية إدخال إصلاحات، بما في ذلك فيما يتعلق بإمكانية توفير خدمة العرض النصي. وتشير </w:t>
      </w:r>
      <w:r w:rsidR="008B5358">
        <w:rPr>
          <w:rtl/>
          <w:lang w:eastAsia="zh-TW"/>
        </w:rPr>
        <w:t>أيضاً</w:t>
      </w:r>
      <w:r w:rsidR="004A5905" w:rsidRPr="004A5905">
        <w:rPr>
          <w:rtl/>
          <w:lang w:eastAsia="zh-TW"/>
        </w:rPr>
        <w:t xml:space="preserve"> إلى أن قانون المحلفين المعدل لعام 2010 (نيو ساوث ويلز)، الذي دخل حيز النفاذ في 31 كانون الثاني/يناير 2014، قضى بتعديل قانون المحلفين لعام 1977 (نيو</w:t>
      </w:r>
      <w:r w:rsidR="00CC3788">
        <w:rPr>
          <w:rFonts w:hint="cs"/>
          <w:rtl/>
          <w:lang w:eastAsia="zh-TW"/>
        </w:rPr>
        <w:t xml:space="preserve"> </w:t>
      </w:r>
      <w:r w:rsidR="004A5905" w:rsidRPr="004A5905">
        <w:rPr>
          <w:rtl/>
          <w:lang w:eastAsia="zh-TW"/>
        </w:rPr>
        <w:t>ساوث ويلز) يستعاض بموجبه عن الإشارة إلى عدم التمتع بالأهلية لأداء واجب المحلف بالإشارة إلى إمكانية طلب الإعفاء من أداء واجب المحلف لسبب وجيه. وبموجب التعديل، يحق للشخص العاجز، لمرض أو عاهةٍ أو إعاقة، أداء واجب المحلف، الحصول على إعفاء دائم أو إعفاء لـ</w:t>
      </w:r>
      <w:r w:rsidR="006B0B45">
        <w:rPr>
          <w:rFonts w:hint="cs"/>
          <w:rtl/>
          <w:lang w:eastAsia="zh-TW"/>
        </w:rPr>
        <w:t> </w:t>
      </w:r>
      <w:r w:rsidR="004A5905" w:rsidRPr="004A5905">
        <w:rPr>
          <w:rtl/>
          <w:lang w:eastAsia="zh-TW"/>
        </w:rPr>
        <w:t>"سبب وجيه"، بحسب طبيعة المرض أو العاهة أو الإعاقة</w:t>
      </w:r>
      <w:r w:rsidR="00107881">
        <w:rPr>
          <w:vertAlign w:val="superscript"/>
          <w:rtl/>
          <w:lang w:eastAsia="zh-TW"/>
        </w:rPr>
        <w:t>(</w:t>
      </w:r>
      <w:r w:rsidR="00107881">
        <w:rPr>
          <w:rStyle w:val="FootnoteReference"/>
          <w:rtl/>
          <w:lang w:eastAsia="zh-TW"/>
        </w:rPr>
        <w:footnoteReference w:id="11"/>
      </w:r>
      <w:r w:rsidR="00107881">
        <w:rPr>
          <w:vertAlign w:val="superscript"/>
          <w:rtl/>
          <w:lang w:eastAsia="zh-TW"/>
        </w:rPr>
        <w:t>)</w:t>
      </w:r>
      <w:r w:rsidR="004A5905" w:rsidRPr="004A5905">
        <w:rPr>
          <w:rtl/>
          <w:lang w:eastAsia="zh-TW"/>
        </w:rPr>
        <w:t>.</w:t>
      </w:r>
      <w:r w:rsidR="006B0B45">
        <w:rPr>
          <w:rtl/>
          <w:lang w:eastAsia="zh-TW"/>
        </w:rPr>
        <w:t xml:space="preserve"> </w:t>
      </w:r>
    </w:p>
    <w:p w:rsidR="004A5905" w:rsidRPr="004A5905" w:rsidRDefault="00E37EF9" w:rsidP="00E37EF9">
      <w:pPr>
        <w:pStyle w:val="SingleTxtGA"/>
        <w:rPr>
          <w:rtl/>
          <w:lang w:eastAsia="zh-TW"/>
        </w:rPr>
      </w:pPr>
      <w:r>
        <w:rPr>
          <w:rFonts w:hint="cs"/>
          <w:rtl/>
          <w:lang w:eastAsia="zh-TW"/>
        </w:rPr>
        <w:lastRenderedPageBreak/>
        <w:t>4-2</w:t>
      </w:r>
      <w:r>
        <w:rPr>
          <w:rtl/>
          <w:lang w:eastAsia="zh-TW"/>
        </w:rPr>
        <w:tab/>
      </w:r>
      <w:r w:rsidR="004A5905" w:rsidRPr="004A5905">
        <w:rPr>
          <w:rtl/>
          <w:lang w:eastAsia="zh-TW"/>
        </w:rPr>
        <w:t>وتدفع الدولة الطرف كذلك بأن صاحب البلاغ لم يستنفد جميع سبل الانتصاف المحلية المتاحة، إذ كان بإمكانه، بعد رفع الشكوى إلى اللجنة الأسترالية لحقوق الإنسان، أن يقدم طلبا إلى المحكمة الاتحادية الأسترالية أو إلى المحكمة الابتدائية الاتحادية في غضون 60يوما</w:t>
      </w:r>
      <w:r w:rsidR="006B0B45">
        <w:rPr>
          <w:rFonts w:hint="cs"/>
          <w:rtl/>
          <w:lang w:eastAsia="zh-TW"/>
        </w:rPr>
        <w:t>ً</w:t>
      </w:r>
      <w:r w:rsidR="00107881">
        <w:rPr>
          <w:vertAlign w:val="superscript"/>
          <w:rtl/>
          <w:lang w:eastAsia="zh-TW"/>
        </w:rPr>
        <w:t>(</w:t>
      </w:r>
      <w:r w:rsidR="00107881">
        <w:rPr>
          <w:rStyle w:val="FootnoteReference"/>
          <w:rtl/>
          <w:lang w:eastAsia="zh-TW"/>
        </w:rPr>
        <w:footnoteReference w:id="12"/>
      </w:r>
      <w:r w:rsidR="00107881">
        <w:rPr>
          <w:vertAlign w:val="superscript"/>
          <w:rtl/>
          <w:lang w:eastAsia="zh-TW"/>
        </w:rPr>
        <w:t>)</w:t>
      </w:r>
      <w:r w:rsidR="004A5905" w:rsidRPr="004A5905">
        <w:rPr>
          <w:rtl/>
          <w:lang w:eastAsia="zh-TW"/>
        </w:rPr>
        <w:t>.</w:t>
      </w:r>
      <w:r w:rsidR="006B0B45">
        <w:rPr>
          <w:rtl/>
          <w:lang w:eastAsia="zh-TW"/>
        </w:rPr>
        <w:t xml:space="preserve"> </w:t>
      </w:r>
      <w:r w:rsidR="004A5905" w:rsidRPr="004A5905">
        <w:rPr>
          <w:rtl/>
          <w:lang w:eastAsia="zh-TW"/>
        </w:rPr>
        <w:t>وترى أن صاحب البلاغ كان بإمكانه أن يرفع شكوى بموجب قانون مكافحة التمييز على أساس الإعاقة أو قانون مكافحة التمييز، لكنه لم يفعل. وفيما يتعلق بادعاء صاحب البلاغ بشأن المخاطر القانونية والمالية، تشير الدولة الطرف إلى استنتاجات اللجنة المعنية بحقوق الإنسان ومؤداها أن صاحب البلاغ يتعين عليه "اللجوء إلى كافة الطرق القضائية أو الإدارية التي تتيح له فرصة معقولة للانتصاف"</w:t>
      </w:r>
      <w:r w:rsidR="00107881">
        <w:rPr>
          <w:vertAlign w:val="superscript"/>
          <w:rtl/>
          <w:lang w:eastAsia="zh-TW"/>
        </w:rPr>
        <w:t>(</w:t>
      </w:r>
      <w:r w:rsidR="00107881">
        <w:rPr>
          <w:rStyle w:val="FootnoteReference"/>
          <w:rtl/>
          <w:lang w:eastAsia="zh-TW"/>
        </w:rPr>
        <w:footnoteReference w:id="13"/>
      </w:r>
      <w:r w:rsidR="00107881">
        <w:rPr>
          <w:vertAlign w:val="superscript"/>
          <w:rtl/>
          <w:lang w:eastAsia="zh-TW"/>
        </w:rPr>
        <w:t>)</w:t>
      </w:r>
      <w:r w:rsidR="004A5905" w:rsidRPr="004A5905">
        <w:rPr>
          <w:rtl/>
          <w:lang w:eastAsia="zh-TW"/>
        </w:rPr>
        <w:t>.</w:t>
      </w:r>
      <w:r w:rsidR="006B0B45">
        <w:rPr>
          <w:rtl/>
          <w:lang w:eastAsia="zh-TW"/>
        </w:rPr>
        <w:t xml:space="preserve"> </w:t>
      </w:r>
      <w:r w:rsidR="004A5905" w:rsidRPr="004A5905">
        <w:rPr>
          <w:rtl/>
          <w:lang w:eastAsia="zh-TW"/>
        </w:rPr>
        <w:t>وتش</w:t>
      </w:r>
      <w:r w:rsidR="006B0B45">
        <w:rPr>
          <w:rtl/>
          <w:lang w:eastAsia="zh-TW"/>
        </w:rPr>
        <w:t>ير الدولة الطرف إلى أن المادة 2</w:t>
      </w:r>
      <w:r w:rsidR="004A5905" w:rsidRPr="004A5905">
        <w:rPr>
          <w:rtl/>
          <w:lang w:eastAsia="zh-TW"/>
        </w:rPr>
        <w:t>(د) من البروتوكول الاختياري لا تنطبق إذا كان إعمال وسائل الانتصاف المحلية المشار إليها قد طال بصورة طويلة غير معقولة أو كان من غير المرجح أن يفضي إلى انتصاف فعال</w:t>
      </w:r>
      <w:r w:rsidR="006B0B45">
        <w:rPr>
          <w:rtl/>
          <w:lang w:eastAsia="zh-TW"/>
        </w:rPr>
        <w:t>؛ بيد أن ضعف الموارد المالية لا</w:t>
      </w:r>
      <w:r w:rsidR="006B0B45">
        <w:rPr>
          <w:rFonts w:hint="cs"/>
          <w:rtl/>
          <w:lang w:eastAsia="zh-TW"/>
        </w:rPr>
        <w:t> </w:t>
      </w:r>
      <w:r w:rsidR="004A5905" w:rsidRPr="004A5905">
        <w:rPr>
          <w:rtl/>
          <w:lang w:eastAsia="zh-TW"/>
        </w:rPr>
        <w:t>يعفي صاحب البلاغ من شرط استنفاد جميع سبل الانتصاف المحلية المتاحة</w:t>
      </w:r>
      <w:r w:rsidR="00107881">
        <w:rPr>
          <w:vertAlign w:val="superscript"/>
          <w:rtl/>
          <w:lang w:eastAsia="zh-TW"/>
        </w:rPr>
        <w:t>(</w:t>
      </w:r>
      <w:r w:rsidR="00107881">
        <w:rPr>
          <w:rStyle w:val="FootnoteReference"/>
          <w:rtl/>
          <w:lang w:eastAsia="zh-TW"/>
        </w:rPr>
        <w:footnoteReference w:id="14"/>
      </w:r>
      <w:r w:rsidR="00107881">
        <w:rPr>
          <w:vertAlign w:val="superscript"/>
          <w:rtl/>
          <w:lang w:eastAsia="zh-TW"/>
        </w:rPr>
        <w:t>)</w:t>
      </w:r>
      <w:r w:rsidR="004A5905" w:rsidRPr="004A5905">
        <w:rPr>
          <w:rtl/>
          <w:lang w:eastAsia="zh-TW"/>
        </w:rPr>
        <w:t>.</w:t>
      </w:r>
      <w:r w:rsidR="006B0B45">
        <w:rPr>
          <w:rtl/>
          <w:lang w:eastAsia="zh-TW"/>
        </w:rPr>
        <w:t xml:space="preserve"> </w:t>
      </w:r>
      <w:r w:rsidR="004A5905" w:rsidRPr="004A5905">
        <w:rPr>
          <w:rtl/>
          <w:lang w:eastAsia="zh-TW"/>
        </w:rPr>
        <w:t>وتؤكد الدولة الطرف كذلك أنه يجوز لطرف من الأطراف أن يرفع شكوى إلى المحكمة الاتحادية الأسترالية، لاستصدار أمر يحدد الحد الأقصى لتكاليف الإ</w:t>
      </w:r>
      <w:r>
        <w:rPr>
          <w:rtl/>
          <w:lang w:eastAsia="zh-TW"/>
        </w:rPr>
        <w:t>جراءات الواجبة على الأطراف التي</w:t>
      </w:r>
      <w:r>
        <w:rPr>
          <w:rFonts w:hint="cs"/>
          <w:rtl/>
          <w:lang w:eastAsia="zh-TW"/>
        </w:rPr>
        <w:t> </w:t>
      </w:r>
      <w:r w:rsidR="004A5905" w:rsidRPr="004A5905">
        <w:rPr>
          <w:rtl/>
          <w:lang w:eastAsia="zh-TW"/>
        </w:rPr>
        <w:t>يمكن استردادها. وتبلغ رسوم تقديم الطلب بعد إتمام إجراءات اللجنة الأسترالية لحقوق الإنسان 55 دولارا</w:t>
      </w:r>
      <w:r>
        <w:rPr>
          <w:rFonts w:hint="cs"/>
          <w:rtl/>
          <w:lang w:eastAsia="zh-TW"/>
        </w:rPr>
        <w:t>ً</w:t>
      </w:r>
      <w:r w:rsidR="004A5905" w:rsidRPr="004A5905">
        <w:rPr>
          <w:rtl/>
          <w:lang w:eastAsia="zh-TW"/>
        </w:rPr>
        <w:t xml:space="preserve"> أستراليا</w:t>
      </w:r>
      <w:r>
        <w:rPr>
          <w:rFonts w:hint="cs"/>
          <w:rtl/>
          <w:lang w:eastAsia="zh-TW"/>
        </w:rPr>
        <w:t>ً</w:t>
      </w:r>
      <w:r w:rsidR="004A5905" w:rsidRPr="004A5905">
        <w:rPr>
          <w:rtl/>
          <w:lang w:eastAsia="zh-TW"/>
        </w:rPr>
        <w:t xml:space="preserve">، ويجوز للمحكمة الابتدائية الاتحادية </w:t>
      </w:r>
      <w:r w:rsidR="008B5358">
        <w:rPr>
          <w:rtl/>
          <w:lang w:eastAsia="zh-TW"/>
        </w:rPr>
        <w:t>أيضاً</w:t>
      </w:r>
      <w:r w:rsidR="004A5905" w:rsidRPr="004A5905">
        <w:rPr>
          <w:rtl/>
          <w:lang w:eastAsia="zh-TW"/>
        </w:rPr>
        <w:t xml:space="preserve"> أن تحدد الحد الأقصى للتكاليف التي يمكن استردادها</w:t>
      </w:r>
      <w:r w:rsidR="00107881">
        <w:rPr>
          <w:vertAlign w:val="superscript"/>
          <w:rtl/>
          <w:lang w:eastAsia="zh-TW"/>
        </w:rPr>
        <w:t>(</w:t>
      </w:r>
      <w:r w:rsidR="00107881">
        <w:rPr>
          <w:rStyle w:val="FootnoteReference"/>
          <w:rtl/>
          <w:lang w:eastAsia="zh-TW"/>
        </w:rPr>
        <w:footnoteReference w:id="15"/>
      </w:r>
      <w:r w:rsidR="00107881">
        <w:rPr>
          <w:vertAlign w:val="superscript"/>
          <w:rtl/>
          <w:lang w:eastAsia="zh-TW"/>
        </w:rPr>
        <w:t>)</w:t>
      </w:r>
      <w:r w:rsidR="004A5905" w:rsidRPr="004A5905">
        <w:rPr>
          <w:rtl/>
          <w:lang w:eastAsia="zh-TW"/>
        </w:rPr>
        <w:t xml:space="preserve">. </w:t>
      </w:r>
    </w:p>
    <w:p w:rsidR="004A5905" w:rsidRPr="004A5905" w:rsidRDefault="00E37EF9" w:rsidP="004A5905">
      <w:pPr>
        <w:pStyle w:val="SingleTxtGA"/>
        <w:rPr>
          <w:rtl/>
          <w:lang w:eastAsia="zh-TW"/>
        </w:rPr>
      </w:pPr>
      <w:r>
        <w:rPr>
          <w:rFonts w:hint="cs"/>
          <w:rtl/>
          <w:lang w:eastAsia="zh-TW"/>
        </w:rPr>
        <w:t>4-3</w:t>
      </w:r>
      <w:r>
        <w:rPr>
          <w:rtl/>
          <w:lang w:eastAsia="zh-TW"/>
        </w:rPr>
        <w:tab/>
      </w:r>
      <w:r w:rsidR="004A5905" w:rsidRPr="004A5905">
        <w:rPr>
          <w:rtl/>
          <w:lang w:eastAsia="zh-TW"/>
        </w:rPr>
        <w:t>وتؤكد الدولة الطرف أن ادعاءات صاحب البلاغ بموجب المواد 2 و4 و5 و9 من الاتف</w:t>
      </w:r>
      <w:r>
        <w:rPr>
          <w:rtl/>
          <w:lang w:eastAsia="zh-TW"/>
        </w:rPr>
        <w:t>اقية غير مقبولة بمقتضى المادة 2</w:t>
      </w:r>
      <w:r w:rsidR="004A5905" w:rsidRPr="004A5905">
        <w:rPr>
          <w:rtl/>
          <w:lang w:eastAsia="zh-TW"/>
        </w:rPr>
        <w:t>(</w:t>
      </w:r>
      <w:r w:rsidR="004A5905" w:rsidRPr="004A5905">
        <w:rPr>
          <w:rFonts w:hint="cs"/>
          <w:rtl/>
          <w:lang w:eastAsia="zh-TW"/>
        </w:rPr>
        <w:t>ﻫ</w:t>
      </w:r>
      <w:r w:rsidR="004A5905" w:rsidRPr="004A5905">
        <w:rPr>
          <w:rtl/>
          <w:lang w:eastAsia="zh-TW"/>
        </w:rPr>
        <w:t>) من البروتوكول الاختياري لكونها غير مدعمة ببراهين كافية. وتشير إلى أنه، وفقا</w:t>
      </w:r>
      <w:r>
        <w:rPr>
          <w:rFonts w:hint="cs"/>
          <w:rtl/>
          <w:lang w:eastAsia="zh-TW"/>
        </w:rPr>
        <w:t>ً</w:t>
      </w:r>
      <w:r w:rsidR="004A5905" w:rsidRPr="004A5905">
        <w:rPr>
          <w:rtl/>
          <w:lang w:eastAsia="zh-TW"/>
        </w:rPr>
        <w:t xml:space="preserve"> للسوابق القضائية للجنة المعنية بحقوق الإنسان، يتعين على صاحب البلا</w:t>
      </w:r>
      <w:r w:rsidR="004A5905" w:rsidRPr="004A5905">
        <w:rPr>
          <w:rFonts w:hint="eastAsia"/>
          <w:rtl/>
          <w:lang w:eastAsia="zh-TW"/>
        </w:rPr>
        <w:t>غ</w:t>
      </w:r>
      <w:r w:rsidR="004A5905" w:rsidRPr="004A5905">
        <w:rPr>
          <w:rtl/>
          <w:lang w:eastAsia="zh-TW"/>
        </w:rPr>
        <w:t xml:space="preserve"> أن يدعم جميع ادعاءاته بالأدلة</w:t>
      </w:r>
      <w:r w:rsidR="00107881">
        <w:rPr>
          <w:vertAlign w:val="superscript"/>
          <w:rtl/>
          <w:lang w:eastAsia="zh-TW"/>
        </w:rPr>
        <w:t>(</w:t>
      </w:r>
      <w:r w:rsidR="00107881">
        <w:rPr>
          <w:rStyle w:val="FootnoteReference"/>
          <w:rtl/>
          <w:lang w:eastAsia="zh-TW"/>
        </w:rPr>
        <w:footnoteReference w:id="16"/>
      </w:r>
      <w:r w:rsidR="00107881">
        <w:rPr>
          <w:vertAlign w:val="superscript"/>
          <w:rtl/>
          <w:lang w:eastAsia="zh-TW"/>
        </w:rPr>
        <w:t>)</w:t>
      </w:r>
      <w:r w:rsidR="004A5905" w:rsidRPr="004A5905">
        <w:rPr>
          <w:rtl/>
          <w:lang w:eastAsia="zh-TW"/>
        </w:rPr>
        <w:t>.</w:t>
      </w:r>
      <w:r w:rsidR="006B0B45">
        <w:rPr>
          <w:rtl/>
          <w:lang w:eastAsia="zh-TW"/>
        </w:rPr>
        <w:t xml:space="preserve"> </w:t>
      </w:r>
      <w:r w:rsidR="004A5905" w:rsidRPr="004A5905">
        <w:rPr>
          <w:rtl/>
          <w:lang w:eastAsia="zh-TW"/>
        </w:rPr>
        <w:t>وتدعي الدولة الطرف أن صاحب البلاغ لم يقدم أي دليل أو إثبات على ادعاءاته بموجب المواد 2 و4 و9 من الاتفاقية.</w:t>
      </w:r>
      <w:r w:rsidR="006B0B45">
        <w:rPr>
          <w:rtl/>
          <w:lang w:eastAsia="zh-TW"/>
        </w:rPr>
        <w:t xml:space="preserve"> </w:t>
      </w:r>
    </w:p>
    <w:p w:rsidR="004A5905" w:rsidRPr="004A5905" w:rsidRDefault="00E37EF9" w:rsidP="00E37EF9">
      <w:pPr>
        <w:pStyle w:val="SingleTxtGA"/>
        <w:rPr>
          <w:rtl/>
          <w:lang w:eastAsia="zh-TW"/>
        </w:rPr>
      </w:pPr>
      <w:r>
        <w:rPr>
          <w:rFonts w:hint="cs"/>
          <w:rtl/>
          <w:lang w:eastAsia="zh-TW"/>
        </w:rPr>
        <w:t>4-4</w:t>
      </w:r>
      <w:r>
        <w:rPr>
          <w:rtl/>
          <w:lang w:eastAsia="zh-TW"/>
        </w:rPr>
        <w:tab/>
      </w:r>
      <w:r w:rsidR="004A5905" w:rsidRPr="004A5905">
        <w:rPr>
          <w:rtl/>
          <w:lang w:eastAsia="zh-TW"/>
        </w:rPr>
        <w:t xml:space="preserve">أما فيما يتعلق بالأسس الموضوعية لادعاء صاحب البلاغ بموجب المادة 12 من الاتفاقية، فترى الدولة الطرف أن أداء واجب المحلف لا يندرج ضمن نطاق هذه المادة. وفي هذا الصدد، تؤكد الدولة الطرف بأن الالتزامات الواردة في المادة 12 لا تترتب عليها حقوق جديدة </w:t>
      </w:r>
      <w:r w:rsidR="004A5905" w:rsidRPr="004A5905">
        <w:rPr>
          <w:rtl/>
          <w:lang w:eastAsia="zh-TW"/>
        </w:rPr>
        <w:lastRenderedPageBreak/>
        <w:t xml:space="preserve">وأن هذا </w:t>
      </w:r>
      <w:r w:rsidR="004A5905" w:rsidRPr="004A5905">
        <w:rPr>
          <w:rFonts w:hint="eastAsia"/>
          <w:rtl/>
          <w:lang w:eastAsia="zh-TW"/>
        </w:rPr>
        <w:t>الرأي</w:t>
      </w:r>
      <w:r w:rsidR="004A5905" w:rsidRPr="004A5905">
        <w:rPr>
          <w:rtl/>
          <w:lang w:eastAsia="zh-TW"/>
        </w:rPr>
        <w:t xml:space="preserve"> تؤيده الأعمال التحضيرية للاتفاقية</w:t>
      </w:r>
      <w:r w:rsidR="00107881">
        <w:rPr>
          <w:vertAlign w:val="superscript"/>
          <w:rtl/>
          <w:lang w:eastAsia="zh-TW"/>
        </w:rPr>
        <w:t>(</w:t>
      </w:r>
      <w:r w:rsidR="00107881">
        <w:rPr>
          <w:rStyle w:val="FootnoteReference"/>
          <w:rtl/>
          <w:lang w:eastAsia="zh-TW"/>
        </w:rPr>
        <w:footnoteReference w:id="17"/>
      </w:r>
      <w:r w:rsidR="00107881">
        <w:rPr>
          <w:vertAlign w:val="superscript"/>
          <w:rtl/>
          <w:lang w:eastAsia="zh-TW"/>
        </w:rPr>
        <w:t>)</w:t>
      </w:r>
      <w:r w:rsidR="004A5905" w:rsidRPr="004A5905">
        <w:rPr>
          <w:rtl/>
          <w:lang w:eastAsia="zh-TW"/>
        </w:rPr>
        <w:t>.</w:t>
      </w:r>
      <w:r w:rsidR="006B0B45">
        <w:rPr>
          <w:rtl/>
          <w:lang w:eastAsia="zh-TW"/>
        </w:rPr>
        <w:t xml:space="preserve"> </w:t>
      </w:r>
      <w:r w:rsidR="004A5905" w:rsidRPr="004A5905">
        <w:rPr>
          <w:rtl/>
          <w:lang w:eastAsia="zh-TW"/>
        </w:rPr>
        <w:t>وترى الدولة الطرف كذلك أن صاحب البلاغ لا يقدم أدلة على تطبيق الدولة الطرف سياسةً تمنع الصم من أداء واجب، وتؤكد مجددا</w:t>
      </w:r>
      <w:r w:rsidR="00107881">
        <w:rPr>
          <w:rFonts w:hint="cs"/>
          <w:rtl/>
          <w:lang w:eastAsia="zh-TW"/>
        </w:rPr>
        <w:t>ً</w:t>
      </w:r>
      <w:r w:rsidR="004A5905" w:rsidRPr="004A5905">
        <w:rPr>
          <w:rtl/>
          <w:lang w:eastAsia="zh-TW"/>
        </w:rPr>
        <w:t xml:space="preserve"> أن حكومة ولاية نيو ساوث ويلز، ستواصل رصد التطورات في مجال الأجهزة والتكنولوجيات المعينة للأشخاص ذ</w:t>
      </w:r>
      <w:r w:rsidR="004A5905" w:rsidRPr="004A5905">
        <w:rPr>
          <w:rFonts w:hint="eastAsia"/>
          <w:rtl/>
          <w:lang w:eastAsia="zh-TW"/>
        </w:rPr>
        <w:t>وي</w:t>
      </w:r>
      <w:r w:rsidR="004A5905" w:rsidRPr="004A5905">
        <w:rPr>
          <w:rtl/>
          <w:lang w:eastAsia="zh-TW"/>
        </w:rPr>
        <w:t xml:space="preserve"> الإعاقة وخدمات الترجمة الفورية، وستستعرض السياسات المطبقة حاليا</w:t>
      </w:r>
      <w:r w:rsidR="006B0B45">
        <w:rPr>
          <w:rFonts w:hint="cs"/>
          <w:rtl/>
          <w:lang w:eastAsia="zh-TW"/>
        </w:rPr>
        <w:t>ً</w:t>
      </w:r>
      <w:r w:rsidR="004A5905" w:rsidRPr="004A5905">
        <w:rPr>
          <w:rtl/>
          <w:lang w:eastAsia="zh-TW"/>
        </w:rPr>
        <w:t xml:space="preserve"> لتعزيز مشاركة الأشخاص الذي يعانون من الإعاقة السمعية والبصرية في هيئة المحلفين</w:t>
      </w:r>
      <w:r w:rsidR="00107881">
        <w:rPr>
          <w:vertAlign w:val="superscript"/>
          <w:rtl/>
          <w:lang w:eastAsia="zh-TW"/>
        </w:rPr>
        <w:t>(</w:t>
      </w:r>
      <w:r w:rsidR="00107881">
        <w:rPr>
          <w:rStyle w:val="FootnoteReference"/>
          <w:rtl/>
          <w:lang w:eastAsia="zh-TW"/>
        </w:rPr>
        <w:footnoteReference w:id="18"/>
      </w:r>
      <w:r w:rsidR="00107881">
        <w:rPr>
          <w:vertAlign w:val="superscript"/>
          <w:rtl/>
          <w:lang w:eastAsia="zh-TW"/>
        </w:rPr>
        <w:t>)</w:t>
      </w:r>
      <w:r w:rsidR="004A5905" w:rsidRPr="004A5905">
        <w:rPr>
          <w:rtl/>
          <w:lang w:eastAsia="zh-TW"/>
        </w:rPr>
        <w:t>.</w:t>
      </w:r>
      <w:r w:rsidR="006B0B45">
        <w:rPr>
          <w:rtl/>
          <w:lang w:eastAsia="zh-TW"/>
        </w:rPr>
        <w:t xml:space="preserve"> </w:t>
      </w:r>
      <w:r w:rsidR="004A5905" w:rsidRPr="004A5905">
        <w:rPr>
          <w:rtl/>
          <w:lang w:eastAsia="zh-TW"/>
        </w:rPr>
        <w:t xml:space="preserve">وتلاحظ الدولة الطرف </w:t>
      </w:r>
      <w:r w:rsidR="008B5358">
        <w:rPr>
          <w:rtl/>
          <w:lang w:eastAsia="zh-TW"/>
        </w:rPr>
        <w:t>أيضاً</w:t>
      </w:r>
      <w:r w:rsidR="004A5905" w:rsidRPr="004A5905">
        <w:rPr>
          <w:rtl/>
          <w:lang w:eastAsia="zh-TW"/>
        </w:rPr>
        <w:t xml:space="preserve"> أن المادة 12 من الاتفاقية 2 تتناول الإقرار بتمتع الأشخاص ذوي الإعاقة بأهلية قانونية على قدم المساواة مع آخرين لكنها لا تشمل جميع مفاهيم الأهلية أو القدرة. وهي لا تشير إلى القدرة على أداء نشاط ما، أي أداء واجب المحلف، بل تشير إلى أهلية الانخرا</w:t>
      </w:r>
      <w:r w:rsidR="006B0B45">
        <w:rPr>
          <w:rtl/>
          <w:lang w:eastAsia="zh-TW"/>
        </w:rPr>
        <w:t>ط في أعمال لها تداعيات قانونية</w:t>
      </w:r>
      <w:r w:rsidR="008F18B4">
        <w:rPr>
          <w:vertAlign w:val="superscript"/>
          <w:rtl/>
          <w:lang w:eastAsia="zh-TW"/>
        </w:rPr>
        <w:t>(</w:t>
      </w:r>
      <w:r w:rsidR="008F18B4">
        <w:rPr>
          <w:rStyle w:val="FootnoteReference"/>
          <w:rtl/>
          <w:lang w:eastAsia="zh-TW"/>
        </w:rPr>
        <w:footnoteReference w:id="19"/>
      </w:r>
      <w:r w:rsidR="008F18B4">
        <w:rPr>
          <w:vertAlign w:val="superscript"/>
          <w:rtl/>
          <w:lang w:eastAsia="zh-TW"/>
        </w:rPr>
        <w:t>)</w:t>
      </w:r>
      <w:r w:rsidR="006B0B45">
        <w:rPr>
          <w:rtl/>
          <w:lang w:eastAsia="zh-TW"/>
        </w:rPr>
        <w:t>.</w:t>
      </w:r>
      <w:r w:rsidR="004A5905" w:rsidRPr="004A5905">
        <w:rPr>
          <w:rtl/>
          <w:lang w:eastAsia="zh-TW"/>
        </w:rPr>
        <w:t xml:space="preserve"> ووفقا</w:t>
      </w:r>
      <w:r w:rsidR="006B0B45">
        <w:rPr>
          <w:rFonts w:hint="cs"/>
          <w:rtl/>
          <w:lang w:eastAsia="zh-TW"/>
        </w:rPr>
        <w:t>ً</w:t>
      </w:r>
      <w:r w:rsidR="004A5905" w:rsidRPr="004A5905">
        <w:rPr>
          <w:rtl/>
          <w:lang w:eastAsia="zh-TW"/>
        </w:rPr>
        <w:t xml:space="preserve"> للدولة الطرف، تعدد المادة 12(5) عناصر الشخصية القانونية ول</w:t>
      </w:r>
      <w:r w:rsidR="004A5905" w:rsidRPr="004A5905">
        <w:rPr>
          <w:rFonts w:hint="eastAsia"/>
          <w:rtl/>
          <w:lang w:eastAsia="zh-TW"/>
        </w:rPr>
        <w:t>ا</w:t>
      </w:r>
      <w:r w:rsidR="004A5905" w:rsidRPr="004A5905">
        <w:rPr>
          <w:rtl/>
          <w:lang w:eastAsia="zh-TW"/>
        </w:rPr>
        <w:t xml:space="preserve"> تشمل واجب المحلف. وأخيرا، تخلص الدولة الطرف، في ضوء عدم بحث قدرة صاحب البلاغ على أداء واجب المحلف، إلى أن قضيته لا تتعلق بمسائل الأهلية القانونية وتخرج عن نطاق المادة 12 من الاتفاقية.</w:t>
      </w:r>
    </w:p>
    <w:p w:rsidR="004A5905" w:rsidRPr="004A5905" w:rsidRDefault="00E37EF9" w:rsidP="005C4816">
      <w:pPr>
        <w:pStyle w:val="SingleTxtGA"/>
        <w:rPr>
          <w:rtl/>
          <w:lang w:eastAsia="zh-TW"/>
        </w:rPr>
      </w:pPr>
      <w:r>
        <w:rPr>
          <w:rFonts w:hint="cs"/>
          <w:rtl/>
          <w:lang w:eastAsia="zh-TW"/>
        </w:rPr>
        <w:t>4-5</w:t>
      </w:r>
      <w:r>
        <w:rPr>
          <w:rtl/>
          <w:lang w:eastAsia="zh-TW"/>
        </w:rPr>
        <w:tab/>
      </w:r>
      <w:r w:rsidR="004A5905" w:rsidRPr="004A5905">
        <w:rPr>
          <w:rtl/>
          <w:lang w:eastAsia="zh-TW"/>
        </w:rPr>
        <w:t>وفيما يتعلق بادعاء صاحب البلاغ بموجب المادة 12</w:t>
      </w:r>
      <w:r w:rsidR="005C4816">
        <w:rPr>
          <w:rFonts w:hint="cs"/>
          <w:rtl/>
          <w:lang w:eastAsia="zh-TW"/>
        </w:rPr>
        <w:t>(3)</w:t>
      </w:r>
      <w:r w:rsidR="004A5905" w:rsidRPr="004A5905">
        <w:rPr>
          <w:rtl/>
          <w:lang w:eastAsia="zh-TW"/>
        </w:rPr>
        <w:t xml:space="preserve"> من الاتفاقية انتهاك </w:t>
      </w:r>
      <w:proofErr w:type="spellStart"/>
      <w:r w:rsidR="004A5905" w:rsidRPr="004A5905">
        <w:rPr>
          <w:rtl/>
          <w:lang w:eastAsia="zh-TW"/>
        </w:rPr>
        <w:t>والية</w:t>
      </w:r>
      <w:proofErr w:type="spellEnd"/>
      <w:r w:rsidR="004A5905" w:rsidRPr="004A5905">
        <w:rPr>
          <w:rtl/>
          <w:lang w:eastAsia="zh-TW"/>
        </w:rPr>
        <w:t xml:space="preserve"> القضاء، بموقفها الرافض، حقَّه في الحصول على الدعم الذي يحتاجه، تؤكد الدولة الطرف مجددا</w:t>
      </w:r>
      <w:r w:rsidR="008B5358">
        <w:rPr>
          <w:rFonts w:hint="cs"/>
          <w:rtl/>
          <w:lang w:eastAsia="zh-TW"/>
        </w:rPr>
        <w:t>ً</w:t>
      </w:r>
      <w:r w:rsidR="004A5905" w:rsidRPr="004A5905">
        <w:rPr>
          <w:rtl/>
          <w:lang w:eastAsia="zh-TW"/>
        </w:rPr>
        <w:t xml:space="preserve"> أن واجب المحلف ليس من مظاهر الأهلية القانونية، وبالتالي، فإن الدولة لا يقع عليها التزام </w:t>
      </w:r>
      <w:r w:rsidR="004A5905" w:rsidRPr="004A5905">
        <w:rPr>
          <w:rFonts w:hint="eastAsia"/>
          <w:rtl/>
          <w:lang w:eastAsia="zh-TW"/>
        </w:rPr>
        <w:t>بتوفير</w:t>
      </w:r>
      <w:r w:rsidR="004A5905" w:rsidRPr="004A5905">
        <w:rPr>
          <w:rtl/>
          <w:lang w:eastAsia="zh-TW"/>
        </w:rPr>
        <w:t xml:space="preserve"> الدعم في هذا الصدد. وفي المقابل</w:t>
      </w:r>
      <w:r>
        <w:rPr>
          <w:rtl/>
          <w:lang w:eastAsia="zh-TW"/>
        </w:rPr>
        <w:t>، ترى الدولة الطرف أن المادة 12</w:t>
      </w:r>
      <w:r w:rsidR="004A5905" w:rsidRPr="004A5905">
        <w:rPr>
          <w:rtl/>
          <w:lang w:eastAsia="zh-TW"/>
        </w:rPr>
        <w:t>(3) تحدد نطاق تطبيقها، إذ تقتضي من الدول اتخاذ تدابير تكون "مناسبة"، مراعيةً في ذلك، محدودية الموارد و"تناسب" هذه التدابير مع الالتزام بضمان قدرة الأشخاص ذوي الإعاقة على اتخاذ قراراتهم ا</w:t>
      </w:r>
      <w:r w:rsidR="004A5905" w:rsidRPr="004A5905">
        <w:rPr>
          <w:rFonts w:hint="eastAsia"/>
          <w:rtl/>
          <w:lang w:eastAsia="zh-TW"/>
        </w:rPr>
        <w:t>لخاصة</w:t>
      </w:r>
      <w:r w:rsidR="004A5905" w:rsidRPr="004A5905">
        <w:rPr>
          <w:rtl/>
          <w:lang w:eastAsia="zh-TW"/>
        </w:rPr>
        <w:t xml:space="preserve"> قدر الإمكان</w:t>
      </w:r>
      <w:r w:rsidR="008F18B4">
        <w:rPr>
          <w:vertAlign w:val="superscript"/>
          <w:rtl/>
          <w:lang w:eastAsia="zh-TW"/>
        </w:rPr>
        <w:t>(</w:t>
      </w:r>
      <w:r w:rsidR="008F18B4">
        <w:rPr>
          <w:rStyle w:val="FootnoteReference"/>
          <w:rtl/>
          <w:lang w:eastAsia="zh-TW"/>
        </w:rPr>
        <w:footnoteReference w:id="20"/>
      </w:r>
      <w:r w:rsidR="008F18B4">
        <w:rPr>
          <w:vertAlign w:val="superscript"/>
          <w:rtl/>
          <w:lang w:eastAsia="zh-TW"/>
        </w:rPr>
        <w:t>)</w:t>
      </w:r>
      <w:r w:rsidR="004A5905" w:rsidRPr="004A5905">
        <w:rPr>
          <w:rtl/>
          <w:lang w:eastAsia="zh-TW"/>
        </w:rPr>
        <w:t>.</w:t>
      </w:r>
      <w:r w:rsidR="006B0B45">
        <w:rPr>
          <w:rtl/>
          <w:lang w:eastAsia="zh-TW"/>
        </w:rPr>
        <w:t xml:space="preserve"> </w:t>
      </w:r>
      <w:r w:rsidR="004A5905" w:rsidRPr="004A5905">
        <w:rPr>
          <w:rtl/>
          <w:lang w:eastAsia="zh-TW"/>
        </w:rPr>
        <w:t>وتؤكد الدولة الطرف مجددا</w:t>
      </w:r>
      <w:r w:rsidR="008F18B4">
        <w:rPr>
          <w:rFonts w:hint="cs"/>
          <w:rtl/>
          <w:lang w:eastAsia="zh-TW"/>
        </w:rPr>
        <w:t>ً</w:t>
      </w:r>
      <w:r w:rsidR="004A5905" w:rsidRPr="004A5905">
        <w:rPr>
          <w:rtl/>
          <w:lang w:eastAsia="zh-TW"/>
        </w:rPr>
        <w:t xml:space="preserve"> أن ولاية نيو ساوث ويلز توفر بالفعل، ترتيبات لمساعدة الأشخاص ذوي الإعاقة السمعية على أداء واجب المحلف</w:t>
      </w:r>
      <w:r w:rsidR="008F18B4">
        <w:rPr>
          <w:vertAlign w:val="superscript"/>
          <w:rtl/>
          <w:lang w:eastAsia="zh-TW"/>
        </w:rPr>
        <w:t>(</w:t>
      </w:r>
      <w:r w:rsidR="008F18B4">
        <w:rPr>
          <w:rStyle w:val="FootnoteReference"/>
          <w:rtl/>
          <w:lang w:eastAsia="zh-TW"/>
        </w:rPr>
        <w:footnoteReference w:id="21"/>
      </w:r>
      <w:r w:rsidR="008F18B4">
        <w:rPr>
          <w:vertAlign w:val="superscript"/>
          <w:rtl/>
          <w:lang w:eastAsia="zh-TW"/>
        </w:rPr>
        <w:t>)</w:t>
      </w:r>
      <w:r w:rsidR="004A5905" w:rsidRPr="004A5905">
        <w:rPr>
          <w:rtl/>
          <w:lang w:eastAsia="zh-TW"/>
        </w:rPr>
        <w:t>.</w:t>
      </w:r>
      <w:r w:rsidR="006B0B45">
        <w:rPr>
          <w:rtl/>
          <w:lang w:eastAsia="zh-TW"/>
        </w:rPr>
        <w:t xml:space="preserve"> </w:t>
      </w:r>
    </w:p>
    <w:p w:rsidR="004A5905" w:rsidRPr="004A5905" w:rsidRDefault="00E37EF9" w:rsidP="00E37EF9">
      <w:pPr>
        <w:pStyle w:val="SingleTxtGA"/>
        <w:rPr>
          <w:rtl/>
          <w:lang w:eastAsia="zh-TW"/>
        </w:rPr>
      </w:pPr>
      <w:r>
        <w:rPr>
          <w:rFonts w:hint="cs"/>
          <w:rtl/>
          <w:lang w:eastAsia="zh-TW"/>
        </w:rPr>
        <w:t>4-6</w:t>
      </w:r>
      <w:r>
        <w:rPr>
          <w:rtl/>
          <w:lang w:eastAsia="zh-TW"/>
        </w:rPr>
        <w:tab/>
      </w:r>
      <w:r w:rsidR="004A5905" w:rsidRPr="004A5905">
        <w:rPr>
          <w:rtl/>
          <w:lang w:eastAsia="zh-TW"/>
        </w:rPr>
        <w:t xml:space="preserve">وفيما يتعلق بادعاء صاحب البلاغ بموجب المادة 13 من الاتفاقية، تفيد الدولة الطرف بأن هذا الادعاء لا يندرج في نطاق هذا الحكم على اعتبار أن "إمكانية اللجوء إلى القضاء فعليا" تشير إلى قدرة الأشخاص ذوي الإعاقة على الوصول إلى النظام القضائي عندما </w:t>
      </w:r>
      <w:r w:rsidR="004A5905" w:rsidRPr="004A5905">
        <w:rPr>
          <w:rtl/>
          <w:lang w:eastAsia="zh-TW"/>
        </w:rPr>
        <w:lastRenderedPageBreak/>
        <w:t>يخضعون لإجرا</w:t>
      </w:r>
      <w:r w:rsidR="004A5905" w:rsidRPr="004A5905">
        <w:rPr>
          <w:rFonts w:hint="eastAsia"/>
          <w:rtl/>
          <w:lang w:eastAsia="zh-TW"/>
        </w:rPr>
        <w:t>ءات</w:t>
      </w:r>
      <w:r w:rsidR="004A5905" w:rsidRPr="004A5905">
        <w:rPr>
          <w:rtl/>
          <w:lang w:eastAsia="zh-TW"/>
        </w:rPr>
        <w:t xml:space="preserve"> قانونية، وليس على المشاركة في مختلف مكونات نظام العدالة. وتدعي الدولة الطرف كذلك، أنه </w:t>
      </w:r>
      <w:r w:rsidR="008B5358">
        <w:rPr>
          <w:rtl/>
          <w:lang w:eastAsia="zh-TW"/>
        </w:rPr>
        <w:t>وفقاً</w:t>
      </w:r>
      <w:r w:rsidR="004A5905" w:rsidRPr="004A5905">
        <w:rPr>
          <w:rtl/>
          <w:lang w:eastAsia="zh-TW"/>
        </w:rPr>
        <w:t xml:space="preserve"> للأعمال التحضيرية للاتفاقية، لم يقصد إدراج المحلفين في فئات المشاركة "المباشرة" و"غير المباشرة" المنصوص عليها في المادة 13، إذ أن تلك الشروط تتعلق بالمشاركة التي لها صلة بموضوع قضية من القضايا ونتائجها، من قبيل المشاركة كطرف أو كشاهد</w:t>
      </w:r>
      <w:r w:rsidR="008F18B4">
        <w:rPr>
          <w:vertAlign w:val="superscript"/>
          <w:rtl/>
          <w:lang w:eastAsia="zh-TW"/>
        </w:rPr>
        <w:t>(</w:t>
      </w:r>
      <w:r w:rsidR="008F18B4">
        <w:rPr>
          <w:rStyle w:val="FootnoteReference"/>
          <w:rtl/>
          <w:lang w:eastAsia="zh-TW"/>
        </w:rPr>
        <w:footnoteReference w:id="22"/>
      </w:r>
      <w:r w:rsidR="008F18B4">
        <w:rPr>
          <w:vertAlign w:val="superscript"/>
          <w:rtl/>
          <w:lang w:eastAsia="zh-TW"/>
        </w:rPr>
        <w:t>)</w:t>
      </w:r>
      <w:r w:rsidR="004A5905" w:rsidRPr="004A5905">
        <w:rPr>
          <w:rtl/>
          <w:lang w:eastAsia="zh-TW"/>
        </w:rPr>
        <w:t>.</w:t>
      </w:r>
      <w:r w:rsidR="006B0B45">
        <w:rPr>
          <w:rtl/>
          <w:lang w:eastAsia="zh-TW"/>
        </w:rPr>
        <w:t xml:space="preserve"> </w:t>
      </w:r>
      <w:r w:rsidR="004A5905" w:rsidRPr="004A5905">
        <w:rPr>
          <w:rtl/>
          <w:lang w:eastAsia="zh-TW"/>
        </w:rPr>
        <w:t xml:space="preserve">وتدفع كذلك بأن معيار "الترتيبات </w:t>
      </w:r>
      <w:proofErr w:type="spellStart"/>
      <w:r w:rsidR="004A5905" w:rsidRPr="004A5905">
        <w:rPr>
          <w:rtl/>
          <w:lang w:eastAsia="zh-TW"/>
        </w:rPr>
        <w:t>التيسيرية</w:t>
      </w:r>
      <w:proofErr w:type="spellEnd"/>
      <w:r w:rsidR="004A5905" w:rsidRPr="004A5905">
        <w:rPr>
          <w:rtl/>
          <w:lang w:eastAsia="zh-TW"/>
        </w:rPr>
        <w:t xml:space="preserve"> المعقولة" لا ينطبق على المادة 13. وتشير إلى أن المادة 31 من اتفاقية فيينا لقانون المعاهدات تنص على أن تفسر المعاهدات </w:t>
      </w:r>
      <w:r w:rsidR="008B5358">
        <w:rPr>
          <w:rtl/>
          <w:lang w:eastAsia="zh-TW"/>
        </w:rPr>
        <w:t>وفقاً</w:t>
      </w:r>
      <w:r w:rsidR="004A5905" w:rsidRPr="004A5905">
        <w:rPr>
          <w:rtl/>
          <w:lang w:eastAsia="zh-TW"/>
        </w:rPr>
        <w:t xml:space="preserve"> للمعنى الذي يعطى لألفاظها ضمن السياق الخاص بموضوعها والغرض منها. وفي هذا الصدد، تشير المادة 13 إلى "بما في ذلك من خلال توفير </w:t>
      </w:r>
      <w:proofErr w:type="spellStart"/>
      <w:r w:rsidR="004A5905" w:rsidRPr="004A5905">
        <w:rPr>
          <w:rtl/>
          <w:lang w:eastAsia="zh-TW"/>
        </w:rPr>
        <w:t>التيسيرات</w:t>
      </w:r>
      <w:proofErr w:type="spellEnd"/>
      <w:r w:rsidR="004A5905" w:rsidRPr="004A5905">
        <w:rPr>
          <w:rtl/>
          <w:lang w:eastAsia="zh-TW"/>
        </w:rPr>
        <w:t xml:space="preserve"> الإجرائية التي تتناسب مع أعمارهم" بدلا</w:t>
      </w:r>
      <w:r w:rsidR="008F18B4">
        <w:rPr>
          <w:rFonts w:hint="cs"/>
          <w:rtl/>
          <w:lang w:eastAsia="zh-TW"/>
        </w:rPr>
        <w:t>ً</w:t>
      </w:r>
      <w:r w:rsidR="004A5905" w:rsidRPr="004A5905">
        <w:rPr>
          <w:rtl/>
          <w:lang w:eastAsia="zh-TW"/>
        </w:rPr>
        <w:t xml:space="preserve"> من الإشارة إلى مصطلح "الترتيبات </w:t>
      </w:r>
      <w:proofErr w:type="spellStart"/>
      <w:r w:rsidR="004A5905" w:rsidRPr="004A5905">
        <w:rPr>
          <w:rtl/>
          <w:lang w:eastAsia="zh-TW"/>
        </w:rPr>
        <w:t>التيسيرية</w:t>
      </w:r>
      <w:proofErr w:type="spellEnd"/>
      <w:r w:rsidR="004A5905" w:rsidRPr="004A5905">
        <w:rPr>
          <w:rtl/>
          <w:lang w:eastAsia="zh-TW"/>
        </w:rPr>
        <w:t xml:space="preserve"> المعقولة". وعلاوة على ذلك، لا تشير عبارة "</w:t>
      </w:r>
      <w:proofErr w:type="spellStart"/>
      <w:r w:rsidR="004A5905" w:rsidRPr="004A5905">
        <w:rPr>
          <w:rtl/>
          <w:lang w:eastAsia="zh-TW"/>
        </w:rPr>
        <w:t>التيسيرات</w:t>
      </w:r>
      <w:proofErr w:type="spellEnd"/>
      <w:r w:rsidR="004A5905" w:rsidRPr="004A5905">
        <w:rPr>
          <w:rtl/>
          <w:lang w:eastAsia="zh-TW"/>
        </w:rPr>
        <w:t xml:space="preserve"> الإج</w:t>
      </w:r>
      <w:r w:rsidR="004A5905" w:rsidRPr="004A5905">
        <w:rPr>
          <w:rFonts w:hint="eastAsia"/>
          <w:rtl/>
          <w:lang w:eastAsia="zh-TW"/>
        </w:rPr>
        <w:t>رائية</w:t>
      </w:r>
      <w:r w:rsidR="004A5905" w:rsidRPr="004A5905">
        <w:rPr>
          <w:rtl/>
          <w:lang w:eastAsia="zh-TW"/>
        </w:rPr>
        <w:t xml:space="preserve"> التي تتناسب مع أعمارهم" إلا إلى </w:t>
      </w:r>
      <w:proofErr w:type="spellStart"/>
      <w:r w:rsidR="004A5905" w:rsidRPr="004A5905">
        <w:rPr>
          <w:rtl/>
          <w:lang w:eastAsia="zh-TW"/>
        </w:rPr>
        <w:t>التيسيرات</w:t>
      </w:r>
      <w:proofErr w:type="spellEnd"/>
      <w:r w:rsidR="004A5905" w:rsidRPr="004A5905">
        <w:rPr>
          <w:rtl/>
          <w:lang w:eastAsia="zh-TW"/>
        </w:rPr>
        <w:t xml:space="preserve"> التي تكون معقولة من حيث مراعاة الإجراء المناسب أو العمر</w:t>
      </w:r>
      <w:r w:rsidR="008F18B4">
        <w:rPr>
          <w:vertAlign w:val="superscript"/>
          <w:rtl/>
          <w:lang w:eastAsia="zh-TW"/>
        </w:rPr>
        <w:t>(</w:t>
      </w:r>
      <w:r w:rsidR="008F18B4">
        <w:rPr>
          <w:rStyle w:val="FootnoteReference"/>
          <w:rtl/>
          <w:lang w:eastAsia="zh-TW"/>
        </w:rPr>
        <w:footnoteReference w:id="23"/>
      </w:r>
      <w:r w:rsidR="008F18B4">
        <w:rPr>
          <w:vertAlign w:val="superscript"/>
          <w:rtl/>
          <w:lang w:eastAsia="zh-TW"/>
        </w:rPr>
        <w:t>)</w:t>
      </w:r>
      <w:r w:rsidR="004A5905" w:rsidRPr="004A5905">
        <w:rPr>
          <w:rtl/>
          <w:lang w:eastAsia="zh-TW"/>
        </w:rPr>
        <w:t>.</w:t>
      </w:r>
      <w:r w:rsidR="006B0B45">
        <w:rPr>
          <w:rtl/>
          <w:lang w:eastAsia="zh-TW"/>
        </w:rPr>
        <w:t xml:space="preserve"> </w:t>
      </w:r>
    </w:p>
    <w:p w:rsidR="004A5905" w:rsidRPr="004A5905" w:rsidRDefault="00E37EF9" w:rsidP="00E37EF9">
      <w:pPr>
        <w:pStyle w:val="SingleTxtGA"/>
        <w:rPr>
          <w:rtl/>
          <w:lang w:eastAsia="zh-TW"/>
        </w:rPr>
      </w:pPr>
      <w:r>
        <w:rPr>
          <w:rFonts w:hint="cs"/>
          <w:rtl/>
          <w:lang w:eastAsia="zh-TW"/>
        </w:rPr>
        <w:t>4-7</w:t>
      </w:r>
      <w:r>
        <w:rPr>
          <w:rtl/>
          <w:lang w:eastAsia="zh-TW"/>
        </w:rPr>
        <w:tab/>
      </w:r>
      <w:r w:rsidR="004A5905" w:rsidRPr="004A5905">
        <w:rPr>
          <w:rtl/>
          <w:lang w:eastAsia="zh-TW"/>
        </w:rPr>
        <w:t>وفيما يتعلق بادعاء صاحب البلاغ بموجب المادة 21 من الاتفاقية، تسلم الدولة الطرف بأن العرض النصي بالاختزال هو شكل من أشكال الات</w:t>
      </w:r>
      <w:r>
        <w:rPr>
          <w:rtl/>
          <w:lang w:eastAsia="zh-TW"/>
        </w:rPr>
        <w:t>صال. بيد أنها تدعي أن المادة</w:t>
      </w:r>
      <w:r>
        <w:rPr>
          <w:rFonts w:hint="cs"/>
          <w:rtl/>
          <w:lang w:eastAsia="zh-TW"/>
        </w:rPr>
        <w:t> </w:t>
      </w:r>
      <w:r>
        <w:rPr>
          <w:rtl/>
          <w:lang w:eastAsia="zh-TW"/>
        </w:rPr>
        <w:t>21</w:t>
      </w:r>
      <w:r w:rsidR="004A5905" w:rsidRPr="004A5905">
        <w:rPr>
          <w:rtl/>
          <w:lang w:eastAsia="zh-TW"/>
        </w:rPr>
        <w:t>(ب) من الاتفاقية تلزم الدول الأطراف باتخاذ جميع التدابير المناسبة في ضوء محدودية الموارد دون نش</w:t>
      </w:r>
      <w:r w:rsidR="004A5905" w:rsidRPr="004A5905">
        <w:rPr>
          <w:rFonts w:hint="eastAsia"/>
          <w:rtl/>
          <w:lang w:eastAsia="zh-TW"/>
        </w:rPr>
        <w:t>وء</w:t>
      </w:r>
      <w:r w:rsidR="004A5905" w:rsidRPr="004A5905">
        <w:rPr>
          <w:rtl/>
          <w:lang w:eastAsia="zh-TW"/>
        </w:rPr>
        <w:t xml:space="preserve"> التزام مطلق على الدول. وهي تفيد </w:t>
      </w:r>
      <w:r w:rsidR="008B5358">
        <w:rPr>
          <w:rtl/>
          <w:lang w:eastAsia="zh-TW"/>
        </w:rPr>
        <w:t>أيضاً</w:t>
      </w:r>
      <w:r w:rsidR="004A5905" w:rsidRPr="004A5905">
        <w:rPr>
          <w:rtl/>
          <w:lang w:eastAsia="zh-TW"/>
        </w:rPr>
        <w:t xml:space="preserve"> بأن التزاما</w:t>
      </w:r>
      <w:r>
        <w:rPr>
          <w:rtl/>
          <w:lang w:eastAsia="zh-TW"/>
        </w:rPr>
        <w:t>ت الدول الأطراف بموجب المادة 21</w:t>
      </w:r>
      <w:r w:rsidR="004A5905" w:rsidRPr="004A5905">
        <w:rPr>
          <w:rtl/>
          <w:lang w:eastAsia="zh-TW"/>
        </w:rPr>
        <w:t>(ب) يجب أن تنفذ بصورة تدريجية، وذلك في حدود الموارد المتاحة لها، وترى أن ولاية نيو ساوث ويلز قد استوفت هذا المعيار. وتلاحظ الدولة ال</w:t>
      </w:r>
      <w:r>
        <w:rPr>
          <w:rtl/>
          <w:lang w:eastAsia="zh-TW"/>
        </w:rPr>
        <w:t>طرف كذلك أن أداء واجب المحلف لا</w:t>
      </w:r>
      <w:r>
        <w:rPr>
          <w:rFonts w:hint="cs"/>
          <w:rtl/>
          <w:lang w:eastAsia="zh-TW"/>
        </w:rPr>
        <w:t> </w:t>
      </w:r>
      <w:r w:rsidR="004A5905" w:rsidRPr="004A5905">
        <w:rPr>
          <w:rtl/>
          <w:lang w:eastAsia="zh-TW"/>
        </w:rPr>
        <w:t>يصل إلى م</w:t>
      </w:r>
      <w:r w:rsidR="004A5905" w:rsidRPr="004A5905">
        <w:rPr>
          <w:rFonts w:hint="eastAsia"/>
          <w:rtl/>
          <w:lang w:eastAsia="zh-TW"/>
        </w:rPr>
        <w:t>رتبة</w:t>
      </w:r>
      <w:r w:rsidR="004A5905" w:rsidRPr="004A5905">
        <w:rPr>
          <w:rtl/>
          <w:lang w:eastAsia="zh-TW"/>
        </w:rPr>
        <w:t xml:space="preserve"> المعاملة الرسم</w:t>
      </w:r>
      <w:r>
        <w:rPr>
          <w:rtl/>
          <w:lang w:eastAsia="zh-TW"/>
        </w:rPr>
        <w:t>ية بالمعنى المقصود في المادة 21</w:t>
      </w:r>
      <w:r w:rsidR="004A5905" w:rsidRPr="004A5905">
        <w:rPr>
          <w:rtl/>
          <w:lang w:eastAsia="zh-TW"/>
        </w:rPr>
        <w:t>(ب) من الاتفاقية</w:t>
      </w:r>
      <w:r w:rsidR="008F18B4">
        <w:rPr>
          <w:vertAlign w:val="superscript"/>
          <w:rtl/>
          <w:lang w:eastAsia="zh-TW"/>
        </w:rPr>
        <w:t>(</w:t>
      </w:r>
      <w:r w:rsidR="008F18B4">
        <w:rPr>
          <w:rStyle w:val="FootnoteReference"/>
          <w:rtl/>
          <w:lang w:eastAsia="zh-TW"/>
        </w:rPr>
        <w:footnoteReference w:id="24"/>
      </w:r>
      <w:r w:rsidR="008F18B4">
        <w:rPr>
          <w:vertAlign w:val="superscript"/>
          <w:rtl/>
          <w:lang w:eastAsia="zh-TW"/>
        </w:rPr>
        <w:t>)</w:t>
      </w:r>
      <w:r w:rsidR="004A5905" w:rsidRPr="004A5905">
        <w:rPr>
          <w:rtl/>
          <w:lang w:eastAsia="zh-TW"/>
        </w:rPr>
        <w:t>.</w:t>
      </w:r>
      <w:r w:rsidR="006B0B45">
        <w:rPr>
          <w:rtl/>
          <w:lang w:eastAsia="zh-TW"/>
        </w:rPr>
        <w:t xml:space="preserve"> </w:t>
      </w:r>
      <w:r w:rsidR="004A5905" w:rsidRPr="004A5905">
        <w:rPr>
          <w:rtl/>
          <w:lang w:eastAsia="zh-TW"/>
        </w:rPr>
        <w:t>وعليه، تؤكد الدولة الطرف أن شكوى صاحب البلاغ بموجب المادة 21 تخرج عن نطاق هذه المادة وليس لها أساس موضوعي.</w:t>
      </w:r>
      <w:r>
        <w:rPr>
          <w:rFonts w:hint="cs"/>
          <w:rtl/>
          <w:lang w:eastAsia="zh-TW"/>
        </w:rPr>
        <w:t xml:space="preserve"> </w:t>
      </w:r>
    </w:p>
    <w:p w:rsidR="004A5905" w:rsidRPr="004A5905" w:rsidRDefault="00E37EF9" w:rsidP="00E37EF9">
      <w:pPr>
        <w:pStyle w:val="SingleTxtGA"/>
        <w:rPr>
          <w:rtl/>
          <w:lang w:eastAsia="zh-TW"/>
        </w:rPr>
      </w:pPr>
      <w:r>
        <w:rPr>
          <w:rFonts w:hint="cs"/>
          <w:rtl/>
          <w:lang w:eastAsia="zh-TW"/>
        </w:rPr>
        <w:t>4-8</w:t>
      </w:r>
      <w:r>
        <w:rPr>
          <w:rtl/>
          <w:lang w:eastAsia="zh-TW"/>
        </w:rPr>
        <w:tab/>
      </w:r>
      <w:r w:rsidR="004A5905" w:rsidRPr="004A5905">
        <w:rPr>
          <w:rtl/>
          <w:lang w:eastAsia="zh-TW"/>
        </w:rPr>
        <w:t>وفيما يتعلق بادعاءات صاحب البلاغ بموجب الماد</w:t>
      </w:r>
      <w:r>
        <w:rPr>
          <w:rtl/>
          <w:lang w:eastAsia="zh-TW"/>
        </w:rPr>
        <w:t>ة 29، تؤكد الدولة الطرف أنها لا</w:t>
      </w:r>
      <w:r>
        <w:rPr>
          <w:rFonts w:hint="cs"/>
          <w:rtl/>
          <w:lang w:eastAsia="zh-TW"/>
        </w:rPr>
        <w:t> </w:t>
      </w:r>
      <w:r w:rsidR="004A5905" w:rsidRPr="004A5905">
        <w:rPr>
          <w:rtl/>
          <w:lang w:eastAsia="zh-TW"/>
        </w:rPr>
        <w:t xml:space="preserve">تندرج ضمن نطاق هذا الحكم وليس لها أي أساس موضوعي. وهي تدعي أن الحقوق السياسية بالمعنى المقصود في المادة 29 تقتصر على الحقوق المتعلقة بجوانب العملية السياسية من تصويت وانتخابات </w:t>
      </w:r>
      <w:r w:rsidR="004A5905" w:rsidRPr="004A5905">
        <w:rPr>
          <w:rFonts w:hint="eastAsia"/>
          <w:rtl/>
          <w:lang w:eastAsia="zh-TW"/>
        </w:rPr>
        <w:t>وتمثيل</w:t>
      </w:r>
      <w:r>
        <w:rPr>
          <w:rFonts w:hint="cs"/>
          <w:rtl/>
          <w:lang w:eastAsia="zh-TW"/>
        </w:rPr>
        <w:t xml:space="preserve"> </w:t>
      </w:r>
      <w:r w:rsidR="004A5905" w:rsidRPr="004A5905">
        <w:rPr>
          <w:rtl/>
          <w:lang w:eastAsia="zh-TW"/>
        </w:rPr>
        <w:t>-</w:t>
      </w:r>
      <w:r>
        <w:rPr>
          <w:rFonts w:hint="cs"/>
          <w:rtl/>
          <w:lang w:eastAsia="zh-TW"/>
        </w:rPr>
        <w:t xml:space="preserve"> </w:t>
      </w:r>
      <w:r w:rsidR="004A5905" w:rsidRPr="004A5905">
        <w:rPr>
          <w:rtl/>
          <w:lang w:eastAsia="zh-TW"/>
        </w:rPr>
        <w:t xml:space="preserve">ولا تشمل أداء واجب المحلف. وترى الدولة الطرف أن المادة 25 من العهد الدولي الخاص بالحقوق المدنية والسياسية هي المصدر الرئيسي لمضمون المادة 29، وتشير إلى التعليقات بشأن نطاق المادة 25 والاجتهاد القانوني </w:t>
      </w:r>
      <w:r>
        <w:rPr>
          <w:rtl/>
          <w:lang w:eastAsia="zh-TW"/>
        </w:rPr>
        <w:t xml:space="preserve">للجنة المعنية بحقوق الإنسان، </w:t>
      </w:r>
      <w:r>
        <w:rPr>
          <w:rtl/>
          <w:lang w:eastAsia="zh-TW"/>
        </w:rPr>
        <w:lastRenderedPageBreak/>
        <w:t>ما</w:t>
      </w:r>
      <w:r>
        <w:rPr>
          <w:rFonts w:hint="cs"/>
          <w:rtl/>
          <w:lang w:eastAsia="zh-TW"/>
        </w:rPr>
        <w:t> </w:t>
      </w:r>
      <w:r w:rsidR="004A5905" w:rsidRPr="004A5905">
        <w:rPr>
          <w:rtl/>
          <w:lang w:eastAsia="zh-TW"/>
        </w:rPr>
        <w:t>يؤكد أن هذا الحك</w:t>
      </w:r>
      <w:r w:rsidR="004A5905" w:rsidRPr="004A5905">
        <w:rPr>
          <w:rFonts w:hint="eastAsia"/>
          <w:rtl/>
          <w:lang w:eastAsia="zh-TW"/>
        </w:rPr>
        <w:t>م</w:t>
      </w:r>
      <w:r w:rsidR="004A5905" w:rsidRPr="004A5905">
        <w:rPr>
          <w:rtl/>
          <w:lang w:eastAsia="zh-TW"/>
        </w:rPr>
        <w:t xml:space="preserve"> لا يشمل واجب المحلف</w:t>
      </w:r>
      <w:r w:rsidR="004D24C8">
        <w:rPr>
          <w:vertAlign w:val="superscript"/>
          <w:rtl/>
          <w:lang w:eastAsia="zh-TW"/>
        </w:rPr>
        <w:t>(</w:t>
      </w:r>
      <w:r w:rsidR="004D24C8">
        <w:rPr>
          <w:rStyle w:val="FootnoteReference"/>
          <w:rtl/>
          <w:lang w:eastAsia="zh-TW"/>
        </w:rPr>
        <w:footnoteReference w:id="25"/>
      </w:r>
      <w:r w:rsidR="004D24C8">
        <w:rPr>
          <w:vertAlign w:val="superscript"/>
          <w:rtl/>
          <w:lang w:eastAsia="zh-TW"/>
        </w:rPr>
        <w:t>)</w:t>
      </w:r>
      <w:r w:rsidR="004A5905" w:rsidRPr="004A5905">
        <w:rPr>
          <w:rtl/>
          <w:lang w:eastAsia="zh-TW"/>
        </w:rPr>
        <w:t>.</w:t>
      </w:r>
      <w:r w:rsidR="006B0B45">
        <w:rPr>
          <w:rtl/>
          <w:lang w:eastAsia="zh-TW"/>
        </w:rPr>
        <w:t xml:space="preserve"> </w:t>
      </w:r>
      <w:r w:rsidR="004A5905" w:rsidRPr="004A5905">
        <w:rPr>
          <w:rtl/>
          <w:lang w:eastAsia="zh-TW"/>
        </w:rPr>
        <w:t xml:space="preserve">وترى الدولة الطرف كذلك أن ادعاء صاحب البلاغ ينبغي أن ينظر فيه في ضوء الشروط والقيود التي يمكن </w:t>
      </w:r>
      <w:r>
        <w:rPr>
          <w:rtl/>
          <w:lang w:eastAsia="zh-TW"/>
        </w:rPr>
        <w:t xml:space="preserve">أن تطبق </w:t>
      </w:r>
      <w:r w:rsidR="008B5358">
        <w:rPr>
          <w:rtl/>
          <w:lang w:eastAsia="zh-TW"/>
        </w:rPr>
        <w:t>وفقاً</w:t>
      </w:r>
      <w:r>
        <w:rPr>
          <w:rtl/>
          <w:lang w:eastAsia="zh-TW"/>
        </w:rPr>
        <w:t xml:space="preserve"> للتعليق العام رقم</w:t>
      </w:r>
      <w:r>
        <w:rPr>
          <w:rFonts w:hint="cs"/>
          <w:rtl/>
          <w:lang w:eastAsia="zh-TW"/>
        </w:rPr>
        <w:t> </w:t>
      </w:r>
      <w:r w:rsidR="004A5905" w:rsidRPr="004A5905">
        <w:rPr>
          <w:rtl/>
          <w:lang w:eastAsia="zh-TW"/>
        </w:rPr>
        <w:t>2</w:t>
      </w:r>
      <w:r>
        <w:rPr>
          <w:rtl/>
          <w:lang w:eastAsia="zh-TW"/>
        </w:rPr>
        <w:t>5</w:t>
      </w:r>
      <w:r w:rsidR="004A5905" w:rsidRPr="004A5905">
        <w:rPr>
          <w:rtl/>
          <w:lang w:eastAsia="zh-TW"/>
        </w:rPr>
        <w:t>(1996) للجنة المعنية بحقوق الإنسان بشأن المادة 25 (بشأن حق المشاركة في الشؤون العامة، وحقوق الاقتراع وحق تقلّد الوظائف العامة على قدم المساواة مع الآخرين) وتدعي أن ولاية نيو ساوث ويلز تطبق نظاما واضحا بشأن أداء واجب المحلف، وهو ينص على إمكانية الإعف</w:t>
      </w:r>
      <w:r>
        <w:rPr>
          <w:rtl/>
          <w:lang w:eastAsia="zh-TW"/>
        </w:rPr>
        <w:t>اء منه في حال وجود "سبب وجيه"</w:t>
      </w:r>
      <w:r w:rsidR="004D24C8">
        <w:rPr>
          <w:vertAlign w:val="superscript"/>
          <w:rtl/>
          <w:lang w:eastAsia="zh-TW"/>
        </w:rPr>
        <w:t>(</w:t>
      </w:r>
      <w:r w:rsidR="004D24C8">
        <w:rPr>
          <w:rStyle w:val="FootnoteReference"/>
          <w:rtl/>
          <w:lang w:eastAsia="zh-TW"/>
        </w:rPr>
        <w:footnoteReference w:id="26"/>
      </w:r>
      <w:r w:rsidR="004D24C8">
        <w:rPr>
          <w:vertAlign w:val="superscript"/>
          <w:rtl/>
          <w:lang w:eastAsia="zh-TW"/>
        </w:rPr>
        <w:t>)</w:t>
      </w:r>
      <w:r>
        <w:rPr>
          <w:rtl/>
          <w:lang w:eastAsia="zh-TW"/>
        </w:rPr>
        <w:t xml:space="preserve">. </w:t>
      </w:r>
    </w:p>
    <w:p w:rsidR="004A5905" w:rsidRPr="004A5905" w:rsidRDefault="00E37EF9" w:rsidP="00E37EF9">
      <w:pPr>
        <w:pStyle w:val="SingleTxtGA"/>
        <w:rPr>
          <w:rtl/>
          <w:lang w:eastAsia="zh-TW"/>
        </w:rPr>
      </w:pPr>
      <w:r>
        <w:rPr>
          <w:rFonts w:hint="cs"/>
          <w:rtl/>
          <w:lang w:eastAsia="zh-TW"/>
        </w:rPr>
        <w:t>4-9</w:t>
      </w:r>
      <w:r>
        <w:rPr>
          <w:rtl/>
          <w:lang w:eastAsia="zh-TW"/>
        </w:rPr>
        <w:tab/>
      </w:r>
      <w:r w:rsidR="004A5905" w:rsidRPr="004A5905">
        <w:rPr>
          <w:rtl/>
          <w:lang w:eastAsia="zh-TW"/>
        </w:rPr>
        <w:t>وفيما يتعلق بادعاء صاحب البلاغ بموجب المادة 5 من الاتفاقية، ترى الدولة الطرف أنه لا يستند إلى أساس موضوعي. وتشير إلى أن الاتفاقية تمثل خطوة هامة في الاعتراف بحقوق الأشخاص ذوي الإعاقة والتوعية بشأن الحاجة إلى اتباع نهج جديد في هذا الصدد. وهي تعتبر أن ال</w:t>
      </w:r>
      <w:r w:rsidR="004A5905" w:rsidRPr="004A5905">
        <w:rPr>
          <w:rFonts w:hint="eastAsia"/>
          <w:rtl/>
          <w:lang w:eastAsia="zh-TW"/>
        </w:rPr>
        <w:t>اتفاقية</w:t>
      </w:r>
      <w:r w:rsidR="004A5905" w:rsidRPr="004A5905">
        <w:rPr>
          <w:rtl/>
          <w:lang w:eastAsia="zh-TW"/>
        </w:rPr>
        <w:t xml:space="preserve"> لا تنشئ حقوقا</w:t>
      </w:r>
      <w:r w:rsidR="005F6E57">
        <w:rPr>
          <w:rFonts w:hint="cs"/>
          <w:rtl/>
          <w:lang w:eastAsia="zh-TW"/>
        </w:rPr>
        <w:t>ً</w:t>
      </w:r>
      <w:r w:rsidR="004A5905" w:rsidRPr="004A5905">
        <w:rPr>
          <w:rtl/>
          <w:lang w:eastAsia="zh-TW"/>
        </w:rPr>
        <w:t xml:space="preserve"> جديدة، بل توضح الحقوق القائمة لضمان تمكن الأشخاص ذوي الإعاقة من ممارستها</w:t>
      </w:r>
      <w:r w:rsidR="004D24C8">
        <w:rPr>
          <w:vertAlign w:val="superscript"/>
          <w:rtl/>
          <w:lang w:eastAsia="zh-TW"/>
        </w:rPr>
        <w:t>(</w:t>
      </w:r>
      <w:r w:rsidR="004D24C8">
        <w:rPr>
          <w:rStyle w:val="FootnoteReference"/>
          <w:rtl/>
          <w:lang w:eastAsia="zh-TW"/>
        </w:rPr>
        <w:footnoteReference w:id="27"/>
      </w:r>
      <w:r w:rsidR="004D24C8">
        <w:rPr>
          <w:vertAlign w:val="superscript"/>
          <w:rtl/>
          <w:lang w:eastAsia="zh-TW"/>
        </w:rPr>
        <w:t>)</w:t>
      </w:r>
      <w:r>
        <w:rPr>
          <w:rtl/>
          <w:lang w:eastAsia="zh-TW"/>
        </w:rPr>
        <w:t xml:space="preserve">. </w:t>
      </w:r>
      <w:r w:rsidR="004A5905" w:rsidRPr="004A5905">
        <w:rPr>
          <w:rtl/>
          <w:lang w:eastAsia="zh-TW"/>
        </w:rPr>
        <w:t>وعليه، ينبغي أن تفسر المادة 5 تفسيرا</w:t>
      </w:r>
      <w:r w:rsidR="004D24C8">
        <w:rPr>
          <w:rFonts w:hint="cs"/>
          <w:rtl/>
          <w:lang w:eastAsia="zh-TW"/>
        </w:rPr>
        <w:t>ً</w:t>
      </w:r>
      <w:r w:rsidR="004A5905" w:rsidRPr="004A5905">
        <w:rPr>
          <w:rtl/>
          <w:lang w:eastAsia="zh-TW"/>
        </w:rPr>
        <w:t xml:space="preserve"> يتسق مع الاجتهاد القانوني الثابت الذي يفيد بأن المفاضلة المشروعة في المعاملة ليس</w:t>
      </w:r>
      <w:r w:rsidR="004D24C8">
        <w:rPr>
          <w:rtl/>
          <w:lang w:eastAsia="zh-TW"/>
        </w:rPr>
        <w:t xml:space="preserve"> من التمييز. وعلاوة على ذلك، لا</w:t>
      </w:r>
      <w:r w:rsidR="004D24C8">
        <w:rPr>
          <w:rFonts w:hint="cs"/>
          <w:rtl/>
          <w:lang w:eastAsia="zh-TW"/>
        </w:rPr>
        <w:t> </w:t>
      </w:r>
      <w:r w:rsidR="004A5905" w:rsidRPr="004A5905">
        <w:rPr>
          <w:rtl/>
          <w:lang w:eastAsia="zh-TW"/>
        </w:rPr>
        <w:t>ينبغي أن ت</w:t>
      </w:r>
      <w:r w:rsidR="004A5905" w:rsidRPr="004A5905">
        <w:rPr>
          <w:rFonts w:hint="eastAsia"/>
          <w:rtl/>
          <w:lang w:eastAsia="zh-TW"/>
        </w:rPr>
        <w:t>فهم</w:t>
      </w:r>
      <w:r w:rsidR="004A5905" w:rsidRPr="004A5905">
        <w:rPr>
          <w:rtl/>
          <w:lang w:eastAsia="zh-TW"/>
        </w:rPr>
        <w:t xml:space="preserve"> المساواة وعدم التمييز على أنه يقتضي معاملة جميع الأشخاص المعاملة عينها في جميع الظروف، حتى وإن كان هناك التزام قانوني على الدول الأطراف باتخاذ الخطوات اللازمة لاحترام الحق في عدم ال</w:t>
      </w:r>
      <w:r>
        <w:rPr>
          <w:rtl/>
          <w:lang w:eastAsia="zh-TW"/>
        </w:rPr>
        <w:t>تمييز وحمايته وتعزيزه وإعماله</w:t>
      </w:r>
      <w:r w:rsidR="004D24C8">
        <w:rPr>
          <w:vertAlign w:val="superscript"/>
          <w:rtl/>
          <w:lang w:eastAsia="zh-TW"/>
        </w:rPr>
        <w:t>(</w:t>
      </w:r>
      <w:r w:rsidR="004D24C8">
        <w:rPr>
          <w:rStyle w:val="FootnoteReference"/>
          <w:rtl/>
          <w:lang w:eastAsia="zh-TW"/>
        </w:rPr>
        <w:footnoteReference w:id="28"/>
      </w:r>
      <w:r w:rsidR="004D24C8">
        <w:rPr>
          <w:vertAlign w:val="superscript"/>
          <w:rtl/>
          <w:lang w:eastAsia="zh-TW"/>
        </w:rPr>
        <w:t>)</w:t>
      </w:r>
      <w:r>
        <w:rPr>
          <w:rtl/>
          <w:lang w:eastAsia="zh-TW"/>
        </w:rPr>
        <w:t xml:space="preserve">. </w:t>
      </w:r>
      <w:r w:rsidR="004A5905" w:rsidRPr="004A5905">
        <w:rPr>
          <w:rtl/>
          <w:lang w:eastAsia="zh-TW"/>
        </w:rPr>
        <w:t>ولذلك، ترى الدولة الطرف أن قوانينها الو</w:t>
      </w:r>
      <w:r w:rsidR="004A5905" w:rsidRPr="004A5905">
        <w:rPr>
          <w:rFonts w:hint="eastAsia"/>
          <w:rtl/>
          <w:lang w:eastAsia="zh-TW"/>
        </w:rPr>
        <w:t>طنية</w:t>
      </w:r>
      <w:r w:rsidR="004A5905" w:rsidRPr="004A5905">
        <w:rPr>
          <w:rtl/>
          <w:lang w:eastAsia="zh-TW"/>
        </w:rPr>
        <w:t xml:space="preserve"> ذات الصلة ليست تمييزية، حيث إن المفاضلة في المعاملة، المنصوص عليها في قانون المحلفين، تهدف إلى تحقيق التوازن بين حقوق الأشخاص ذوي الإعاقة وحقوق المتهم في محاكمة عادلة. وبالإضافة إلى ذلك، ييسر قانون ولاية نيو ساوث ويلز وممارستها وسياستها مشاركة الأشخاص ذوي الإعاقات السمعية في أداء واجب المحلف كلما أم</w:t>
      </w:r>
      <w:r>
        <w:rPr>
          <w:rtl/>
          <w:lang w:eastAsia="zh-TW"/>
        </w:rPr>
        <w:t>كن ذلك، امتثالا لأحكام المادة</w:t>
      </w:r>
      <w:r>
        <w:rPr>
          <w:rFonts w:hint="cs"/>
          <w:rtl/>
          <w:lang w:eastAsia="zh-TW"/>
        </w:rPr>
        <w:t> </w:t>
      </w:r>
      <w:r>
        <w:rPr>
          <w:rtl/>
          <w:lang w:eastAsia="zh-TW"/>
        </w:rPr>
        <w:t>5</w:t>
      </w:r>
      <w:r w:rsidR="004A5905" w:rsidRPr="004A5905">
        <w:rPr>
          <w:rtl/>
          <w:lang w:eastAsia="zh-TW"/>
        </w:rPr>
        <w:t>(3) من الاتفاقية، ويقتصر تقييد هذه المشاركة على الحالات التي يكون فيها الشخص مصابا</w:t>
      </w:r>
      <w:r>
        <w:rPr>
          <w:rFonts w:hint="cs"/>
          <w:rtl/>
          <w:lang w:eastAsia="zh-TW"/>
        </w:rPr>
        <w:t>ً</w:t>
      </w:r>
      <w:r w:rsidR="004A5905" w:rsidRPr="004A5905">
        <w:rPr>
          <w:rtl/>
          <w:lang w:eastAsia="zh-TW"/>
        </w:rPr>
        <w:t xml:space="preserve"> بإعاقة تجعله "غير لائق أو غير قادر على أداء مهمة المحلف بشكل فعال"</w:t>
      </w:r>
      <w:r w:rsidR="004D24C8">
        <w:rPr>
          <w:vertAlign w:val="superscript"/>
          <w:rtl/>
          <w:lang w:eastAsia="zh-TW"/>
        </w:rPr>
        <w:t>(</w:t>
      </w:r>
      <w:r w:rsidR="004D24C8">
        <w:rPr>
          <w:rStyle w:val="FootnoteReference"/>
          <w:rtl/>
          <w:lang w:eastAsia="zh-TW"/>
        </w:rPr>
        <w:footnoteReference w:id="29"/>
      </w:r>
      <w:r w:rsidR="004D24C8">
        <w:rPr>
          <w:vertAlign w:val="superscript"/>
          <w:rtl/>
          <w:lang w:eastAsia="zh-TW"/>
        </w:rPr>
        <w:t>)</w:t>
      </w:r>
      <w:r w:rsidR="004A5905" w:rsidRPr="004A5905">
        <w:rPr>
          <w:rtl/>
          <w:lang w:eastAsia="zh-TW"/>
        </w:rPr>
        <w:t>.</w:t>
      </w:r>
      <w:r w:rsidR="006B0B45">
        <w:rPr>
          <w:rtl/>
          <w:lang w:eastAsia="zh-TW"/>
        </w:rPr>
        <w:t xml:space="preserve"> </w:t>
      </w:r>
    </w:p>
    <w:p w:rsidR="004A5905" w:rsidRPr="004A5905" w:rsidRDefault="00E37EF9" w:rsidP="00E37EF9">
      <w:pPr>
        <w:pStyle w:val="SingleTxtGA"/>
        <w:rPr>
          <w:rtl/>
          <w:lang w:eastAsia="zh-TW"/>
        </w:rPr>
      </w:pPr>
      <w:r>
        <w:rPr>
          <w:rFonts w:hint="cs"/>
          <w:rtl/>
          <w:lang w:eastAsia="zh-TW"/>
        </w:rPr>
        <w:t>4-10</w:t>
      </w:r>
      <w:r>
        <w:rPr>
          <w:rtl/>
          <w:lang w:eastAsia="zh-TW"/>
        </w:rPr>
        <w:tab/>
      </w:r>
      <w:r w:rsidR="004A5905" w:rsidRPr="004A5905">
        <w:rPr>
          <w:rtl/>
          <w:lang w:eastAsia="zh-TW"/>
        </w:rPr>
        <w:t>وفيما يتعلق بادعاءات صاحب البلاغ بموجب المواد 2 و4 و9 من الاتفاقية، ترى الدولة الطرف أنها لا تستند إلى أساس موضوعي لأنها غير مدعمة بالأدلة. وتدفع بأنها ملتزمة التزاما قويا باحترام حقوق الأشخاص ذوي الإعاقة، وبتمكينهم من التمتع بجميع حقوق الإنسان على قد</w:t>
      </w:r>
      <w:r w:rsidR="004A5905" w:rsidRPr="004A5905">
        <w:rPr>
          <w:rFonts w:hint="eastAsia"/>
          <w:rtl/>
          <w:lang w:eastAsia="zh-TW"/>
        </w:rPr>
        <w:t>م</w:t>
      </w:r>
      <w:r w:rsidR="004A5905" w:rsidRPr="004A5905">
        <w:rPr>
          <w:rtl/>
          <w:lang w:eastAsia="zh-TW"/>
        </w:rPr>
        <w:t xml:space="preserve"> المساواة مع الآخرين، </w:t>
      </w:r>
      <w:r w:rsidR="008B5358">
        <w:rPr>
          <w:rtl/>
          <w:lang w:eastAsia="zh-TW"/>
        </w:rPr>
        <w:t>طبقاً</w:t>
      </w:r>
      <w:r w:rsidR="004A5905" w:rsidRPr="004A5905">
        <w:rPr>
          <w:rtl/>
          <w:lang w:eastAsia="zh-TW"/>
        </w:rPr>
        <w:t xml:space="preserve"> لأحكام الاتفاقية. وتقر بأن الدول الأطراف </w:t>
      </w:r>
      <w:r w:rsidR="004A5905" w:rsidRPr="004A5905">
        <w:rPr>
          <w:rtl/>
          <w:lang w:eastAsia="zh-TW"/>
        </w:rPr>
        <w:lastRenderedPageBreak/>
        <w:t xml:space="preserve">ينبغي لها الامتناع عن القيام بأي عمل أو ممارسة تتعارض وهذه الاتفاقية، وتعزيز البحوث والتطوير للتكنولوجيات الجديدة وتوفيرها، وضمان فرص جميع الأشخاص ذوي الإعاقة في الوصول إليها. </w:t>
      </w:r>
    </w:p>
    <w:p w:rsidR="004A5905" w:rsidRPr="004A5905" w:rsidRDefault="004A5905" w:rsidP="00E37EF9">
      <w:pPr>
        <w:pStyle w:val="H23GA"/>
        <w:rPr>
          <w:rtl/>
        </w:rPr>
      </w:pPr>
      <w:r w:rsidRPr="004A5905">
        <w:rPr>
          <w:rtl/>
        </w:rPr>
        <w:tab/>
      </w:r>
      <w:r w:rsidRPr="004A5905">
        <w:rPr>
          <w:rtl/>
        </w:rPr>
        <w:tab/>
        <w:t>تعليقات صاحب البلاغ على ملاحظات الدولة الطرف</w:t>
      </w:r>
    </w:p>
    <w:p w:rsidR="004A5905" w:rsidRPr="004A5905" w:rsidRDefault="00E37EF9" w:rsidP="00E37EF9">
      <w:pPr>
        <w:pStyle w:val="SingleTxtGA"/>
        <w:rPr>
          <w:rtl/>
          <w:lang w:eastAsia="zh-TW"/>
        </w:rPr>
      </w:pPr>
      <w:r>
        <w:rPr>
          <w:rFonts w:hint="cs"/>
          <w:rtl/>
          <w:lang w:eastAsia="zh-TW"/>
        </w:rPr>
        <w:t>5-1</w:t>
      </w:r>
      <w:r>
        <w:rPr>
          <w:rFonts w:hint="cs"/>
          <w:rtl/>
          <w:lang w:eastAsia="zh-TW"/>
        </w:rPr>
        <w:tab/>
      </w:r>
      <w:r w:rsidR="004A5905" w:rsidRPr="004A5905">
        <w:rPr>
          <w:rtl/>
          <w:lang w:eastAsia="zh-TW"/>
        </w:rPr>
        <w:t>في 28 أيار/مايو 2015، رفض صاحب البلاغ ادعاءات الدولة الطرف التي تفيد بأن بل</w:t>
      </w:r>
      <w:r>
        <w:rPr>
          <w:rtl/>
          <w:lang w:eastAsia="zh-TW"/>
        </w:rPr>
        <w:t>اغه غير مقبول بموجب المادة 2</w:t>
      </w:r>
      <w:r w:rsidR="004A5905" w:rsidRPr="004A5905">
        <w:rPr>
          <w:rtl/>
          <w:lang w:eastAsia="zh-TW"/>
        </w:rPr>
        <w:t xml:space="preserve">(د) من البروتوكول الاختياري. وهو يؤكد ألا موجب قانوني، لإقامة دعوى بمقتضى قانون مكافحة التمييز على أساس الإعاقة أو قانون مكافحة التمييز، يخوله الحق </w:t>
      </w:r>
      <w:r w:rsidR="004A5905" w:rsidRPr="004A5905">
        <w:rPr>
          <w:rFonts w:hint="eastAsia"/>
          <w:rtl/>
          <w:lang w:eastAsia="zh-TW"/>
        </w:rPr>
        <w:t>في</w:t>
      </w:r>
      <w:r w:rsidR="004A5905" w:rsidRPr="004A5905">
        <w:rPr>
          <w:rtl/>
          <w:lang w:eastAsia="zh-TW"/>
        </w:rPr>
        <w:t xml:space="preserve"> رفع شكوى أمام محاكم الدولة الطرف. وفي قضية </w:t>
      </w:r>
      <w:proofErr w:type="spellStart"/>
      <w:r w:rsidR="004A5905" w:rsidRPr="004A5905">
        <w:rPr>
          <w:rtl/>
          <w:lang w:eastAsia="zh-TW"/>
        </w:rPr>
        <w:t>غاييه</w:t>
      </w:r>
      <w:proofErr w:type="spellEnd"/>
      <w:r w:rsidR="004A5905" w:rsidRPr="004A5905">
        <w:rPr>
          <w:rtl/>
          <w:lang w:eastAsia="zh-TW"/>
        </w:rPr>
        <w:t xml:space="preserve"> </w:t>
      </w:r>
      <w:proofErr w:type="spellStart"/>
      <w:r w:rsidR="004A5905" w:rsidRPr="004A5905">
        <w:rPr>
          <w:rtl/>
          <w:lang w:eastAsia="zh-TW"/>
        </w:rPr>
        <w:t>برودانس</w:t>
      </w:r>
      <w:proofErr w:type="spellEnd"/>
      <w:r w:rsidR="004A5905" w:rsidRPr="004A5905">
        <w:rPr>
          <w:rtl/>
          <w:lang w:eastAsia="zh-TW"/>
        </w:rPr>
        <w:t xml:space="preserve"> ليون ضد ولاية </w:t>
      </w:r>
      <w:proofErr w:type="spellStart"/>
      <w:r w:rsidR="004A5905" w:rsidRPr="004A5905">
        <w:rPr>
          <w:rtl/>
          <w:lang w:eastAsia="zh-TW"/>
        </w:rPr>
        <w:t>كوينزلاند</w:t>
      </w:r>
      <w:proofErr w:type="spellEnd"/>
      <w:r w:rsidR="004A5905" w:rsidRPr="004A5905">
        <w:rPr>
          <w:rtl/>
          <w:lang w:eastAsia="zh-TW"/>
        </w:rPr>
        <w:t xml:space="preserve">، حيث استبعد والي القضاء في </w:t>
      </w:r>
      <w:proofErr w:type="spellStart"/>
      <w:r w:rsidR="004A5905" w:rsidRPr="004A5905">
        <w:rPr>
          <w:rtl/>
          <w:lang w:eastAsia="zh-TW"/>
        </w:rPr>
        <w:t>كوينزلاند</w:t>
      </w:r>
      <w:proofErr w:type="spellEnd"/>
      <w:r w:rsidR="004A5905" w:rsidRPr="004A5905">
        <w:rPr>
          <w:rtl/>
          <w:lang w:eastAsia="zh-TW"/>
        </w:rPr>
        <w:t xml:space="preserve"> صاحبة الشكوى من أداء واجب المحلف لأنها طلبت الاستعانة بمترجم بلغة الإشارة الأسترالية، تمكنت هذه الأخيرة من إقامة دعوى بشأن التعرض للتمي</w:t>
      </w:r>
      <w:r w:rsidR="004A5905" w:rsidRPr="004A5905">
        <w:rPr>
          <w:rFonts w:hint="eastAsia"/>
          <w:rtl/>
          <w:lang w:eastAsia="zh-TW"/>
        </w:rPr>
        <w:t>يز</w:t>
      </w:r>
      <w:r w:rsidR="004A5905" w:rsidRPr="004A5905">
        <w:rPr>
          <w:rtl/>
          <w:lang w:eastAsia="zh-TW"/>
        </w:rPr>
        <w:t xml:space="preserve"> على أساس الإصابة بعاهة، بموجب قانون مكافحة التمييز لعام 1991 (</w:t>
      </w:r>
      <w:proofErr w:type="spellStart"/>
      <w:r w:rsidR="004A5905" w:rsidRPr="004A5905">
        <w:rPr>
          <w:rtl/>
          <w:lang w:eastAsia="zh-TW"/>
        </w:rPr>
        <w:t>كوينزلاند</w:t>
      </w:r>
      <w:proofErr w:type="spellEnd"/>
      <w:r w:rsidR="004A5905" w:rsidRPr="004A5905">
        <w:rPr>
          <w:rtl/>
          <w:lang w:eastAsia="zh-TW"/>
        </w:rPr>
        <w:t xml:space="preserve">) لأن "تطبيق قوانين وبرامج الولاية" يعتبر من مجالات الحياة التي تحظى بالحماية هذا القانون، وقد كان والي القضاء في </w:t>
      </w:r>
      <w:proofErr w:type="spellStart"/>
      <w:r w:rsidR="004A5905" w:rsidRPr="004A5905">
        <w:rPr>
          <w:rtl/>
          <w:lang w:eastAsia="zh-TW"/>
        </w:rPr>
        <w:t>كوينزلاند</w:t>
      </w:r>
      <w:proofErr w:type="spellEnd"/>
      <w:r w:rsidR="004A5905" w:rsidRPr="004A5905">
        <w:rPr>
          <w:rtl/>
          <w:lang w:eastAsia="zh-TW"/>
        </w:rPr>
        <w:t xml:space="preserve"> يطبق قانون المحلفين لعام 1955 (</w:t>
      </w:r>
      <w:proofErr w:type="spellStart"/>
      <w:r w:rsidR="004A5905" w:rsidRPr="004A5905">
        <w:rPr>
          <w:rtl/>
          <w:lang w:eastAsia="zh-TW"/>
        </w:rPr>
        <w:t>كوينزلاند</w:t>
      </w:r>
      <w:proofErr w:type="spellEnd"/>
      <w:r w:rsidR="004A5905" w:rsidRPr="004A5905">
        <w:rPr>
          <w:rtl/>
          <w:lang w:eastAsia="zh-TW"/>
        </w:rPr>
        <w:t>) إذ استبعدها من أ</w:t>
      </w:r>
      <w:r w:rsidR="004A5905" w:rsidRPr="004A5905">
        <w:rPr>
          <w:rFonts w:hint="eastAsia"/>
          <w:rtl/>
          <w:lang w:eastAsia="zh-TW"/>
        </w:rPr>
        <w:t>داء</w:t>
      </w:r>
      <w:r w:rsidR="004A5905" w:rsidRPr="004A5905">
        <w:rPr>
          <w:rtl/>
          <w:lang w:eastAsia="zh-TW"/>
        </w:rPr>
        <w:t xml:space="preserve"> مهمة المحلف</w:t>
      </w:r>
      <w:r w:rsidR="004615D8">
        <w:rPr>
          <w:vertAlign w:val="superscript"/>
          <w:rtl/>
          <w:lang w:eastAsia="zh-TW"/>
        </w:rPr>
        <w:t>(</w:t>
      </w:r>
      <w:r w:rsidR="004615D8">
        <w:rPr>
          <w:rStyle w:val="FootnoteReference"/>
          <w:rtl/>
          <w:lang w:eastAsia="zh-TW"/>
        </w:rPr>
        <w:footnoteReference w:id="30"/>
      </w:r>
      <w:r w:rsidR="004615D8">
        <w:rPr>
          <w:vertAlign w:val="superscript"/>
          <w:rtl/>
          <w:lang w:eastAsia="zh-TW"/>
        </w:rPr>
        <w:t>)</w:t>
      </w:r>
      <w:r w:rsidR="004A5905" w:rsidRPr="004A5905">
        <w:rPr>
          <w:rtl/>
          <w:lang w:eastAsia="zh-TW"/>
        </w:rPr>
        <w:t>. ولا ينص قانون مكافحة التمييز لعام 1977 على مجال نظير من مجالات الحياة يحظى بالحماية، وإذا كان قانون مكافحة التمييز على أساس الإعاقة يشمل تطبيق قوانين وبرامج الكومنولث بوصفها مجالا من مجالات الحياة المحمية، فإن قانون المحلفين لعام 1977 (ني</w:t>
      </w:r>
      <w:r w:rsidR="004A5905" w:rsidRPr="004A5905">
        <w:rPr>
          <w:rFonts w:hint="eastAsia"/>
          <w:rtl/>
          <w:lang w:eastAsia="zh-TW"/>
        </w:rPr>
        <w:t>و</w:t>
      </w:r>
      <w:r w:rsidR="004A5905" w:rsidRPr="004A5905">
        <w:rPr>
          <w:rtl/>
          <w:lang w:eastAsia="zh-TW"/>
        </w:rPr>
        <w:t xml:space="preserve"> ساوث ويلز)، الذي استند إليه في استبعاد صاحب البلاغ من أداء واجب المحلف، هو من قوانين الدولة. وعلاوة على ذلك، رفضت المحكمة، في قضية السيدة ليون، ادعاءاتها المتعلقة بالتعرض للتمييز المباشر وغير المباشر، واعتبرت أنها لم تستبعد من أداء واجب المحلف بسبب إصابت</w:t>
      </w:r>
      <w:r w:rsidR="004A5905" w:rsidRPr="004A5905">
        <w:rPr>
          <w:rFonts w:hint="eastAsia"/>
          <w:rtl/>
          <w:lang w:eastAsia="zh-TW"/>
        </w:rPr>
        <w:t>ها</w:t>
      </w:r>
      <w:r w:rsidR="004A5905" w:rsidRPr="004A5905">
        <w:rPr>
          <w:rtl/>
          <w:lang w:eastAsia="zh-TW"/>
        </w:rPr>
        <w:t xml:space="preserve"> بالصمم بل لأنها طلبت الاستعانة بمترجم بلغة الإشارة الأسترالية، الذي لا يجوز أن يكون حاضرا</w:t>
      </w:r>
      <w:r>
        <w:rPr>
          <w:rFonts w:hint="cs"/>
          <w:rtl/>
          <w:lang w:eastAsia="zh-TW"/>
        </w:rPr>
        <w:t>ً</w:t>
      </w:r>
      <w:r w:rsidR="004A5905" w:rsidRPr="004A5905">
        <w:rPr>
          <w:rtl/>
          <w:lang w:eastAsia="zh-TW"/>
        </w:rPr>
        <w:t xml:space="preserve"> في قاعة المحلفين. ويؤكد صاحب البلاغ أن هذا التعليل يمكن أن تقدمه أي محكمة أو هيئة قضائية أخرى في الدولة الطرف، وأن أي مطالبة بإجراء مراجعة قضائية لقرار </w:t>
      </w:r>
      <w:proofErr w:type="spellStart"/>
      <w:r w:rsidR="004A5905" w:rsidRPr="004A5905">
        <w:rPr>
          <w:rtl/>
          <w:lang w:eastAsia="zh-TW"/>
        </w:rPr>
        <w:t>والية</w:t>
      </w:r>
      <w:proofErr w:type="spellEnd"/>
      <w:r w:rsidR="004A5905" w:rsidRPr="004A5905">
        <w:rPr>
          <w:rtl/>
          <w:lang w:eastAsia="zh-TW"/>
        </w:rPr>
        <w:t xml:space="preserve"> القضا</w:t>
      </w:r>
      <w:r w:rsidR="004A5905" w:rsidRPr="004A5905">
        <w:rPr>
          <w:rFonts w:hint="eastAsia"/>
          <w:rtl/>
          <w:lang w:eastAsia="zh-TW"/>
        </w:rPr>
        <w:t>ء</w:t>
      </w:r>
      <w:r w:rsidR="004A5905" w:rsidRPr="004A5905">
        <w:rPr>
          <w:rtl/>
          <w:lang w:eastAsia="zh-TW"/>
        </w:rPr>
        <w:t xml:space="preserve"> استبعاده من أداء واجب المحلف ل</w:t>
      </w:r>
      <w:r>
        <w:rPr>
          <w:rtl/>
          <w:lang w:eastAsia="zh-TW"/>
        </w:rPr>
        <w:t>ن تقبل لأن القانون الأسترالي لا</w:t>
      </w:r>
      <w:r>
        <w:rPr>
          <w:rFonts w:hint="cs"/>
          <w:rtl/>
          <w:lang w:eastAsia="zh-TW"/>
        </w:rPr>
        <w:t> </w:t>
      </w:r>
      <w:r w:rsidR="004A5905" w:rsidRPr="004A5905">
        <w:rPr>
          <w:rtl/>
          <w:lang w:eastAsia="zh-TW"/>
        </w:rPr>
        <w:t>يجيز للمحلفين الصم الحصول على المساعدة البشرية في قاعة المحلفين</w:t>
      </w:r>
      <w:r w:rsidR="004615D8">
        <w:rPr>
          <w:vertAlign w:val="superscript"/>
          <w:rtl/>
          <w:lang w:eastAsia="zh-TW"/>
        </w:rPr>
        <w:t>(</w:t>
      </w:r>
      <w:r w:rsidR="004615D8">
        <w:rPr>
          <w:rStyle w:val="FootnoteReference"/>
          <w:rtl/>
          <w:lang w:eastAsia="zh-TW"/>
        </w:rPr>
        <w:footnoteReference w:id="31"/>
      </w:r>
      <w:r w:rsidR="004615D8">
        <w:rPr>
          <w:vertAlign w:val="superscript"/>
          <w:rtl/>
          <w:lang w:eastAsia="zh-TW"/>
        </w:rPr>
        <w:t>)</w:t>
      </w:r>
      <w:r w:rsidR="004A5905" w:rsidRPr="004A5905">
        <w:rPr>
          <w:rtl/>
          <w:lang w:eastAsia="zh-TW"/>
        </w:rPr>
        <w:t xml:space="preserve">. </w:t>
      </w:r>
    </w:p>
    <w:p w:rsidR="004A5905" w:rsidRPr="004A5905" w:rsidRDefault="00E37EF9" w:rsidP="00E37EF9">
      <w:pPr>
        <w:pStyle w:val="SingleTxtGA"/>
        <w:rPr>
          <w:rtl/>
          <w:lang w:eastAsia="zh-TW"/>
        </w:rPr>
      </w:pPr>
      <w:r>
        <w:rPr>
          <w:rFonts w:hint="cs"/>
          <w:rtl/>
          <w:lang w:eastAsia="zh-TW"/>
        </w:rPr>
        <w:t>5-2</w:t>
      </w:r>
      <w:r>
        <w:rPr>
          <w:rFonts w:hint="cs"/>
          <w:rtl/>
          <w:lang w:eastAsia="zh-TW"/>
        </w:rPr>
        <w:tab/>
      </w:r>
      <w:r w:rsidR="004A5905" w:rsidRPr="004A5905">
        <w:rPr>
          <w:rtl/>
          <w:lang w:eastAsia="zh-TW"/>
        </w:rPr>
        <w:t>وفيما يتعلق بتكاليف إقامة دعاوى التمييز على أساس الإعاقة، يؤكد صاحب البلاغ أنه قادر على تحمل رسوم تحريك دعوى التمييز على أساس الإعاقة لكن التكاليف التي يمكن أن تقضي المحكمة بتحميلها للطرف الخاسر في القضية هي تكاليف مهلكة. وفي هذا الصدد، يوضح صاحب البلا</w:t>
      </w:r>
      <w:r w:rsidR="004A5905" w:rsidRPr="004A5905">
        <w:rPr>
          <w:rFonts w:hint="eastAsia"/>
          <w:rtl/>
          <w:lang w:eastAsia="zh-TW"/>
        </w:rPr>
        <w:t>غ</w:t>
      </w:r>
      <w:r w:rsidR="004A5905" w:rsidRPr="004A5905">
        <w:rPr>
          <w:rtl/>
          <w:lang w:eastAsia="zh-TW"/>
        </w:rPr>
        <w:t xml:space="preserve"> أن أي طرف في منازعة من هذا القبيل يجوز له أن يلجأ إلى المحاكم لاستصدار أمر يقضي باسترداد أقصى قدر من التكاليف التي تكبدها لكن هذه الأوامر تخضع </w:t>
      </w:r>
      <w:r w:rsidR="004A5905" w:rsidRPr="004A5905">
        <w:rPr>
          <w:rtl/>
          <w:lang w:eastAsia="zh-TW"/>
        </w:rPr>
        <w:lastRenderedPageBreak/>
        <w:t>للسلطة التقديرية للمحكمة، وهي لا تصدرها إلا فيما ندر. وتنظر المحاكم، لدى ممارسة السلطة التقديرية لإصدار هذا الن</w:t>
      </w:r>
      <w:r w:rsidR="004A5905" w:rsidRPr="004A5905">
        <w:rPr>
          <w:rFonts w:hint="eastAsia"/>
          <w:rtl/>
          <w:lang w:eastAsia="zh-TW"/>
        </w:rPr>
        <w:t>وع</w:t>
      </w:r>
      <w:r w:rsidR="004A5905" w:rsidRPr="004A5905">
        <w:rPr>
          <w:rtl/>
          <w:lang w:eastAsia="zh-TW"/>
        </w:rPr>
        <w:t xml:space="preserve"> من الأوامر، في طائفة من العوامل، بينها ما إذا كان اد</w:t>
      </w:r>
      <w:r>
        <w:rPr>
          <w:rtl/>
          <w:lang w:eastAsia="zh-TW"/>
        </w:rPr>
        <w:t>عاء مقدم الطلب يستند إلى أدلة</w:t>
      </w:r>
      <w:r w:rsidR="004615D8">
        <w:rPr>
          <w:vertAlign w:val="superscript"/>
          <w:rtl/>
          <w:lang w:eastAsia="zh-TW"/>
        </w:rPr>
        <w:t>(</w:t>
      </w:r>
      <w:r w:rsidR="004615D8">
        <w:rPr>
          <w:rStyle w:val="FootnoteReference"/>
          <w:rtl/>
          <w:lang w:eastAsia="zh-TW"/>
        </w:rPr>
        <w:footnoteReference w:id="32"/>
      </w:r>
      <w:r w:rsidR="004615D8">
        <w:rPr>
          <w:vertAlign w:val="superscript"/>
          <w:rtl/>
          <w:lang w:eastAsia="zh-TW"/>
        </w:rPr>
        <w:t>)</w:t>
      </w:r>
      <w:r>
        <w:rPr>
          <w:rtl/>
          <w:lang w:eastAsia="zh-TW"/>
        </w:rPr>
        <w:t xml:space="preserve">. </w:t>
      </w:r>
      <w:r w:rsidR="004A5905" w:rsidRPr="004A5905">
        <w:rPr>
          <w:rtl/>
          <w:lang w:eastAsia="zh-TW"/>
        </w:rPr>
        <w:t xml:space="preserve">ولذلك، فإنه من التضليل أن تدفع الدولة الطرف بأن صاحب البلاغ كان بإمكانه أن يحصل على أمر باسترداد أقصى قدر من التكاليف بينما لا توجد احتمالات معقولة ليكسب الدعوى. </w:t>
      </w:r>
    </w:p>
    <w:p w:rsidR="004A5905" w:rsidRPr="004A5905" w:rsidRDefault="00E37EF9" w:rsidP="005F6E57">
      <w:pPr>
        <w:pStyle w:val="SingleTxtGA"/>
        <w:spacing w:line="360" w:lineRule="exact"/>
        <w:rPr>
          <w:rtl/>
          <w:lang w:eastAsia="zh-TW"/>
        </w:rPr>
      </w:pPr>
      <w:r>
        <w:rPr>
          <w:rFonts w:hint="cs"/>
          <w:rtl/>
          <w:lang w:eastAsia="zh-TW"/>
        </w:rPr>
        <w:t>5-3</w:t>
      </w:r>
      <w:r>
        <w:rPr>
          <w:rtl/>
          <w:lang w:eastAsia="zh-TW"/>
        </w:rPr>
        <w:tab/>
      </w:r>
      <w:r w:rsidR="004A5905" w:rsidRPr="004A5905">
        <w:rPr>
          <w:rtl/>
          <w:lang w:eastAsia="zh-TW"/>
        </w:rPr>
        <w:t>ويؤكد صاحب البلاغ أنه علم من مستشار قانوني أنه لا وجود لموجب قانوني لإقامة دعوى بموجب قانون مكافحة التمييز على أساس الإعاقة أو قانون مكافحة التمييز. وتفرض المادة 345 من قانون المهن القانونية لعام 2004 على ممارسي المهن القانونية الأستراليين التزاماً بعد</w:t>
      </w:r>
      <w:r w:rsidR="004A5905" w:rsidRPr="004A5905">
        <w:rPr>
          <w:rFonts w:hint="eastAsia"/>
          <w:rtl/>
          <w:lang w:eastAsia="zh-TW"/>
        </w:rPr>
        <w:t>م</w:t>
      </w:r>
      <w:r w:rsidR="004A5905" w:rsidRPr="004A5905">
        <w:rPr>
          <w:rtl/>
          <w:lang w:eastAsia="zh-TW"/>
        </w:rPr>
        <w:t xml:space="preserve"> تحريك دعوى مدنية أو المضي فيها إذا لم تكن هناك احتمالات معقولة لكسبها. وفي حال أقدم الممارس القانوني على ذلك، فإنه قد يُحَّمل تكاليف المنازعة ويدان بسبب سوء السلوك المهني، ويمكن أن يوقف عن العمل أو يلغى التر</w:t>
      </w:r>
      <w:r>
        <w:rPr>
          <w:rtl/>
          <w:lang w:eastAsia="zh-TW"/>
        </w:rPr>
        <w:t>خيص الممنوح له لممارسة المهنة</w:t>
      </w:r>
      <w:r w:rsidR="00D46779">
        <w:rPr>
          <w:vertAlign w:val="superscript"/>
          <w:rtl/>
          <w:lang w:eastAsia="zh-TW"/>
        </w:rPr>
        <w:t>(</w:t>
      </w:r>
      <w:r w:rsidR="00D46779">
        <w:rPr>
          <w:rStyle w:val="FootnoteReference"/>
          <w:rtl/>
          <w:lang w:eastAsia="zh-TW"/>
        </w:rPr>
        <w:footnoteReference w:id="33"/>
      </w:r>
      <w:r w:rsidR="00D46779">
        <w:rPr>
          <w:vertAlign w:val="superscript"/>
          <w:rtl/>
          <w:lang w:eastAsia="zh-TW"/>
        </w:rPr>
        <w:t>)</w:t>
      </w:r>
      <w:r>
        <w:rPr>
          <w:rtl/>
          <w:lang w:eastAsia="zh-TW"/>
        </w:rPr>
        <w:t xml:space="preserve">. </w:t>
      </w:r>
      <w:r w:rsidR="004A5905" w:rsidRPr="004A5905">
        <w:rPr>
          <w:rtl/>
          <w:lang w:eastAsia="zh-TW"/>
        </w:rPr>
        <w:t xml:space="preserve">ولذلك يرى صاحب </w:t>
      </w:r>
      <w:r w:rsidR="004A5905" w:rsidRPr="004A5905">
        <w:rPr>
          <w:rFonts w:hint="eastAsia"/>
          <w:rtl/>
          <w:lang w:eastAsia="zh-TW"/>
        </w:rPr>
        <w:t>البلاغ</w:t>
      </w:r>
      <w:r w:rsidR="004A5905" w:rsidRPr="004A5905">
        <w:rPr>
          <w:rtl/>
          <w:lang w:eastAsia="zh-TW"/>
        </w:rPr>
        <w:t xml:space="preserve"> أن اللجنة ينبغي أن ترفض الحجة التي دفعت بها الدولة الطرف إذ دعته إلى إقامة دعوى تعد فرصه في كسبها منعدمة.</w:t>
      </w:r>
      <w:r>
        <w:rPr>
          <w:rFonts w:hint="cs"/>
          <w:rtl/>
          <w:lang w:eastAsia="zh-TW"/>
        </w:rPr>
        <w:t xml:space="preserve"> </w:t>
      </w:r>
    </w:p>
    <w:p w:rsidR="004A5905" w:rsidRPr="004A5905" w:rsidRDefault="00E37EF9" w:rsidP="00E37EF9">
      <w:pPr>
        <w:pStyle w:val="SingleTxtGA"/>
        <w:rPr>
          <w:rtl/>
          <w:lang w:eastAsia="zh-TW"/>
        </w:rPr>
      </w:pPr>
      <w:r>
        <w:rPr>
          <w:rFonts w:hint="cs"/>
          <w:rtl/>
          <w:lang w:eastAsia="zh-TW"/>
        </w:rPr>
        <w:t>5-4</w:t>
      </w:r>
      <w:r>
        <w:rPr>
          <w:rtl/>
          <w:lang w:eastAsia="zh-TW"/>
        </w:rPr>
        <w:tab/>
      </w:r>
      <w:r w:rsidR="004A5905" w:rsidRPr="004A5905">
        <w:rPr>
          <w:rtl/>
          <w:lang w:eastAsia="zh-TW"/>
        </w:rPr>
        <w:t>وفيما يتعلق بحجة الدولة الطرف التي تفيد بأن ا</w:t>
      </w:r>
      <w:r>
        <w:rPr>
          <w:rtl/>
          <w:lang w:eastAsia="zh-TW"/>
        </w:rPr>
        <w:t>دعاءات صاحب البلاغ بموجب المواد</w:t>
      </w:r>
      <w:r>
        <w:rPr>
          <w:rFonts w:hint="cs"/>
          <w:rtl/>
          <w:lang w:eastAsia="zh-TW"/>
        </w:rPr>
        <w:t> </w:t>
      </w:r>
      <w:r w:rsidR="004A5905" w:rsidRPr="004A5905">
        <w:rPr>
          <w:rtl/>
          <w:lang w:eastAsia="zh-TW"/>
        </w:rPr>
        <w:t xml:space="preserve">2 و4 و5 و9 من الاتفاقية ينبغي أن تعتبر غير مقبولة، يدفع صاحب البلاغ بأن المادة 2 هي حكم تفسيري يجب أن يعتبر العرض النصي، بموجبه، شكلا من أشكال التواصل، ومن الترتيبات </w:t>
      </w:r>
      <w:proofErr w:type="spellStart"/>
      <w:r w:rsidR="004A5905" w:rsidRPr="004A5905">
        <w:rPr>
          <w:rtl/>
          <w:lang w:eastAsia="zh-TW"/>
        </w:rPr>
        <w:t>التيسي</w:t>
      </w:r>
      <w:r w:rsidR="004A5905" w:rsidRPr="004A5905">
        <w:rPr>
          <w:rFonts w:hint="eastAsia"/>
          <w:rtl/>
          <w:lang w:eastAsia="zh-TW"/>
        </w:rPr>
        <w:t>رية</w:t>
      </w:r>
      <w:proofErr w:type="spellEnd"/>
      <w:r w:rsidR="004A5905" w:rsidRPr="004A5905">
        <w:rPr>
          <w:rtl/>
          <w:lang w:eastAsia="zh-TW"/>
        </w:rPr>
        <w:t xml:space="preserve"> المعقولة التي يحتاجها للمشاركة في</w:t>
      </w:r>
      <w:r>
        <w:rPr>
          <w:rtl/>
          <w:lang w:eastAsia="zh-TW"/>
        </w:rPr>
        <w:t xml:space="preserve"> أداء واجب المحلف، وهي مسائل لم</w:t>
      </w:r>
      <w:r>
        <w:rPr>
          <w:rFonts w:hint="cs"/>
          <w:rtl/>
          <w:lang w:eastAsia="zh-TW"/>
        </w:rPr>
        <w:t> </w:t>
      </w:r>
      <w:r w:rsidR="004A5905" w:rsidRPr="004A5905">
        <w:rPr>
          <w:rtl/>
          <w:lang w:eastAsia="zh-TW"/>
        </w:rPr>
        <w:t xml:space="preserve">تشكك فيها الدولة الطرف. </w:t>
      </w:r>
    </w:p>
    <w:p w:rsidR="004A5905" w:rsidRPr="004A5905" w:rsidRDefault="00E37EF9" w:rsidP="00E37EF9">
      <w:pPr>
        <w:pStyle w:val="SingleTxtGA"/>
        <w:rPr>
          <w:rtl/>
          <w:lang w:eastAsia="zh-TW"/>
        </w:rPr>
      </w:pPr>
      <w:r>
        <w:rPr>
          <w:rFonts w:hint="cs"/>
          <w:rtl/>
          <w:lang w:eastAsia="zh-TW"/>
        </w:rPr>
        <w:t>5-5</w:t>
      </w:r>
      <w:r>
        <w:rPr>
          <w:rFonts w:hint="cs"/>
          <w:rtl/>
          <w:lang w:eastAsia="zh-TW"/>
        </w:rPr>
        <w:tab/>
      </w:r>
      <w:r w:rsidR="004A5905" w:rsidRPr="004A5905">
        <w:rPr>
          <w:rtl/>
          <w:lang w:eastAsia="zh-TW"/>
        </w:rPr>
        <w:t>أما فيما يتعلق بالمادة 4 من الاتفاقية، فيشير صاحب البلاغ إلى أنها تعرض الالتزامات العامة للدول الأطراف، وهو ما ينطبق على تنفيذ جميع الالتزامات المحددة الواردة في الاتفاقية، بما فيها الالتزامات المبينة في المواد 12، و13، و21، و29. ويزعم صاحب البلاغ أن م</w:t>
      </w:r>
      <w:r w:rsidR="004A5905" w:rsidRPr="004A5905">
        <w:rPr>
          <w:rFonts w:hint="eastAsia"/>
          <w:rtl/>
          <w:lang w:eastAsia="zh-TW"/>
        </w:rPr>
        <w:t>جرد</w:t>
      </w:r>
      <w:r w:rsidR="004A5905" w:rsidRPr="004A5905">
        <w:rPr>
          <w:rtl/>
          <w:lang w:eastAsia="zh-TW"/>
        </w:rPr>
        <w:t xml:space="preserve"> </w:t>
      </w:r>
      <w:proofErr w:type="spellStart"/>
      <w:r w:rsidR="004A5905" w:rsidRPr="004A5905">
        <w:rPr>
          <w:rtl/>
          <w:lang w:eastAsia="zh-TW"/>
        </w:rPr>
        <w:t>ادعاءئه</w:t>
      </w:r>
      <w:proofErr w:type="spellEnd"/>
      <w:r w:rsidR="004A5905" w:rsidRPr="004A5905">
        <w:rPr>
          <w:rtl/>
          <w:lang w:eastAsia="zh-TW"/>
        </w:rPr>
        <w:t xml:space="preserve"> وجود انتهاكات لحقوق الإنسان يدل على أن الدولة الطرف لم تف بهذه الالتزامات العامة. ويدعي كذلك بأن حكومة نيو ساوث ويلز بإمكانها توفير الترتيبات </w:t>
      </w:r>
      <w:proofErr w:type="spellStart"/>
      <w:r w:rsidR="004A5905" w:rsidRPr="004A5905">
        <w:rPr>
          <w:rtl/>
          <w:lang w:eastAsia="zh-TW"/>
        </w:rPr>
        <w:t>التيسيرية</w:t>
      </w:r>
      <w:proofErr w:type="spellEnd"/>
      <w:r w:rsidR="004A5905" w:rsidRPr="004A5905">
        <w:rPr>
          <w:rtl/>
          <w:lang w:eastAsia="zh-TW"/>
        </w:rPr>
        <w:t xml:space="preserve"> المعقولة التي يطلبها، وأن الدولة الطرف تملك السلطة الدستورية لإدخال الإصلاحات التشريعية اللا</w:t>
      </w:r>
      <w:r w:rsidR="004A5905" w:rsidRPr="004A5905">
        <w:rPr>
          <w:rFonts w:hint="eastAsia"/>
          <w:rtl/>
          <w:lang w:eastAsia="zh-TW"/>
        </w:rPr>
        <w:t>زمة</w:t>
      </w:r>
      <w:r w:rsidR="004A5905" w:rsidRPr="004A5905">
        <w:rPr>
          <w:rtl/>
          <w:lang w:eastAsia="zh-TW"/>
        </w:rPr>
        <w:t xml:space="preserve"> إذا كانت ترى وجود عائق قانوني يحول دون مشاركة الصم الذين يحتاجون إلى مساعدة شخص في نظام المحلفين</w:t>
      </w:r>
      <w:r w:rsidR="00D46779">
        <w:rPr>
          <w:vertAlign w:val="superscript"/>
          <w:rtl/>
          <w:lang w:eastAsia="zh-TW"/>
        </w:rPr>
        <w:t>(</w:t>
      </w:r>
      <w:r w:rsidR="00D46779">
        <w:rPr>
          <w:rStyle w:val="FootnoteReference"/>
          <w:rtl/>
          <w:lang w:eastAsia="zh-TW"/>
        </w:rPr>
        <w:footnoteReference w:id="34"/>
      </w:r>
      <w:r w:rsidR="00D46779">
        <w:rPr>
          <w:vertAlign w:val="superscript"/>
          <w:rtl/>
          <w:lang w:eastAsia="zh-TW"/>
        </w:rPr>
        <w:t>)</w:t>
      </w:r>
      <w:r w:rsidR="004A5905" w:rsidRPr="004A5905">
        <w:rPr>
          <w:rtl/>
          <w:lang w:eastAsia="zh-TW"/>
        </w:rPr>
        <w:t>.</w:t>
      </w:r>
      <w:r w:rsidR="006B0B45">
        <w:rPr>
          <w:rtl/>
          <w:lang w:eastAsia="zh-TW"/>
        </w:rPr>
        <w:t xml:space="preserve"> </w:t>
      </w:r>
      <w:r w:rsidR="004A5905" w:rsidRPr="004A5905">
        <w:rPr>
          <w:rtl/>
          <w:lang w:eastAsia="zh-TW"/>
        </w:rPr>
        <w:t>ويدعي صاحب البلاغ أن الالتزامات العامة بموجب المادة 9 تنطبق على تنفيذ جميع الالتزامات المحددة الواردة في الاتفاقية، وهي التزامات لم تف بها الدولة الطرف ف</w:t>
      </w:r>
      <w:r w:rsidR="004A5905" w:rsidRPr="004A5905">
        <w:rPr>
          <w:rFonts w:hint="eastAsia"/>
          <w:rtl/>
          <w:lang w:eastAsia="zh-TW"/>
        </w:rPr>
        <w:t>ي</w:t>
      </w:r>
      <w:r w:rsidR="004A5905" w:rsidRPr="004A5905">
        <w:rPr>
          <w:rtl/>
          <w:lang w:eastAsia="zh-TW"/>
        </w:rPr>
        <w:t xml:space="preserve"> هذه القضية. ويؤكد أن العرض النصي بالاختزال هو "تكنولوجيا أو نظام اتصالات"، وشكل من أشكال "المساعدة البشرية" التي يحتاجها بالمعنى المقصود في المادة 9 من الاتفاقية. </w:t>
      </w:r>
    </w:p>
    <w:p w:rsidR="004A5905" w:rsidRPr="004A5905" w:rsidRDefault="00E37EF9" w:rsidP="00D46779">
      <w:pPr>
        <w:pStyle w:val="SingleTxtGA"/>
        <w:rPr>
          <w:rtl/>
          <w:lang w:eastAsia="zh-TW"/>
        </w:rPr>
      </w:pPr>
      <w:r>
        <w:rPr>
          <w:rFonts w:hint="cs"/>
          <w:rtl/>
          <w:lang w:eastAsia="zh-TW"/>
        </w:rPr>
        <w:lastRenderedPageBreak/>
        <w:t>5-6</w:t>
      </w:r>
      <w:r>
        <w:rPr>
          <w:rtl/>
          <w:lang w:eastAsia="zh-TW"/>
        </w:rPr>
        <w:tab/>
      </w:r>
      <w:r w:rsidR="004A5905" w:rsidRPr="004A5905">
        <w:rPr>
          <w:rtl/>
          <w:lang w:eastAsia="zh-TW"/>
        </w:rPr>
        <w:t>أما فيما يتعلق بالأسس الموضوعية للادعاءات، فيشير صاحب البلاغ إلى القواعد العامة للتفسير المنصوص عليها في اتفاقية فيينا. وفي هذا السياق، يلاحظ أن مصطلح "الأهلية القانونية" المنصوص عليه في المادة 12 يشير إلى قدرة الشخص على ممارسة الحقوق والاستحقاقات القا</w:t>
      </w:r>
      <w:r w:rsidR="004A5905" w:rsidRPr="004A5905">
        <w:rPr>
          <w:rFonts w:hint="eastAsia"/>
          <w:rtl/>
          <w:lang w:eastAsia="zh-TW"/>
        </w:rPr>
        <w:t>نونية،</w:t>
      </w:r>
      <w:r w:rsidR="004A5905" w:rsidRPr="004A5905">
        <w:rPr>
          <w:rtl/>
          <w:lang w:eastAsia="zh-TW"/>
        </w:rPr>
        <w:t xml:space="preserve"> وأداء الواجبات أو الالتزامات القانونية، وتحمل المسؤوليات القانونية. وليس هناك أساس في النصوص القانونية يدعم الادعاء بأن الإشارة إلى</w:t>
      </w:r>
      <w:r w:rsidR="00D46779">
        <w:rPr>
          <w:rtl/>
          <w:lang w:eastAsia="zh-TW"/>
        </w:rPr>
        <w:t xml:space="preserve"> الأهلية القانونية في</w:t>
      </w:r>
      <w:r w:rsidR="00D46779">
        <w:rPr>
          <w:rFonts w:hint="cs"/>
          <w:rtl/>
          <w:lang w:eastAsia="zh-TW"/>
        </w:rPr>
        <w:t> </w:t>
      </w:r>
      <w:r>
        <w:rPr>
          <w:rtl/>
          <w:lang w:eastAsia="zh-TW"/>
        </w:rPr>
        <w:t>المادة 12</w:t>
      </w:r>
      <w:r w:rsidR="004A5905" w:rsidRPr="004A5905">
        <w:rPr>
          <w:rtl/>
          <w:lang w:eastAsia="zh-TW"/>
        </w:rPr>
        <w:t>(2) تقتصر على ممارسة الحقوق والاستحقاقات القانونية أو بأن هذا المصطلح له "معنى ضيق ومح</w:t>
      </w:r>
      <w:r w:rsidR="004A5905" w:rsidRPr="004A5905">
        <w:rPr>
          <w:rFonts w:hint="eastAsia"/>
          <w:rtl/>
          <w:lang w:eastAsia="zh-TW"/>
        </w:rPr>
        <w:t>دد</w:t>
      </w:r>
      <w:r w:rsidR="004A5905" w:rsidRPr="004A5905">
        <w:rPr>
          <w:rtl/>
          <w:lang w:eastAsia="zh-TW"/>
        </w:rPr>
        <w:t>" أو يشير إلى "مجموعة فرعية من الأهلية"</w:t>
      </w:r>
      <w:r w:rsidR="00D46779">
        <w:rPr>
          <w:vertAlign w:val="superscript"/>
          <w:rtl/>
          <w:lang w:eastAsia="zh-TW"/>
        </w:rPr>
        <w:t>(</w:t>
      </w:r>
      <w:r w:rsidR="00D46779">
        <w:rPr>
          <w:rStyle w:val="FootnoteReference"/>
          <w:rtl/>
          <w:lang w:eastAsia="zh-TW"/>
        </w:rPr>
        <w:footnoteReference w:id="35"/>
      </w:r>
      <w:r w:rsidR="00D46779">
        <w:rPr>
          <w:vertAlign w:val="superscript"/>
          <w:rtl/>
          <w:lang w:eastAsia="zh-TW"/>
        </w:rPr>
        <w:t>)</w:t>
      </w:r>
      <w:r w:rsidR="004A5905" w:rsidRPr="004A5905">
        <w:rPr>
          <w:rtl/>
          <w:lang w:eastAsia="zh-TW"/>
        </w:rPr>
        <w:t>.</w:t>
      </w:r>
      <w:r w:rsidR="006B0B45">
        <w:rPr>
          <w:rtl/>
          <w:lang w:eastAsia="zh-TW"/>
        </w:rPr>
        <w:t xml:space="preserve"> </w:t>
      </w:r>
      <w:r w:rsidR="004A5905" w:rsidRPr="004A5905">
        <w:rPr>
          <w:rtl/>
          <w:lang w:eastAsia="zh-TW"/>
        </w:rPr>
        <w:t>ومن شأن إعطاء الأهلية القانونية المعنى الضيق الذي اقترحته الدولة الطرف أن يحبط الغرض من الات</w:t>
      </w:r>
      <w:r w:rsidR="00D46779">
        <w:rPr>
          <w:rtl/>
          <w:lang w:eastAsia="zh-TW"/>
        </w:rPr>
        <w:t>فاقية لأنه يقيد تطبيق المادة</w:t>
      </w:r>
      <w:r w:rsidR="00D46779">
        <w:rPr>
          <w:rFonts w:hint="cs"/>
          <w:rtl/>
          <w:lang w:eastAsia="zh-TW"/>
        </w:rPr>
        <w:t> </w:t>
      </w:r>
      <w:r>
        <w:rPr>
          <w:rtl/>
          <w:lang w:eastAsia="zh-TW"/>
        </w:rPr>
        <w:t>12</w:t>
      </w:r>
      <w:r w:rsidR="004A5905" w:rsidRPr="004A5905">
        <w:rPr>
          <w:rtl/>
          <w:lang w:eastAsia="zh-TW"/>
        </w:rPr>
        <w:t xml:space="preserve">(2) على الأشخاص ذوي العاهات الإدراكية الذين يحتاجون إلى الدعم في اتخاذ القرارات. </w:t>
      </w:r>
    </w:p>
    <w:p w:rsidR="004A5905" w:rsidRPr="004A5905" w:rsidRDefault="00E37EF9" w:rsidP="00E37EF9">
      <w:pPr>
        <w:pStyle w:val="SingleTxtGA"/>
        <w:rPr>
          <w:rtl/>
          <w:lang w:eastAsia="zh-TW"/>
        </w:rPr>
      </w:pPr>
      <w:r>
        <w:rPr>
          <w:rFonts w:hint="cs"/>
          <w:rtl/>
          <w:lang w:eastAsia="zh-TW"/>
        </w:rPr>
        <w:t>5-7</w:t>
      </w:r>
      <w:r>
        <w:rPr>
          <w:rtl/>
          <w:lang w:eastAsia="zh-TW"/>
        </w:rPr>
        <w:tab/>
      </w:r>
      <w:r w:rsidR="004A5905" w:rsidRPr="004A5905">
        <w:rPr>
          <w:rtl/>
          <w:lang w:eastAsia="zh-TW"/>
        </w:rPr>
        <w:t>ويدعي صاحب البلاغ كذلك أنه حكومة نيو ساوث ويلز ذكرت بوضوح، ردا</w:t>
      </w:r>
      <w:r>
        <w:rPr>
          <w:rFonts w:hint="cs"/>
          <w:rtl/>
          <w:lang w:eastAsia="zh-TW"/>
        </w:rPr>
        <w:t>ً</w:t>
      </w:r>
      <w:r w:rsidR="004A5905" w:rsidRPr="004A5905">
        <w:rPr>
          <w:rtl/>
          <w:lang w:eastAsia="zh-TW"/>
        </w:rPr>
        <w:t xml:space="preserve"> على تقرير لجنة إصلاح القوانين في عام 2010، أن التوصية بتم</w:t>
      </w:r>
      <w:r>
        <w:rPr>
          <w:rtl/>
          <w:lang w:eastAsia="zh-TW"/>
        </w:rPr>
        <w:t>كين الصم من أداء واجب المحلف لا</w:t>
      </w:r>
      <w:r>
        <w:rPr>
          <w:rFonts w:hint="eastAsia"/>
          <w:rtl/>
          <w:lang w:eastAsia="zh-TW"/>
        </w:rPr>
        <w:t> </w:t>
      </w:r>
      <w:r w:rsidR="004A5905" w:rsidRPr="004A5905">
        <w:rPr>
          <w:rtl/>
          <w:lang w:eastAsia="zh-TW"/>
        </w:rPr>
        <w:t>يمكن تأييدها في الوقت الحالي. وفي كانون الأول/ديسمبر 2013، قدمت ولاية نيو ساوث ويلز استكمالا لرد الح</w:t>
      </w:r>
      <w:r w:rsidR="004A5905" w:rsidRPr="004A5905">
        <w:rPr>
          <w:rFonts w:hint="eastAsia"/>
          <w:rtl/>
          <w:lang w:eastAsia="zh-TW"/>
        </w:rPr>
        <w:t>كومة،</w:t>
      </w:r>
      <w:r w:rsidR="004A5905" w:rsidRPr="004A5905">
        <w:rPr>
          <w:rtl/>
          <w:lang w:eastAsia="zh-TW"/>
        </w:rPr>
        <w:t xml:space="preserve"> ذكرت فيه أن هذه الأخيرة لا تؤيد، في ضوء الشواغل الشديدة التي أعرب عنها أصحاب المصلحة، إدخال تغييرات على قانون المحلفين، لكنها وافقت على رصد التطورات في مجال التكنولوجيا والأجهزة المعينة للأشخاص ذوي الإعاقة، وخدمات الترجمة الفورية، لتعزيز مشاركة ذوي ا</w:t>
      </w:r>
      <w:r w:rsidR="004A5905" w:rsidRPr="004A5905">
        <w:rPr>
          <w:rFonts w:hint="eastAsia"/>
          <w:rtl/>
          <w:lang w:eastAsia="zh-TW"/>
        </w:rPr>
        <w:t>لعاهات</w:t>
      </w:r>
      <w:r w:rsidR="004A5905" w:rsidRPr="004A5905">
        <w:rPr>
          <w:rtl/>
          <w:lang w:eastAsia="zh-TW"/>
        </w:rPr>
        <w:t xml:space="preserve"> السمعية والبصرية. ويرى صاحب البلاغ في ذلك دليلا على استمرار السياسة التي تتبعها ولاية نيو ساوث ويلز </w:t>
      </w:r>
      <w:proofErr w:type="spellStart"/>
      <w:r w:rsidR="004A5905" w:rsidRPr="004A5905">
        <w:rPr>
          <w:rtl/>
          <w:lang w:eastAsia="zh-TW"/>
        </w:rPr>
        <w:t>ووالية</w:t>
      </w:r>
      <w:proofErr w:type="spellEnd"/>
      <w:r w:rsidR="004A5905" w:rsidRPr="004A5905">
        <w:rPr>
          <w:rtl/>
          <w:lang w:eastAsia="zh-TW"/>
        </w:rPr>
        <w:t xml:space="preserve"> القضاء فيها، وتشكيكا في تمتع الصم بالأهلية القانونية لأداء واجب المحلف. وبالإضافة إلى ذلك، يشير التعهد برصد التطورات إلى ترتيبات لا تشمل تقديم المساعدة البشرية إلى المحلفين الصم في قاعة المحلفين. </w:t>
      </w:r>
    </w:p>
    <w:p w:rsidR="004A5905" w:rsidRPr="004A5905" w:rsidRDefault="00E37EF9" w:rsidP="00E37EF9">
      <w:pPr>
        <w:pStyle w:val="SingleTxtGA"/>
        <w:rPr>
          <w:rtl/>
          <w:lang w:eastAsia="zh-TW"/>
        </w:rPr>
      </w:pPr>
      <w:r>
        <w:rPr>
          <w:rFonts w:hint="cs"/>
          <w:rtl/>
          <w:lang w:eastAsia="zh-TW"/>
        </w:rPr>
        <w:t>5-8</w:t>
      </w:r>
      <w:r>
        <w:rPr>
          <w:rtl/>
          <w:lang w:eastAsia="zh-TW"/>
        </w:rPr>
        <w:tab/>
      </w:r>
      <w:r w:rsidR="004A5905" w:rsidRPr="004A5905">
        <w:rPr>
          <w:rtl/>
          <w:lang w:eastAsia="zh-TW"/>
        </w:rPr>
        <w:t>ويدفع صاحب البلاغ بأن توفير كاتب اختزال يمثل "الدعم المناسب" الذي يحتاج إليه لأداء واجب المحلف، امتثالا</w:t>
      </w:r>
      <w:r>
        <w:rPr>
          <w:rFonts w:hint="cs"/>
          <w:rtl/>
          <w:lang w:eastAsia="zh-TW"/>
        </w:rPr>
        <w:t>ً</w:t>
      </w:r>
      <w:r>
        <w:rPr>
          <w:rtl/>
          <w:lang w:eastAsia="zh-TW"/>
        </w:rPr>
        <w:t xml:space="preserve"> للمادة 12</w:t>
      </w:r>
      <w:r w:rsidR="004A5905" w:rsidRPr="004A5905">
        <w:rPr>
          <w:rtl/>
          <w:lang w:eastAsia="zh-TW"/>
        </w:rPr>
        <w:t xml:space="preserve">(3) من الاتفاقية. والتزام الدولة الطرف باتخاذ "التدابير المناسبة" لتوفير إمكانية حصول الأشخاص ذوي الإعاقة على الدعم الذي قد </w:t>
      </w:r>
      <w:proofErr w:type="spellStart"/>
      <w:r w:rsidR="004A5905" w:rsidRPr="004A5905">
        <w:rPr>
          <w:rtl/>
          <w:lang w:eastAsia="zh-TW"/>
        </w:rPr>
        <w:t>يتطلبونه</w:t>
      </w:r>
      <w:proofErr w:type="spellEnd"/>
      <w:r w:rsidR="004A5905" w:rsidRPr="004A5905">
        <w:rPr>
          <w:rtl/>
          <w:lang w:eastAsia="zh-TW"/>
        </w:rPr>
        <w:t xml:space="preserve"> أثناء ممارسة أهليتهم القانونية، هو التزام محدد منصوص عليه في المادة 12، يضاف إلى الالتزامات العامة المبينة في المواد الشاملة المنصوص عليها في الاتفاقية، بما في ذلك المواد 4 و5 و9. ويرى صاحب البلاغ أن المادة 12 يجب أن تفسر، بالتالي، في ضوء الالتزامات الشاملة الو</w:t>
      </w:r>
      <w:r w:rsidR="004A5905" w:rsidRPr="004A5905">
        <w:rPr>
          <w:rFonts w:hint="eastAsia"/>
          <w:rtl/>
          <w:lang w:eastAsia="zh-TW"/>
        </w:rPr>
        <w:t>اردة</w:t>
      </w:r>
      <w:r>
        <w:rPr>
          <w:rtl/>
          <w:lang w:eastAsia="zh-TW"/>
        </w:rPr>
        <w:t xml:space="preserve"> في المادة 5</w:t>
      </w:r>
      <w:r w:rsidR="004A5905" w:rsidRPr="004A5905">
        <w:rPr>
          <w:rtl/>
          <w:lang w:eastAsia="zh-TW"/>
        </w:rPr>
        <w:t xml:space="preserve">(1) و(3) لأن العرض النصي بالاختزال هو من الترتيبات </w:t>
      </w:r>
      <w:proofErr w:type="spellStart"/>
      <w:r w:rsidR="004A5905" w:rsidRPr="004A5905">
        <w:rPr>
          <w:rtl/>
          <w:lang w:eastAsia="zh-TW"/>
        </w:rPr>
        <w:t>التيسيرية</w:t>
      </w:r>
      <w:proofErr w:type="spellEnd"/>
      <w:r w:rsidR="004A5905" w:rsidRPr="004A5905">
        <w:rPr>
          <w:rtl/>
          <w:lang w:eastAsia="zh-TW"/>
        </w:rPr>
        <w:t xml:space="preserve"> المعقولة التي تعزز مساواة صاحب البلاغ بالآخرين أمام القانون في ممارسة الأهلية القانونية. ويضيف أن هذا الترتيب </w:t>
      </w:r>
      <w:proofErr w:type="spellStart"/>
      <w:r w:rsidR="004A5905" w:rsidRPr="004A5905">
        <w:rPr>
          <w:rtl/>
          <w:lang w:eastAsia="zh-TW"/>
        </w:rPr>
        <w:t>التيسيري</w:t>
      </w:r>
      <w:proofErr w:type="spellEnd"/>
      <w:r w:rsidR="004A5905" w:rsidRPr="004A5905">
        <w:rPr>
          <w:rtl/>
          <w:lang w:eastAsia="zh-TW"/>
        </w:rPr>
        <w:t xml:space="preserve"> المعقول ينبغي أن يترافق مع اتخاذ تدابير تشريعية لتعديل وإلغ</w:t>
      </w:r>
      <w:r w:rsidR="004A5905" w:rsidRPr="004A5905">
        <w:rPr>
          <w:rFonts w:hint="eastAsia"/>
          <w:rtl/>
          <w:lang w:eastAsia="zh-TW"/>
        </w:rPr>
        <w:t>اء</w:t>
      </w:r>
      <w:r w:rsidR="004A5905" w:rsidRPr="004A5905">
        <w:rPr>
          <w:rtl/>
          <w:lang w:eastAsia="zh-TW"/>
        </w:rPr>
        <w:t xml:space="preserve"> أجزاء من قانون </w:t>
      </w:r>
      <w:r w:rsidR="004A5905" w:rsidRPr="004A5905">
        <w:rPr>
          <w:rtl/>
          <w:lang w:eastAsia="zh-TW"/>
        </w:rPr>
        <w:lastRenderedPageBreak/>
        <w:t>المحلفين لتأكيد إمكان حضور كاتب اختزال في قاعة المحلفين، وتيسير التواصل بين المحلف الأصم وغيره في هيئة المحلفين. ويشير صاحب البلاغ إلى أن الدولة الطرف لا تزعم أن توفير خدمة العرض النصي بالاختزال يشكل "عبئا</w:t>
      </w:r>
      <w:r>
        <w:rPr>
          <w:rFonts w:hint="cs"/>
          <w:rtl/>
          <w:lang w:eastAsia="zh-TW"/>
        </w:rPr>
        <w:t>ً</w:t>
      </w:r>
      <w:r w:rsidR="004A5905" w:rsidRPr="004A5905">
        <w:rPr>
          <w:rtl/>
          <w:lang w:eastAsia="zh-TW"/>
        </w:rPr>
        <w:t xml:space="preserve"> غير متناسب أو غير ضروري"، بل تقو</w:t>
      </w:r>
      <w:r w:rsidR="004A5905" w:rsidRPr="004A5905">
        <w:rPr>
          <w:rFonts w:hint="eastAsia"/>
          <w:rtl/>
          <w:lang w:eastAsia="zh-TW"/>
        </w:rPr>
        <w:t>ل</w:t>
      </w:r>
      <w:r w:rsidR="004A5905" w:rsidRPr="004A5905">
        <w:rPr>
          <w:rtl/>
          <w:lang w:eastAsia="zh-TW"/>
        </w:rPr>
        <w:t xml:space="preserve"> إنها اتخذت بالفعل تدابير لتمكين الصم من المشاركة في أداء واجب المحلف، في حين أن هذه التدابير لا صلة لها بقضيته.</w:t>
      </w:r>
      <w:r>
        <w:rPr>
          <w:rFonts w:hint="cs"/>
          <w:rtl/>
          <w:lang w:eastAsia="zh-TW"/>
        </w:rPr>
        <w:t xml:space="preserve"> </w:t>
      </w:r>
    </w:p>
    <w:p w:rsidR="004A5905" w:rsidRPr="004A5905" w:rsidRDefault="00E37EF9" w:rsidP="00E37EF9">
      <w:pPr>
        <w:pStyle w:val="SingleTxtGA"/>
        <w:rPr>
          <w:rtl/>
          <w:lang w:eastAsia="zh-TW"/>
        </w:rPr>
      </w:pPr>
      <w:r>
        <w:rPr>
          <w:rFonts w:hint="cs"/>
          <w:rtl/>
          <w:lang w:eastAsia="zh-TW"/>
        </w:rPr>
        <w:t>5-9</w:t>
      </w:r>
      <w:r>
        <w:rPr>
          <w:rtl/>
          <w:lang w:eastAsia="zh-TW"/>
        </w:rPr>
        <w:tab/>
      </w:r>
      <w:r w:rsidR="004A5905" w:rsidRPr="004A5905">
        <w:rPr>
          <w:rtl/>
          <w:lang w:eastAsia="zh-TW"/>
        </w:rPr>
        <w:t>ويؤكد صاحب البلاغ أن "المشاركة المباشرة وغير المباشرة" تشمل الأفراد الذين يشكلون جزءا</w:t>
      </w:r>
      <w:r w:rsidR="00D866EB">
        <w:rPr>
          <w:rFonts w:hint="cs"/>
          <w:rtl/>
          <w:lang w:eastAsia="zh-TW"/>
        </w:rPr>
        <w:t>ً</w:t>
      </w:r>
      <w:r w:rsidR="004A5905" w:rsidRPr="004A5905">
        <w:rPr>
          <w:rtl/>
          <w:lang w:eastAsia="zh-TW"/>
        </w:rPr>
        <w:t xml:space="preserve"> من النظام القانوني، بما في ذلك المحلفون</w:t>
      </w:r>
      <w:r w:rsidR="007A4F0B">
        <w:rPr>
          <w:vertAlign w:val="superscript"/>
          <w:rtl/>
          <w:lang w:eastAsia="zh-TW"/>
        </w:rPr>
        <w:t>(</w:t>
      </w:r>
      <w:r w:rsidR="007A4F0B">
        <w:rPr>
          <w:rStyle w:val="FootnoteReference"/>
          <w:rtl/>
          <w:lang w:eastAsia="zh-TW"/>
        </w:rPr>
        <w:footnoteReference w:id="36"/>
      </w:r>
      <w:r w:rsidR="007A4F0B">
        <w:rPr>
          <w:vertAlign w:val="superscript"/>
          <w:rtl/>
          <w:lang w:eastAsia="zh-TW"/>
        </w:rPr>
        <w:t>)</w:t>
      </w:r>
      <w:r w:rsidR="004A5905" w:rsidRPr="004A5905">
        <w:rPr>
          <w:rtl/>
          <w:lang w:eastAsia="zh-TW"/>
        </w:rPr>
        <w:t>.</w:t>
      </w:r>
      <w:r w:rsidR="006B0B45">
        <w:rPr>
          <w:rtl/>
          <w:lang w:eastAsia="zh-TW"/>
        </w:rPr>
        <w:t xml:space="preserve"> </w:t>
      </w:r>
      <w:r w:rsidR="004A5905" w:rsidRPr="004A5905">
        <w:rPr>
          <w:rtl/>
          <w:lang w:eastAsia="zh-TW"/>
        </w:rPr>
        <w:t xml:space="preserve">ويدعي </w:t>
      </w:r>
      <w:r w:rsidR="008B5358">
        <w:rPr>
          <w:rtl/>
          <w:lang w:eastAsia="zh-TW"/>
        </w:rPr>
        <w:t>أيضاً</w:t>
      </w:r>
      <w:r w:rsidR="004A5905" w:rsidRPr="004A5905">
        <w:rPr>
          <w:rtl/>
          <w:lang w:eastAsia="zh-TW"/>
        </w:rPr>
        <w:t xml:space="preserve"> أن مشاركة أو "تدخل" الأشخاص ذوي الإعاقة في نظام العدالة، كالقضاة والمحلفين وممارسي المهن القانونية على سبيل المثا</w:t>
      </w:r>
      <w:r w:rsidR="004A5905" w:rsidRPr="004A5905">
        <w:rPr>
          <w:rFonts w:hint="eastAsia"/>
          <w:rtl/>
          <w:lang w:eastAsia="zh-TW"/>
        </w:rPr>
        <w:t>ل،</w:t>
      </w:r>
      <w:r w:rsidR="004A5905" w:rsidRPr="004A5905">
        <w:rPr>
          <w:rtl/>
          <w:lang w:eastAsia="zh-TW"/>
        </w:rPr>
        <w:t xml:space="preserve"> تمثل وسيلة تحقق لهم الوصول إلى العدالة وأنه لا يساوي بين الالتزام الوارد في المادة 5 من الاتفاقية بتوفير "الترتيبات </w:t>
      </w:r>
      <w:proofErr w:type="spellStart"/>
      <w:r w:rsidR="004A5905" w:rsidRPr="004A5905">
        <w:rPr>
          <w:rtl/>
          <w:lang w:eastAsia="zh-TW"/>
        </w:rPr>
        <w:t>التيسيرية</w:t>
      </w:r>
      <w:proofErr w:type="spellEnd"/>
      <w:r w:rsidR="004A5905" w:rsidRPr="004A5905">
        <w:rPr>
          <w:rtl/>
          <w:lang w:eastAsia="zh-TW"/>
        </w:rPr>
        <w:t xml:space="preserve"> المعقولة" والالتزام المنصوص عليه في المادة 13 بتوفير "</w:t>
      </w:r>
      <w:proofErr w:type="spellStart"/>
      <w:r w:rsidR="004A5905" w:rsidRPr="004A5905">
        <w:rPr>
          <w:rtl/>
          <w:lang w:eastAsia="zh-TW"/>
        </w:rPr>
        <w:t>التيسيرات</w:t>
      </w:r>
      <w:proofErr w:type="spellEnd"/>
      <w:r w:rsidR="004A5905" w:rsidRPr="004A5905">
        <w:rPr>
          <w:rtl/>
          <w:lang w:eastAsia="zh-TW"/>
        </w:rPr>
        <w:t xml:space="preserve"> الإجرائية التي تتناسب مع أعمارهم". فالالتزامان مترابطان، لكنهما يختلفان في المعنى والنطاق. وفي هذه القضية، يمثل توفير خدمة العرض النصي بالاختزال ترتيبا</w:t>
      </w:r>
      <w:r w:rsidR="00D866EB">
        <w:rPr>
          <w:rFonts w:hint="cs"/>
          <w:rtl/>
          <w:lang w:eastAsia="zh-TW"/>
        </w:rPr>
        <w:t>ً</w:t>
      </w:r>
      <w:r w:rsidR="004A5905" w:rsidRPr="004A5905">
        <w:rPr>
          <w:rtl/>
          <w:lang w:eastAsia="zh-TW"/>
        </w:rPr>
        <w:t xml:space="preserve"> معقولا</w:t>
      </w:r>
      <w:r w:rsidR="00D866EB">
        <w:rPr>
          <w:rFonts w:hint="cs"/>
          <w:rtl/>
          <w:lang w:eastAsia="zh-TW"/>
        </w:rPr>
        <w:t>ً</w:t>
      </w:r>
      <w:r w:rsidR="004A5905" w:rsidRPr="004A5905">
        <w:rPr>
          <w:rtl/>
          <w:lang w:eastAsia="zh-TW"/>
        </w:rPr>
        <w:t xml:space="preserve"> يعزز مشاركة صاحب البلاغ في الإجراءات القانونية، ما يتطلب أيضا</w:t>
      </w:r>
      <w:r w:rsidR="00BE78B2">
        <w:rPr>
          <w:rFonts w:hint="cs"/>
          <w:rtl/>
          <w:lang w:eastAsia="zh-TW"/>
        </w:rPr>
        <w:t>ً</w:t>
      </w:r>
      <w:r w:rsidR="004A5905" w:rsidRPr="004A5905">
        <w:rPr>
          <w:rtl/>
          <w:lang w:eastAsia="zh-TW"/>
        </w:rPr>
        <w:t xml:space="preserve"> تيسيرا</w:t>
      </w:r>
      <w:r w:rsidR="00BE78B2">
        <w:rPr>
          <w:rFonts w:hint="cs"/>
          <w:rtl/>
          <w:lang w:eastAsia="zh-TW"/>
        </w:rPr>
        <w:t>ً</w:t>
      </w:r>
      <w:r w:rsidR="004A5905" w:rsidRPr="004A5905">
        <w:rPr>
          <w:rtl/>
          <w:lang w:eastAsia="zh-TW"/>
        </w:rPr>
        <w:t xml:space="preserve"> إجرائيا</w:t>
      </w:r>
      <w:r w:rsidR="00D866EB">
        <w:rPr>
          <w:rFonts w:hint="cs"/>
          <w:rtl/>
          <w:lang w:eastAsia="zh-TW"/>
        </w:rPr>
        <w:t>ً</w:t>
      </w:r>
      <w:r w:rsidR="004A5905" w:rsidRPr="004A5905">
        <w:rPr>
          <w:rtl/>
          <w:lang w:eastAsia="zh-TW"/>
        </w:rPr>
        <w:t xml:space="preserve"> مثل إلزام كاتب الاختزال بأداء اليمين بالحفاظ على سرية مداولات المحلفين أو إصدار الم</w:t>
      </w:r>
      <w:r w:rsidR="004A5905" w:rsidRPr="004A5905">
        <w:rPr>
          <w:rFonts w:hint="eastAsia"/>
          <w:rtl/>
          <w:lang w:eastAsia="zh-TW"/>
        </w:rPr>
        <w:t>حكمة</w:t>
      </w:r>
      <w:r w:rsidR="004A5905" w:rsidRPr="004A5905">
        <w:rPr>
          <w:rtl/>
          <w:lang w:eastAsia="zh-TW"/>
        </w:rPr>
        <w:t xml:space="preserve"> توجيهات محددة إلى جميع المحلفين تقضي بألا </w:t>
      </w:r>
      <w:proofErr w:type="spellStart"/>
      <w:r w:rsidR="004A5905" w:rsidRPr="004A5905">
        <w:rPr>
          <w:rtl/>
          <w:lang w:eastAsia="zh-TW"/>
        </w:rPr>
        <w:t>يحاولو</w:t>
      </w:r>
      <w:proofErr w:type="spellEnd"/>
      <w:r w:rsidR="004A5905" w:rsidRPr="004A5905">
        <w:rPr>
          <w:rtl/>
          <w:lang w:eastAsia="zh-TW"/>
        </w:rPr>
        <w:t xml:space="preserve"> مناقشة القضية أو التداول بشأنها معه، وألا يتعاملوا معه إلا كميسر للتواصل مع المحلف الأصم. ولذلك يرى</w:t>
      </w:r>
      <w:r w:rsidR="005F6E57">
        <w:rPr>
          <w:rtl/>
          <w:lang w:eastAsia="zh-TW"/>
        </w:rPr>
        <w:t xml:space="preserve"> صاحب البلاغ أن الدولة الطرف لم</w:t>
      </w:r>
      <w:r w:rsidR="005F6E57">
        <w:rPr>
          <w:rFonts w:hint="cs"/>
          <w:rtl/>
          <w:lang w:eastAsia="zh-TW"/>
        </w:rPr>
        <w:t> </w:t>
      </w:r>
      <w:r w:rsidR="004A5905" w:rsidRPr="004A5905">
        <w:rPr>
          <w:rtl/>
          <w:lang w:eastAsia="zh-TW"/>
        </w:rPr>
        <w:t xml:space="preserve">تثبت أن توفير الترتيبات </w:t>
      </w:r>
      <w:proofErr w:type="spellStart"/>
      <w:r w:rsidR="004A5905" w:rsidRPr="004A5905">
        <w:rPr>
          <w:rtl/>
          <w:lang w:eastAsia="zh-TW"/>
        </w:rPr>
        <w:t>التيسيرية</w:t>
      </w:r>
      <w:proofErr w:type="spellEnd"/>
      <w:r w:rsidR="004A5905" w:rsidRPr="004A5905">
        <w:rPr>
          <w:rtl/>
          <w:lang w:eastAsia="zh-TW"/>
        </w:rPr>
        <w:t xml:space="preserve"> المطلوبة سيفرض عبئا غير متناسب أو غير ضروري، وأنها تعد بالتالي، غير معقولة، وهي بذلك انتهكت حقوقه المكفولة بموجب المادة 21، مقروءة بمفردها وبالاقتران مع المادة 5.</w:t>
      </w:r>
      <w:r w:rsidR="00D866EB">
        <w:rPr>
          <w:rFonts w:hint="cs"/>
          <w:rtl/>
          <w:lang w:eastAsia="zh-TW"/>
        </w:rPr>
        <w:t xml:space="preserve"> </w:t>
      </w:r>
    </w:p>
    <w:p w:rsidR="004A5905" w:rsidRPr="004A5905" w:rsidRDefault="00E37EF9" w:rsidP="00B831E9">
      <w:pPr>
        <w:pStyle w:val="SingleTxtGA"/>
        <w:rPr>
          <w:rtl/>
          <w:lang w:eastAsia="zh-TW"/>
        </w:rPr>
      </w:pPr>
      <w:r>
        <w:rPr>
          <w:rFonts w:hint="cs"/>
          <w:rtl/>
          <w:lang w:eastAsia="zh-TW"/>
        </w:rPr>
        <w:t>5-10</w:t>
      </w:r>
      <w:r>
        <w:rPr>
          <w:rtl/>
          <w:lang w:eastAsia="zh-TW"/>
        </w:rPr>
        <w:tab/>
      </w:r>
      <w:r w:rsidR="004A5905" w:rsidRPr="004A5905">
        <w:rPr>
          <w:rtl/>
          <w:lang w:eastAsia="zh-TW"/>
        </w:rPr>
        <w:t>ويؤكد صاحب البلاغ كذلك أن التدابير التي تزعم الدولة الطرف اتخاذها لا تفي</w:t>
      </w:r>
      <w:r>
        <w:rPr>
          <w:rtl/>
          <w:lang w:eastAsia="zh-TW"/>
        </w:rPr>
        <w:t xml:space="preserve"> بالالتزام الذي تفرضه المادة 21</w:t>
      </w:r>
      <w:r w:rsidR="004A5905" w:rsidRPr="004A5905">
        <w:rPr>
          <w:rtl/>
          <w:lang w:eastAsia="zh-TW"/>
        </w:rPr>
        <w:t xml:space="preserve">(ب) من الاتفاقية، وينفي أن يكون هناك أساس في الصكوك القانونية يدعم ادعاء الدولة الطرف بأن الإشارة إلى "المعاملات الرسمية" لا تنطبق على هذه الحالة. </w:t>
      </w:r>
      <w:r w:rsidR="004A5905" w:rsidRPr="004A5905">
        <w:rPr>
          <w:rFonts w:hint="eastAsia"/>
          <w:rtl/>
          <w:lang w:eastAsia="zh-TW"/>
        </w:rPr>
        <w:t>إذ</w:t>
      </w:r>
      <w:r w:rsidR="004A5905" w:rsidRPr="004A5905">
        <w:rPr>
          <w:rtl/>
          <w:lang w:eastAsia="zh-TW"/>
        </w:rPr>
        <w:t xml:space="preserve"> </w:t>
      </w:r>
      <w:r w:rsidR="00B831E9">
        <w:rPr>
          <w:rFonts w:hint="cs"/>
          <w:rtl/>
          <w:lang w:eastAsia="zh-TW"/>
        </w:rPr>
        <w:t>إ</w:t>
      </w:r>
      <w:r w:rsidR="004A5905" w:rsidRPr="004A5905">
        <w:rPr>
          <w:rtl/>
          <w:lang w:eastAsia="zh-TW"/>
        </w:rPr>
        <w:t>ن المحكمة هي سلطة أو هيئة عامة، وتركز في نشاطها على إقامة العدل، بسبل منها إجراء المحاكمات أمام هيئة محلفين. والمحلف هو شخص يضطلع بمسؤولية عامة في مجال إقامة العدل، ويتعامل مع أشخاص آخرين يمارسون واجبات ومسؤوليات عامة، ويشمل ذلك التعامل سائر المحلفين و</w:t>
      </w:r>
      <w:r w:rsidR="004A5905" w:rsidRPr="004A5905">
        <w:rPr>
          <w:rFonts w:hint="eastAsia"/>
          <w:rtl/>
          <w:lang w:eastAsia="zh-TW"/>
        </w:rPr>
        <w:t>الموظفين</w:t>
      </w:r>
      <w:r w:rsidR="004A5905" w:rsidRPr="004A5905">
        <w:rPr>
          <w:rtl/>
          <w:lang w:eastAsia="zh-TW"/>
        </w:rPr>
        <w:t xml:space="preserve"> القضائيين. </w:t>
      </w:r>
    </w:p>
    <w:p w:rsidR="004A5905" w:rsidRPr="004A5905" w:rsidRDefault="00E37EF9" w:rsidP="00E37EF9">
      <w:pPr>
        <w:pStyle w:val="SingleTxtGA"/>
        <w:rPr>
          <w:rtl/>
          <w:lang w:eastAsia="zh-TW"/>
        </w:rPr>
      </w:pPr>
      <w:r>
        <w:rPr>
          <w:rFonts w:hint="cs"/>
          <w:rtl/>
          <w:lang w:eastAsia="zh-TW"/>
        </w:rPr>
        <w:t>5-11</w:t>
      </w:r>
      <w:r>
        <w:rPr>
          <w:rtl/>
          <w:lang w:eastAsia="zh-TW"/>
        </w:rPr>
        <w:tab/>
      </w:r>
      <w:r w:rsidR="004A5905" w:rsidRPr="004A5905">
        <w:rPr>
          <w:rtl/>
          <w:lang w:eastAsia="zh-TW"/>
        </w:rPr>
        <w:t>وفيما يتعلق بادعائه بموجب المادة 29 من الاتفاقية، يدعي صاحب البلاغ أن للجنة اختصاص النظر في الانتهاك المزعوم للحقوق السياسية للأشخاص ذوي الإعاقة، بما في ذلك حقهم في المشاركة في تسيير الشؤون العامة والحق في تقلد الوظائف العامة. وهي بذلك، تمارس اختصاص ت</w:t>
      </w:r>
      <w:r w:rsidR="004A5905" w:rsidRPr="004A5905">
        <w:rPr>
          <w:rFonts w:hint="eastAsia"/>
          <w:rtl/>
          <w:lang w:eastAsia="zh-TW"/>
        </w:rPr>
        <w:t>قييم</w:t>
      </w:r>
      <w:r w:rsidR="004A5905" w:rsidRPr="004A5905">
        <w:rPr>
          <w:rtl/>
          <w:lang w:eastAsia="zh-TW"/>
        </w:rPr>
        <w:t xml:space="preserve"> التدابير التي تتخذها الدول الأطراف لضمان تمتع الأشخاص ذوي الإعاقة بالحقوق السياسية على قدم المساواة مع الآخرين. ويلاحظ أن عبارة "تسيير الشؤون العامة" هي </w:t>
      </w:r>
      <w:r w:rsidR="004A5905" w:rsidRPr="004A5905">
        <w:rPr>
          <w:rtl/>
          <w:lang w:eastAsia="zh-TW"/>
        </w:rPr>
        <w:lastRenderedPageBreak/>
        <w:t>مفهوم واسع، يشمل ممارسة جميع أجهزة الحكومة لسلطة حكومية، بما في ذلك إقامة العدل. ويؤدي المحلفون دو</w:t>
      </w:r>
      <w:r w:rsidR="004A5905" w:rsidRPr="004A5905">
        <w:rPr>
          <w:rFonts w:hint="eastAsia"/>
          <w:rtl/>
          <w:lang w:eastAsia="zh-TW"/>
        </w:rPr>
        <w:t>را</w:t>
      </w:r>
      <w:r w:rsidR="004A5905" w:rsidRPr="004A5905">
        <w:rPr>
          <w:rtl/>
          <w:lang w:eastAsia="zh-TW"/>
        </w:rPr>
        <w:t xml:space="preserve"> في السلطة القضائية للحكومة بمشاركتهم على نحو مباشر في تحديد المذنب من البريء في محاكمة جنائية أو تحديد المسؤولية القانونية في قضية مدنية. وهم بذلك يشاركون في تسيير الشؤون العامة وفي وظيفة عامة، هي إقامة العدل. ويخلص صاحب البلاغ إلى أن استبعاده من هيئة ا</w:t>
      </w:r>
      <w:r w:rsidR="004A5905" w:rsidRPr="004A5905">
        <w:rPr>
          <w:rFonts w:hint="eastAsia"/>
          <w:rtl/>
          <w:lang w:eastAsia="zh-TW"/>
        </w:rPr>
        <w:t>لمحلفين</w:t>
      </w:r>
      <w:r w:rsidR="004A5905" w:rsidRPr="004A5905">
        <w:rPr>
          <w:rtl/>
          <w:lang w:eastAsia="zh-TW"/>
        </w:rPr>
        <w:t xml:space="preserve"> لا يستند إلى أسس معقولة وموضوعية وأنه ينطوي على التعسف والتمييز</w:t>
      </w:r>
      <w:r w:rsidR="007A4F0B">
        <w:rPr>
          <w:vertAlign w:val="superscript"/>
          <w:rtl/>
          <w:lang w:eastAsia="zh-TW"/>
        </w:rPr>
        <w:t>(</w:t>
      </w:r>
      <w:r w:rsidR="007A4F0B">
        <w:rPr>
          <w:rStyle w:val="FootnoteReference"/>
          <w:rtl/>
          <w:lang w:eastAsia="zh-TW"/>
        </w:rPr>
        <w:footnoteReference w:id="37"/>
      </w:r>
      <w:r w:rsidR="007A4F0B">
        <w:rPr>
          <w:vertAlign w:val="superscript"/>
          <w:rtl/>
          <w:lang w:eastAsia="zh-TW"/>
        </w:rPr>
        <w:t>)</w:t>
      </w:r>
      <w:r w:rsidR="004A5905" w:rsidRPr="004A5905">
        <w:rPr>
          <w:rtl/>
          <w:lang w:eastAsia="zh-TW"/>
        </w:rPr>
        <w:t>.</w:t>
      </w:r>
      <w:r w:rsidR="006B0B45">
        <w:rPr>
          <w:rtl/>
          <w:lang w:eastAsia="zh-TW"/>
        </w:rPr>
        <w:t xml:space="preserve"> </w:t>
      </w:r>
    </w:p>
    <w:p w:rsidR="004A5905" w:rsidRPr="004A5905" w:rsidRDefault="00E37EF9" w:rsidP="004A5905">
      <w:pPr>
        <w:pStyle w:val="SingleTxtGA"/>
        <w:rPr>
          <w:rtl/>
          <w:lang w:eastAsia="zh-TW"/>
        </w:rPr>
      </w:pPr>
      <w:r>
        <w:rPr>
          <w:rFonts w:hint="cs"/>
          <w:rtl/>
          <w:lang w:eastAsia="zh-TW"/>
        </w:rPr>
        <w:t>5-12</w:t>
      </w:r>
      <w:r>
        <w:rPr>
          <w:rtl/>
          <w:lang w:eastAsia="zh-TW"/>
        </w:rPr>
        <w:tab/>
      </w:r>
      <w:r w:rsidR="004A5905" w:rsidRPr="004A5905">
        <w:rPr>
          <w:rtl/>
          <w:lang w:eastAsia="zh-TW"/>
        </w:rPr>
        <w:t>وأخيرا</w:t>
      </w:r>
      <w:r>
        <w:rPr>
          <w:rFonts w:hint="cs"/>
          <w:rtl/>
          <w:lang w:eastAsia="zh-TW"/>
        </w:rPr>
        <w:t>ً</w:t>
      </w:r>
      <w:r w:rsidR="004A5905" w:rsidRPr="004A5905">
        <w:rPr>
          <w:rtl/>
          <w:lang w:eastAsia="zh-TW"/>
        </w:rPr>
        <w:t>، يدعي صاحب البلاغ، فيما يتعلق بالحجج التي دفعت بها الدولة الطرف ومفادها أن صاحب البلاغ يرمي إلى إنشاء "حقوق جديدة" والاستناد إليها، أن أحكام الاتفاقية يجب أن تفسر بمعناها الواسع، مع مراعاة الغرض من الاتفاقية. ويدفع كذلك بأنه من غير الجائز التحص</w:t>
      </w:r>
      <w:r w:rsidR="004A5905" w:rsidRPr="004A5905">
        <w:rPr>
          <w:rFonts w:hint="eastAsia"/>
          <w:rtl/>
          <w:lang w:eastAsia="zh-TW"/>
        </w:rPr>
        <w:t>ن</w:t>
      </w:r>
      <w:r w:rsidR="004A5905" w:rsidRPr="004A5905">
        <w:rPr>
          <w:rtl/>
          <w:lang w:eastAsia="zh-TW"/>
        </w:rPr>
        <w:t xml:space="preserve"> وراء مفهوم الحقوق الجديدة لمنع تطبيق الحقوق التقليدية على الظروف الخاصة بالأشخاص ذوي الإعاقة، وإن كان هذا المفهوم يوسع الفهم المتعارف عليه للحقوق التقليدية. </w:t>
      </w:r>
    </w:p>
    <w:p w:rsidR="004A5905" w:rsidRPr="004A5905" w:rsidRDefault="004A5905" w:rsidP="00E37EF9">
      <w:pPr>
        <w:pStyle w:val="H23GA"/>
        <w:rPr>
          <w:rtl/>
        </w:rPr>
      </w:pPr>
      <w:r w:rsidRPr="004A5905">
        <w:rPr>
          <w:rtl/>
        </w:rPr>
        <w:tab/>
      </w:r>
      <w:r w:rsidRPr="004A5905">
        <w:rPr>
          <w:rtl/>
        </w:rPr>
        <w:tab/>
        <w:t>الم</w:t>
      </w:r>
      <w:r w:rsidR="00A0687B">
        <w:rPr>
          <w:rFonts w:hint="cs"/>
          <w:rtl/>
        </w:rPr>
        <w:t>لاحظات</w:t>
      </w:r>
      <w:r w:rsidRPr="004A5905">
        <w:rPr>
          <w:rtl/>
        </w:rPr>
        <w:t xml:space="preserve"> الإضافية المقدمة من الدولة الطرف</w:t>
      </w:r>
      <w:r w:rsidRPr="004A5905">
        <w:rPr>
          <w:rFonts w:cs="Times New Roman" w:hint="cs"/>
          <w:rtl/>
        </w:rPr>
        <w:t>‬</w:t>
      </w:r>
    </w:p>
    <w:p w:rsidR="004A5905" w:rsidRPr="004A5905" w:rsidRDefault="000178AE" w:rsidP="00954533">
      <w:pPr>
        <w:pStyle w:val="SingleTxtGA"/>
        <w:rPr>
          <w:rtl/>
          <w:lang w:eastAsia="zh-TW"/>
        </w:rPr>
      </w:pPr>
      <w:r>
        <w:rPr>
          <w:rFonts w:hint="cs"/>
          <w:rtl/>
          <w:lang w:eastAsia="zh-TW"/>
        </w:rPr>
        <w:t>6-1</w:t>
      </w:r>
      <w:r>
        <w:rPr>
          <w:rtl/>
          <w:lang w:eastAsia="zh-TW"/>
        </w:rPr>
        <w:tab/>
      </w:r>
      <w:r w:rsidR="004A5905" w:rsidRPr="004A5905">
        <w:rPr>
          <w:rtl/>
          <w:lang w:eastAsia="zh-TW"/>
        </w:rPr>
        <w:t>في 23 تشرين الأول/أكتوبر 2015، قدمت الدولة الطرف ملاحظات إضافية</w:t>
      </w:r>
      <w:r w:rsidR="007A4F0B">
        <w:rPr>
          <w:vertAlign w:val="superscript"/>
          <w:rtl/>
          <w:lang w:eastAsia="zh-TW"/>
        </w:rPr>
        <w:t>(</w:t>
      </w:r>
      <w:r w:rsidR="007A4F0B">
        <w:rPr>
          <w:rStyle w:val="FootnoteReference"/>
          <w:rtl/>
          <w:lang w:eastAsia="zh-TW"/>
        </w:rPr>
        <w:footnoteReference w:id="38"/>
      </w:r>
      <w:r w:rsidR="007A4F0B">
        <w:rPr>
          <w:vertAlign w:val="superscript"/>
          <w:rtl/>
          <w:lang w:eastAsia="zh-TW"/>
        </w:rPr>
        <w:t>)(</w:t>
      </w:r>
      <w:r w:rsidR="007A4F0B">
        <w:rPr>
          <w:rStyle w:val="FootnoteReference"/>
          <w:rtl/>
          <w:lang w:eastAsia="zh-TW"/>
        </w:rPr>
        <w:footnoteReference w:id="39"/>
      </w:r>
      <w:r w:rsidR="007A4F0B">
        <w:rPr>
          <w:vertAlign w:val="superscript"/>
          <w:rtl/>
          <w:lang w:eastAsia="zh-TW"/>
        </w:rPr>
        <w:t>)</w:t>
      </w:r>
      <w:r w:rsidR="004A5905" w:rsidRPr="004A5905">
        <w:rPr>
          <w:rtl/>
          <w:lang w:eastAsia="zh-TW"/>
        </w:rPr>
        <w:t xml:space="preserve">. </w:t>
      </w:r>
      <w:r w:rsidR="004A5905" w:rsidRPr="004A5905">
        <w:rPr>
          <w:rFonts w:cs="Times New Roman" w:hint="cs"/>
          <w:rtl/>
          <w:lang w:eastAsia="zh-TW"/>
        </w:rPr>
        <w:t>‬</w:t>
      </w:r>
      <w:r w:rsidR="004A5905" w:rsidRPr="004A5905">
        <w:rPr>
          <w:rFonts w:ascii="Traditional Arabic" w:hAnsi="Traditional Arabic" w:hint="cs"/>
          <w:rtl/>
          <w:lang w:eastAsia="zh-TW"/>
        </w:rPr>
        <w:t>وهي</w:t>
      </w:r>
      <w:r w:rsidR="004A5905" w:rsidRPr="004A5905">
        <w:rPr>
          <w:rtl/>
          <w:lang w:eastAsia="zh-TW"/>
        </w:rPr>
        <w:t xml:space="preserve"> </w:t>
      </w:r>
      <w:r w:rsidR="004A5905" w:rsidRPr="004A5905">
        <w:rPr>
          <w:rFonts w:ascii="Traditional Arabic" w:hAnsi="Traditional Arabic" w:hint="cs"/>
          <w:rtl/>
          <w:lang w:eastAsia="zh-TW"/>
        </w:rPr>
        <w:t>تؤكد</w:t>
      </w:r>
      <w:r w:rsidR="004A5905" w:rsidRPr="004A5905">
        <w:rPr>
          <w:rtl/>
          <w:lang w:eastAsia="zh-TW"/>
        </w:rPr>
        <w:t xml:space="preserve"> </w:t>
      </w:r>
      <w:r w:rsidR="004A5905" w:rsidRPr="004A5905">
        <w:rPr>
          <w:rFonts w:ascii="Traditional Arabic" w:hAnsi="Traditional Arabic" w:hint="cs"/>
          <w:rtl/>
          <w:lang w:eastAsia="zh-TW"/>
        </w:rPr>
        <w:t>مجددا</w:t>
      </w:r>
      <w:r w:rsidR="007A4F0B">
        <w:rPr>
          <w:rFonts w:hint="cs"/>
          <w:rtl/>
          <w:lang w:eastAsia="zh-TW"/>
        </w:rPr>
        <w:t>ً</w:t>
      </w:r>
      <w:r w:rsidR="004A5905" w:rsidRPr="004A5905">
        <w:rPr>
          <w:rtl/>
          <w:lang w:eastAsia="zh-TW"/>
        </w:rPr>
        <w:t xml:space="preserve"> </w:t>
      </w:r>
      <w:r w:rsidR="004A5905" w:rsidRPr="004A5905">
        <w:rPr>
          <w:rFonts w:ascii="Traditional Arabic" w:hAnsi="Traditional Arabic" w:hint="cs"/>
          <w:rtl/>
          <w:lang w:eastAsia="zh-TW"/>
        </w:rPr>
        <w:t>أن</w:t>
      </w:r>
      <w:r w:rsidR="004A5905" w:rsidRPr="004A5905">
        <w:rPr>
          <w:rtl/>
          <w:lang w:eastAsia="zh-TW"/>
        </w:rPr>
        <w:t xml:space="preserve"> </w:t>
      </w:r>
      <w:r w:rsidR="004A5905" w:rsidRPr="004A5905">
        <w:rPr>
          <w:rFonts w:ascii="Traditional Arabic" w:hAnsi="Traditional Arabic" w:hint="cs"/>
          <w:rtl/>
          <w:lang w:eastAsia="zh-TW"/>
        </w:rPr>
        <w:t>الاتفاقية</w:t>
      </w:r>
      <w:r w:rsidR="004A5905" w:rsidRPr="004A5905">
        <w:rPr>
          <w:rtl/>
          <w:lang w:eastAsia="zh-TW"/>
        </w:rPr>
        <w:t xml:space="preserve"> </w:t>
      </w:r>
      <w:r w:rsidR="004A5905" w:rsidRPr="004A5905">
        <w:rPr>
          <w:rFonts w:ascii="Traditional Arabic" w:hAnsi="Traditional Arabic" w:hint="cs"/>
          <w:rtl/>
          <w:lang w:eastAsia="zh-TW"/>
        </w:rPr>
        <w:t>لا</w:t>
      </w:r>
      <w:r w:rsidR="004A5905" w:rsidRPr="004A5905">
        <w:rPr>
          <w:rtl/>
          <w:lang w:eastAsia="zh-TW"/>
        </w:rPr>
        <w:t xml:space="preserve"> </w:t>
      </w:r>
      <w:r w:rsidR="004A5905" w:rsidRPr="004A5905">
        <w:rPr>
          <w:rFonts w:ascii="Traditional Arabic" w:hAnsi="Traditional Arabic" w:hint="cs"/>
          <w:rtl/>
          <w:lang w:eastAsia="zh-TW"/>
        </w:rPr>
        <w:t>تنشئ</w:t>
      </w:r>
      <w:r w:rsidR="004A5905" w:rsidRPr="004A5905">
        <w:rPr>
          <w:rtl/>
          <w:lang w:eastAsia="zh-TW"/>
        </w:rPr>
        <w:t xml:space="preserve"> </w:t>
      </w:r>
      <w:r w:rsidR="004A5905" w:rsidRPr="004A5905">
        <w:rPr>
          <w:rFonts w:ascii="Traditional Arabic" w:hAnsi="Traditional Arabic" w:hint="cs"/>
          <w:rtl/>
          <w:lang w:eastAsia="zh-TW"/>
        </w:rPr>
        <w:t>حقوقا</w:t>
      </w:r>
      <w:r w:rsidR="004A5905" w:rsidRPr="004A5905">
        <w:rPr>
          <w:rtl/>
          <w:lang w:eastAsia="zh-TW"/>
        </w:rPr>
        <w:t xml:space="preserve"> </w:t>
      </w:r>
      <w:r w:rsidR="004A5905" w:rsidRPr="004A5905">
        <w:rPr>
          <w:rFonts w:ascii="Traditional Arabic" w:hAnsi="Traditional Arabic" w:hint="cs"/>
          <w:rtl/>
          <w:lang w:eastAsia="zh-TW"/>
        </w:rPr>
        <w:t>إضافية</w:t>
      </w:r>
      <w:r w:rsidR="004A5905" w:rsidRPr="004A5905">
        <w:rPr>
          <w:rtl/>
          <w:lang w:eastAsia="zh-TW"/>
        </w:rPr>
        <w:t xml:space="preserve"> </w:t>
      </w:r>
      <w:r w:rsidR="004A5905" w:rsidRPr="004A5905">
        <w:rPr>
          <w:rFonts w:ascii="Traditional Arabic" w:hAnsi="Traditional Arabic" w:hint="cs"/>
          <w:rtl/>
          <w:lang w:eastAsia="zh-TW"/>
        </w:rPr>
        <w:t>للأشخاص</w:t>
      </w:r>
      <w:r w:rsidR="004A5905" w:rsidRPr="004A5905">
        <w:rPr>
          <w:rtl/>
          <w:lang w:eastAsia="zh-TW"/>
        </w:rPr>
        <w:t xml:space="preserve"> </w:t>
      </w:r>
      <w:r w:rsidR="004A5905" w:rsidRPr="004A5905">
        <w:rPr>
          <w:rFonts w:ascii="Traditional Arabic" w:hAnsi="Traditional Arabic" w:hint="cs"/>
          <w:rtl/>
          <w:lang w:eastAsia="zh-TW"/>
        </w:rPr>
        <w:t>ذوي</w:t>
      </w:r>
      <w:r w:rsidR="004A5905" w:rsidRPr="004A5905">
        <w:rPr>
          <w:rtl/>
          <w:lang w:eastAsia="zh-TW"/>
        </w:rPr>
        <w:t xml:space="preserve"> </w:t>
      </w:r>
      <w:r w:rsidR="004A5905" w:rsidRPr="004A5905">
        <w:rPr>
          <w:rFonts w:ascii="Traditional Arabic" w:hAnsi="Traditional Arabic" w:hint="cs"/>
          <w:rtl/>
          <w:lang w:eastAsia="zh-TW"/>
        </w:rPr>
        <w:t>الإعاقة</w:t>
      </w:r>
      <w:r w:rsidR="004A5905" w:rsidRPr="004A5905">
        <w:rPr>
          <w:rtl/>
          <w:lang w:eastAsia="zh-TW"/>
        </w:rPr>
        <w:t xml:space="preserve">. </w:t>
      </w:r>
      <w:r w:rsidR="004A5905" w:rsidRPr="004A5905">
        <w:rPr>
          <w:rFonts w:ascii="Traditional Arabic" w:hAnsi="Traditional Arabic" w:hint="cs"/>
          <w:rtl/>
          <w:lang w:eastAsia="zh-TW"/>
        </w:rPr>
        <w:t>وتشير</w:t>
      </w:r>
      <w:r w:rsidR="004A5905" w:rsidRPr="004A5905">
        <w:rPr>
          <w:rtl/>
          <w:lang w:eastAsia="zh-TW"/>
        </w:rPr>
        <w:t xml:space="preserve"> </w:t>
      </w:r>
      <w:r w:rsidR="004A5905" w:rsidRPr="004A5905">
        <w:rPr>
          <w:rFonts w:ascii="Traditional Arabic" w:hAnsi="Traditional Arabic" w:hint="cs"/>
          <w:rtl/>
          <w:lang w:eastAsia="zh-TW"/>
        </w:rPr>
        <w:t>إلى</w:t>
      </w:r>
      <w:r w:rsidR="004A5905" w:rsidRPr="004A5905">
        <w:rPr>
          <w:rtl/>
          <w:lang w:eastAsia="zh-TW"/>
        </w:rPr>
        <w:t xml:space="preserve"> </w:t>
      </w:r>
      <w:r w:rsidR="004A5905" w:rsidRPr="004A5905">
        <w:rPr>
          <w:rFonts w:ascii="Traditional Arabic" w:hAnsi="Traditional Arabic" w:hint="cs"/>
          <w:rtl/>
          <w:lang w:eastAsia="zh-TW"/>
        </w:rPr>
        <w:t>ورود</w:t>
      </w:r>
      <w:r w:rsidR="004A5905" w:rsidRPr="004A5905">
        <w:rPr>
          <w:rtl/>
          <w:lang w:eastAsia="zh-TW"/>
        </w:rPr>
        <w:t xml:space="preserve"> </w:t>
      </w:r>
      <w:r w:rsidR="004A5905" w:rsidRPr="004A5905">
        <w:rPr>
          <w:rFonts w:ascii="Traditional Arabic" w:hAnsi="Traditional Arabic" w:hint="cs"/>
          <w:rtl/>
          <w:lang w:eastAsia="zh-TW"/>
        </w:rPr>
        <w:t>عدد</w:t>
      </w:r>
      <w:r w:rsidR="004A5905" w:rsidRPr="004A5905">
        <w:rPr>
          <w:rtl/>
          <w:lang w:eastAsia="zh-TW"/>
        </w:rPr>
        <w:t xml:space="preserve"> </w:t>
      </w:r>
      <w:r w:rsidR="004A5905" w:rsidRPr="004A5905">
        <w:rPr>
          <w:rFonts w:ascii="Traditional Arabic" w:hAnsi="Traditional Arabic" w:hint="cs"/>
          <w:rtl/>
          <w:lang w:eastAsia="zh-TW"/>
        </w:rPr>
        <w:t>من</w:t>
      </w:r>
      <w:r w:rsidR="004A5905" w:rsidRPr="004A5905">
        <w:rPr>
          <w:rtl/>
          <w:lang w:eastAsia="zh-TW"/>
        </w:rPr>
        <w:t xml:space="preserve"> </w:t>
      </w:r>
      <w:r w:rsidR="004A5905" w:rsidRPr="004A5905">
        <w:rPr>
          <w:rFonts w:ascii="Traditional Arabic" w:hAnsi="Traditional Arabic" w:hint="cs"/>
          <w:rtl/>
          <w:lang w:eastAsia="zh-TW"/>
        </w:rPr>
        <w:t>العبارات</w:t>
      </w:r>
      <w:r w:rsidR="004A5905" w:rsidRPr="004A5905">
        <w:rPr>
          <w:rtl/>
          <w:lang w:eastAsia="zh-TW"/>
        </w:rPr>
        <w:t xml:space="preserve"> </w:t>
      </w:r>
      <w:r w:rsidR="004A5905" w:rsidRPr="004A5905">
        <w:rPr>
          <w:rFonts w:ascii="Traditional Arabic" w:hAnsi="Traditional Arabic" w:hint="cs"/>
          <w:rtl/>
          <w:lang w:eastAsia="zh-TW"/>
        </w:rPr>
        <w:t>في</w:t>
      </w:r>
      <w:r w:rsidR="004A5905" w:rsidRPr="004A5905">
        <w:rPr>
          <w:rtl/>
          <w:lang w:eastAsia="zh-TW"/>
        </w:rPr>
        <w:t xml:space="preserve"> </w:t>
      </w:r>
      <w:r w:rsidR="004A5905" w:rsidRPr="004A5905">
        <w:rPr>
          <w:rFonts w:ascii="Traditional Arabic" w:hAnsi="Traditional Arabic" w:hint="cs"/>
          <w:rtl/>
          <w:lang w:eastAsia="zh-TW"/>
        </w:rPr>
        <w:t>الاتفاقية</w:t>
      </w:r>
      <w:r w:rsidR="004A5905" w:rsidRPr="004A5905">
        <w:rPr>
          <w:rtl/>
          <w:lang w:eastAsia="zh-TW"/>
        </w:rPr>
        <w:t xml:space="preserve"> </w:t>
      </w:r>
      <w:r w:rsidR="004A5905" w:rsidRPr="004A5905">
        <w:rPr>
          <w:rFonts w:ascii="Traditional Arabic" w:hAnsi="Traditional Arabic" w:hint="cs"/>
          <w:rtl/>
          <w:lang w:eastAsia="zh-TW"/>
        </w:rPr>
        <w:t>التي</w:t>
      </w:r>
      <w:r w:rsidR="004A5905" w:rsidRPr="004A5905">
        <w:rPr>
          <w:rtl/>
          <w:lang w:eastAsia="zh-TW"/>
        </w:rPr>
        <w:t xml:space="preserve"> </w:t>
      </w:r>
      <w:r w:rsidR="004A5905" w:rsidRPr="004A5905">
        <w:rPr>
          <w:rFonts w:ascii="Traditional Arabic" w:hAnsi="Traditional Arabic" w:hint="cs"/>
          <w:rtl/>
          <w:lang w:eastAsia="zh-TW"/>
        </w:rPr>
        <w:t>لم</w:t>
      </w:r>
      <w:r w:rsidR="004A5905" w:rsidRPr="004A5905">
        <w:rPr>
          <w:rtl/>
          <w:lang w:eastAsia="zh-TW"/>
        </w:rPr>
        <w:t xml:space="preserve"> </w:t>
      </w:r>
      <w:r w:rsidR="004A5905" w:rsidRPr="004A5905">
        <w:rPr>
          <w:rFonts w:ascii="Traditional Arabic" w:hAnsi="Traditional Arabic" w:hint="cs"/>
          <w:rtl/>
          <w:lang w:eastAsia="zh-TW"/>
        </w:rPr>
        <w:t>تعرف،</w:t>
      </w:r>
      <w:r w:rsidR="004A5905" w:rsidRPr="004A5905">
        <w:rPr>
          <w:rtl/>
          <w:lang w:eastAsia="zh-TW"/>
        </w:rPr>
        <w:t xml:space="preserve"> </w:t>
      </w:r>
      <w:r w:rsidR="004A5905" w:rsidRPr="004A5905">
        <w:rPr>
          <w:rFonts w:ascii="Traditional Arabic" w:hAnsi="Traditional Arabic" w:hint="cs"/>
          <w:rtl/>
          <w:lang w:eastAsia="zh-TW"/>
        </w:rPr>
        <w:t>من</w:t>
      </w:r>
      <w:r w:rsidR="004A5905" w:rsidRPr="004A5905">
        <w:rPr>
          <w:rtl/>
          <w:lang w:eastAsia="zh-TW"/>
        </w:rPr>
        <w:t xml:space="preserve"> </w:t>
      </w:r>
      <w:r w:rsidR="004A5905" w:rsidRPr="004A5905">
        <w:rPr>
          <w:rFonts w:ascii="Traditional Arabic" w:hAnsi="Traditional Arabic" w:hint="cs"/>
          <w:rtl/>
          <w:lang w:eastAsia="zh-TW"/>
        </w:rPr>
        <w:t>قبيل</w:t>
      </w:r>
      <w:r w:rsidR="004A5905" w:rsidRPr="004A5905">
        <w:rPr>
          <w:rtl/>
          <w:lang w:eastAsia="zh-TW"/>
        </w:rPr>
        <w:t xml:space="preserve"> "</w:t>
      </w:r>
      <w:r w:rsidR="004A5905" w:rsidRPr="004A5905">
        <w:rPr>
          <w:rFonts w:ascii="Traditional Arabic" w:hAnsi="Traditional Arabic" w:hint="cs"/>
          <w:rtl/>
          <w:lang w:eastAsia="zh-TW"/>
        </w:rPr>
        <w:t>الأهلية</w:t>
      </w:r>
      <w:r w:rsidR="004A5905" w:rsidRPr="004A5905">
        <w:rPr>
          <w:rtl/>
          <w:lang w:eastAsia="zh-TW"/>
        </w:rPr>
        <w:t xml:space="preserve"> </w:t>
      </w:r>
      <w:r w:rsidR="004A5905" w:rsidRPr="004A5905">
        <w:rPr>
          <w:rFonts w:ascii="Traditional Arabic" w:hAnsi="Traditional Arabic" w:hint="cs"/>
          <w:rtl/>
          <w:lang w:eastAsia="zh-TW"/>
        </w:rPr>
        <w:t>القانونية</w:t>
      </w:r>
      <w:r w:rsidR="004A5905" w:rsidRPr="004A5905">
        <w:rPr>
          <w:rtl/>
          <w:lang w:eastAsia="zh-TW"/>
        </w:rPr>
        <w:t>"</w:t>
      </w:r>
      <w:r w:rsidR="006B0B45">
        <w:rPr>
          <w:rtl/>
          <w:lang w:eastAsia="zh-TW"/>
        </w:rPr>
        <w:t xml:space="preserve"> و</w:t>
      </w:r>
      <w:r w:rsidR="007A4F0B">
        <w:rPr>
          <w:rtl/>
          <w:lang w:eastAsia="zh-TW"/>
        </w:rPr>
        <w:t>"</w:t>
      </w:r>
      <w:r w:rsidR="004A5905" w:rsidRPr="004A5905">
        <w:rPr>
          <w:rtl/>
          <w:lang w:eastAsia="zh-TW"/>
        </w:rPr>
        <w:t xml:space="preserve">المشاركة المباشرة وغير </w:t>
      </w:r>
      <w:r w:rsidR="004A5905" w:rsidRPr="004A5905">
        <w:rPr>
          <w:rFonts w:hint="eastAsia"/>
          <w:rtl/>
          <w:lang w:eastAsia="zh-TW"/>
        </w:rPr>
        <w:t>المباشرة</w:t>
      </w:r>
      <w:r w:rsidR="004A5905" w:rsidRPr="004A5905">
        <w:rPr>
          <w:rtl/>
          <w:lang w:eastAsia="zh-TW"/>
        </w:rPr>
        <w:t xml:space="preserve">"، وترى أن الغموض يكتنف معنى هذه العبارات، وأن من المناسب، بالتالي، اللجوء إلى </w:t>
      </w:r>
      <w:r w:rsidR="004A5905" w:rsidRPr="00A0687B">
        <w:rPr>
          <w:i/>
          <w:iCs/>
          <w:rtl/>
          <w:lang w:eastAsia="zh-TW"/>
        </w:rPr>
        <w:t>الأعمال التحضيرية</w:t>
      </w:r>
      <w:r w:rsidR="004A5905" w:rsidRPr="004A5905">
        <w:rPr>
          <w:rtl/>
          <w:lang w:eastAsia="zh-TW"/>
        </w:rPr>
        <w:t xml:space="preserve"> لفهم معناها. وترى الدولة الطرف أن الإشارة إلى "الحقوق السياسية"، التي وردت في المادة 29 من الاتفاقية، لا تشمل ولا تضمن جميع حقوق الإنسان التي توصف بصف</w:t>
      </w:r>
      <w:r w:rsidR="004A5905" w:rsidRPr="004A5905">
        <w:rPr>
          <w:rFonts w:hint="eastAsia"/>
          <w:rtl/>
          <w:lang w:eastAsia="zh-TW"/>
        </w:rPr>
        <w:t>ة</w:t>
      </w:r>
      <w:r w:rsidR="004A5905" w:rsidRPr="004A5905">
        <w:rPr>
          <w:rtl/>
          <w:lang w:eastAsia="zh-TW"/>
        </w:rPr>
        <w:t xml:space="preserve"> أعم بأنها حقوق سياسية في القانون الدولي لحقوق الإنسان، وتؤكد أن أداء واجب المحلف لا يمثل وجها من وجوه "تسيير الشؤون العامة" بالمعنى المقصود في المادة 29</w:t>
      </w:r>
      <w:r w:rsidR="00954533">
        <w:rPr>
          <w:rFonts w:hint="cs"/>
          <w:rtl/>
          <w:lang w:eastAsia="zh-TW"/>
        </w:rPr>
        <w:t xml:space="preserve">. </w:t>
      </w:r>
    </w:p>
    <w:p w:rsidR="004A5905" w:rsidRPr="004A5905" w:rsidRDefault="000178AE" w:rsidP="004A5905">
      <w:pPr>
        <w:pStyle w:val="SingleTxtGA"/>
        <w:rPr>
          <w:rtl/>
          <w:lang w:eastAsia="zh-TW"/>
        </w:rPr>
      </w:pPr>
      <w:r>
        <w:rPr>
          <w:rFonts w:hint="cs"/>
          <w:rtl/>
          <w:lang w:eastAsia="zh-TW"/>
        </w:rPr>
        <w:t>6-2</w:t>
      </w:r>
      <w:r>
        <w:rPr>
          <w:rtl/>
          <w:lang w:eastAsia="zh-TW"/>
        </w:rPr>
        <w:tab/>
      </w:r>
      <w:r w:rsidR="004A5905" w:rsidRPr="004A5905">
        <w:rPr>
          <w:rtl/>
          <w:lang w:eastAsia="zh-TW"/>
        </w:rPr>
        <w:t xml:space="preserve">وتدعي الدولة الطرف </w:t>
      </w:r>
      <w:r w:rsidR="008B5358">
        <w:rPr>
          <w:rtl/>
          <w:lang w:eastAsia="zh-TW"/>
        </w:rPr>
        <w:t>أيضاً</w:t>
      </w:r>
      <w:r w:rsidR="004A5905" w:rsidRPr="004A5905">
        <w:rPr>
          <w:rtl/>
          <w:lang w:eastAsia="zh-TW"/>
        </w:rPr>
        <w:t xml:space="preserve"> أن التدابير التي اعتمدتها ولاية نيو ساوث ويلز "مناسبة" وتمثل "</w:t>
      </w:r>
      <w:proofErr w:type="spellStart"/>
      <w:r w:rsidR="004A5905" w:rsidRPr="004A5905">
        <w:rPr>
          <w:rtl/>
          <w:lang w:eastAsia="zh-TW"/>
        </w:rPr>
        <w:t>تيسيرات</w:t>
      </w:r>
      <w:proofErr w:type="spellEnd"/>
      <w:r w:rsidR="004A5905" w:rsidRPr="004A5905">
        <w:rPr>
          <w:rtl/>
          <w:lang w:eastAsia="zh-TW"/>
        </w:rPr>
        <w:t xml:space="preserve"> إجرائية تتناسب مع أعمارهم"، وأنها تمتثل، بالتالي للمواد 12 و21، و13 من الاتفاقية. وتشير كذلك إلى أن الاستعانة كتبة بالاختزال يؤثر على المحاكمات من حيث تعقيدها وتكاليفها ومدتها، وله بالتالي، عواقب على الموارد، كما ورد في رد حكومة نيو ساوث ويلز على تقرير لجنة إصلاح القوانين في عام 2010.</w:t>
      </w:r>
      <w:r w:rsidR="00954533">
        <w:rPr>
          <w:rFonts w:hint="cs"/>
          <w:rtl/>
          <w:lang w:eastAsia="zh-TW"/>
        </w:rPr>
        <w:t xml:space="preserve"> </w:t>
      </w:r>
    </w:p>
    <w:p w:rsidR="004A5905" w:rsidRPr="004A5905" w:rsidRDefault="000178AE" w:rsidP="000178AE">
      <w:pPr>
        <w:pStyle w:val="H1GA"/>
        <w:rPr>
          <w:rtl/>
          <w:lang w:eastAsia="zh-TW"/>
        </w:rPr>
      </w:pPr>
      <w:r>
        <w:rPr>
          <w:rFonts w:cs="Times New Roman"/>
          <w:rtl/>
          <w:lang w:eastAsia="zh-TW"/>
        </w:rPr>
        <w:lastRenderedPageBreak/>
        <w:tab/>
      </w:r>
      <w:dir w:val="rtl">
        <w:r w:rsidR="004A5905" w:rsidRPr="004A5905">
          <w:rPr>
            <w:rFonts w:ascii="Traditional Arabic" w:hAnsi="Traditional Arabic" w:hint="cs"/>
            <w:rtl/>
            <w:lang w:eastAsia="zh-TW"/>
          </w:rPr>
          <w:t>باء</w:t>
        </w:r>
        <w:r w:rsidR="004A5905" w:rsidRPr="004A5905">
          <w:rPr>
            <w:rtl/>
            <w:lang w:eastAsia="zh-TW"/>
          </w:rPr>
          <w:t>-</w:t>
        </w:r>
        <w:r>
          <w:rPr>
            <w:rFonts w:hint="cs"/>
            <w:rtl/>
            <w:lang w:eastAsia="zh-TW"/>
          </w:rPr>
          <w:tab/>
        </w:r>
        <w:r w:rsidR="004A5905" w:rsidRPr="004A5905">
          <w:rPr>
            <w:rFonts w:ascii="Traditional Arabic" w:hAnsi="Traditional Arabic" w:hint="cs"/>
            <w:rtl/>
            <w:lang w:eastAsia="zh-TW"/>
          </w:rPr>
          <w:t>نظر</w:t>
        </w:r>
        <w:r w:rsidR="004A5905" w:rsidRPr="004A5905">
          <w:rPr>
            <w:rtl/>
            <w:lang w:eastAsia="zh-TW"/>
          </w:rPr>
          <w:t xml:space="preserve"> </w:t>
        </w:r>
        <w:r w:rsidR="004A5905" w:rsidRPr="004A5905">
          <w:rPr>
            <w:rFonts w:ascii="Traditional Arabic" w:hAnsi="Traditional Arabic" w:hint="cs"/>
            <w:rtl/>
            <w:lang w:eastAsia="zh-TW"/>
          </w:rPr>
          <w:t>اللجنة</w:t>
        </w:r>
        <w:r w:rsidR="004A5905" w:rsidRPr="004A5905">
          <w:rPr>
            <w:rtl/>
            <w:lang w:eastAsia="zh-TW"/>
          </w:rPr>
          <w:t xml:space="preserve"> </w:t>
        </w:r>
        <w:r w:rsidR="004A5905" w:rsidRPr="004A5905">
          <w:rPr>
            <w:rFonts w:ascii="Traditional Arabic" w:hAnsi="Traditional Arabic" w:hint="cs"/>
            <w:rtl/>
            <w:lang w:eastAsia="zh-TW"/>
          </w:rPr>
          <w:t>في</w:t>
        </w:r>
        <w:r w:rsidR="004A5905" w:rsidRPr="004A5905">
          <w:rPr>
            <w:rtl/>
            <w:lang w:eastAsia="zh-TW"/>
          </w:rPr>
          <w:t xml:space="preserve"> </w:t>
        </w:r>
        <w:r w:rsidR="004A5905" w:rsidRPr="004A5905">
          <w:rPr>
            <w:rFonts w:ascii="Traditional Arabic" w:hAnsi="Traditional Arabic" w:hint="cs"/>
            <w:rtl/>
            <w:lang w:eastAsia="zh-TW"/>
          </w:rPr>
          <w:t>المقبولية</w:t>
        </w:r>
        <w:r w:rsidR="004A5905" w:rsidRPr="004A5905">
          <w:rPr>
            <w:rtl/>
            <w:lang w:eastAsia="zh-TW"/>
          </w:rPr>
          <w:t xml:space="preserve"> </w:t>
        </w:r>
        <w:r w:rsidR="004A5905" w:rsidRPr="004A5905">
          <w:rPr>
            <w:rFonts w:ascii="Traditional Arabic" w:hAnsi="Traditional Arabic" w:hint="cs"/>
            <w:rtl/>
            <w:lang w:eastAsia="zh-TW"/>
          </w:rPr>
          <w:t>والأسس</w:t>
        </w:r>
        <w:r w:rsidR="004A5905" w:rsidRPr="004A5905">
          <w:rPr>
            <w:rtl/>
            <w:lang w:eastAsia="zh-TW"/>
          </w:rPr>
          <w:t xml:space="preserve"> </w:t>
        </w:r>
        <w:r w:rsidR="004A5905" w:rsidRPr="004A5905">
          <w:rPr>
            <w:rFonts w:ascii="Traditional Arabic" w:hAnsi="Traditional Arabic" w:hint="cs"/>
            <w:rtl/>
            <w:lang w:eastAsia="zh-TW"/>
          </w:rPr>
          <w:t>الموضوعية</w:t>
        </w:r>
        <w:r w:rsidR="004A5905" w:rsidRPr="004A5905">
          <w:rPr>
            <w:rFonts w:cs="Times New Roman" w:hint="cs"/>
            <w:rtl/>
            <w:lang w:eastAsia="zh-TW"/>
          </w:rPr>
          <w:t>‬</w:t>
        </w:r>
        <w:r w:rsidR="004A5905" w:rsidRPr="004A5905">
          <w:rPr>
            <w:rFonts w:cs="Times New Roman" w:hint="cs"/>
            <w:rtl/>
            <w:lang w:eastAsia="zh-TW"/>
          </w:rPr>
          <w:t>‬</w:t>
        </w:r>
        <w:r w:rsidR="004A5905" w:rsidRPr="004A5905">
          <w:rPr>
            <w:rFonts w:cs="Times New Roman" w:hint="cs"/>
            <w:rtl/>
            <w:lang w:eastAsia="zh-TW"/>
          </w:rPr>
          <w:t>‬</w:t>
        </w:r>
        <w:r w:rsidR="002809DC">
          <w:t>‬</w:t>
        </w:r>
        <w:r w:rsidR="00043E01">
          <w:t>‬</w:t>
        </w:r>
        <w:r w:rsidR="005E6E98">
          <w:t>‬</w:t>
        </w:r>
      </w:dir>
    </w:p>
    <w:p w:rsidR="004A5905" w:rsidRPr="004A5905" w:rsidRDefault="004A5905" w:rsidP="000178AE">
      <w:pPr>
        <w:pStyle w:val="H23GA"/>
        <w:rPr>
          <w:rtl/>
        </w:rPr>
      </w:pPr>
      <w:r w:rsidRPr="004A5905">
        <w:rPr>
          <w:rtl/>
        </w:rPr>
        <w:tab/>
      </w:r>
      <w:r w:rsidRPr="004A5905">
        <w:rPr>
          <w:rtl/>
        </w:rPr>
        <w:tab/>
        <w:t>النظر في المقبولية</w:t>
      </w:r>
    </w:p>
    <w:p w:rsidR="004A5905" w:rsidRPr="004A5905" w:rsidRDefault="000178AE" w:rsidP="000178AE">
      <w:pPr>
        <w:pStyle w:val="SingleTxtGA"/>
        <w:rPr>
          <w:rtl/>
          <w:lang w:eastAsia="zh-TW"/>
        </w:rPr>
      </w:pPr>
      <w:r>
        <w:rPr>
          <w:rFonts w:hint="cs"/>
          <w:rtl/>
          <w:lang w:eastAsia="zh-TW"/>
        </w:rPr>
        <w:t>7-1</w:t>
      </w:r>
      <w:r>
        <w:rPr>
          <w:rtl/>
          <w:lang w:eastAsia="zh-TW"/>
        </w:rPr>
        <w:tab/>
      </w:r>
      <w:r w:rsidR="004A5905" w:rsidRPr="004A5905">
        <w:rPr>
          <w:rtl/>
          <w:lang w:eastAsia="zh-TW"/>
        </w:rPr>
        <w:t xml:space="preserve">قبل النظر في أي ادعاء يرد في بلاغ ما، يتعين على اللجنة، </w:t>
      </w:r>
      <w:r w:rsidR="008B5358">
        <w:rPr>
          <w:rtl/>
          <w:lang w:eastAsia="zh-TW"/>
        </w:rPr>
        <w:t>وفقاً</w:t>
      </w:r>
      <w:r w:rsidR="004A5905" w:rsidRPr="004A5905">
        <w:rPr>
          <w:rtl/>
          <w:lang w:eastAsia="zh-TW"/>
        </w:rPr>
        <w:t xml:space="preserve"> للمادة 2 من البروتوكول الاختياري والمادة 65 من نظامها الداخلي، أن تقرر م</w:t>
      </w:r>
      <w:r>
        <w:rPr>
          <w:rtl/>
          <w:lang w:eastAsia="zh-TW"/>
        </w:rPr>
        <w:t>ا إذا كان الادعاء مقبولاً أم لا</w:t>
      </w:r>
      <w:r>
        <w:rPr>
          <w:rFonts w:hint="cs"/>
          <w:rtl/>
          <w:lang w:eastAsia="zh-TW"/>
        </w:rPr>
        <w:t> </w:t>
      </w:r>
      <w:r w:rsidR="004A5905" w:rsidRPr="004A5905">
        <w:rPr>
          <w:rtl/>
          <w:lang w:eastAsia="zh-TW"/>
        </w:rPr>
        <w:t>بموجب أحكام البروتوكول الاختياري.</w:t>
      </w:r>
      <w:r>
        <w:rPr>
          <w:rFonts w:hint="cs"/>
          <w:rtl/>
          <w:lang w:eastAsia="zh-TW"/>
        </w:rPr>
        <w:t xml:space="preserve"> </w:t>
      </w:r>
    </w:p>
    <w:p w:rsidR="004A5905" w:rsidRPr="004A5905" w:rsidRDefault="000178AE" w:rsidP="004A5905">
      <w:pPr>
        <w:pStyle w:val="SingleTxtGA"/>
        <w:rPr>
          <w:rtl/>
          <w:lang w:eastAsia="zh-TW"/>
        </w:rPr>
      </w:pPr>
      <w:r>
        <w:rPr>
          <w:rFonts w:hint="cs"/>
          <w:rtl/>
          <w:lang w:eastAsia="zh-TW"/>
        </w:rPr>
        <w:t>7-2</w:t>
      </w:r>
      <w:r>
        <w:rPr>
          <w:rtl/>
          <w:lang w:eastAsia="zh-TW"/>
        </w:rPr>
        <w:tab/>
      </w:r>
      <w:r w:rsidR="004A5905" w:rsidRPr="004A5905">
        <w:rPr>
          <w:rtl/>
          <w:lang w:eastAsia="zh-TW"/>
        </w:rPr>
        <w:t xml:space="preserve">وقد تحققت اللجنة، </w:t>
      </w:r>
      <w:r w:rsidR="008B5358">
        <w:rPr>
          <w:rtl/>
          <w:lang w:eastAsia="zh-TW"/>
        </w:rPr>
        <w:t>وفقاً</w:t>
      </w:r>
      <w:r w:rsidR="004A5905" w:rsidRPr="004A5905">
        <w:rPr>
          <w:rtl/>
          <w:lang w:eastAsia="zh-TW"/>
        </w:rPr>
        <w:t xml:space="preserve"> لما تقتضيه الفقرة (ج) من المادة 2 من البروتوكول الاختياري، من أن المسألة نفسها لم يسبق أن نظرت فيها اللجنة أو كانت، أو ما زالت، محل دراسة بمقتضى إجراء آخر من إجراءات التحقيق الدولي أو التسوية الدولية. </w:t>
      </w:r>
      <w:r w:rsidR="004A5905" w:rsidRPr="004A5905">
        <w:rPr>
          <w:rFonts w:cs="Times New Roman" w:hint="cs"/>
          <w:rtl/>
          <w:lang w:eastAsia="zh-TW"/>
        </w:rPr>
        <w:t>‬</w:t>
      </w:r>
    </w:p>
    <w:p w:rsidR="004A5905" w:rsidRPr="004A5905" w:rsidRDefault="000178AE" w:rsidP="004A5905">
      <w:pPr>
        <w:pStyle w:val="SingleTxtGA"/>
        <w:rPr>
          <w:rtl/>
          <w:lang w:eastAsia="zh-TW"/>
        </w:rPr>
      </w:pPr>
      <w:r>
        <w:rPr>
          <w:rFonts w:hint="cs"/>
          <w:rtl/>
          <w:lang w:eastAsia="zh-TW"/>
        </w:rPr>
        <w:t>7-3</w:t>
      </w:r>
      <w:r>
        <w:rPr>
          <w:rtl/>
          <w:lang w:eastAsia="zh-TW"/>
        </w:rPr>
        <w:tab/>
      </w:r>
      <w:r w:rsidR="004A5905" w:rsidRPr="004A5905">
        <w:rPr>
          <w:rtl/>
          <w:lang w:eastAsia="zh-TW"/>
        </w:rPr>
        <w:t xml:space="preserve">وتحيط اللجنة </w:t>
      </w:r>
      <w:r w:rsidR="008B5358">
        <w:rPr>
          <w:rtl/>
          <w:lang w:eastAsia="zh-TW"/>
        </w:rPr>
        <w:t>علماً</w:t>
      </w:r>
      <w:r w:rsidR="004A5905" w:rsidRPr="004A5905">
        <w:rPr>
          <w:rtl/>
          <w:lang w:eastAsia="zh-TW"/>
        </w:rPr>
        <w:t xml:space="preserve"> بالحجة التي دفعت بها الدولة الطرف ومفادها أن صاحب البلاغ لم يستنفد جميع سبل الانتصاف المحلية المتاحة باعتبار أن من حقه تقديم التماس بموجب قانون مكافحة التمييز على أساس الإعاقة أو قانون مكافحة التمييز إلى المحكمة الاتحادية لأستراليا أو المحكمة الابتدائية الاتحادية في غضون 60 يوما</w:t>
      </w:r>
      <w:r>
        <w:rPr>
          <w:rFonts w:hint="cs"/>
          <w:rtl/>
          <w:lang w:eastAsia="zh-TW"/>
        </w:rPr>
        <w:t>ً</w:t>
      </w:r>
      <w:r w:rsidR="004A5905" w:rsidRPr="004A5905">
        <w:rPr>
          <w:rtl/>
          <w:lang w:eastAsia="zh-TW"/>
        </w:rPr>
        <w:t xml:space="preserve"> من إتمام إجراءات الشكوى أمام اللجنة الأسترالية لحقوق الإنسان. وتحيط اللجنة </w:t>
      </w:r>
      <w:r w:rsidR="008B5358">
        <w:rPr>
          <w:rtl/>
          <w:lang w:eastAsia="zh-TW"/>
        </w:rPr>
        <w:t>علماً</w:t>
      </w:r>
      <w:r w:rsidR="004A5905" w:rsidRPr="004A5905">
        <w:rPr>
          <w:rtl/>
          <w:lang w:eastAsia="zh-TW"/>
        </w:rPr>
        <w:t xml:space="preserve"> </w:t>
      </w:r>
      <w:r w:rsidR="008B5358">
        <w:rPr>
          <w:rtl/>
          <w:lang w:eastAsia="zh-TW"/>
        </w:rPr>
        <w:t>أيضاً</w:t>
      </w:r>
      <w:r w:rsidR="004A5905" w:rsidRPr="004A5905">
        <w:rPr>
          <w:rtl/>
          <w:lang w:eastAsia="zh-TW"/>
        </w:rPr>
        <w:t xml:space="preserve"> بتأكيد الدولة الطرف أن رسوم إيداع هذا الالتماس تبلغ 55 دولارا</w:t>
      </w:r>
      <w:r>
        <w:rPr>
          <w:rFonts w:hint="cs"/>
          <w:rtl/>
          <w:lang w:eastAsia="zh-TW"/>
        </w:rPr>
        <w:t>ً</w:t>
      </w:r>
      <w:r w:rsidR="004A5905" w:rsidRPr="004A5905">
        <w:rPr>
          <w:rtl/>
          <w:lang w:eastAsia="zh-TW"/>
        </w:rPr>
        <w:t xml:space="preserve"> أستراليا</w:t>
      </w:r>
      <w:r>
        <w:rPr>
          <w:rFonts w:hint="cs"/>
          <w:rtl/>
          <w:lang w:eastAsia="zh-TW"/>
        </w:rPr>
        <w:t>ً</w:t>
      </w:r>
      <w:r w:rsidR="004A5905" w:rsidRPr="004A5905">
        <w:rPr>
          <w:rtl/>
          <w:lang w:eastAsia="zh-TW"/>
        </w:rPr>
        <w:t xml:space="preserve"> وأن المحكمة الابتدائية الاتحادية يمكن أن تحدد </w:t>
      </w:r>
      <w:r w:rsidR="008B5358">
        <w:rPr>
          <w:rtl/>
          <w:lang w:eastAsia="zh-TW"/>
        </w:rPr>
        <w:t>أيضاً</w:t>
      </w:r>
      <w:r w:rsidR="004A5905" w:rsidRPr="004A5905">
        <w:rPr>
          <w:rtl/>
          <w:lang w:eastAsia="zh-TW"/>
        </w:rPr>
        <w:t xml:space="preserve"> الح</w:t>
      </w:r>
      <w:r w:rsidR="004A5905" w:rsidRPr="004A5905">
        <w:rPr>
          <w:rFonts w:hint="eastAsia"/>
          <w:rtl/>
          <w:lang w:eastAsia="zh-TW"/>
        </w:rPr>
        <w:t>د</w:t>
      </w:r>
      <w:r w:rsidR="004A5905" w:rsidRPr="004A5905">
        <w:rPr>
          <w:rtl/>
          <w:lang w:eastAsia="zh-TW"/>
        </w:rPr>
        <w:t xml:space="preserve"> الأقصى للتكاليف التي يمكن استردادها. وتحيط اللجنة </w:t>
      </w:r>
      <w:r w:rsidR="008B5358">
        <w:rPr>
          <w:rtl/>
          <w:lang w:eastAsia="zh-TW"/>
        </w:rPr>
        <w:t>علماً</w:t>
      </w:r>
      <w:r w:rsidR="004A5905" w:rsidRPr="004A5905">
        <w:rPr>
          <w:rtl/>
          <w:lang w:eastAsia="zh-TW"/>
        </w:rPr>
        <w:t xml:space="preserve"> بالحجج التي دفع بها صاحب البلاغ ومفادها أن رفع شكوى إلى المحكمة لا يمكن أن يوفر، في حالته، وسيلة انتصاف متاحة بصورة فعالة ومعقولة استنادا</w:t>
      </w:r>
      <w:r w:rsidR="00BF76F7">
        <w:rPr>
          <w:rFonts w:hint="cs"/>
          <w:rtl/>
          <w:lang w:eastAsia="zh-TW"/>
        </w:rPr>
        <w:t>ً إلى</w:t>
      </w:r>
      <w:r w:rsidR="004A5905" w:rsidRPr="004A5905">
        <w:rPr>
          <w:rtl/>
          <w:lang w:eastAsia="zh-TW"/>
        </w:rPr>
        <w:t xml:space="preserve"> قانون مكافحة التمييز على أساس الإعاقة أو قانون مكافحة التمييز نظرا للأسباب التالية: (أ) حظر قانون مكافحة التمييز على أساس الإعاقة ممارسة التمييز على أساس الإعاقة في مجالات محددة من مجالات الحياة العامة لا تنطبق على حالته؛ (ب) ورود أحكام في قانون مكافحة التمييز تحظر التمييز على أساس الإعاقة في مجالات محددة من مجالات </w:t>
      </w:r>
      <w:r w:rsidR="004A5905" w:rsidRPr="004A5905">
        <w:rPr>
          <w:rFonts w:hint="eastAsia"/>
          <w:rtl/>
          <w:lang w:eastAsia="zh-TW"/>
        </w:rPr>
        <w:t>الحياة</w:t>
      </w:r>
      <w:r w:rsidR="004A5905" w:rsidRPr="004A5905">
        <w:rPr>
          <w:rtl/>
          <w:lang w:eastAsia="zh-TW"/>
        </w:rPr>
        <w:t xml:space="preserve"> العامة لا تشمل مسألة أداء واجب المحلف. وتحيط اللجنة </w:t>
      </w:r>
      <w:r w:rsidR="008B5358">
        <w:rPr>
          <w:rtl/>
          <w:lang w:eastAsia="zh-TW"/>
        </w:rPr>
        <w:t>علماً</w:t>
      </w:r>
      <w:r w:rsidR="004A5905" w:rsidRPr="004A5905">
        <w:rPr>
          <w:rtl/>
          <w:lang w:eastAsia="zh-TW"/>
        </w:rPr>
        <w:t xml:space="preserve"> كذلك بحجة صاحب البلاغ التي تفيد بأنه لم يكن ليوفق </w:t>
      </w:r>
      <w:r w:rsidR="008B5358">
        <w:rPr>
          <w:rtl/>
          <w:lang w:eastAsia="zh-TW"/>
        </w:rPr>
        <w:t>أيضاً</w:t>
      </w:r>
      <w:r w:rsidR="004A5905" w:rsidRPr="004A5905">
        <w:rPr>
          <w:rtl/>
          <w:lang w:eastAsia="zh-TW"/>
        </w:rPr>
        <w:t>، في ضوء التشريعات الوطنية والسوابق القضائية المتعلقة بالتمييز، في أي محاولة لإقامة دعوى أمام المحاكم، بموجب قانون مكافحة التمييز على أساس الإعاقة أو قانون مكافحة التمييز، بشأن ال</w:t>
      </w:r>
      <w:r w:rsidR="007A4F0B">
        <w:rPr>
          <w:rtl/>
          <w:lang w:eastAsia="zh-TW"/>
        </w:rPr>
        <w:t>انتهاكات التي يدعي ارتكابها، ما</w:t>
      </w:r>
      <w:r w:rsidR="007A4F0B">
        <w:rPr>
          <w:rFonts w:hint="cs"/>
          <w:rtl/>
          <w:lang w:eastAsia="zh-TW"/>
        </w:rPr>
        <w:t> </w:t>
      </w:r>
      <w:r w:rsidR="004A5905" w:rsidRPr="004A5905">
        <w:rPr>
          <w:rtl/>
          <w:lang w:eastAsia="zh-TW"/>
        </w:rPr>
        <w:t>يجعل إمكانية صدور أمر عن المحكمة الاتحادية يقضي بحصوله على الحد الأقصى من التكاليف أمرا</w:t>
      </w:r>
      <w:r w:rsidR="007A4F0B">
        <w:rPr>
          <w:rFonts w:hint="cs"/>
          <w:rtl/>
          <w:lang w:eastAsia="zh-TW"/>
        </w:rPr>
        <w:t>ً</w:t>
      </w:r>
      <w:r w:rsidR="004A5905" w:rsidRPr="004A5905">
        <w:rPr>
          <w:rtl/>
          <w:lang w:eastAsia="zh-TW"/>
        </w:rPr>
        <w:t xml:space="preserve"> مستبعدا</w:t>
      </w:r>
      <w:r w:rsidR="007A4F0B">
        <w:rPr>
          <w:rFonts w:hint="cs"/>
          <w:rtl/>
          <w:lang w:eastAsia="zh-TW"/>
        </w:rPr>
        <w:t>ً</w:t>
      </w:r>
      <w:r w:rsidR="004A5905" w:rsidRPr="004A5905">
        <w:rPr>
          <w:rtl/>
          <w:lang w:eastAsia="zh-TW"/>
        </w:rPr>
        <w:t xml:space="preserve"> لأنه لا توجد فرص معقولة لكسب الدعوى. </w:t>
      </w:r>
    </w:p>
    <w:p w:rsidR="004A5905" w:rsidRPr="004A5905" w:rsidRDefault="00363DBE" w:rsidP="00363DBE">
      <w:pPr>
        <w:pStyle w:val="SingleTxtGA"/>
        <w:rPr>
          <w:rtl/>
          <w:lang w:eastAsia="zh-TW"/>
        </w:rPr>
      </w:pPr>
      <w:r>
        <w:rPr>
          <w:rFonts w:hint="cs"/>
          <w:rtl/>
          <w:lang w:eastAsia="zh-TW"/>
        </w:rPr>
        <w:t>7-4</w:t>
      </w:r>
      <w:r>
        <w:rPr>
          <w:rtl/>
          <w:lang w:eastAsia="zh-TW"/>
        </w:rPr>
        <w:tab/>
      </w:r>
      <w:r w:rsidR="004A5905" w:rsidRPr="004A5905">
        <w:rPr>
          <w:rtl/>
          <w:lang w:eastAsia="zh-TW"/>
        </w:rPr>
        <w:t>وفي ضوء ما تقدم، ترى اللجنة أن المعلومات المقدمة من الطرفين لا تمكنها من الخروج باستنتاج مفاده أنه كان هناك احتمال معقول لكي تقبل شكوى صاحب البلاغ بموجب قانون مكافحة التمييز أو قانون مكافحة التمييز على أساس الإعاقة، ويحصل على سبيل انتصاف فعال</w:t>
      </w:r>
      <w:r w:rsidR="007A4F0B">
        <w:rPr>
          <w:vertAlign w:val="superscript"/>
          <w:rtl/>
          <w:lang w:eastAsia="zh-TW"/>
        </w:rPr>
        <w:t>(</w:t>
      </w:r>
      <w:r w:rsidR="007A4F0B">
        <w:rPr>
          <w:rStyle w:val="FootnoteReference"/>
          <w:rtl/>
          <w:lang w:eastAsia="zh-TW"/>
        </w:rPr>
        <w:footnoteReference w:id="40"/>
      </w:r>
      <w:r w:rsidR="007A4F0B">
        <w:rPr>
          <w:vertAlign w:val="superscript"/>
          <w:rtl/>
          <w:lang w:eastAsia="zh-TW"/>
        </w:rPr>
        <w:t>)</w:t>
      </w:r>
      <w:r w:rsidR="004A5905" w:rsidRPr="004A5905">
        <w:rPr>
          <w:rtl/>
          <w:lang w:eastAsia="zh-TW"/>
        </w:rPr>
        <w:t>.</w:t>
      </w:r>
      <w:r w:rsidR="006B0B45">
        <w:rPr>
          <w:rtl/>
          <w:lang w:eastAsia="zh-TW"/>
        </w:rPr>
        <w:t xml:space="preserve"> </w:t>
      </w:r>
      <w:r w:rsidR="004A5905" w:rsidRPr="004A5905">
        <w:rPr>
          <w:rtl/>
          <w:lang w:eastAsia="zh-TW"/>
        </w:rPr>
        <w:t>وبال</w:t>
      </w:r>
      <w:r w:rsidR="004A5905" w:rsidRPr="004A5905">
        <w:rPr>
          <w:rFonts w:hint="eastAsia"/>
          <w:rtl/>
          <w:lang w:eastAsia="zh-TW"/>
        </w:rPr>
        <w:t>نظر</w:t>
      </w:r>
      <w:r w:rsidR="004A5905" w:rsidRPr="004A5905">
        <w:rPr>
          <w:rtl/>
          <w:lang w:eastAsia="zh-TW"/>
        </w:rPr>
        <w:t xml:space="preserve"> إلى طبيعة المطالبات قيد النظر، وفي ضوء المعلومات المقدمة من الأطراف، </w:t>
      </w:r>
      <w:r w:rsidR="004A5905" w:rsidRPr="004A5905">
        <w:rPr>
          <w:rtl/>
          <w:lang w:eastAsia="zh-TW"/>
        </w:rPr>
        <w:lastRenderedPageBreak/>
        <w:t xml:space="preserve">ترى اللجنة أن صاحب البلاغ قد استنفد جميع سبل الانتصاف المحلية المتاحة التي يرجح أن </w:t>
      </w:r>
      <w:r>
        <w:rPr>
          <w:rtl/>
          <w:lang w:eastAsia="zh-TW"/>
        </w:rPr>
        <w:t>تحقق إنصافا</w:t>
      </w:r>
      <w:r>
        <w:rPr>
          <w:rFonts w:hint="cs"/>
          <w:rtl/>
          <w:lang w:eastAsia="zh-TW"/>
        </w:rPr>
        <w:t>ً</w:t>
      </w:r>
      <w:r>
        <w:rPr>
          <w:rtl/>
          <w:lang w:eastAsia="zh-TW"/>
        </w:rPr>
        <w:t xml:space="preserve"> فعليا</w:t>
      </w:r>
      <w:r>
        <w:rPr>
          <w:rFonts w:hint="cs"/>
          <w:rtl/>
          <w:lang w:eastAsia="zh-TW"/>
        </w:rPr>
        <w:t>ً</w:t>
      </w:r>
      <w:r>
        <w:rPr>
          <w:rtl/>
          <w:lang w:eastAsia="zh-TW"/>
        </w:rPr>
        <w:t>، وأن المادة 2</w:t>
      </w:r>
      <w:r w:rsidR="004A5905" w:rsidRPr="004A5905">
        <w:rPr>
          <w:rtl/>
          <w:lang w:eastAsia="zh-TW"/>
        </w:rPr>
        <w:t>(د) من البروتوكول الاختياري لا تحول دون قبول هذا البلاغ</w:t>
      </w:r>
      <w:r w:rsidR="007A4F0B">
        <w:rPr>
          <w:vertAlign w:val="superscript"/>
          <w:rtl/>
          <w:lang w:eastAsia="zh-TW"/>
        </w:rPr>
        <w:t>(</w:t>
      </w:r>
      <w:r w:rsidR="007A4F0B">
        <w:rPr>
          <w:rStyle w:val="FootnoteReference"/>
          <w:rtl/>
          <w:lang w:eastAsia="zh-TW"/>
        </w:rPr>
        <w:footnoteReference w:id="41"/>
      </w:r>
      <w:r w:rsidR="007A4F0B">
        <w:rPr>
          <w:vertAlign w:val="superscript"/>
          <w:rtl/>
          <w:lang w:eastAsia="zh-TW"/>
        </w:rPr>
        <w:t>)</w:t>
      </w:r>
      <w:r w:rsidR="004A5905" w:rsidRPr="004A5905">
        <w:rPr>
          <w:rtl/>
          <w:lang w:eastAsia="zh-TW"/>
        </w:rPr>
        <w:t xml:space="preserve">. </w:t>
      </w:r>
    </w:p>
    <w:p w:rsidR="004A5905" w:rsidRPr="004A5905" w:rsidRDefault="00363DBE" w:rsidP="004A5905">
      <w:pPr>
        <w:pStyle w:val="SingleTxtGA"/>
        <w:rPr>
          <w:rtl/>
          <w:lang w:eastAsia="zh-TW"/>
        </w:rPr>
      </w:pPr>
      <w:r>
        <w:rPr>
          <w:rFonts w:hint="cs"/>
          <w:rtl/>
          <w:lang w:eastAsia="zh-TW"/>
        </w:rPr>
        <w:t>7-5</w:t>
      </w:r>
      <w:r>
        <w:rPr>
          <w:rtl/>
          <w:lang w:eastAsia="zh-TW"/>
        </w:rPr>
        <w:tab/>
      </w:r>
      <w:r w:rsidR="004A5905" w:rsidRPr="004A5905">
        <w:rPr>
          <w:rtl/>
          <w:lang w:eastAsia="zh-TW"/>
        </w:rPr>
        <w:t xml:space="preserve">وتحيط اللجنة </w:t>
      </w:r>
      <w:r w:rsidR="008B5358">
        <w:rPr>
          <w:rtl/>
          <w:lang w:eastAsia="zh-TW"/>
        </w:rPr>
        <w:t>علماً</w:t>
      </w:r>
      <w:r w:rsidR="004A5905" w:rsidRPr="004A5905">
        <w:rPr>
          <w:rtl/>
          <w:lang w:eastAsia="zh-TW"/>
        </w:rPr>
        <w:t xml:space="preserve"> كذلك، بتأكيد الدولة الطرف عدم مقبولية ادعاءات صاحب البلاغ بموجب المواد 2 و4 و5 و9 من الاتفاقية لعدم دعمها بالأدلة. وفيما يتعلق بادعاءات صاحب البلاغ بموجب المادتين 2 و4، تذكر اللجنة بأن هاتين المادتين لا توفران، من حيث المبدأ، الحق في </w:t>
      </w:r>
      <w:r w:rsidR="004A5905" w:rsidRPr="004A5905">
        <w:rPr>
          <w:rFonts w:hint="eastAsia"/>
          <w:rtl/>
          <w:lang w:eastAsia="zh-TW"/>
        </w:rPr>
        <w:t>تقديم</w:t>
      </w:r>
      <w:r w:rsidR="004A5905" w:rsidRPr="004A5905">
        <w:rPr>
          <w:rtl/>
          <w:lang w:eastAsia="zh-TW"/>
        </w:rPr>
        <w:t xml:space="preserve"> ادعاءات مستقلة بموجب الاتفاقية نظراً لطابعهما العام، ولذلك لا يمكن التذرع بهما في إطار بلاغات فردية بموجب البروتوكول الاختياري إلا بالاقتران مع حقوق موضوعية أخرى مكفولة بموجب الاتفاقية</w:t>
      </w:r>
      <w:r w:rsidR="007A4F0B">
        <w:rPr>
          <w:vertAlign w:val="superscript"/>
          <w:rtl/>
          <w:lang w:eastAsia="zh-TW"/>
        </w:rPr>
        <w:t>(</w:t>
      </w:r>
      <w:r w:rsidR="007A4F0B">
        <w:rPr>
          <w:rStyle w:val="FootnoteReference"/>
          <w:rtl/>
          <w:lang w:eastAsia="zh-TW"/>
        </w:rPr>
        <w:footnoteReference w:id="42"/>
      </w:r>
      <w:r w:rsidR="007A4F0B">
        <w:rPr>
          <w:vertAlign w:val="superscript"/>
          <w:rtl/>
          <w:lang w:eastAsia="zh-TW"/>
        </w:rPr>
        <w:t>)</w:t>
      </w:r>
      <w:r w:rsidR="004A5905" w:rsidRPr="004A5905">
        <w:rPr>
          <w:rtl/>
          <w:lang w:eastAsia="zh-TW"/>
        </w:rPr>
        <w:t>.</w:t>
      </w:r>
      <w:r w:rsidR="006B0B45">
        <w:rPr>
          <w:rtl/>
          <w:lang w:eastAsia="zh-TW"/>
        </w:rPr>
        <w:t xml:space="preserve"> </w:t>
      </w:r>
      <w:r w:rsidR="004A5905" w:rsidRPr="004A5905">
        <w:rPr>
          <w:rtl/>
          <w:lang w:eastAsia="zh-TW"/>
        </w:rPr>
        <w:t>ولذلك، فإن اللجنة ترى أن ادعاءات صاحب البلاغ بموجب المادتين 2 و4 مقروءتين منف</w:t>
      </w:r>
      <w:r w:rsidR="006B0B45">
        <w:rPr>
          <w:rtl/>
          <w:lang w:eastAsia="zh-TW"/>
        </w:rPr>
        <w:t>ردتين غير مقبولة بموجب المادة 2</w:t>
      </w:r>
      <w:r w:rsidR="007A4F0B">
        <w:rPr>
          <w:rtl/>
          <w:lang w:eastAsia="zh-TW"/>
        </w:rPr>
        <w:t>(هـ) من البروتوكول الاختياري.</w:t>
      </w:r>
      <w:r w:rsidR="004A5905" w:rsidRPr="004A5905">
        <w:rPr>
          <w:rFonts w:cs="Times New Roman" w:hint="cs"/>
          <w:rtl/>
          <w:lang w:eastAsia="zh-TW"/>
        </w:rPr>
        <w:t>‬</w:t>
      </w:r>
      <w:r w:rsidR="004A5905" w:rsidRPr="004A5905">
        <w:rPr>
          <w:rtl/>
          <w:lang w:eastAsia="zh-TW"/>
        </w:rPr>
        <w:t xml:space="preserve"> </w:t>
      </w:r>
      <w:r w:rsidR="004A5905" w:rsidRPr="004A5905">
        <w:rPr>
          <w:rFonts w:ascii="Traditional Arabic" w:hAnsi="Traditional Arabic" w:hint="cs"/>
          <w:rtl/>
          <w:lang w:eastAsia="zh-TW"/>
        </w:rPr>
        <w:t>أما</w:t>
      </w:r>
      <w:r w:rsidR="004A5905" w:rsidRPr="004A5905">
        <w:rPr>
          <w:rtl/>
          <w:lang w:eastAsia="zh-TW"/>
        </w:rPr>
        <w:t xml:space="preserve"> </w:t>
      </w:r>
      <w:r w:rsidR="004A5905" w:rsidRPr="004A5905">
        <w:rPr>
          <w:rFonts w:ascii="Traditional Arabic" w:hAnsi="Traditional Arabic" w:hint="cs"/>
          <w:rtl/>
          <w:lang w:eastAsia="zh-TW"/>
        </w:rPr>
        <w:t>فيما</w:t>
      </w:r>
      <w:r w:rsidR="004A5905" w:rsidRPr="004A5905">
        <w:rPr>
          <w:rtl/>
          <w:lang w:eastAsia="zh-TW"/>
        </w:rPr>
        <w:t xml:space="preserve"> </w:t>
      </w:r>
      <w:r w:rsidR="004A5905" w:rsidRPr="004A5905">
        <w:rPr>
          <w:rFonts w:ascii="Traditional Arabic" w:hAnsi="Traditional Arabic" w:hint="cs"/>
          <w:rtl/>
          <w:lang w:eastAsia="zh-TW"/>
        </w:rPr>
        <w:t>يتعلق</w:t>
      </w:r>
      <w:r w:rsidR="004A5905" w:rsidRPr="004A5905">
        <w:rPr>
          <w:rtl/>
          <w:lang w:eastAsia="zh-TW"/>
        </w:rPr>
        <w:t xml:space="preserve"> </w:t>
      </w:r>
      <w:r w:rsidR="004A5905" w:rsidRPr="004A5905">
        <w:rPr>
          <w:rFonts w:ascii="Traditional Arabic" w:hAnsi="Traditional Arabic" w:hint="cs"/>
          <w:rtl/>
          <w:lang w:eastAsia="zh-TW"/>
        </w:rPr>
        <w:t>بادعاءات</w:t>
      </w:r>
      <w:r w:rsidR="004A5905" w:rsidRPr="004A5905">
        <w:rPr>
          <w:rtl/>
          <w:lang w:eastAsia="zh-TW"/>
        </w:rPr>
        <w:t xml:space="preserve"> </w:t>
      </w:r>
      <w:r w:rsidR="004A5905" w:rsidRPr="004A5905">
        <w:rPr>
          <w:rFonts w:ascii="Traditional Arabic" w:hAnsi="Traditional Arabic" w:hint="cs"/>
          <w:rtl/>
          <w:lang w:eastAsia="zh-TW"/>
        </w:rPr>
        <w:t>صاحب</w:t>
      </w:r>
      <w:r w:rsidR="004A5905" w:rsidRPr="004A5905">
        <w:rPr>
          <w:rtl/>
          <w:lang w:eastAsia="zh-TW"/>
        </w:rPr>
        <w:t xml:space="preserve"> </w:t>
      </w:r>
      <w:r w:rsidR="004A5905" w:rsidRPr="004A5905">
        <w:rPr>
          <w:rFonts w:ascii="Traditional Arabic" w:hAnsi="Traditional Arabic" w:hint="cs"/>
          <w:rtl/>
          <w:lang w:eastAsia="zh-TW"/>
        </w:rPr>
        <w:t>البلاغ</w:t>
      </w:r>
      <w:r w:rsidR="004A5905" w:rsidRPr="004A5905">
        <w:rPr>
          <w:rtl/>
          <w:lang w:eastAsia="zh-TW"/>
        </w:rPr>
        <w:t xml:space="preserve"> </w:t>
      </w:r>
      <w:r w:rsidR="004A5905" w:rsidRPr="004A5905">
        <w:rPr>
          <w:rFonts w:ascii="Traditional Arabic" w:hAnsi="Traditional Arabic" w:hint="cs"/>
          <w:rtl/>
          <w:lang w:eastAsia="zh-TW"/>
        </w:rPr>
        <w:t>بموجب</w:t>
      </w:r>
      <w:r w:rsidR="004A5905" w:rsidRPr="004A5905">
        <w:rPr>
          <w:rtl/>
          <w:lang w:eastAsia="zh-TW"/>
        </w:rPr>
        <w:t xml:space="preserve"> </w:t>
      </w:r>
      <w:r w:rsidR="004A5905" w:rsidRPr="004A5905">
        <w:rPr>
          <w:rFonts w:ascii="Traditional Arabic" w:hAnsi="Traditional Arabic" w:hint="cs"/>
          <w:rtl/>
          <w:lang w:eastAsia="zh-TW"/>
        </w:rPr>
        <w:t>المادتين</w:t>
      </w:r>
      <w:r w:rsidR="004A5905" w:rsidRPr="004A5905">
        <w:rPr>
          <w:rtl/>
          <w:lang w:eastAsia="zh-TW"/>
        </w:rPr>
        <w:t xml:space="preserve"> 5 </w:t>
      </w:r>
      <w:r w:rsidR="004A5905" w:rsidRPr="004A5905">
        <w:rPr>
          <w:rFonts w:ascii="Traditional Arabic" w:hAnsi="Traditional Arabic" w:hint="cs"/>
          <w:rtl/>
          <w:lang w:eastAsia="zh-TW"/>
        </w:rPr>
        <w:t>و</w:t>
      </w:r>
      <w:r w:rsidR="004A5905" w:rsidRPr="004A5905">
        <w:rPr>
          <w:rtl/>
          <w:lang w:eastAsia="zh-TW"/>
        </w:rPr>
        <w:t>9</w:t>
      </w:r>
      <w:r w:rsidR="004A5905" w:rsidRPr="004A5905">
        <w:rPr>
          <w:rFonts w:ascii="Traditional Arabic" w:hAnsi="Traditional Arabic" w:hint="cs"/>
          <w:rtl/>
          <w:lang w:eastAsia="zh-TW"/>
        </w:rPr>
        <w:t>،</w:t>
      </w:r>
      <w:r w:rsidR="004A5905" w:rsidRPr="004A5905">
        <w:rPr>
          <w:rtl/>
          <w:lang w:eastAsia="zh-TW"/>
        </w:rPr>
        <w:t xml:space="preserve"> </w:t>
      </w:r>
      <w:r w:rsidR="004A5905" w:rsidRPr="004A5905">
        <w:rPr>
          <w:rFonts w:ascii="Traditional Arabic" w:hAnsi="Traditional Arabic" w:hint="cs"/>
          <w:rtl/>
          <w:lang w:eastAsia="zh-TW"/>
        </w:rPr>
        <w:t>فإن</w:t>
      </w:r>
      <w:r w:rsidR="004A5905" w:rsidRPr="004A5905">
        <w:rPr>
          <w:rtl/>
          <w:lang w:eastAsia="zh-TW"/>
        </w:rPr>
        <w:t xml:space="preserve"> </w:t>
      </w:r>
      <w:r w:rsidR="004A5905" w:rsidRPr="004A5905">
        <w:rPr>
          <w:rFonts w:ascii="Traditional Arabic" w:hAnsi="Traditional Arabic" w:hint="cs"/>
          <w:rtl/>
          <w:lang w:eastAsia="zh-TW"/>
        </w:rPr>
        <w:t>اللجنة</w:t>
      </w:r>
      <w:r w:rsidR="004A5905" w:rsidRPr="004A5905">
        <w:rPr>
          <w:rtl/>
          <w:lang w:eastAsia="zh-TW"/>
        </w:rPr>
        <w:t xml:space="preserve"> </w:t>
      </w:r>
      <w:r w:rsidR="004A5905" w:rsidRPr="004A5905">
        <w:rPr>
          <w:rFonts w:ascii="Traditional Arabic" w:hAnsi="Traditional Arabic" w:hint="cs"/>
          <w:rtl/>
          <w:lang w:eastAsia="zh-TW"/>
        </w:rPr>
        <w:t>ترى</w:t>
      </w:r>
      <w:r w:rsidR="004A5905" w:rsidRPr="004A5905">
        <w:rPr>
          <w:rtl/>
          <w:lang w:eastAsia="zh-TW"/>
        </w:rPr>
        <w:t xml:space="preserve"> </w:t>
      </w:r>
      <w:r w:rsidR="004A5905" w:rsidRPr="004A5905">
        <w:rPr>
          <w:rFonts w:ascii="Traditional Arabic" w:hAnsi="Traditional Arabic" w:hint="cs"/>
          <w:rtl/>
          <w:lang w:eastAsia="zh-TW"/>
        </w:rPr>
        <w:t>أن</w:t>
      </w:r>
      <w:r w:rsidR="004A5905" w:rsidRPr="004A5905">
        <w:rPr>
          <w:rtl/>
          <w:lang w:eastAsia="zh-TW"/>
        </w:rPr>
        <w:t xml:space="preserve"> </w:t>
      </w:r>
      <w:r w:rsidR="004A5905" w:rsidRPr="004A5905">
        <w:rPr>
          <w:rFonts w:ascii="Traditional Arabic" w:hAnsi="Traditional Arabic" w:hint="cs"/>
          <w:rtl/>
          <w:lang w:eastAsia="zh-TW"/>
        </w:rPr>
        <w:t>هذه</w:t>
      </w:r>
      <w:r w:rsidR="004A5905" w:rsidRPr="004A5905">
        <w:rPr>
          <w:rtl/>
          <w:lang w:eastAsia="zh-TW"/>
        </w:rPr>
        <w:t xml:space="preserve"> </w:t>
      </w:r>
      <w:r w:rsidR="004A5905" w:rsidRPr="004A5905">
        <w:rPr>
          <w:rFonts w:ascii="Traditional Arabic" w:hAnsi="Traditional Arabic" w:hint="cs"/>
          <w:rtl/>
          <w:lang w:eastAsia="zh-TW"/>
        </w:rPr>
        <w:t>الادعاءات</w:t>
      </w:r>
      <w:r w:rsidR="004A5905" w:rsidRPr="004A5905">
        <w:rPr>
          <w:rtl/>
          <w:lang w:eastAsia="zh-TW"/>
        </w:rPr>
        <w:t xml:space="preserve"> </w:t>
      </w:r>
      <w:r w:rsidR="004A5905" w:rsidRPr="004A5905">
        <w:rPr>
          <w:rFonts w:ascii="Traditional Arabic" w:hAnsi="Traditional Arabic" w:hint="cs"/>
          <w:rtl/>
          <w:lang w:eastAsia="zh-TW"/>
        </w:rPr>
        <w:t>قد</w:t>
      </w:r>
      <w:r w:rsidR="004A5905" w:rsidRPr="004A5905">
        <w:rPr>
          <w:rtl/>
          <w:lang w:eastAsia="zh-TW"/>
        </w:rPr>
        <w:t xml:space="preserve"> </w:t>
      </w:r>
      <w:r w:rsidR="004A5905" w:rsidRPr="004A5905">
        <w:rPr>
          <w:rFonts w:ascii="Traditional Arabic" w:hAnsi="Traditional Arabic" w:hint="cs"/>
          <w:rtl/>
          <w:lang w:eastAsia="zh-TW"/>
        </w:rPr>
        <w:t>دعمت</w:t>
      </w:r>
      <w:r w:rsidR="004A5905" w:rsidRPr="004A5905">
        <w:rPr>
          <w:rtl/>
          <w:lang w:eastAsia="zh-TW"/>
        </w:rPr>
        <w:t xml:space="preserve"> </w:t>
      </w:r>
      <w:r w:rsidR="004A5905" w:rsidRPr="004A5905">
        <w:rPr>
          <w:rFonts w:ascii="Traditional Arabic" w:hAnsi="Traditional Arabic" w:hint="cs"/>
          <w:rtl/>
          <w:lang w:eastAsia="zh-TW"/>
        </w:rPr>
        <w:t>بما</w:t>
      </w:r>
      <w:r w:rsidR="004A5905" w:rsidRPr="004A5905">
        <w:rPr>
          <w:rtl/>
          <w:lang w:eastAsia="zh-TW"/>
        </w:rPr>
        <w:t xml:space="preserve"> </w:t>
      </w:r>
      <w:r w:rsidR="004A5905" w:rsidRPr="004A5905">
        <w:rPr>
          <w:rFonts w:ascii="Traditional Arabic" w:hAnsi="Traditional Arabic" w:hint="cs"/>
          <w:rtl/>
          <w:lang w:eastAsia="zh-TW"/>
        </w:rPr>
        <w:t>يكفي</w:t>
      </w:r>
      <w:r w:rsidR="004A5905" w:rsidRPr="004A5905">
        <w:rPr>
          <w:rtl/>
          <w:lang w:eastAsia="zh-TW"/>
        </w:rPr>
        <w:t xml:space="preserve"> </w:t>
      </w:r>
      <w:r w:rsidR="004A5905" w:rsidRPr="004A5905">
        <w:rPr>
          <w:rFonts w:ascii="Traditional Arabic" w:hAnsi="Traditional Arabic" w:hint="cs"/>
          <w:rtl/>
          <w:lang w:eastAsia="zh-TW"/>
        </w:rPr>
        <w:t>من</w:t>
      </w:r>
      <w:r w:rsidR="004A5905" w:rsidRPr="004A5905">
        <w:rPr>
          <w:rtl/>
          <w:lang w:eastAsia="zh-TW"/>
        </w:rPr>
        <w:t xml:space="preserve"> </w:t>
      </w:r>
      <w:r w:rsidR="004A5905" w:rsidRPr="004A5905">
        <w:rPr>
          <w:rFonts w:ascii="Traditional Arabic" w:hAnsi="Traditional Arabic" w:hint="cs"/>
          <w:rtl/>
          <w:lang w:eastAsia="zh-TW"/>
        </w:rPr>
        <w:t>الأدلة</w:t>
      </w:r>
      <w:r w:rsidR="004A5905" w:rsidRPr="004A5905">
        <w:rPr>
          <w:rtl/>
          <w:lang w:eastAsia="zh-TW"/>
        </w:rPr>
        <w:t xml:space="preserve"> </w:t>
      </w:r>
      <w:r w:rsidR="004A5905" w:rsidRPr="004A5905">
        <w:rPr>
          <w:rFonts w:ascii="Traditional Arabic" w:hAnsi="Traditional Arabic" w:hint="cs"/>
          <w:rtl/>
          <w:lang w:eastAsia="zh-TW"/>
        </w:rPr>
        <w:t>لأغراض</w:t>
      </w:r>
      <w:r w:rsidR="004A5905" w:rsidRPr="004A5905">
        <w:rPr>
          <w:rtl/>
          <w:lang w:eastAsia="zh-TW"/>
        </w:rPr>
        <w:t xml:space="preserve"> </w:t>
      </w:r>
      <w:r w:rsidR="004A5905" w:rsidRPr="004A5905">
        <w:rPr>
          <w:rFonts w:ascii="Traditional Arabic" w:hAnsi="Traditional Arabic" w:hint="cs"/>
          <w:rtl/>
          <w:lang w:eastAsia="zh-TW"/>
        </w:rPr>
        <w:t>المقبولية،</w:t>
      </w:r>
      <w:r w:rsidR="004A5905" w:rsidRPr="004A5905">
        <w:rPr>
          <w:rtl/>
          <w:lang w:eastAsia="zh-TW"/>
        </w:rPr>
        <w:t xml:space="preserve"> </w:t>
      </w:r>
      <w:r w:rsidR="004A5905" w:rsidRPr="004A5905">
        <w:rPr>
          <w:rFonts w:ascii="Traditional Arabic" w:hAnsi="Traditional Arabic" w:hint="cs"/>
          <w:rtl/>
          <w:lang w:eastAsia="zh-TW"/>
        </w:rPr>
        <w:t>وتشرع</w:t>
      </w:r>
      <w:r w:rsidR="004A5905" w:rsidRPr="004A5905">
        <w:rPr>
          <w:rtl/>
          <w:lang w:eastAsia="zh-TW"/>
        </w:rPr>
        <w:t xml:space="preserve"> </w:t>
      </w:r>
      <w:r w:rsidR="004A5905" w:rsidRPr="004A5905">
        <w:rPr>
          <w:rFonts w:ascii="Traditional Arabic" w:hAnsi="Traditional Arabic" w:hint="cs"/>
          <w:rtl/>
          <w:lang w:eastAsia="zh-TW"/>
        </w:rPr>
        <w:t>في</w:t>
      </w:r>
      <w:r w:rsidR="004A5905" w:rsidRPr="004A5905">
        <w:rPr>
          <w:rtl/>
          <w:lang w:eastAsia="zh-TW"/>
        </w:rPr>
        <w:t xml:space="preserve"> </w:t>
      </w:r>
      <w:r w:rsidR="004A5905" w:rsidRPr="004A5905">
        <w:rPr>
          <w:rFonts w:ascii="Traditional Arabic" w:hAnsi="Traditional Arabic" w:hint="cs"/>
          <w:rtl/>
          <w:lang w:eastAsia="zh-TW"/>
        </w:rPr>
        <w:t>النظر</w:t>
      </w:r>
      <w:r w:rsidR="004A5905" w:rsidRPr="004A5905">
        <w:rPr>
          <w:rtl/>
          <w:lang w:eastAsia="zh-TW"/>
        </w:rPr>
        <w:t xml:space="preserve"> </w:t>
      </w:r>
      <w:r w:rsidR="004A5905" w:rsidRPr="004A5905">
        <w:rPr>
          <w:rFonts w:ascii="Traditional Arabic" w:hAnsi="Traditional Arabic" w:hint="cs"/>
          <w:rtl/>
          <w:lang w:eastAsia="zh-TW"/>
        </w:rPr>
        <w:t>في</w:t>
      </w:r>
      <w:r w:rsidR="004A5905" w:rsidRPr="004A5905">
        <w:rPr>
          <w:rtl/>
          <w:lang w:eastAsia="zh-TW"/>
        </w:rPr>
        <w:t xml:space="preserve"> </w:t>
      </w:r>
      <w:r w:rsidR="004A5905" w:rsidRPr="004A5905">
        <w:rPr>
          <w:rFonts w:ascii="Traditional Arabic" w:hAnsi="Traditional Arabic" w:hint="cs"/>
          <w:rtl/>
          <w:lang w:eastAsia="zh-TW"/>
        </w:rPr>
        <w:t>أسسها</w:t>
      </w:r>
      <w:r w:rsidR="004A5905" w:rsidRPr="004A5905">
        <w:rPr>
          <w:rtl/>
          <w:lang w:eastAsia="zh-TW"/>
        </w:rPr>
        <w:t xml:space="preserve"> </w:t>
      </w:r>
      <w:r w:rsidR="004A5905" w:rsidRPr="004A5905">
        <w:rPr>
          <w:rFonts w:ascii="Traditional Arabic" w:hAnsi="Traditional Arabic" w:hint="cs"/>
          <w:rtl/>
          <w:lang w:eastAsia="zh-TW"/>
        </w:rPr>
        <w:t>الموضوعية</w:t>
      </w:r>
      <w:r w:rsidR="004A5905" w:rsidRPr="004A5905">
        <w:rPr>
          <w:rtl/>
          <w:lang w:eastAsia="zh-TW"/>
        </w:rPr>
        <w:t>.</w:t>
      </w:r>
      <w:r w:rsidR="004A5905" w:rsidRPr="004A5905">
        <w:rPr>
          <w:rFonts w:cs="Times New Roman" w:hint="cs"/>
          <w:rtl/>
          <w:lang w:eastAsia="zh-TW"/>
        </w:rPr>
        <w:t>‬</w:t>
      </w:r>
      <w:r w:rsidR="007A4F0B">
        <w:rPr>
          <w:rFonts w:hint="cs"/>
          <w:rtl/>
          <w:lang w:eastAsia="zh-TW"/>
        </w:rPr>
        <w:t xml:space="preserve"> </w:t>
      </w:r>
    </w:p>
    <w:p w:rsidR="004A5905" w:rsidRPr="004A5905" w:rsidRDefault="00363DBE" w:rsidP="004A5905">
      <w:pPr>
        <w:pStyle w:val="SingleTxtGA"/>
        <w:rPr>
          <w:rtl/>
          <w:lang w:eastAsia="zh-TW"/>
        </w:rPr>
      </w:pPr>
      <w:r>
        <w:rPr>
          <w:rFonts w:hint="cs"/>
          <w:rtl/>
          <w:lang w:eastAsia="zh-TW"/>
        </w:rPr>
        <w:t>7-6</w:t>
      </w:r>
      <w:r>
        <w:rPr>
          <w:rtl/>
          <w:lang w:eastAsia="zh-TW"/>
        </w:rPr>
        <w:tab/>
      </w:r>
      <w:r w:rsidR="004A5905" w:rsidRPr="004A5905">
        <w:rPr>
          <w:rtl/>
          <w:lang w:eastAsia="zh-TW"/>
        </w:rPr>
        <w:t xml:space="preserve">وفيما يتعلق بادعاء صاحب البلاغ بموجب المادة 12 من الاتفاقية المتعلق بحرمانه من حقه في التمتع بالأهلية القانونية على قدم المساواة مع الآخرين جراء امتناع </w:t>
      </w:r>
      <w:proofErr w:type="spellStart"/>
      <w:r w:rsidR="004A5905" w:rsidRPr="004A5905">
        <w:rPr>
          <w:rtl/>
          <w:lang w:eastAsia="zh-TW"/>
        </w:rPr>
        <w:t>والية</w:t>
      </w:r>
      <w:proofErr w:type="spellEnd"/>
      <w:r w:rsidR="004A5905" w:rsidRPr="004A5905">
        <w:rPr>
          <w:rtl/>
          <w:lang w:eastAsia="zh-TW"/>
        </w:rPr>
        <w:t xml:space="preserve"> القضاء عن تلبية طلبه الحصول على خدمة العرض النصي بالاختزال، تلاحظ اللجنة أن </w:t>
      </w:r>
      <w:proofErr w:type="spellStart"/>
      <w:r w:rsidR="004A5905" w:rsidRPr="004A5905">
        <w:rPr>
          <w:rtl/>
          <w:lang w:eastAsia="zh-TW"/>
        </w:rPr>
        <w:t>والية</w:t>
      </w:r>
      <w:proofErr w:type="spellEnd"/>
      <w:r w:rsidR="004A5905" w:rsidRPr="004A5905">
        <w:rPr>
          <w:rtl/>
          <w:lang w:eastAsia="zh-TW"/>
        </w:rPr>
        <w:t xml:space="preserve"> القضاء قد عل</w:t>
      </w:r>
      <w:r w:rsidR="004A5905" w:rsidRPr="004A5905">
        <w:rPr>
          <w:rFonts w:hint="eastAsia"/>
          <w:rtl/>
          <w:lang w:eastAsia="zh-TW"/>
        </w:rPr>
        <w:t>َّلت</w:t>
      </w:r>
      <w:r w:rsidR="004A5905" w:rsidRPr="004A5905">
        <w:rPr>
          <w:rtl/>
          <w:lang w:eastAsia="zh-TW"/>
        </w:rPr>
        <w:t xml:space="preserve"> قرارها استناد إلى المادة 48 من قانون المحلفين لعام 1977، فأكدت أن جلب شخص من غير هيئة المحلفين لتقديم خدمة العرض النصي بالاختزال يشكل خرقا لمبدأ سرية المداولات. ولذلك، تلاحظ اللجنة أن الدولة الطرف لم تشكك في أي وقت في أن صاحب البلاغ يتمتع بالأهلية الق</w:t>
      </w:r>
      <w:r w:rsidR="004A5905" w:rsidRPr="004A5905">
        <w:rPr>
          <w:rFonts w:hint="eastAsia"/>
          <w:rtl/>
          <w:lang w:eastAsia="zh-TW"/>
        </w:rPr>
        <w:t>انونية</w:t>
      </w:r>
      <w:r w:rsidR="004A5905" w:rsidRPr="004A5905">
        <w:rPr>
          <w:rtl/>
          <w:lang w:eastAsia="zh-TW"/>
        </w:rPr>
        <w:t xml:space="preserve"> لأداء واجب المحلف. </w:t>
      </w:r>
      <w:dir w:val="rtl">
        <w:r w:rsidR="004A5905" w:rsidRPr="004A5905">
          <w:rPr>
            <w:rFonts w:ascii="Traditional Arabic" w:hAnsi="Traditional Arabic" w:hint="cs"/>
            <w:rtl/>
            <w:lang w:eastAsia="zh-TW"/>
          </w:rPr>
          <w:t>وبالتالي،</w:t>
        </w:r>
        <w:r w:rsidR="004A5905" w:rsidRPr="004A5905">
          <w:rPr>
            <w:rtl/>
            <w:lang w:eastAsia="zh-TW"/>
          </w:rPr>
          <w:t xml:space="preserve"> </w:t>
        </w:r>
        <w:r w:rsidR="004A5905" w:rsidRPr="004A5905">
          <w:rPr>
            <w:rFonts w:ascii="Traditional Arabic" w:hAnsi="Traditional Arabic" w:hint="cs"/>
            <w:rtl/>
            <w:lang w:eastAsia="zh-TW"/>
          </w:rPr>
          <w:t>ترى</w:t>
        </w:r>
        <w:r w:rsidR="004A5905" w:rsidRPr="004A5905">
          <w:rPr>
            <w:rtl/>
            <w:lang w:eastAsia="zh-TW"/>
          </w:rPr>
          <w:t xml:space="preserve"> </w:t>
        </w:r>
        <w:r w:rsidR="004A5905" w:rsidRPr="004A5905">
          <w:rPr>
            <w:rFonts w:ascii="Traditional Arabic" w:hAnsi="Traditional Arabic" w:hint="cs"/>
            <w:rtl/>
            <w:lang w:eastAsia="zh-TW"/>
          </w:rPr>
          <w:t>اللجنة</w:t>
        </w:r>
        <w:r w:rsidR="004A5905" w:rsidRPr="004A5905">
          <w:rPr>
            <w:rtl/>
            <w:lang w:eastAsia="zh-TW"/>
          </w:rPr>
          <w:t xml:space="preserve"> </w:t>
        </w:r>
        <w:r w:rsidR="004A5905" w:rsidRPr="004A5905">
          <w:rPr>
            <w:rFonts w:ascii="Traditional Arabic" w:hAnsi="Traditional Arabic" w:hint="cs"/>
            <w:rtl/>
            <w:lang w:eastAsia="zh-TW"/>
          </w:rPr>
          <w:t>أن</w:t>
        </w:r>
        <w:r w:rsidR="004A5905" w:rsidRPr="004A5905">
          <w:rPr>
            <w:rtl/>
            <w:lang w:eastAsia="zh-TW"/>
          </w:rPr>
          <w:t xml:space="preserve"> </w:t>
        </w:r>
        <w:r w:rsidR="004A5905" w:rsidRPr="004A5905">
          <w:rPr>
            <w:rFonts w:ascii="Traditional Arabic" w:hAnsi="Traditional Arabic" w:hint="cs"/>
            <w:rtl/>
            <w:lang w:eastAsia="zh-TW"/>
          </w:rPr>
          <w:t>ادعاء</w:t>
        </w:r>
        <w:r w:rsidR="004A5905" w:rsidRPr="004A5905">
          <w:rPr>
            <w:rtl/>
            <w:lang w:eastAsia="zh-TW"/>
          </w:rPr>
          <w:t xml:space="preserve"> </w:t>
        </w:r>
        <w:r w:rsidR="004A5905" w:rsidRPr="004A5905">
          <w:rPr>
            <w:rFonts w:ascii="Traditional Arabic" w:hAnsi="Traditional Arabic" w:hint="cs"/>
            <w:rtl/>
            <w:lang w:eastAsia="zh-TW"/>
          </w:rPr>
          <w:t>صاحب</w:t>
        </w:r>
        <w:r w:rsidR="004A5905" w:rsidRPr="004A5905">
          <w:rPr>
            <w:rtl/>
            <w:lang w:eastAsia="zh-TW"/>
          </w:rPr>
          <w:t xml:space="preserve"> </w:t>
        </w:r>
        <w:r w:rsidR="004A5905" w:rsidRPr="004A5905">
          <w:rPr>
            <w:rFonts w:ascii="Traditional Arabic" w:hAnsi="Traditional Arabic" w:hint="cs"/>
            <w:rtl/>
            <w:lang w:eastAsia="zh-TW"/>
          </w:rPr>
          <w:t>البلاغ</w:t>
        </w:r>
        <w:r w:rsidR="004A5905" w:rsidRPr="004A5905">
          <w:rPr>
            <w:rtl/>
            <w:lang w:eastAsia="zh-TW"/>
          </w:rPr>
          <w:t xml:space="preserve"> </w:t>
        </w:r>
        <w:r w:rsidR="004A5905" w:rsidRPr="004A5905">
          <w:rPr>
            <w:rFonts w:ascii="Traditional Arabic" w:hAnsi="Traditional Arabic" w:hint="cs"/>
            <w:rtl/>
            <w:lang w:eastAsia="zh-TW"/>
          </w:rPr>
          <w:t>يتعارض،</w:t>
        </w:r>
        <w:r w:rsidR="004A5905" w:rsidRPr="004A5905">
          <w:rPr>
            <w:rtl/>
            <w:lang w:eastAsia="zh-TW"/>
          </w:rPr>
          <w:t xml:space="preserve"> </w:t>
        </w:r>
        <w:r w:rsidR="004A5905" w:rsidRPr="004A5905">
          <w:rPr>
            <w:rFonts w:ascii="Traditional Arabic" w:hAnsi="Traditional Arabic" w:hint="cs"/>
            <w:rtl/>
            <w:lang w:eastAsia="zh-TW"/>
          </w:rPr>
          <w:t>من</w:t>
        </w:r>
        <w:r w:rsidR="004A5905" w:rsidRPr="004A5905">
          <w:rPr>
            <w:rtl/>
            <w:lang w:eastAsia="zh-TW"/>
          </w:rPr>
          <w:t xml:space="preserve"> </w:t>
        </w:r>
        <w:r w:rsidR="004A5905" w:rsidRPr="004A5905">
          <w:rPr>
            <w:rFonts w:ascii="Traditional Arabic" w:hAnsi="Traditional Arabic" w:hint="cs"/>
            <w:rtl/>
            <w:lang w:eastAsia="zh-TW"/>
          </w:rPr>
          <w:t>حيث</w:t>
        </w:r>
        <w:r w:rsidR="004A5905" w:rsidRPr="004A5905">
          <w:rPr>
            <w:rtl/>
            <w:lang w:eastAsia="zh-TW"/>
          </w:rPr>
          <w:t xml:space="preserve"> </w:t>
        </w:r>
        <w:r w:rsidR="004A5905" w:rsidRPr="004A5905">
          <w:rPr>
            <w:rFonts w:ascii="Traditional Arabic" w:hAnsi="Traditional Arabic" w:hint="cs"/>
            <w:rtl/>
            <w:lang w:eastAsia="zh-TW"/>
          </w:rPr>
          <w:t>الاختصاص</w:t>
        </w:r>
        <w:r w:rsidR="004A5905" w:rsidRPr="004A5905">
          <w:rPr>
            <w:rtl/>
            <w:lang w:eastAsia="zh-TW"/>
          </w:rPr>
          <w:t xml:space="preserve"> </w:t>
        </w:r>
        <w:r w:rsidR="004A5905" w:rsidRPr="004A5905">
          <w:rPr>
            <w:rFonts w:ascii="Traditional Arabic" w:hAnsi="Traditional Arabic" w:hint="cs"/>
            <w:rtl/>
            <w:lang w:eastAsia="zh-TW"/>
          </w:rPr>
          <w:t>الموضوعي،</w:t>
        </w:r>
        <w:r w:rsidR="004A5905" w:rsidRPr="004A5905">
          <w:rPr>
            <w:rtl/>
            <w:lang w:eastAsia="zh-TW"/>
          </w:rPr>
          <w:t xml:space="preserve"> </w:t>
        </w:r>
        <w:r w:rsidR="004A5905" w:rsidRPr="004A5905">
          <w:rPr>
            <w:rFonts w:ascii="Traditional Arabic" w:hAnsi="Traditional Arabic" w:hint="cs"/>
            <w:rtl/>
            <w:lang w:eastAsia="zh-TW"/>
          </w:rPr>
          <w:t>مع</w:t>
        </w:r>
        <w:r w:rsidR="004A5905" w:rsidRPr="004A5905">
          <w:rPr>
            <w:rtl/>
            <w:lang w:eastAsia="zh-TW"/>
          </w:rPr>
          <w:t xml:space="preserve"> </w:t>
        </w:r>
        <w:r w:rsidR="004A5905" w:rsidRPr="004A5905">
          <w:rPr>
            <w:rFonts w:ascii="Traditional Arabic" w:hAnsi="Traditional Arabic" w:hint="cs"/>
            <w:rtl/>
            <w:lang w:eastAsia="zh-TW"/>
          </w:rPr>
          <w:t>أحكام</w:t>
        </w:r>
        <w:r w:rsidR="004A5905" w:rsidRPr="004A5905">
          <w:rPr>
            <w:rtl/>
            <w:lang w:eastAsia="zh-TW"/>
          </w:rPr>
          <w:t xml:space="preserve"> </w:t>
        </w:r>
        <w:r w:rsidR="004A5905" w:rsidRPr="004A5905">
          <w:rPr>
            <w:rFonts w:ascii="Traditional Arabic" w:hAnsi="Traditional Arabic" w:hint="cs"/>
            <w:rtl/>
            <w:lang w:eastAsia="zh-TW"/>
          </w:rPr>
          <w:t>المادة</w:t>
        </w:r>
        <w:r w:rsidR="004A5905" w:rsidRPr="004A5905">
          <w:rPr>
            <w:rtl/>
            <w:lang w:eastAsia="zh-TW"/>
          </w:rPr>
          <w:t xml:space="preserve"> 12 </w:t>
        </w:r>
        <w:r w:rsidR="004A5905" w:rsidRPr="004A5905">
          <w:rPr>
            <w:rFonts w:ascii="Traditional Arabic" w:hAnsi="Traditional Arabic" w:hint="cs"/>
            <w:rtl/>
            <w:lang w:eastAsia="zh-TW"/>
          </w:rPr>
          <w:t>من</w:t>
        </w:r>
        <w:r w:rsidR="004A5905" w:rsidRPr="004A5905">
          <w:rPr>
            <w:rtl/>
            <w:lang w:eastAsia="zh-TW"/>
          </w:rPr>
          <w:t xml:space="preserve"> </w:t>
        </w:r>
        <w:r w:rsidR="004A5905" w:rsidRPr="004A5905">
          <w:rPr>
            <w:rFonts w:ascii="Traditional Arabic" w:hAnsi="Traditional Arabic" w:hint="cs"/>
            <w:rtl/>
            <w:lang w:eastAsia="zh-TW"/>
          </w:rPr>
          <w:t>العهد،</w:t>
        </w:r>
        <w:r w:rsidR="004A5905" w:rsidRPr="004A5905">
          <w:rPr>
            <w:rtl/>
            <w:lang w:eastAsia="zh-TW"/>
          </w:rPr>
          <w:t xml:space="preserve"> </w:t>
        </w:r>
        <w:r w:rsidR="004A5905" w:rsidRPr="004A5905">
          <w:rPr>
            <w:rFonts w:ascii="Traditional Arabic" w:hAnsi="Traditional Arabic" w:hint="cs"/>
            <w:rtl/>
            <w:lang w:eastAsia="zh-TW"/>
          </w:rPr>
          <w:t>ويعتبر</w:t>
        </w:r>
        <w:r w:rsidR="004A5905" w:rsidRPr="004A5905">
          <w:rPr>
            <w:rtl/>
            <w:lang w:eastAsia="zh-TW"/>
          </w:rPr>
          <w:t xml:space="preserve"> </w:t>
        </w:r>
        <w:r w:rsidR="004A5905" w:rsidRPr="004A5905">
          <w:rPr>
            <w:rFonts w:ascii="Traditional Arabic" w:hAnsi="Traditional Arabic" w:hint="cs"/>
            <w:rtl/>
            <w:lang w:eastAsia="zh-TW"/>
          </w:rPr>
          <w:t>بالتالي،</w:t>
        </w:r>
        <w:r w:rsidR="004A5905" w:rsidRPr="004A5905">
          <w:rPr>
            <w:rtl/>
            <w:lang w:eastAsia="zh-TW"/>
          </w:rPr>
          <w:t xml:space="preserve"> </w:t>
        </w:r>
        <w:r w:rsidR="004A5905" w:rsidRPr="004A5905">
          <w:rPr>
            <w:rFonts w:ascii="Traditional Arabic" w:hAnsi="Traditional Arabic" w:hint="cs"/>
            <w:rtl/>
            <w:lang w:eastAsia="zh-TW"/>
          </w:rPr>
          <w:t>غير</w:t>
        </w:r>
        <w:r w:rsidR="004A5905" w:rsidRPr="004A5905">
          <w:rPr>
            <w:rtl/>
            <w:lang w:eastAsia="zh-TW"/>
          </w:rPr>
          <w:t xml:space="preserve"> </w:t>
        </w:r>
        <w:r w:rsidR="004A5905" w:rsidRPr="004A5905">
          <w:rPr>
            <w:rFonts w:ascii="Traditional Arabic" w:hAnsi="Traditional Arabic" w:hint="cs"/>
            <w:rtl/>
            <w:lang w:eastAsia="zh-TW"/>
          </w:rPr>
          <w:t>مقبول</w:t>
        </w:r>
        <w:r w:rsidR="004A5905" w:rsidRPr="004A5905">
          <w:rPr>
            <w:rtl/>
            <w:lang w:eastAsia="zh-TW"/>
          </w:rPr>
          <w:t xml:space="preserve"> </w:t>
        </w:r>
        <w:r w:rsidR="008B5358">
          <w:rPr>
            <w:rFonts w:ascii="Traditional Arabic" w:hAnsi="Traditional Arabic" w:hint="cs"/>
            <w:rtl/>
            <w:lang w:eastAsia="zh-TW"/>
          </w:rPr>
          <w:t>وفقاً</w:t>
        </w:r>
        <w:r w:rsidR="004A5905" w:rsidRPr="004A5905">
          <w:rPr>
            <w:rtl/>
            <w:lang w:eastAsia="zh-TW"/>
          </w:rPr>
          <w:t xml:space="preserve"> </w:t>
        </w:r>
        <w:r w:rsidR="004A5905" w:rsidRPr="004A5905">
          <w:rPr>
            <w:rFonts w:ascii="Traditional Arabic" w:hAnsi="Traditional Arabic" w:hint="cs"/>
            <w:rtl/>
            <w:lang w:eastAsia="zh-TW"/>
          </w:rPr>
          <w:t>لأحكام</w:t>
        </w:r>
        <w:r w:rsidR="004A5905" w:rsidRPr="004A5905">
          <w:rPr>
            <w:rtl/>
            <w:lang w:eastAsia="zh-TW"/>
          </w:rPr>
          <w:t xml:space="preserve"> </w:t>
        </w:r>
        <w:r w:rsidR="004A5905" w:rsidRPr="004A5905">
          <w:rPr>
            <w:rFonts w:ascii="Traditional Arabic" w:hAnsi="Traditional Arabic" w:hint="cs"/>
            <w:rtl/>
            <w:lang w:eastAsia="zh-TW"/>
          </w:rPr>
          <w:t>المادة</w:t>
        </w:r>
        <w:r w:rsidR="004A5905" w:rsidRPr="004A5905">
          <w:rPr>
            <w:rtl/>
            <w:lang w:eastAsia="zh-TW"/>
          </w:rPr>
          <w:t xml:space="preserve"> 2</w:t>
        </w:r>
        <w:r w:rsidR="006B0B45">
          <w:rPr>
            <w:rtl/>
            <w:lang w:eastAsia="zh-TW"/>
          </w:rPr>
          <w:t>(</w:t>
        </w:r>
        <w:r w:rsidR="004A5905" w:rsidRPr="004A5905">
          <w:rPr>
            <w:rFonts w:ascii="Traditional Arabic" w:hAnsi="Traditional Arabic" w:hint="cs"/>
            <w:rtl/>
            <w:lang w:eastAsia="zh-TW"/>
          </w:rPr>
          <w:t>ب</w:t>
        </w:r>
        <w:r w:rsidR="004A5905" w:rsidRPr="004A5905">
          <w:rPr>
            <w:rtl/>
            <w:lang w:eastAsia="zh-TW"/>
          </w:rPr>
          <w:t xml:space="preserve">) </w:t>
        </w:r>
        <w:r w:rsidR="004A5905" w:rsidRPr="004A5905">
          <w:rPr>
            <w:rFonts w:ascii="Traditional Arabic" w:hAnsi="Traditional Arabic" w:hint="cs"/>
            <w:rtl/>
            <w:lang w:eastAsia="zh-TW"/>
          </w:rPr>
          <w:t>من</w:t>
        </w:r>
        <w:r w:rsidR="004A5905" w:rsidRPr="004A5905">
          <w:rPr>
            <w:rtl/>
            <w:lang w:eastAsia="zh-TW"/>
          </w:rPr>
          <w:t xml:space="preserve"> </w:t>
        </w:r>
        <w:r w:rsidR="004A5905" w:rsidRPr="004A5905">
          <w:rPr>
            <w:rFonts w:ascii="Traditional Arabic" w:hAnsi="Traditional Arabic" w:hint="cs"/>
            <w:rtl/>
            <w:lang w:eastAsia="zh-TW"/>
          </w:rPr>
          <w:t>البروتوكول</w:t>
        </w:r>
        <w:r w:rsidR="004A5905" w:rsidRPr="004A5905">
          <w:rPr>
            <w:rtl/>
            <w:lang w:eastAsia="zh-TW"/>
          </w:rPr>
          <w:t xml:space="preserve"> </w:t>
        </w:r>
        <w:r w:rsidR="004A5905" w:rsidRPr="004A5905">
          <w:rPr>
            <w:rFonts w:ascii="Traditional Arabic" w:hAnsi="Traditional Arabic" w:hint="cs"/>
            <w:rtl/>
            <w:lang w:eastAsia="zh-TW"/>
          </w:rPr>
          <w:t>الاختياري</w:t>
        </w:r>
        <w:r w:rsidR="004A5905" w:rsidRPr="004A5905">
          <w:rPr>
            <w:rtl/>
            <w:lang w:eastAsia="zh-TW"/>
          </w:rPr>
          <w:t>.</w:t>
        </w:r>
        <w:r w:rsidR="004A5905" w:rsidRPr="004A5905">
          <w:rPr>
            <w:rFonts w:cs="Times New Roman" w:hint="cs"/>
            <w:rtl/>
            <w:lang w:eastAsia="zh-TW"/>
          </w:rPr>
          <w:t>‬</w:t>
        </w:r>
        <w:r w:rsidR="004A5905" w:rsidRPr="004A5905">
          <w:rPr>
            <w:rFonts w:cs="Times New Roman" w:hint="cs"/>
            <w:rtl/>
            <w:lang w:eastAsia="zh-TW"/>
          </w:rPr>
          <w:t>‬</w:t>
        </w:r>
        <w:r w:rsidR="00954533">
          <w:rPr>
            <w:rFonts w:hint="cs"/>
            <w:rtl/>
            <w:lang w:eastAsia="zh-TW"/>
          </w:rPr>
          <w:t xml:space="preserve"> </w:t>
        </w:r>
        <w:r w:rsidR="002809DC">
          <w:t>‬</w:t>
        </w:r>
        <w:r w:rsidR="00043E01">
          <w:t>‬</w:t>
        </w:r>
        <w:r w:rsidR="005E6E98">
          <w:t>‬</w:t>
        </w:r>
      </w:dir>
    </w:p>
    <w:p w:rsidR="004A5905" w:rsidRPr="004A5905" w:rsidRDefault="00363DBE" w:rsidP="004A5905">
      <w:pPr>
        <w:pStyle w:val="SingleTxtGA"/>
        <w:rPr>
          <w:rtl/>
          <w:lang w:eastAsia="zh-TW"/>
        </w:rPr>
      </w:pPr>
      <w:r>
        <w:rPr>
          <w:rFonts w:hint="cs"/>
          <w:rtl/>
          <w:lang w:eastAsia="zh-TW"/>
        </w:rPr>
        <w:t>7-7</w:t>
      </w:r>
      <w:r>
        <w:rPr>
          <w:rtl/>
          <w:lang w:eastAsia="zh-TW"/>
        </w:rPr>
        <w:tab/>
      </w:r>
      <w:r w:rsidR="004A5905" w:rsidRPr="004A5905">
        <w:rPr>
          <w:rtl/>
          <w:lang w:eastAsia="zh-TW"/>
        </w:rPr>
        <w:t xml:space="preserve">وتلاحظ اللجنة أن الدولة الطرف لم تبد أي اعتراض على مقبولية ادعاءات صاحب بموجب المواد 13 و21 و29 من الاتفاقية. </w:t>
      </w:r>
      <w:dir w:val="rtl">
        <w:r w:rsidR="004A5905" w:rsidRPr="004A5905">
          <w:rPr>
            <w:rFonts w:ascii="Traditional Arabic" w:hAnsi="Traditional Arabic" w:hint="cs"/>
            <w:rtl/>
            <w:lang w:eastAsia="zh-TW"/>
          </w:rPr>
          <w:t>وبناءً</w:t>
        </w:r>
        <w:r w:rsidR="004A5905" w:rsidRPr="004A5905">
          <w:rPr>
            <w:rtl/>
            <w:lang w:eastAsia="zh-TW"/>
          </w:rPr>
          <w:t xml:space="preserve"> </w:t>
        </w:r>
        <w:r w:rsidR="004A5905" w:rsidRPr="004A5905">
          <w:rPr>
            <w:rFonts w:ascii="Traditional Arabic" w:hAnsi="Traditional Arabic" w:hint="cs"/>
            <w:rtl/>
            <w:lang w:eastAsia="zh-TW"/>
          </w:rPr>
          <w:t>عليه،</w:t>
        </w:r>
        <w:r w:rsidR="004A5905" w:rsidRPr="004A5905">
          <w:rPr>
            <w:rtl/>
            <w:lang w:eastAsia="zh-TW"/>
          </w:rPr>
          <w:t xml:space="preserve"> </w:t>
        </w:r>
        <w:r w:rsidR="004A5905" w:rsidRPr="004A5905">
          <w:rPr>
            <w:rFonts w:ascii="Traditional Arabic" w:hAnsi="Traditional Arabic" w:hint="cs"/>
            <w:rtl/>
            <w:lang w:eastAsia="zh-TW"/>
          </w:rPr>
          <w:t>تعلن</w:t>
        </w:r>
        <w:r w:rsidR="004A5905" w:rsidRPr="004A5905">
          <w:rPr>
            <w:rtl/>
            <w:lang w:eastAsia="zh-TW"/>
          </w:rPr>
          <w:t xml:space="preserve"> </w:t>
        </w:r>
        <w:r w:rsidR="004A5905" w:rsidRPr="004A5905">
          <w:rPr>
            <w:rFonts w:ascii="Traditional Arabic" w:hAnsi="Traditional Arabic" w:hint="cs"/>
            <w:rtl/>
            <w:lang w:eastAsia="zh-TW"/>
          </w:rPr>
          <w:t>مقبولية</w:t>
        </w:r>
        <w:r w:rsidR="004A5905" w:rsidRPr="004A5905">
          <w:rPr>
            <w:rtl/>
            <w:lang w:eastAsia="zh-TW"/>
          </w:rPr>
          <w:t xml:space="preserve"> </w:t>
        </w:r>
        <w:r w:rsidR="004A5905" w:rsidRPr="004A5905">
          <w:rPr>
            <w:rFonts w:ascii="Traditional Arabic" w:hAnsi="Traditional Arabic" w:hint="cs"/>
            <w:rtl/>
            <w:lang w:eastAsia="zh-TW"/>
          </w:rPr>
          <w:t>هذا</w:t>
        </w:r>
        <w:r w:rsidR="004A5905" w:rsidRPr="004A5905">
          <w:rPr>
            <w:rtl/>
            <w:lang w:eastAsia="zh-TW"/>
          </w:rPr>
          <w:t xml:space="preserve"> </w:t>
        </w:r>
        <w:r w:rsidR="004A5905" w:rsidRPr="004A5905">
          <w:rPr>
            <w:rFonts w:ascii="Traditional Arabic" w:hAnsi="Traditional Arabic" w:hint="cs"/>
            <w:rtl/>
            <w:lang w:eastAsia="zh-TW"/>
          </w:rPr>
          <w:t>الجزء</w:t>
        </w:r>
        <w:r w:rsidR="004A5905" w:rsidRPr="004A5905">
          <w:rPr>
            <w:rtl/>
            <w:lang w:eastAsia="zh-TW"/>
          </w:rPr>
          <w:t xml:space="preserve"> </w:t>
        </w:r>
        <w:r w:rsidR="004A5905" w:rsidRPr="004A5905">
          <w:rPr>
            <w:rFonts w:ascii="Traditional Arabic" w:hAnsi="Traditional Arabic" w:hint="cs"/>
            <w:rtl/>
            <w:lang w:eastAsia="zh-TW"/>
          </w:rPr>
          <w:t>من</w:t>
        </w:r>
        <w:r w:rsidR="004A5905" w:rsidRPr="004A5905">
          <w:rPr>
            <w:rtl/>
            <w:lang w:eastAsia="zh-TW"/>
          </w:rPr>
          <w:t xml:space="preserve"> </w:t>
        </w:r>
        <w:r w:rsidR="004A5905" w:rsidRPr="004A5905">
          <w:rPr>
            <w:rFonts w:ascii="Traditional Arabic" w:hAnsi="Traditional Arabic" w:hint="cs"/>
            <w:rtl/>
            <w:lang w:eastAsia="zh-TW"/>
          </w:rPr>
          <w:t>البلاغ</w:t>
        </w:r>
        <w:r w:rsidR="004A5905" w:rsidRPr="004A5905">
          <w:rPr>
            <w:rtl/>
            <w:lang w:eastAsia="zh-TW"/>
          </w:rPr>
          <w:t xml:space="preserve"> </w:t>
        </w:r>
        <w:r w:rsidR="004A5905" w:rsidRPr="004A5905">
          <w:rPr>
            <w:rFonts w:ascii="Traditional Arabic" w:hAnsi="Traditional Arabic" w:hint="cs"/>
            <w:rtl/>
            <w:lang w:eastAsia="zh-TW"/>
          </w:rPr>
          <w:t>وتشرع</w:t>
        </w:r>
        <w:r w:rsidR="004A5905" w:rsidRPr="004A5905">
          <w:rPr>
            <w:rtl/>
            <w:lang w:eastAsia="zh-TW"/>
          </w:rPr>
          <w:t xml:space="preserve"> </w:t>
        </w:r>
        <w:r w:rsidR="004A5905" w:rsidRPr="004A5905">
          <w:rPr>
            <w:rFonts w:ascii="Traditional Arabic" w:hAnsi="Traditional Arabic" w:hint="cs"/>
            <w:rtl/>
            <w:lang w:eastAsia="zh-TW"/>
          </w:rPr>
          <w:t>في</w:t>
        </w:r>
        <w:r w:rsidR="004A5905" w:rsidRPr="004A5905">
          <w:rPr>
            <w:rtl/>
            <w:lang w:eastAsia="zh-TW"/>
          </w:rPr>
          <w:t xml:space="preserve"> </w:t>
        </w:r>
        <w:r w:rsidR="004A5905" w:rsidRPr="004A5905">
          <w:rPr>
            <w:rFonts w:ascii="Traditional Arabic" w:hAnsi="Traditional Arabic" w:hint="cs"/>
            <w:rtl/>
            <w:lang w:eastAsia="zh-TW"/>
          </w:rPr>
          <w:t>النظر</w:t>
        </w:r>
        <w:r w:rsidR="004A5905" w:rsidRPr="004A5905">
          <w:rPr>
            <w:rtl/>
            <w:lang w:eastAsia="zh-TW"/>
          </w:rPr>
          <w:t xml:space="preserve"> </w:t>
        </w:r>
        <w:r w:rsidR="004A5905" w:rsidRPr="004A5905">
          <w:rPr>
            <w:rFonts w:ascii="Traditional Arabic" w:hAnsi="Traditional Arabic" w:hint="cs"/>
            <w:rtl/>
            <w:lang w:eastAsia="zh-TW"/>
          </w:rPr>
          <w:t>في</w:t>
        </w:r>
        <w:r w:rsidR="004A5905" w:rsidRPr="004A5905">
          <w:rPr>
            <w:rtl/>
            <w:lang w:eastAsia="zh-TW"/>
          </w:rPr>
          <w:t xml:space="preserve"> </w:t>
        </w:r>
        <w:r w:rsidR="004A5905" w:rsidRPr="004A5905">
          <w:rPr>
            <w:rFonts w:ascii="Traditional Arabic" w:hAnsi="Traditional Arabic" w:hint="cs"/>
            <w:rtl/>
            <w:lang w:eastAsia="zh-TW"/>
          </w:rPr>
          <w:t>أسسه</w:t>
        </w:r>
        <w:r w:rsidR="004A5905" w:rsidRPr="004A5905">
          <w:rPr>
            <w:rtl/>
            <w:lang w:eastAsia="zh-TW"/>
          </w:rPr>
          <w:t xml:space="preserve"> </w:t>
        </w:r>
        <w:r w:rsidR="004A5905" w:rsidRPr="004A5905">
          <w:rPr>
            <w:rFonts w:ascii="Traditional Arabic" w:hAnsi="Traditional Arabic" w:hint="cs"/>
            <w:rtl/>
            <w:lang w:eastAsia="zh-TW"/>
          </w:rPr>
          <w:t>الموضوعية</w:t>
        </w:r>
        <w:r w:rsidR="004A5905" w:rsidRPr="004A5905">
          <w:rPr>
            <w:rtl/>
            <w:lang w:eastAsia="zh-TW"/>
          </w:rPr>
          <w:t xml:space="preserve">. </w:t>
        </w:r>
        <w:r w:rsidR="004A5905" w:rsidRPr="004A5905">
          <w:rPr>
            <w:rFonts w:cs="Times New Roman" w:hint="cs"/>
            <w:rtl/>
            <w:lang w:eastAsia="zh-TW"/>
          </w:rPr>
          <w:t>‬</w:t>
        </w:r>
        <w:r w:rsidR="004A5905" w:rsidRPr="004A5905">
          <w:rPr>
            <w:rtl/>
            <w:lang w:eastAsia="zh-TW"/>
          </w:rPr>
          <w:t xml:space="preserve"> </w:t>
        </w:r>
        <w:r w:rsidR="004A5905" w:rsidRPr="004A5905">
          <w:rPr>
            <w:rFonts w:cs="Times New Roman" w:hint="cs"/>
            <w:rtl/>
            <w:lang w:eastAsia="zh-TW"/>
          </w:rPr>
          <w:t>‬</w:t>
        </w:r>
        <w:r w:rsidR="004A5905" w:rsidRPr="004A5905">
          <w:rPr>
            <w:rFonts w:cs="Times New Roman" w:hint="cs"/>
            <w:rtl/>
            <w:lang w:eastAsia="zh-TW"/>
          </w:rPr>
          <w:t>‬</w:t>
        </w:r>
        <w:r w:rsidR="002809DC">
          <w:t>‬</w:t>
        </w:r>
        <w:r w:rsidR="00043E01">
          <w:t>‬</w:t>
        </w:r>
        <w:r w:rsidR="005E6E98">
          <w:t>‬</w:t>
        </w:r>
      </w:dir>
    </w:p>
    <w:p w:rsidR="004A5905" w:rsidRPr="004A5905" w:rsidRDefault="004A5905" w:rsidP="00363DBE">
      <w:pPr>
        <w:pStyle w:val="H23GA"/>
        <w:rPr>
          <w:rtl/>
        </w:rPr>
      </w:pPr>
      <w:r w:rsidRPr="004A5905">
        <w:rPr>
          <w:rtl/>
        </w:rPr>
        <w:tab/>
      </w:r>
      <w:r w:rsidRPr="004A5905">
        <w:rPr>
          <w:rtl/>
        </w:rPr>
        <w:tab/>
      </w:r>
      <w:dir w:val="rtl">
        <w:r w:rsidRPr="004A5905">
          <w:rPr>
            <w:rFonts w:hint="cs"/>
            <w:rtl/>
          </w:rPr>
          <w:t>النظر</w:t>
        </w:r>
        <w:r w:rsidRPr="004A5905">
          <w:rPr>
            <w:rtl/>
          </w:rPr>
          <w:t xml:space="preserve"> </w:t>
        </w:r>
        <w:r w:rsidRPr="004A5905">
          <w:rPr>
            <w:rFonts w:hint="cs"/>
            <w:rtl/>
          </w:rPr>
          <w:t>في</w:t>
        </w:r>
        <w:r w:rsidRPr="004A5905">
          <w:rPr>
            <w:rtl/>
          </w:rPr>
          <w:t xml:space="preserve"> </w:t>
        </w:r>
        <w:r w:rsidRPr="004A5905">
          <w:rPr>
            <w:rFonts w:hint="cs"/>
            <w:rtl/>
          </w:rPr>
          <w:t>الأسس</w:t>
        </w:r>
        <w:r w:rsidRPr="004A5905">
          <w:rPr>
            <w:rtl/>
          </w:rPr>
          <w:t xml:space="preserve"> </w:t>
        </w:r>
        <w:r w:rsidRPr="004A5905">
          <w:rPr>
            <w:rFonts w:hint="cs"/>
            <w:rtl/>
          </w:rPr>
          <w:t>الموضوعية</w:t>
        </w:r>
        <w:r w:rsidRPr="004A5905">
          <w:rPr>
            <w:rFonts w:cs="Times New Roman" w:hint="cs"/>
            <w:rtl/>
          </w:rPr>
          <w:t>‬</w:t>
        </w:r>
        <w:r w:rsidRPr="004A5905">
          <w:rPr>
            <w:rFonts w:cs="Times New Roman" w:hint="cs"/>
            <w:rtl/>
          </w:rPr>
          <w:t>‬</w:t>
        </w:r>
        <w:r w:rsidRPr="004A5905">
          <w:rPr>
            <w:rFonts w:cs="Times New Roman" w:hint="cs"/>
            <w:rtl/>
          </w:rPr>
          <w:t>‬</w:t>
        </w:r>
        <w:r w:rsidR="002809DC">
          <w:t>‬</w:t>
        </w:r>
        <w:r w:rsidR="00043E01">
          <w:t>‬</w:t>
        </w:r>
        <w:r w:rsidR="005E6E98">
          <w:t>‬</w:t>
        </w:r>
      </w:dir>
    </w:p>
    <w:p w:rsidR="004A5905" w:rsidRPr="004A5905" w:rsidRDefault="00363DBE" w:rsidP="004A5905">
      <w:pPr>
        <w:pStyle w:val="SingleTxtGA"/>
        <w:rPr>
          <w:rtl/>
          <w:lang w:eastAsia="zh-TW"/>
        </w:rPr>
      </w:pPr>
      <w:r>
        <w:rPr>
          <w:rFonts w:hint="cs"/>
          <w:rtl/>
          <w:lang w:eastAsia="zh-TW"/>
        </w:rPr>
        <w:t>8-1</w:t>
      </w:r>
      <w:r>
        <w:rPr>
          <w:rtl/>
          <w:lang w:eastAsia="zh-TW"/>
        </w:rPr>
        <w:tab/>
      </w:r>
      <w:r w:rsidR="004A5905" w:rsidRPr="004A5905">
        <w:rPr>
          <w:rtl/>
          <w:lang w:eastAsia="zh-TW"/>
        </w:rPr>
        <w:t xml:space="preserve">نظرت اللجنة في القضية في ضوء جميع المعلومات التي قدمها الطرفان </w:t>
      </w:r>
      <w:r w:rsidR="008B5358">
        <w:rPr>
          <w:rtl/>
          <w:lang w:eastAsia="zh-TW"/>
        </w:rPr>
        <w:t>طبقاً</w:t>
      </w:r>
      <w:r w:rsidR="004A5905" w:rsidRPr="004A5905">
        <w:rPr>
          <w:rtl/>
          <w:lang w:eastAsia="zh-TW"/>
        </w:rPr>
        <w:t xml:space="preserve"> لما تنص عليه المادة 5 من البروتوكول الاختياري. </w:t>
      </w:r>
      <w:r w:rsidR="004A5905" w:rsidRPr="004A5905">
        <w:rPr>
          <w:rFonts w:cs="Times New Roman" w:hint="cs"/>
          <w:rtl/>
          <w:lang w:eastAsia="zh-TW"/>
        </w:rPr>
        <w:t>‬</w:t>
      </w:r>
    </w:p>
    <w:p w:rsidR="004A5905" w:rsidRPr="004A5905" w:rsidRDefault="00363DBE" w:rsidP="004A5905">
      <w:pPr>
        <w:pStyle w:val="SingleTxtGA"/>
        <w:rPr>
          <w:rtl/>
          <w:lang w:eastAsia="zh-TW"/>
        </w:rPr>
      </w:pPr>
      <w:r>
        <w:rPr>
          <w:rFonts w:hint="cs"/>
          <w:rtl/>
          <w:lang w:eastAsia="zh-TW"/>
        </w:rPr>
        <w:lastRenderedPageBreak/>
        <w:t>8-2</w:t>
      </w:r>
      <w:r>
        <w:rPr>
          <w:rtl/>
          <w:lang w:eastAsia="zh-TW"/>
        </w:rPr>
        <w:tab/>
      </w:r>
      <w:r w:rsidR="004A5905" w:rsidRPr="004A5905">
        <w:rPr>
          <w:rtl/>
          <w:lang w:eastAsia="zh-TW"/>
        </w:rPr>
        <w:t xml:space="preserve">وتحيط اللجنة </w:t>
      </w:r>
      <w:r w:rsidR="008B5358">
        <w:rPr>
          <w:rtl/>
          <w:lang w:eastAsia="zh-TW"/>
        </w:rPr>
        <w:t>علماً</w:t>
      </w:r>
      <w:r w:rsidR="004A5905" w:rsidRPr="004A5905">
        <w:rPr>
          <w:rtl/>
          <w:lang w:eastAsia="zh-TW"/>
        </w:rPr>
        <w:t xml:space="preserve"> بادعاء صاحب البلاغ بشأن طابع التمييز الذي ينطوي عليه رفض طلبه الحصول على خدمة العرض النصي بالاختزال لكي يتمكن من أداء واجب المحلف، على اعتبار أن هذا الرفض يرقى إلى درجة الحرمان من أحد الترتيبات </w:t>
      </w:r>
      <w:proofErr w:type="spellStart"/>
      <w:r w:rsidR="004A5905" w:rsidRPr="004A5905">
        <w:rPr>
          <w:rtl/>
          <w:lang w:eastAsia="zh-TW"/>
        </w:rPr>
        <w:t>التيسيرية</w:t>
      </w:r>
      <w:proofErr w:type="spellEnd"/>
      <w:r w:rsidR="004A5905" w:rsidRPr="004A5905">
        <w:rPr>
          <w:rtl/>
          <w:lang w:eastAsia="zh-TW"/>
        </w:rPr>
        <w:t xml:space="preserve"> المعقولة، وهو ما يشكل انتهاكا </w:t>
      </w:r>
      <w:r w:rsidR="004A5905" w:rsidRPr="004A5905">
        <w:rPr>
          <w:rFonts w:hint="eastAsia"/>
          <w:rtl/>
          <w:lang w:eastAsia="zh-TW"/>
        </w:rPr>
        <w:t>للمادة</w:t>
      </w:r>
      <w:r w:rsidR="004A5905" w:rsidRPr="004A5905">
        <w:rPr>
          <w:rtl/>
          <w:lang w:eastAsia="zh-TW"/>
        </w:rPr>
        <w:t xml:space="preserve"> 5</w:t>
      </w:r>
      <w:r w:rsidR="006B0B45">
        <w:rPr>
          <w:rtl/>
          <w:lang w:eastAsia="zh-TW"/>
        </w:rPr>
        <w:t>(</w:t>
      </w:r>
      <w:r w:rsidR="004A5905" w:rsidRPr="004A5905">
        <w:rPr>
          <w:rtl/>
          <w:lang w:eastAsia="zh-TW"/>
        </w:rPr>
        <w:t xml:space="preserve">1) و(3) من الاتفاقية. وتحيط اللجنة </w:t>
      </w:r>
      <w:r w:rsidR="008B5358">
        <w:rPr>
          <w:rtl/>
          <w:lang w:eastAsia="zh-TW"/>
        </w:rPr>
        <w:t>علماً</w:t>
      </w:r>
      <w:r w:rsidR="004A5905" w:rsidRPr="004A5905">
        <w:rPr>
          <w:rtl/>
          <w:lang w:eastAsia="zh-TW"/>
        </w:rPr>
        <w:t xml:space="preserve"> كذلك بتأكيد الدولة الطرف عدم حدوث انتهاك لحقوق صاحب البلاغ بموجب المادة 5، لأن القوانين الوطنية ذات الصلة ليست تمييزية ولأن المفاضلة في المعاملة المنصوص عليها في قانون المحلفين، أمر مشروع. وترى الدولة الطرف كذلك أن قوانينها وسياساتها تنص على الترتيبات </w:t>
      </w:r>
      <w:proofErr w:type="spellStart"/>
      <w:r w:rsidR="004A5905" w:rsidRPr="004A5905">
        <w:rPr>
          <w:rtl/>
          <w:lang w:eastAsia="zh-TW"/>
        </w:rPr>
        <w:t>التيسيرية</w:t>
      </w:r>
      <w:proofErr w:type="spellEnd"/>
      <w:r w:rsidR="004A5905" w:rsidRPr="004A5905">
        <w:rPr>
          <w:rtl/>
          <w:lang w:eastAsia="zh-TW"/>
        </w:rPr>
        <w:t xml:space="preserve"> المعقولة </w:t>
      </w:r>
      <w:r w:rsidR="008B5358">
        <w:rPr>
          <w:rtl/>
          <w:lang w:eastAsia="zh-TW"/>
        </w:rPr>
        <w:t>طبقاً</w:t>
      </w:r>
      <w:r w:rsidR="004A5905" w:rsidRPr="004A5905">
        <w:rPr>
          <w:rtl/>
          <w:lang w:eastAsia="zh-TW"/>
        </w:rPr>
        <w:t xml:space="preserve"> لمقتضيات الاتفاقية. </w:t>
      </w:r>
    </w:p>
    <w:p w:rsidR="004A5905" w:rsidRPr="004A5905" w:rsidRDefault="00363DBE" w:rsidP="007A4F0B">
      <w:pPr>
        <w:pStyle w:val="SingleTxtGA"/>
        <w:rPr>
          <w:rtl/>
          <w:lang w:eastAsia="zh-TW"/>
        </w:rPr>
      </w:pPr>
      <w:r>
        <w:rPr>
          <w:rFonts w:hint="cs"/>
          <w:rtl/>
          <w:lang w:eastAsia="zh-TW"/>
        </w:rPr>
        <w:t>8-3</w:t>
      </w:r>
      <w:r>
        <w:rPr>
          <w:rtl/>
          <w:lang w:eastAsia="zh-TW"/>
        </w:rPr>
        <w:tab/>
      </w:r>
      <w:r w:rsidR="004A5905" w:rsidRPr="004A5905">
        <w:rPr>
          <w:rtl/>
          <w:lang w:eastAsia="zh-TW"/>
        </w:rPr>
        <w:t>ويشير تعريف التمييز على أساس الإعاقة الوارد في المادة 2 من الاتفاقية صراحة إلى أنه "يشمل جميع أشكال التمييز، بما في ذلك الحرمان من ترتيبات تيسيرية معقولة". وفي هذه القضية، استدعي صاحب البلاغ ثلاث مرات للمشاركة في أداء واجب المحلف، بما في ذلك استدعاؤه م</w:t>
      </w:r>
      <w:r w:rsidR="004A5905" w:rsidRPr="004A5905">
        <w:rPr>
          <w:rFonts w:hint="eastAsia"/>
          <w:rtl/>
          <w:lang w:eastAsia="zh-TW"/>
        </w:rPr>
        <w:t>رتين</w:t>
      </w:r>
      <w:r w:rsidR="004A5905" w:rsidRPr="004A5905">
        <w:rPr>
          <w:rtl/>
          <w:lang w:eastAsia="zh-TW"/>
        </w:rPr>
        <w:t xml:space="preserve"> بعد أن أعرب عن استعداده للمشاركة في عملية الاختيار على أن توفر له خدمة العرض النصي بالاختزال التي سيحتاج إليها في ذلك. وتلاحظ اللجنة كذلك أن </w:t>
      </w:r>
      <w:proofErr w:type="spellStart"/>
      <w:r w:rsidR="004A5905" w:rsidRPr="004A5905">
        <w:rPr>
          <w:rtl/>
          <w:lang w:eastAsia="zh-TW"/>
        </w:rPr>
        <w:t>والية</w:t>
      </w:r>
      <w:proofErr w:type="spellEnd"/>
      <w:r w:rsidR="004A5905" w:rsidRPr="004A5905">
        <w:rPr>
          <w:rtl/>
          <w:lang w:eastAsia="zh-TW"/>
        </w:rPr>
        <w:t xml:space="preserve"> القضاء أشارت على صاحب البلاغ، عندما رفضت طلبه بشأن توفير خدمة العرض النصي بالاختزال، بتقديم شهادة طبية ت</w:t>
      </w:r>
      <w:r w:rsidR="004A5905" w:rsidRPr="004A5905">
        <w:rPr>
          <w:rFonts w:hint="eastAsia"/>
          <w:rtl/>
          <w:lang w:eastAsia="zh-TW"/>
        </w:rPr>
        <w:t>ثبت</w:t>
      </w:r>
      <w:r w:rsidR="004A5905" w:rsidRPr="004A5905">
        <w:rPr>
          <w:rtl/>
          <w:lang w:eastAsia="zh-TW"/>
        </w:rPr>
        <w:t xml:space="preserve"> أنه أصم، وإلا فرضت عليه غرامة قدرها 100 1 دولار أسترالي لتخلفه عن أداء خدمة المحلف. وبالإضافة إلى ذلك، أبلغ مكتب </w:t>
      </w:r>
      <w:proofErr w:type="spellStart"/>
      <w:r w:rsidR="004A5905" w:rsidRPr="004A5905">
        <w:rPr>
          <w:rtl/>
          <w:lang w:eastAsia="zh-TW"/>
        </w:rPr>
        <w:t>والية</w:t>
      </w:r>
      <w:proofErr w:type="spellEnd"/>
      <w:r w:rsidR="004A5905" w:rsidRPr="004A5905">
        <w:rPr>
          <w:rtl/>
          <w:lang w:eastAsia="zh-TW"/>
        </w:rPr>
        <w:t xml:space="preserve"> القضاء صاحب البلاغ بأنه لا يمكنه أداء واجب المحلف لإصابته بالصمم، واستند إلى المادة 48 من قانون المحلفين لعام 1977 لتعليل رفضه توفير </w:t>
      </w:r>
      <w:r w:rsidR="004A5905" w:rsidRPr="004A5905">
        <w:rPr>
          <w:rFonts w:hint="eastAsia"/>
          <w:rtl/>
          <w:lang w:eastAsia="zh-TW"/>
        </w:rPr>
        <w:t>خدمة</w:t>
      </w:r>
      <w:r w:rsidR="004A5905" w:rsidRPr="004A5905">
        <w:rPr>
          <w:rtl/>
          <w:lang w:eastAsia="zh-TW"/>
        </w:rPr>
        <w:t xml:space="preserve"> العرض النصي بالاختزال، معتبرا أن جلب شخص من غير هيئة محلفين إلى قاعة المداولات يتعارض مع سرية مداولات هيئة المحلفين. </w:t>
      </w:r>
      <w:dir w:val="rtl">
        <w:r w:rsidR="004A5905" w:rsidRPr="004A5905">
          <w:rPr>
            <w:rFonts w:ascii="Traditional Arabic" w:hAnsi="Traditional Arabic" w:hint="cs"/>
            <w:rtl/>
            <w:lang w:eastAsia="zh-TW"/>
          </w:rPr>
          <w:t>وفي</w:t>
        </w:r>
        <w:r w:rsidR="004A5905" w:rsidRPr="004A5905">
          <w:rPr>
            <w:rtl/>
            <w:lang w:eastAsia="zh-TW"/>
          </w:rPr>
          <w:t xml:space="preserve"> </w:t>
        </w:r>
        <w:r w:rsidR="004A5905" w:rsidRPr="004A5905">
          <w:rPr>
            <w:rFonts w:ascii="Traditional Arabic" w:hAnsi="Traditional Arabic" w:hint="cs"/>
            <w:rtl/>
            <w:lang w:eastAsia="zh-TW"/>
          </w:rPr>
          <w:t>هذا</w:t>
        </w:r>
        <w:r w:rsidR="004A5905" w:rsidRPr="004A5905">
          <w:rPr>
            <w:rtl/>
            <w:lang w:eastAsia="zh-TW"/>
          </w:rPr>
          <w:t xml:space="preserve"> </w:t>
        </w:r>
        <w:r w:rsidR="004A5905" w:rsidRPr="004A5905">
          <w:rPr>
            <w:rFonts w:ascii="Traditional Arabic" w:hAnsi="Traditional Arabic" w:hint="cs"/>
            <w:rtl/>
            <w:lang w:eastAsia="zh-TW"/>
          </w:rPr>
          <w:t>ا</w:t>
        </w:r>
        <w:r w:rsidR="004A5905" w:rsidRPr="004A5905">
          <w:rPr>
            <w:rtl/>
            <w:lang w:eastAsia="zh-TW"/>
          </w:rPr>
          <w:t>لصدد، تذكر اللجنة بأن التمييز قد ينجم عن الأثر التمييزي المترتب على قاعدة أو تدبير حيادي في ظاهره أو لا يراد به التمييز، ولك</w:t>
        </w:r>
        <w:r w:rsidR="004A5905" w:rsidRPr="004A5905">
          <w:rPr>
            <w:rFonts w:hint="eastAsia"/>
            <w:rtl/>
            <w:lang w:eastAsia="zh-TW"/>
          </w:rPr>
          <w:t>نه</w:t>
        </w:r>
        <w:r w:rsidR="004A5905" w:rsidRPr="004A5905">
          <w:rPr>
            <w:rtl/>
            <w:lang w:eastAsia="zh-TW"/>
          </w:rPr>
          <w:t xml:space="preserve"> يؤثر بشكل غير متناسب في الأشخاص ذوي الإعاقة</w:t>
        </w:r>
        <w:r w:rsidR="007A4F0B">
          <w:rPr>
            <w:vertAlign w:val="superscript"/>
            <w:rtl/>
            <w:lang w:eastAsia="zh-TW"/>
          </w:rPr>
          <w:t>(</w:t>
        </w:r>
        <w:r w:rsidR="007A4F0B">
          <w:rPr>
            <w:rStyle w:val="FootnoteReference"/>
            <w:rtl/>
            <w:lang w:eastAsia="zh-TW"/>
          </w:rPr>
          <w:footnoteReference w:id="43"/>
        </w:r>
        <w:r w:rsidR="007A4F0B">
          <w:rPr>
            <w:vertAlign w:val="superscript"/>
            <w:rtl/>
            <w:lang w:eastAsia="zh-TW"/>
          </w:rPr>
          <w:t>)</w:t>
        </w:r>
        <w:r w:rsidR="004A5905" w:rsidRPr="004A5905">
          <w:rPr>
            <w:rtl/>
            <w:lang w:eastAsia="zh-TW"/>
          </w:rPr>
          <w:t>.</w:t>
        </w:r>
        <w:r>
          <w:rPr>
            <w:rtl/>
            <w:lang w:eastAsia="zh-TW"/>
          </w:rPr>
          <w:t xml:space="preserve"> </w:t>
        </w:r>
        <w:r w:rsidR="004A5905" w:rsidRPr="004A5905">
          <w:rPr>
            <w:rFonts w:ascii="Traditional Arabic" w:hAnsi="Traditional Arabic" w:hint="cs"/>
            <w:rtl/>
            <w:lang w:eastAsia="zh-TW"/>
          </w:rPr>
          <w:t>وعلاوة</w:t>
        </w:r>
        <w:r w:rsidR="004A5905" w:rsidRPr="004A5905">
          <w:rPr>
            <w:rtl/>
            <w:lang w:eastAsia="zh-TW"/>
          </w:rPr>
          <w:t xml:space="preserve"> </w:t>
        </w:r>
        <w:r w:rsidR="004A5905" w:rsidRPr="004A5905">
          <w:rPr>
            <w:rFonts w:ascii="Traditional Arabic" w:hAnsi="Traditional Arabic" w:hint="cs"/>
            <w:rtl/>
            <w:lang w:eastAsia="zh-TW"/>
          </w:rPr>
          <w:t>على</w:t>
        </w:r>
        <w:r w:rsidR="004A5905" w:rsidRPr="004A5905">
          <w:rPr>
            <w:rtl/>
            <w:lang w:eastAsia="zh-TW"/>
          </w:rPr>
          <w:t xml:space="preserve"> </w:t>
        </w:r>
        <w:r w:rsidR="004A5905" w:rsidRPr="004A5905">
          <w:rPr>
            <w:rFonts w:ascii="Traditional Arabic" w:hAnsi="Traditional Arabic" w:hint="cs"/>
            <w:rtl/>
            <w:lang w:eastAsia="zh-TW"/>
          </w:rPr>
          <w:t>ذلك،</w:t>
        </w:r>
        <w:r w:rsidR="004A5905" w:rsidRPr="004A5905">
          <w:rPr>
            <w:rtl/>
            <w:lang w:eastAsia="zh-TW"/>
          </w:rPr>
          <w:t xml:space="preserve"> </w:t>
        </w:r>
        <w:r w:rsidR="004A5905" w:rsidRPr="004A5905">
          <w:rPr>
            <w:rFonts w:ascii="Traditional Arabic" w:hAnsi="Traditional Arabic" w:hint="cs"/>
            <w:rtl/>
            <w:lang w:eastAsia="zh-TW"/>
          </w:rPr>
          <w:t>يجب</w:t>
        </w:r>
        <w:r w:rsidR="004A5905" w:rsidRPr="004A5905">
          <w:rPr>
            <w:rtl/>
            <w:lang w:eastAsia="zh-TW"/>
          </w:rPr>
          <w:t xml:space="preserve"> </w:t>
        </w:r>
        <w:r w:rsidR="004A5905" w:rsidRPr="004A5905">
          <w:rPr>
            <w:rFonts w:ascii="Traditional Arabic" w:hAnsi="Traditional Arabic" w:hint="cs"/>
            <w:rtl/>
            <w:lang w:eastAsia="zh-TW"/>
          </w:rPr>
          <w:t>على</w:t>
        </w:r>
        <w:r w:rsidR="004A5905" w:rsidRPr="004A5905">
          <w:rPr>
            <w:rtl/>
            <w:lang w:eastAsia="zh-TW"/>
          </w:rPr>
          <w:t xml:space="preserve"> </w:t>
        </w:r>
        <w:r w:rsidR="004A5905" w:rsidRPr="004A5905">
          <w:rPr>
            <w:rFonts w:ascii="Traditional Arabic" w:hAnsi="Traditional Arabic" w:hint="cs"/>
            <w:rtl/>
            <w:lang w:eastAsia="zh-TW"/>
          </w:rPr>
          <w:t>الدول</w:t>
        </w:r>
        <w:r w:rsidR="004A5905" w:rsidRPr="004A5905">
          <w:rPr>
            <w:rtl/>
            <w:lang w:eastAsia="zh-TW"/>
          </w:rPr>
          <w:t xml:space="preserve"> </w:t>
        </w:r>
        <w:r w:rsidR="004A5905" w:rsidRPr="004A5905">
          <w:rPr>
            <w:rFonts w:ascii="Traditional Arabic" w:hAnsi="Traditional Arabic" w:hint="cs"/>
            <w:rtl/>
            <w:lang w:eastAsia="zh-TW"/>
          </w:rPr>
          <w:t>الأطراف</w:t>
        </w:r>
        <w:r w:rsidR="004A5905" w:rsidRPr="004A5905">
          <w:rPr>
            <w:rtl/>
            <w:lang w:eastAsia="zh-TW"/>
          </w:rPr>
          <w:t xml:space="preserve"> </w:t>
        </w:r>
        <w:r w:rsidR="004A5905" w:rsidRPr="004A5905">
          <w:rPr>
            <w:rFonts w:ascii="Traditional Arabic" w:hAnsi="Traditional Arabic" w:hint="cs"/>
            <w:rtl/>
            <w:lang w:eastAsia="zh-TW"/>
          </w:rPr>
          <w:t>بموجب</w:t>
        </w:r>
        <w:r w:rsidR="004A5905" w:rsidRPr="004A5905">
          <w:rPr>
            <w:rtl/>
            <w:lang w:eastAsia="zh-TW"/>
          </w:rPr>
          <w:t xml:space="preserve"> </w:t>
        </w:r>
        <w:r w:rsidR="004A5905" w:rsidRPr="004A5905">
          <w:rPr>
            <w:rFonts w:ascii="Traditional Arabic" w:hAnsi="Traditional Arabic" w:hint="cs"/>
            <w:rtl/>
            <w:lang w:eastAsia="zh-TW"/>
          </w:rPr>
          <w:t>المادة</w:t>
        </w:r>
        <w:r>
          <w:rPr>
            <w:rtl/>
            <w:lang w:eastAsia="zh-TW"/>
          </w:rPr>
          <w:t xml:space="preserve"> 5</w:t>
        </w:r>
        <w:r w:rsidR="004A5905" w:rsidRPr="004A5905">
          <w:rPr>
            <w:rtl/>
            <w:lang w:eastAsia="zh-TW"/>
          </w:rPr>
          <w:t>(1)</w:t>
        </w:r>
        <w:r w:rsidR="004A5905" w:rsidRPr="004A5905">
          <w:rPr>
            <w:rFonts w:ascii="Traditional Arabic" w:hAnsi="Traditional Arabic" w:hint="cs"/>
            <w:rtl/>
            <w:lang w:eastAsia="zh-TW"/>
          </w:rPr>
          <w:t>،</w:t>
        </w:r>
        <w:r w:rsidR="004A5905" w:rsidRPr="004A5905">
          <w:rPr>
            <w:rtl/>
            <w:lang w:eastAsia="zh-TW"/>
          </w:rPr>
          <w:t xml:space="preserve"> </w:t>
        </w:r>
        <w:r w:rsidR="004A5905" w:rsidRPr="004A5905">
          <w:rPr>
            <w:rFonts w:ascii="Traditional Arabic" w:hAnsi="Traditional Arabic" w:hint="cs"/>
            <w:rtl/>
            <w:lang w:eastAsia="zh-TW"/>
          </w:rPr>
          <w:t>أن</w:t>
        </w:r>
        <w:r w:rsidR="004A5905" w:rsidRPr="004A5905">
          <w:rPr>
            <w:rtl/>
            <w:lang w:eastAsia="zh-TW"/>
          </w:rPr>
          <w:t xml:space="preserve"> </w:t>
        </w:r>
        <w:r w:rsidR="004A5905" w:rsidRPr="004A5905">
          <w:rPr>
            <w:rFonts w:ascii="Traditional Arabic" w:hAnsi="Traditional Arabic" w:hint="cs"/>
            <w:rtl/>
            <w:lang w:eastAsia="zh-TW"/>
          </w:rPr>
          <w:t>تحرص</w:t>
        </w:r>
        <w:r w:rsidR="004A5905" w:rsidRPr="004A5905">
          <w:rPr>
            <w:rtl/>
            <w:lang w:eastAsia="zh-TW"/>
          </w:rPr>
          <w:t xml:space="preserve"> </w:t>
        </w:r>
        <w:r w:rsidR="004A5905" w:rsidRPr="004A5905">
          <w:rPr>
            <w:rFonts w:ascii="Traditional Arabic" w:hAnsi="Traditional Arabic" w:hint="cs"/>
            <w:rtl/>
            <w:lang w:eastAsia="zh-TW"/>
          </w:rPr>
          <w:t>على</w:t>
        </w:r>
        <w:r w:rsidR="004A5905" w:rsidRPr="004A5905">
          <w:rPr>
            <w:rtl/>
            <w:lang w:eastAsia="zh-TW"/>
          </w:rPr>
          <w:t xml:space="preserve"> </w:t>
        </w:r>
        <w:r w:rsidR="004A5905" w:rsidRPr="004A5905">
          <w:rPr>
            <w:rFonts w:ascii="Traditional Arabic" w:hAnsi="Traditional Arabic" w:hint="cs"/>
            <w:rtl/>
            <w:lang w:eastAsia="zh-TW"/>
          </w:rPr>
          <w:t>أن</w:t>
        </w:r>
        <w:r w:rsidR="004A5905" w:rsidRPr="004A5905">
          <w:rPr>
            <w:rtl/>
            <w:lang w:eastAsia="zh-TW"/>
          </w:rPr>
          <w:t xml:space="preserve"> </w:t>
        </w:r>
        <w:r w:rsidR="004A5905" w:rsidRPr="004A5905">
          <w:rPr>
            <w:rFonts w:ascii="Traditional Arabic" w:hAnsi="Traditional Arabic" w:hint="cs"/>
            <w:rtl/>
            <w:lang w:eastAsia="zh-TW"/>
          </w:rPr>
          <w:t>يكون</w:t>
        </w:r>
        <w:r w:rsidR="004A5905" w:rsidRPr="004A5905">
          <w:rPr>
            <w:rtl/>
            <w:lang w:eastAsia="zh-TW"/>
          </w:rPr>
          <w:t xml:space="preserve"> </w:t>
        </w:r>
        <w:r w:rsidR="004A5905" w:rsidRPr="004A5905">
          <w:rPr>
            <w:rFonts w:ascii="Traditional Arabic" w:hAnsi="Traditional Arabic" w:hint="cs"/>
            <w:rtl/>
            <w:lang w:eastAsia="zh-TW"/>
          </w:rPr>
          <w:t>جميع</w:t>
        </w:r>
        <w:r w:rsidR="004A5905" w:rsidRPr="004A5905">
          <w:rPr>
            <w:rtl/>
            <w:lang w:eastAsia="zh-TW"/>
          </w:rPr>
          <w:t xml:space="preserve"> الأشخاص متساوين أمام القانون وبمقتضاه ولهم الحق دون أي تمييز وعلى قدم المساواة في الحماية والفائدة اللتين يوفرهما القانون، </w:t>
        </w:r>
        <w:r w:rsidR="004A5905" w:rsidRPr="004A5905">
          <w:rPr>
            <w:rFonts w:hint="eastAsia"/>
            <w:rtl/>
            <w:lang w:eastAsia="zh-TW"/>
          </w:rPr>
          <w:t>ويجب</w:t>
        </w:r>
        <w:r w:rsidR="004A5905" w:rsidRPr="004A5905">
          <w:rPr>
            <w:rtl/>
            <w:lang w:eastAsia="zh-TW"/>
          </w:rPr>
          <w:t xml:space="preserve"> عل</w:t>
        </w:r>
        <w:r>
          <w:rPr>
            <w:rtl/>
            <w:lang w:eastAsia="zh-TW"/>
          </w:rPr>
          <w:t>ى الدول الأطراف، بموجب المادة</w:t>
        </w:r>
        <w:r>
          <w:rPr>
            <w:rFonts w:hint="cs"/>
            <w:rtl/>
            <w:lang w:eastAsia="zh-TW"/>
          </w:rPr>
          <w:t> </w:t>
        </w:r>
        <w:r>
          <w:rPr>
            <w:rtl/>
            <w:lang w:eastAsia="zh-TW"/>
          </w:rPr>
          <w:t>5</w:t>
        </w:r>
        <w:r w:rsidR="004A5905" w:rsidRPr="004A5905">
          <w:rPr>
            <w:rtl/>
            <w:lang w:eastAsia="zh-TW"/>
          </w:rPr>
          <w:t xml:space="preserve">(3) أن تتخذ جميع الخطوات المناسبة لكفالة توافر الترتيبات </w:t>
        </w:r>
        <w:proofErr w:type="spellStart"/>
        <w:r w:rsidR="004A5905" w:rsidRPr="004A5905">
          <w:rPr>
            <w:rtl/>
            <w:lang w:eastAsia="zh-TW"/>
          </w:rPr>
          <w:t>التيسيرية</w:t>
        </w:r>
        <w:proofErr w:type="spellEnd"/>
        <w:r w:rsidR="004A5905" w:rsidRPr="004A5905">
          <w:rPr>
            <w:rtl/>
            <w:lang w:eastAsia="zh-TW"/>
          </w:rPr>
          <w:t xml:space="preserve"> المعقولة سعياً لتعزيز المساواة والقضاء على التمييز.</w:t>
        </w:r>
        <w:r w:rsidR="004A5905" w:rsidRPr="004A5905">
          <w:rPr>
            <w:rFonts w:cs="Times New Roman" w:hint="cs"/>
            <w:rtl/>
            <w:lang w:eastAsia="zh-TW"/>
          </w:rPr>
          <w:t>‬</w:t>
        </w:r>
        <w:r w:rsidR="004A5905" w:rsidRPr="004A5905">
          <w:rPr>
            <w:rFonts w:cs="Times New Roman" w:hint="cs"/>
            <w:rtl/>
            <w:lang w:eastAsia="zh-TW"/>
          </w:rPr>
          <w:t>‬</w:t>
        </w:r>
        <w:r>
          <w:rPr>
            <w:rFonts w:cs="Times New Roman" w:hint="cs"/>
            <w:rtl/>
            <w:lang w:eastAsia="zh-TW"/>
          </w:rPr>
          <w:t xml:space="preserve"> </w:t>
        </w:r>
        <w:r w:rsidR="002809DC">
          <w:t>‬</w:t>
        </w:r>
        <w:r w:rsidR="00043E01">
          <w:t>‬</w:t>
        </w:r>
        <w:r w:rsidR="005E6E98">
          <w:t>‬</w:t>
        </w:r>
      </w:dir>
    </w:p>
    <w:p w:rsidR="004A5905" w:rsidRPr="004A5905" w:rsidRDefault="00363DBE" w:rsidP="004A5905">
      <w:pPr>
        <w:pStyle w:val="SingleTxtGA"/>
        <w:rPr>
          <w:rtl/>
          <w:lang w:eastAsia="zh-TW"/>
        </w:rPr>
      </w:pPr>
      <w:r>
        <w:rPr>
          <w:rFonts w:hint="cs"/>
          <w:rtl/>
          <w:lang w:eastAsia="zh-TW"/>
        </w:rPr>
        <w:t>8-4</w:t>
      </w:r>
      <w:r>
        <w:rPr>
          <w:rtl/>
          <w:lang w:eastAsia="zh-TW"/>
        </w:rPr>
        <w:tab/>
      </w:r>
      <w:dir w:val="rtl">
        <w:r w:rsidR="004A5905" w:rsidRPr="004A5905">
          <w:rPr>
            <w:rFonts w:ascii="Traditional Arabic" w:hAnsi="Traditional Arabic" w:hint="cs"/>
            <w:rtl/>
            <w:lang w:eastAsia="zh-TW"/>
          </w:rPr>
          <w:t>وفي</w:t>
        </w:r>
        <w:r w:rsidR="004A5905" w:rsidRPr="004A5905">
          <w:rPr>
            <w:rtl/>
            <w:lang w:eastAsia="zh-TW"/>
          </w:rPr>
          <w:t xml:space="preserve"> </w:t>
        </w:r>
        <w:r w:rsidR="004A5905" w:rsidRPr="004A5905">
          <w:rPr>
            <w:rFonts w:ascii="Traditional Arabic" w:hAnsi="Traditional Arabic" w:hint="cs"/>
            <w:rtl/>
            <w:lang w:eastAsia="zh-TW"/>
          </w:rPr>
          <w:t>هذا</w:t>
        </w:r>
        <w:r w:rsidR="004A5905" w:rsidRPr="004A5905">
          <w:rPr>
            <w:rtl/>
            <w:lang w:eastAsia="zh-TW"/>
          </w:rPr>
          <w:t xml:space="preserve"> </w:t>
        </w:r>
        <w:r w:rsidR="004A5905" w:rsidRPr="004A5905">
          <w:rPr>
            <w:rFonts w:ascii="Traditional Arabic" w:hAnsi="Traditional Arabic" w:hint="cs"/>
            <w:rtl/>
            <w:lang w:eastAsia="zh-TW"/>
          </w:rPr>
          <w:t>الصدد،</w:t>
        </w:r>
        <w:r w:rsidR="004A5905" w:rsidRPr="004A5905">
          <w:rPr>
            <w:rtl/>
            <w:lang w:eastAsia="zh-TW"/>
          </w:rPr>
          <w:t xml:space="preserve"> </w:t>
        </w:r>
        <w:r w:rsidR="004A5905" w:rsidRPr="004A5905">
          <w:rPr>
            <w:rFonts w:ascii="Traditional Arabic" w:hAnsi="Traditional Arabic" w:hint="cs"/>
            <w:rtl/>
            <w:lang w:eastAsia="zh-TW"/>
          </w:rPr>
          <w:t>تذكر</w:t>
        </w:r>
        <w:r w:rsidR="004A5905" w:rsidRPr="004A5905">
          <w:rPr>
            <w:rtl/>
            <w:lang w:eastAsia="zh-TW"/>
          </w:rPr>
          <w:t xml:space="preserve"> </w:t>
        </w:r>
        <w:r w:rsidR="004A5905" w:rsidRPr="004A5905">
          <w:rPr>
            <w:rFonts w:ascii="Traditional Arabic" w:hAnsi="Traditional Arabic" w:hint="cs"/>
            <w:rtl/>
            <w:lang w:eastAsia="zh-TW"/>
          </w:rPr>
          <w:t>اللجنة</w:t>
        </w:r>
        <w:r w:rsidR="004A5905" w:rsidRPr="004A5905">
          <w:rPr>
            <w:rtl/>
            <w:lang w:eastAsia="zh-TW"/>
          </w:rPr>
          <w:t xml:space="preserve"> </w:t>
        </w:r>
        <w:r w:rsidR="004A5905" w:rsidRPr="004A5905">
          <w:rPr>
            <w:rFonts w:ascii="Traditional Arabic" w:hAnsi="Traditional Arabic" w:hint="cs"/>
            <w:rtl/>
            <w:lang w:eastAsia="zh-TW"/>
          </w:rPr>
          <w:t>بأن</w:t>
        </w:r>
        <w:r w:rsidR="004A5905" w:rsidRPr="004A5905">
          <w:rPr>
            <w:rtl/>
            <w:lang w:eastAsia="zh-TW"/>
          </w:rPr>
          <w:t xml:space="preserve"> </w:t>
        </w:r>
        <w:r w:rsidR="004A5905" w:rsidRPr="004A5905">
          <w:rPr>
            <w:rFonts w:ascii="Traditional Arabic" w:hAnsi="Traditional Arabic" w:hint="cs"/>
            <w:rtl/>
            <w:lang w:eastAsia="zh-TW"/>
          </w:rPr>
          <w:t>المادة</w:t>
        </w:r>
        <w:r w:rsidR="004A5905" w:rsidRPr="004A5905">
          <w:rPr>
            <w:rtl/>
            <w:lang w:eastAsia="zh-TW"/>
          </w:rPr>
          <w:t xml:space="preserve"> 2 </w:t>
        </w:r>
        <w:r w:rsidR="004A5905" w:rsidRPr="004A5905">
          <w:rPr>
            <w:rFonts w:ascii="Traditional Arabic" w:hAnsi="Traditional Arabic" w:hint="cs"/>
            <w:rtl/>
            <w:lang w:eastAsia="zh-TW"/>
          </w:rPr>
          <w:t>من</w:t>
        </w:r>
        <w:r w:rsidR="004A5905" w:rsidRPr="004A5905">
          <w:rPr>
            <w:rtl/>
            <w:lang w:eastAsia="zh-TW"/>
          </w:rPr>
          <w:t xml:space="preserve"> </w:t>
        </w:r>
        <w:r w:rsidR="004A5905" w:rsidRPr="004A5905">
          <w:rPr>
            <w:rFonts w:ascii="Traditional Arabic" w:hAnsi="Traditional Arabic" w:hint="cs"/>
            <w:rtl/>
            <w:lang w:eastAsia="zh-TW"/>
          </w:rPr>
          <w:t>الاتفاقية</w:t>
        </w:r>
        <w:r w:rsidR="004A5905" w:rsidRPr="004A5905">
          <w:rPr>
            <w:rtl/>
            <w:lang w:eastAsia="zh-TW"/>
          </w:rPr>
          <w:t xml:space="preserve"> </w:t>
        </w:r>
        <w:r w:rsidR="004A5905" w:rsidRPr="004A5905">
          <w:rPr>
            <w:rFonts w:ascii="Traditional Arabic" w:hAnsi="Traditional Arabic" w:hint="cs"/>
            <w:rtl/>
            <w:lang w:eastAsia="zh-TW"/>
          </w:rPr>
          <w:t>تنص</w:t>
        </w:r>
        <w:r w:rsidR="004A5905" w:rsidRPr="004A5905">
          <w:rPr>
            <w:rtl/>
            <w:lang w:eastAsia="zh-TW"/>
          </w:rPr>
          <w:t xml:space="preserve"> </w:t>
        </w:r>
        <w:r w:rsidR="004A5905" w:rsidRPr="004A5905">
          <w:rPr>
            <w:rFonts w:ascii="Traditional Arabic" w:hAnsi="Traditional Arabic" w:hint="cs"/>
            <w:rtl/>
            <w:lang w:eastAsia="zh-TW"/>
          </w:rPr>
          <w:t>على</w:t>
        </w:r>
        <w:r w:rsidR="004A5905" w:rsidRPr="004A5905">
          <w:rPr>
            <w:rtl/>
            <w:lang w:eastAsia="zh-TW"/>
          </w:rPr>
          <w:t xml:space="preserve"> </w:t>
        </w:r>
        <w:r w:rsidR="004A5905" w:rsidRPr="004A5905">
          <w:rPr>
            <w:rFonts w:ascii="Traditional Arabic" w:hAnsi="Traditional Arabic" w:hint="cs"/>
            <w:rtl/>
            <w:lang w:eastAsia="zh-TW"/>
          </w:rPr>
          <w:t>أن</w:t>
        </w:r>
        <w:r w:rsidR="004A5905" w:rsidRPr="004A5905">
          <w:rPr>
            <w:rtl/>
            <w:lang w:eastAsia="zh-TW"/>
          </w:rPr>
          <w:t xml:space="preserve"> "</w:t>
        </w:r>
        <w:r w:rsidR="004A5905" w:rsidRPr="004A5905">
          <w:rPr>
            <w:rFonts w:ascii="Traditional Arabic" w:hAnsi="Traditional Arabic" w:hint="cs"/>
            <w:rtl/>
            <w:lang w:eastAsia="zh-TW"/>
          </w:rPr>
          <w:t>الترتيبات</w:t>
        </w:r>
        <w:r w:rsidR="004A5905" w:rsidRPr="004A5905">
          <w:rPr>
            <w:rtl/>
            <w:lang w:eastAsia="zh-TW"/>
          </w:rPr>
          <w:t xml:space="preserve"> </w:t>
        </w:r>
        <w:proofErr w:type="spellStart"/>
        <w:r w:rsidR="004A5905" w:rsidRPr="004A5905">
          <w:rPr>
            <w:rFonts w:ascii="Traditional Arabic" w:hAnsi="Traditional Arabic" w:hint="cs"/>
            <w:rtl/>
            <w:lang w:eastAsia="zh-TW"/>
          </w:rPr>
          <w:t>التيسيرية</w:t>
        </w:r>
        <w:proofErr w:type="spellEnd"/>
        <w:r w:rsidR="004A5905" w:rsidRPr="004A5905">
          <w:rPr>
            <w:rtl/>
            <w:lang w:eastAsia="zh-TW"/>
          </w:rPr>
          <w:t xml:space="preserve"> </w:t>
        </w:r>
        <w:r w:rsidR="004A5905" w:rsidRPr="004A5905">
          <w:rPr>
            <w:rFonts w:ascii="Traditional Arabic" w:hAnsi="Traditional Arabic" w:hint="cs"/>
            <w:rtl/>
            <w:lang w:eastAsia="zh-TW"/>
          </w:rPr>
          <w:t>المعقولة</w:t>
        </w:r>
        <w:r w:rsidR="004A5905" w:rsidRPr="004A5905">
          <w:rPr>
            <w:rtl/>
            <w:lang w:eastAsia="zh-TW"/>
          </w:rPr>
          <w:t xml:space="preserve">" </w:t>
        </w:r>
        <w:r w:rsidR="004A5905" w:rsidRPr="004A5905">
          <w:rPr>
            <w:rFonts w:ascii="Traditional Arabic" w:hAnsi="Traditional Arabic" w:hint="cs"/>
            <w:rtl/>
            <w:lang w:eastAsia="zh-TW"/>
          </w:rPr>
          <w:t>تعني</w:t>
        </w:r>
        <w:r w:rsidR="004A5905" w:rsidRPr="004A5905">
          <w:rPr>
            <w:rtl/>
            <w:lang w:eastAsia="zh-TW"/>
          </w:rPr>
          <w:t xml:space="preserve"> </w:t>
        </w:r>
        <w:r w:rsidR="004A5905" w:rsidRPr="004A5905">
          <w:rPr>
            <w:rFonts w:ascii="Traditional Arabic" w:hAnsi="Traditional Arabic" w:hint="cs"/>
            <w:rtl/>
            <w:lang w:eastAsia="zh-TW"/>
          </w:rPr>
          <w:t>التعديلات</w:t>
        </w:r>
        <w:r w:rsidR="004A5905" w:rsidRPr="004A5905">
          <w:rPr>
            <w:rtl/>
            <w:lang w:eastAsia="zh-TW"/>
          </w:rPr>
          <w:t xml:space="preserve"> </w:t>
        </w:r>
        <w:r w:rsidR="004A5905" w:rsidRPr="004A5905">
          <w:rPr>
            <w:rFonts w:ascii="Traditional Arabic" w:hAnsi="Traditional Arabic" w:hint="cs"/>
            <w:rtl/>
            <w:lang w:eastAsia="zh-TW"/>
          </w:rPr>
          <w:t>والترتيبات</w:t>
        </w:r>
        <w:r w:rsidR="004A5905" w:rsidRPr="004A5905">
          <w:rPr>
            <w:rtl/>
            <w:lang w:eastAsia="zh-TW"/>
          </w:rPr>
          <w:t xml:space="preserve"> </w:t>
        </w:r>
        <w:r w:rsidR="004A5905" w:rsidRPr="004A5905">
          <w:rPr>
            <w:rFonts w:ascii="Traditional Arabic" w:hAnsi="Traditional Arabic" w:hint="cs"/>
            <w:rtl/>
            <w:lang w:eastAsia="zh-TW"/>
          </w:rPr>
          <w:t>اللازمة</w:t>
        </w:r>
        <w:r w:rsidR="004A5905" w:rsidRPr="004A5905">
          <w:rPr>
            <w:rtl/>
            <w:lang w:eastAsia="zh-TW"/>
          </w:rPr>
          <w:t xml:space="preserve"> </w:t>
        </w:r>
        <w:r w:rsidR="004A5905" w:rsidRPr="004A5905">
          <w:rPr>
            <w:rFonts w:ascii="Traditional Arabic" w:hAnsi="Traditional Arabic" w:hint="cs"/>
            <w:rtl/>
            <w:lang w:eastAsia="zh-TW"/>
          </w:rPr>
          <w:t>والمناسبة</w:t>
        </w:r>
        <w:r w:rsidR="004A5905" w:rsidRPr="004A5905">
          <w:rPr>
            <w:rtl/>
            <w:lang w:eastAsia="zh-TW"/>
          </w:rPr>
          <w:t xml:space="preserve"> </w:t>
        </w:r>
        <w:r w:rsidR="004A5905" w:rsidRPr="004A5905">
          <w:rPr>
            <w:rFonts w:ascii="Traditional Arabic" w:hAnsi="Traditional Arabic" w:hint="cs"/>
            <w:rtl/>
            <w:lang w:eastAsia="zh-TW"/>
          </w:rPr>
          <w:t>التي</w:t>
        </w:r>
        <w:r w:rsidR="004A5905" w:rsidRPr="004A5905">
          <w:rPr>
            <w:rtl/>
            <w:lang w:eastAsia="zh-TW"/>
          </w:rPr>
          <w:t xml:space="preserve"> </w:t>
        </w:r>
        <w:r w:rsidR="004A5905" w:rsidRPr="004A5905">
          <w:rPr>
            <w:rFonts w:ascii="Traditional Arabic" w:hAnsi="Traditional Arabic" w:hint="cs"/>
            <w:rtl/>
            <w:lang w:eastAsia="zh-TW"/>
          </w:rPr>
          <w:t>لا</w:t>
        </w:r>
        <w:r w:rsidR="004A5905" w:rsidRPr="004A5905">
          <w:rPr>
            <w:rtl/>
            <w:lang w:eastAsia="zh-TW"/>
          </w:rPr>
          <w:t xml:space="preserve"> </w:t>
        </w:r>
        <w:r w:rsidR="004A5905" w:rsidRPr="004A5905">
          <w:rPr>
            <w:rFonts w:ascii="Traditional Arabic" w:hAnsi="Traditional Arabic" w:hint="cs"/>
            <w:rtl/>
            <w:lang w:eastAsia="zh-TW"/>
          </w:rPr>
          <w:t>تفرض</w:t>
        </w:r>
        <w:r w:rsidR="004A5905" w:rsidRPr="004A5905">
          <w:rPr>
            <w:rtl/>
            <w:lang w:eastAsia="zh-TW"/>
          </w:rPr>
          <w:t xml:space="preserve"> </w:t>
        </w:r>
        <w:r w:rsidR="004A5905" w:rsidRPr="004A5905">
          <w:rPr>
            <w:rFonts w:ascii="Traditional Arabic" w:hAnsi="Traditional Arabic" w:hint="cs"/>
            <w:rtl/>
            <w:lang w:eastAsia="zh-TW"/>
          </w:rPr>
          <w:t>عبئا</w:t>
        </w:r>
        <w:r w:rsidR="004A5905" w:rsidRPr="004A5905">
          <w:rPr>
            <w:rtl/>
            <w:lang w:eastAsia="zh-TW"/>
          </w:rPr>
          <w:t xml:space="preserve"> </w:t>
        </w:r>
        <w:r w:rsidR="004A5905" w:rsidRPr="004A5905">
          <w:rPr>
            <w:rFonts w:ascii="Traditional Arabic" w:hAnsi="Traditional Arabic" w:hint="cs"/>
            <w:rtl/>
            <w:lang w:eastAsia="zh-TW"/>
          </w:rPr>
          <w:t>غير</w:t>
        </w:r>
        <w:r w:rsidR="004A5905" w:rsidRPr="004A5905">
          <w:rPr>
            <w:rtl/>
            <w:lang w:eastAsia="zh-TW"/>
          </w:rPr>
          <w:t xml:space="preserve"> </w:t>
        </w:r>
        <w:r w:rsidR="004A5905" w:rsidRPr="004A5905">
          <w:rPr>
            <w:rFonts w:ascii="Traditional Arabic" w:hAnsi="Traditional Arabic" w:hint="cs"/>
            <w:rtl/>
            <w:lang w:eastAsia="zh-TW"/>
          </w:rPr>
          <w:t>متناسب</w:t>
        </w:r>
        <w:r w:rsidR="004A5905" w:rsidRPr="004A5905">
          <w:rPr>
            <w:rtl/>
            <w:lang w:eastAsia="zh-TW"/>
          </w:rPr>
          <w:t xml:space="preserve"> </w:t>
        </w:r>
        <w:r w:rsidR="004A5905" w:rsidRPr="004A5905">
          <w:rPr>
            <w:rFonts w:ascii="Traditional Arabic" w:hAnsi="Traditional Arabic" w:hint="cs"/>
            <w:rtl/>
            <w:lang w:eastAsia="zh-TW"/>
          </w:rPr>
          <w:t>أو</w:t>
        </w:r>
        <w:r w:rsidR="004A5905" w:rsidRPr="004A5905">
          <w:rPr>
            <w:rtl/>
            <w:lang w:eastAsia="zh-TW"/>
          </w:rPr>
          <w:t xml:space="preserve"> </w:t>
        </w:r>
        <w:r w:rsidR="004A5905" w:rsidRPr="004A5905">
          <w:rPr>
            <w:rFonts w:ascii="Traditional Arabic" w:hAnsi="Traditional Arabic" w:hint="cs"/>
            <w:rtl/>
            <w:lang w:eastAsia="zh-TW"/>
          </w:rPr>
          <w:t>غير</w:t>
        </w:r>
        <w:r w:rsidR="004A5905" w:rsidRPr="004A5905">
          <w:rPr>
            <w:rtl/>
            <w:lang w:eastAsia="zh-TW"/>
          </w:rPr>
          <w:t xml:space="preserve"> </w:t>
        </w:r>
        <w:r w:rsidR="004A5905" w:rsidRPr="004A5905">
          <w:rPr>
            <w:rFonts w:ascii="Traditional Arabic" w:hAnsi="Traditional Arabic" w:hint="cs"/>
            <w:rtl/>
            <w:lang w:eastAsia="zh-TW"/>
          </w:rPr>
          <w:t>ضروري،</w:t>
        </w:r>
        <w:r w:rsidR="004A5905" w:rsidRPr="004A5905">
          <w:rPr>
            <w:rtl/>
            <w:lang w:eastAsia="zh-TW"/>
          </w:rPr>
          <w:t xml:space="preserve"> </w:t>
        </w:r>
        <w:r w:rsidR="004A5905" w:rsidRPr="004A5905">
          <w:rPr>
            <w:rFonts w:ascii="Traditional Arabic" w:hAnsi="Traditional Arabic" w:hint="cs"/>
            <w:rtl/>
            <w:lang w:eastAsia="zh-TW"/>
          </w:rPr>
          <w:t>لكفالة</w:t>
        </w:r>
        <w:r w:rsidR="004A5905" w:rsidRPr="004A5905">
          <w:rPr>
            <w:rtl/>
            <w:lang w:eastAsia="zh-TW"/>
          </w:rPr>
          <w:t xml:space="preserve"> </w:t>
        </w:r>
        <w:r w:rsidR="004A5905" w:rsidRPr="004A5905">
          <w:rPr>
            <w:rFonts w:ascii="Traditional Arabic" w:hAnsi="Traditional Arabic" w:hint="cs"/>
            <w:rtl/>
            <w:lang w:eastAsia="zh-TW"/>
          </w:rPr>
          <w:t>تمتع</w:t>
        </w:r>
        <w:r w:rsidR="004A5905" w:rsidRPr="004A5905">
          <w:rPr>
            <w:rtl/>
            <w:lang w:eastAsia="zh-TW"/>
          </w:rPr>
          <w:t xml:space="preserve"> </w:t>
        </w:r>
        <w:r w:rsidR="004A5905" w:rsidRPr="004A5905">
          <w:rPr>
            <w:rFonts w:ascii="Traditional Arabic" w:hAnsi="Traditional Arabic" w:hint="cs"/>
            <w:rtl/>
            <w:lang w:eastAsia="zh-TW"/>
          </w:rPr>
          <w:t>الأشخاص</w:t>
        </w:r>
        <w:r w:rsidR="004A5905" w:rsidRPr="004A5905">
          <w:rPr>
            <w:rtl/>
            <w:lang w:eastAsia="zh-TW"/>
          </w:rPr>
          <w:t xml:space="preserve"> </w:t>
        </w:r>
        <w:r w:rsidR="004A5905" w:rsidRPr="004A5905">
          <w:rPr>
            <w:rFonts w:ascii="Traditional Arabic" w:hAnsi="Traditional Arabic" w:hint="cs"/>
            <w:rtl/>
            <w:lang w:eastAsia="zh-TW"/>
          </w:rPr>
          <w:t>ذوي</w:t>
        </w:r>
        <w:r w:rsidR="004A5905" w:rsidRPr="004A5905">
          <w:rPr>
            <w:rtl/>
            <w:lang w:eastAsia="zh-TW"/>
          </w:rPr>
          <w:t xml:space="preserve"> </w:t>
        </w:r>
        <w:r w:rsidR="004A5905" w:rsidRPr="004A5905">
          <w:rPr>
            <w:rFonts w:ascii="Traditional Arabic" w:hAnsi="Traditional Arabic" w:hint="cs"/>
            <w:rtl/>
            <w:lang w:eastAsia="zh-TW"/>
          </w:rPr>
          <w:t>الإعاقة</w:t>
        </w:r>
        <w:r w:rsidR="004A5905" w:rsidRPr="004A5905">
          <w:rPr>
            <w:rtl/>
            <w:lang w:eastAsia="zh-TW"/>
          </w:rPr>
          <w:t xml:space="preserve"> </w:t>
        </w:r>
        <w:r w:rsidR="004A5905" w:rsidRPr="004A5905">
          <w:rPr>
            <w:rFonts w:ascii="Traditional Arabic" w:hAnsi="Traditional Arabic" w:hint="cs"/>
            <w:rtl/>
            <w:lang w:eastAsia="zh-TW"/>
          </w:rPr>
          <w:t>على</w:t>
        </w:r>
        <w:r w:rsidR="004A5905" w:rsidRPr="004A5905">
          <w:rPr>
            <w:rtl/>
            <w:lang w:eastAsia="zh-TW"/>
          </w:rPr>
          <w:t xml:space="preserve"> </w:t>
        </w:r>
        <w:r w:rsidR="004A5905" w:rsidRPr="004A5905">
          <w:rPr>
            <w:rFonts w:ascii="Traditional Arabic" w:hAnsi="Traditional Arabic" w:hint="cs"/>
            <w:rtl/>
            <w:lang w:eastAsia="zh-TW"/>
          </w:rPr>
          <w:t>أساس</w:t>
        </w:r>
        <w:r w:rsidR="004A5905" w:rsidRPr="004A5905">
          <w:rPr>
            <w:rtl/>
            <w:lang w:eastAsia="zh-TW"/>
          </w:rPr>
          <w:t xml:space="preserve"> المساواة مع الآخرين بجميع </w:t>
        </w:r>
        <w:r w:rsidR="004A5905" w:rsidRPr="004A5905">
          <w:rPr>
            <w:rtl/>
            <w:lang w:eastAsia="zh-TW"/>
          </w:rPr>
          <w:lastRenderedPageBreak/>
          <w:t>حق</w:t>
        </w:r>
        <w:r w:rsidR="004A5905" w:rsidRPr="004A5905">
          <w:rPr>
            <w:rFonts w:hint="eastAsia"/>
            <w:rtl/>
            <w:lang w:eastAsia="zh-TW"/>
          </w:rPr>
          <w:t>وق</w:t>
        </w:r>
        <w:r w:rsidR="004A5905" w:rsidRPr="004A5905">
          <w:rPr>
            <w:rtl/>
            <w:lang w:eastAsia="zh-TW"/>
          </w:rPr>
          <w:t xml:space="preserve"> الإنسان والحريات الأساسية وممارستها</w:t>
        </w:r>
        <w:r w:rsidR="007A4F0B">
          <w:rPr>
            <w:vertAlign w:val="superscript"/>
            <w:rtl/>
            <w:lang w:eastAsia="zh-TW"/>
          </w:rPr>
          <w:t>(</w:t>
        </w:r>
        <w:r w:rsidR="007A4F0B">
          <w:rPr>
            <w:rStyle w:val="FootnoteReference"/>
            <w:rtl/>
            <w:lang w:eastAsia="zh-TW"/>
          </w:rPr>
          <w:footnoteReference w:id="44"/>
        </w:r>
        <w:r w:rsidR="007A4F0B">
          <w:rPr>
            <w:vertAlign w:val="superscript"/>
            <w:rtl/>
            <w:lang w:eastAsia="zh-TW"/>
          </w:rPr>
          <w:t>)</w:t>
        </w:r>
        <w:r w:rsidR="004A5905" w:rsidRPr="004A5905">
          <w:rPr>
            <w:rtl/>
            <w:lang w:eastAsia="zh-TW"/>
          </w:rPr>
          <w:t>.</w:t>
        </w:r>
        <w:r w:rsidR="004A5905" w:rsidRPr="004A5905">
          <w:rPr>
            <w:rFonts w:cs="Times New Roman" w:hint="cs"/>
            <w:rtl/>
            <w:lang w:eastAsia="zh-TW"/>
          </w:rPr>
          <w:t>‬</w:t>
        </w:r>
        <w:r w:rsidR="004A5905" w:rsidRPr="004A5905">
          <w:rPr>
            <w:rtl/>
            <w:lang w:eastAsia="zh-TW"/>
          </w:rPr>
          <w:t xml:space="preserve"> </w:t>
        </w:r>
        <w:r w:rsidR="004A5905" w:rsidRPr="004A5905">
          <w:rPr>
            <w:rFonts w:ascii="Traditional Arabic" w:hAnsi="Traditional Arabic" w:hint="cs"/>
            <w:rtl/>
            <w:lang w:eastAsia="zh-TW"/>
          </w:rPr>
          <w:t>وترى</w:t>
        </w:r>
        <w:r w:rsidR="004A5905" w:rsidRPr="004A5905">
          <w:rPr>
            <w:rtl/>
            <w:lang w:eastAsia="zh-TW"/>
          </w:rPr>
          <w:t xml:space="preserve"> </w:t>
        </w:r>
        <w:r w:rsidR="004A5905" w:rsidRPr="004A5905">
          <w:rPr>
            <w:rFonts w:ascii="Traditional Arabic" w:hAnsi="Traditional Arabic" w:hint="cs"/>
            <w:rtl/>
            <w:lang w:eastAsia="zh-TW"/>
          </w:rPr>
          <w:t>اللجنة</w:t>
        </w:r>
        <w:r w:rsidR="004A5905" w:rsidRPr="004A5905">
          <w:rPr>
            <w:rtl/>
            <w:lang w:eastAsia="zh-TW"/>
          </w:rPr>
          <w:t xml:space="preserve"> </w:t>
        </w:r>
        <w:r w:rsidR="004A5905" w:rsidRPr="004A5905">
          <w:rPr>
            <w:rFonts w:ascii="Traditional Arabic" w:hAnsi="Traditional Arabic" w:hint="cs"/>
            <w:rtl/>
            <w:lang w:eastAsia="zh-TW"/>
          </w:rPr>
          <w:t>أن</w:t>
        </w:r>
        <w:r w:rsidR="004A5905" w:rsidRPr="004A5905">
          <w:rPr>
            <w:rtl/>
            <w:lang w:eastAsia="zh-TW"/>
          </w:rPr>
          <w:t xml:space="preserve"> </w:t>
        </w:r>
        <w:r w:rsidR="004A5905" w:rsidRPr="004A5905">
          <w:rPr>
            <w:rFonts w:ascii="Traditional Arabic" w:hAnsi="Traditional Arabic" w:hint="cs"/>
            <w:rtl/>
            <w:lang w:eastAsia="zh-TW"/>
          </w:rPr>
          <w:t>الدول</w:t>
        </w:r>
        <w:r w:rsidR="004A5905" w:rsidRPr="004A5905">
          <w:rPr>
            <w:rtl/>
            <w:lang w:eastAsia="zh-TW"/>
          </w:rPr>
          <w:t xml:space="preserve"> </w:t>
        </w:r>
        <w:r w:rsidR="004A5905" w:rsidRPr="004A5905">
          <w:rPr>
            <w:rFonts w:ascii="Traditional Arabic" w:hAnsi="Traditional Arabic" w:hint="cs"/>
            <w:rtl/>
            <w:lang w:eastAsia="zh-TW"/>
          </w:rPr>
          <w:t>الأطراف</w:t>
        </w:r>
        <w:r w:rsidR="004A5905" w:rsidRPr="004A5905">
          <w:rPr>
            <w:rtl/>
            <w:lang w:eastAsia="zh-TW"/>
          </w:rPr>
          <w:t xml:space="preserve"> </w:t>
        </w:r>
        <w:r w:rsidR="004A5905" w:rsidRPr="004A5905">
          <w:rPr>
            <w:rFonts w:ascii="Traditional Arabic" w:hAnsi="Traditional Arabic" w:hint="cs"/>
            <w:rtl/>
            <w:lang w:eastAsia="zh-TW"/>
          </w:rPr>
          <w:t>تتمتع،</w:t>
        </w:r>
        <w:r w:rsidR="004A5905" w:rsidRPr="004A5905">
          <w:rPr>
            <w:rtl/>
            <w:lang w:eastAsia="zh-TW"/>
          </w:rPr>
          <w:t xml:space="preserve"> </w:t>
        </w:r>
        <w:r w:rsidR="004A5905" w:rsidRPr="004A5905">
          <w:rPr>
            <w:rFonts w:ascii="Traditional Arabic" w:hAnsi="Traditional Arabic" w:hint="cs"/>
            <w:rtl/>
            <w:lang w:eastAsia="zh-TW"/>
          </w:rPr>
          <w:t>لدى</w:t>
        </w:r>
        <w:r w:rsidR="004A5905" w:rsidRPr="004A5905">
          <w:rPr>
            <w:rtl/>
            <w:lang w:eastAsia="zh-TW"/>
          </w:rPr>
          <w:t xml:space="preserve"> </w:t>
        </w:r>
        <w:r w:rsidR="004A5905" w:rsidRPr="004A5905">
          <w:rPr>
            <w:rFonts w:ascii="Traditional Arabic" w:hAnsi="Traditional Arabic" w:hint="cs"/>
            <w:rtl/>
            <w:lang w:eastAsia="zh-TW"/>
          </w:rPr>
          <w:t>تقييم</w:t>
        </w:r>
        <w:r w:rsidR="004A5905" w:rsidRPr="004A5905">
          <w:rPr>
            <w:rtl/>
            <w:lang w:eastAsia="zh-TW"/>
          </w:rPr>
          <w:t xml:space="preserve"> </w:t>
        </w:r>
        <w:r w:rsidR="004A5905" w:rsidRPr="004A5905">
          <w:rPr>
            <w:rFonts w:ascii="Traditional Arabic" w:hAnsi="Traditional Arabic" w:hint="cs"/>
            <w:rtl/>
            <w:lang w:eastAsia="zh-TW"/>
          </w:rPr>
          <w:t>معقولية</w:t>
        </w:r>
        <w:r w:rsidR="004A5905" w:rsidRPr="004A5905">
          <w:rPr>
            <w:rtl/>
            <w:lang w:eastAsia="zh-TW"/>
          </w:rPr>
          <w:t xml:space="preserve"> </w:t>
        </w:r>
        <w:r w:rsidR="004A5905" w:rsidRPr="004A5905">
          <w:rPr>
            <w:rFonts w:ascii="Traditional Arabic" w:hAnsi="Traditional Arabic" w:hint="cs"/>
            <w:rtl/>
            <w:lang w:eastAsia="zh-TW"/>
          </w:rPr>
          <w:t>التدابير</w:t>
        </w:r>
        <w:r w:rsidR="004A5905" w:rsidRPr="004A5905">
          <w:rPr>
            <w:rtl/>
            <w:lang w:eastAsia="zh-TW"/>
          </w:rPr>
          <w:t xml:space="preserve"> </w:t>
        </w:r>
        <w:proofErr w:type="spellStart"/>
        <w:r w:rsidR="004A5905" w:rsidRPr="004A5905">
          <w:rPr>
            <w:rFonts w:ascii="Traditional Arabic" w:hAnsi="Traditional Arabic" w:hint="cs"/>
            <w:rtl/>
            <w:lang w:eastAsia="zh-TW"/>
          </w:rPr>
          <w:t>التيسيرية</w:t>
        </w:r>
        <w:proofErr w:type="spellEnd"/>
        <w:r w:rsidR="004A5905" w:rsidRPr="004A5905">
          <w:rPr>
            <w:rtl/>
            <w:lang w:eastAsia="zh-TW"/>
          </w:rPr>
          <w:t xml:space="preserve"> </w:t>
        </w:r>
        <w:r w:rsidR="004A5905" w:rsidRPr="004A5905">
          <w:rPr>
            <w:rFonts w:ascii="Traditional Arabic" w:hAnsi="Traditional Arabic" w:hint="cs"/>
            <w:rtl/>
            <w:lang w:eastAsia="zh-TW"/>
          </w:rPr>
          <w:t>وتناسبها،</w:t>
        </w:r>
        <w:r w:rsidR="004A5905" w:rsidRPr="004A5905">
          <w:rPr>
            <w:rtl/>
            <w:lang w:eastAsia="zh-TW"/>
          </w:rPr>
          <w:t xml:space="preserve"> </w:t>
        </w:r>
        <w:r w:rsidR="004A5905" w:rsidRPr="004A5905">
          <w:rPr>
            <w:rFonts w:ascii="Traditional Arabic" w:hAnsi="Traditional Arabic" w:hint="cs"/>
            <w:rtl/>
            <w:lang w:eastAsia="zh-TW"/>
          </w:rPr>
          <w:t>بهامش</w:t>
        </w:r>
        <w:r w:rsidR="004A5905" w:rsidRPr="004A5905">
          <w:rPr>
            <w:rtl/>
            <w:lang w:eastAsia="zh-TW"/>
          </w:rPr>
          <w:t xml:space="preserve"> </w:t>
        </w:r>
        <w:r w:rsidR="004A5905" w:rsidRPr="004A5905">
          <w:rPr>
            <w:rFonts w:ascii="Traditional Arabic" w:hAnsi="Traditional Arabic" w:hint="cs"/>
            <w:rtl/>
            <w:lang w:eastAsia="zh-TW"/>
          </w:rPr>
          <w:t>تقدير</w:t>
        </w:r>
        <w:r w:rsidR="004A5905" w:rsidRPr="004A5905">
          <w:rPr>
            <w:rtl/>
            <w:lang w:eastAsia="zh-TW"/>
          </w:rPr>
          <w:t xml:space="preserve"> </w:t>
        </w:r>
        <w:r w:rsidR="004A5905" w:rsidRPr="004A5905">
          <w:rPr>
            <w:rFonts w:ascii="Traditional Arabic" w:hAnsi="Traditional Arabic" w:hint="cs"/>
            <w:rtl/>
            <w:lang w:eastAsia="zh-TW"/>
          </w:rPr>
          <w:t>معين</w:t>
        </w:r>
        <w:r w:rsidR="007A4F0B">
          <w:rPr>
            <w:rFonts w:ascii="Traditional Arabic" w:hAnsi="Traditional Arabic"/>
            <w:vertAlign w:val="superscript"/>
            <w:rtl/>
            <w:lang w:eastAsia="zh-TW"/>
          </w:rPr>
          <w:t>(</w:t>
        </w:r>
        <w:r w:rsidR="007A4F0B">
          <w:rPr>
            <w:rStyle w:val="FootnoteReference"/>
            <w:rtl/>
            <w:lang w:eastAsia="zh-TW"/>
          </w:rPr>
          <w:footnoteReference w:id="45"/>
        </w:r>
        <w:r w:rsidR="007A4F0B">
          <w:rPr>
            <w:rFonts w:ascii="Traditional Arabic" w:hAnsi="Traditional Arabic"/>
            <w:vertAlign w:val="superscript"/>
            <w:rtl/>
            <w:lang w:eastAsia="zh-TW"/>
          </w:rPr>
          <w:t>)</w:t>
        </w:r>
        <w:r w:rsidR="004A5905" w:rsidRPr="004A5905">
          <w:rPr>
            <w:rtl/>
            <w:lang w:eastAsia="zh-TW"/>
          </w:rPr>
          <w:t>.</w:t>
        </w:r>
        <w:r w:rsidR="004A5905" w:rsidRPr="004A5905">
          <w:rPr>
            <w:rFonts w:cs="Times New Roman" w:hint="cs"/>
            <w:rtl/>
            <w:lang w:eastAsia="zh-TW"/>
          </w:rPr>
          <w:t>‬</w:t>
        </w:r>
        <w:r w:rsidR="006B0B45">
          <w:rPr>
            <w:rtl/>
            <w:lang w:eastAsia="zh-TW"/>
          </w:rPr>
          <w:t xml:space="preserve"> </w:t>
        </w:r>
        <w:r w:rsidR="004A5905" w:rsidRPr="004A5905">
          <w:rPr>
            <w:rFonts w:ascii="Traditional Arabic" w:hAnsi="Traditional Arabic" w:hint="cs"/>
            <w:rtl/>
            <w:lang w:eastAsia="zh-TW"/>
          </w:rPr>
          <w:t>ومع</w:t>
        </w:r>
        <w:r w:rsidR="004A5905" w:rsidRPr="004A5905">
          <w:rPr>
            <w:rtl/>
            <w:lang w:eastAsia="zh-TW"/>
          </w:rPr>
          <w:t xml:space="preserve"> </w:t>
        </w:r>
        <w:r w:rsidR="004A5905" w:rsidRPr="004A5905">
          <w:rPr>
            <w:rFonts w:ascii="Traditional Arabic" w:hAnsi="Traditional Arabic" w:hint="cs"/>
            <w:rtl/>
            <w:lang w:eastAsia="zh-TW"/>
          </w:rPr>
          <w:t>ذلك،</w:t>
        </w:r>
        <w:r w:rsidR="004A5905" w:rsidRPr="004A5905">
          <w:rPr>
            <w:rtl/>
            <w:lang w:eastAsia="zh-TW"/>
          </w:rPr>
          <w:t xml:space="preserve"> </w:t>
        </w:r>
        <w:r w:rsidR="004A5905" w:rsidRPr="004A5905">
          <w:rPr>
            <w:rFonts w:ascii="Traditional Arabic" w:hAnsi="Traditional Arabic" w:hint="cs"/>
            <w:rtl/>
            <w:lang w:eastAsia="zh-TW"/>
          </w:rPr>
          <w:t>يجب</w:t>
        </w:r>
        <w:r w:rsidR="004A5905" w:rsidRPr="004A5905">
          <w:rPr>
            <w:rtl/>
            <w:lang w:eastAsia="zh-TW"/>
          </w:rPr>
          <w:t xml:space="preserve"> </w:t>
        </w:r>
        <w:r w:rsidR="004A5905" w:rsidRPr="004A5905">
          <w:rPr>
            <w:rFonts w:ascii="Traditional Arabic" w:hAnsi="Traditional Arabic" w:hint="cs"/>
            <w:rtl/>
            <w:lang w:eastAsia="zh-TW"/>
          </w:rPr>
          <w:t>على</w:t>
        </w:r>
        <w:r w:rsidR="004A5905" w:rsidRPr="004A5905">
          <w:rPr>
            <w:rtl/>
            <w:lang w:eastAsia="zh-TW"/>
          </w:rPr>
          <w:t xml:space="preserve"> </w:t>
        </w:r>
        <w:r w:rsidR="004A5905" w:rsidRPr="004A5905">
          <w:rPr>
            <w:rFonts w:ascii="Traditional Arabic" w:hAnsi="Traditional Arabic" w:hint="cs"/>
            <w:rtl/>
            <w:lang w:eastAsia="zh-TW"/>
          </w:rPr>
          <w:t>الدول</w:t>
        </w:r>
        <w:r w:rsidR="004A5905" w:rsidRPr="004A5905">
          <w:rPr>
            <w:rtl/>
            <w:lang w:eastAsia="zh-TW"/>
          </w:rPr>
          <w:t xml:space="preserve"> </w:t>
        </w:r>
        <w:r w:rsidR="004A5905" w:rsidRPr="004A5905">
          <w:rPr>
            <w:rFonts w:ascii="Traditional Arabic" w:hAnsi="Traditional Arabic" w:hint="cs"/>
            <w:rtl/>
            <w:lang w:eastAsia="zh-TW"/>
          </w:rPr>
          <w:t>الأطراف</w:t>
        </w:r>
        <w:r w:rsidR="004A5905" w:rsidRPr="004A5905">
          <w:rPr>
            <w:rtl/>
            <w:lang w:eastAsia="zh-TW"/>
          </w:rPr>
          <w:t xml:space="preserve"> </w:t>
        </w:r>
        <w:r w:rsidR="004A5905" w:rsidRPr="004A5905">
          <w:rPr>
            <w:rFonts w:ascii="Traditional Arabic" w:hAnsi="Traditional Arabic" w:hint="cs"/>
            <w:rtl/>
            <w:lang w:eastAsia="zh-TW"/>
          </w:rPr>
          <w:t>أن</w:t>
        </w:r>
        <w:r w:rsidR="004A5905" w:rsidRPr="004A5905">
          <w:rPr>
            <w:rtl/>
            <w:lang w:eastAsia="zh-TW"/>
          </w:rPr>
          <w:t xml:space="preserve"> </w:t>
        </w:r>
        <w:r w:rsidR="004A5905" w:rsidRPr="004A5905">
          <w:rPr>
            <w:rFonts w:ascii="Traditional Arabic" w:hAnsi="Traditional Arabic" w:hint="cs"/>
            <w:rtl/>
            <w:lang w:eastAsia="zh-TW"/>
          </w:rPr>
          <w:t>تحرص</w:t>
        </w:r>
        <w:r w:rsidR="004A5905" w:rsidRPr="004A5905">
          <w:rPr>
            <w:rtl/>
            <w:lang w:eastAsia="zh-TW"/>
          </w:rPr>
          <w:t xml:space="preserve"> </w:t>
        </w:r>
        <w:r w:rsidR="004A5905" w:rsidRPr="004A5905">
          <w:rPr>
            <w:rFonts w:ascii="Traditional Arabic" w:hAnsi="Traditional Arabic" w:hint="cs"/>
            <w:rtl/>
            <w:lang w:eastAsia="zh-TW"/>
          </w:rPr>
          <w:t>على</w:t>
        </w:r>
        <w:r w:rsidR="004A5905" w:rsidRPr="004A5905">
          <w:rPr>
            <w:rtl/>
            <w:lang w:eastAsia="zh-TW"/>
          </w:rPr>
          <w:t xml:space="preserve"> </w:t>
        </w:r>
        <w:r w:rsidR="004A5905" w:rsidRPr="004A5905">
          <w:rPr>
            <w:rFonts w:ascii="Traditional Arabic" w:hAnsi="Traditional Arabic" w:hint="cs"/>
            <w:rtl/>
            <w:lang w:eastAsia="zh-TW"/>
          </w:rPr>
          <w:t>إجراء</w:t>
        </w:r>
        <w:r w:rsidR="004A5905" w:rsidRPr="004A5905">
          <w:rPr>
            <w:rtl/>
            <w:lang w:eastAsia="zh-TW"/>
          </w:rPr>
          <w:t xml:space="preserve"> </w:t>
        </w:r>
        <w:r w:rsidR="004A5905" w:rsidRPr="004A5905">
          <w:rPr>
            <w:rFonts w:ascii="Traditional Arabic" w:hAnsi="Traditional Arabic" w:hint="cs"/>
            <w:rtl/>
            <w:lang w:eastAsia="zh-TW"/>
          </w:rPr>
          <w:t>هذا</w:t>
        </w:r>
        <w:r w:rsidR="004A5905" w:rsidRPr="004A5905">
          <w:rPr>
            <w:rtl/>
            <w:lang w:eastAsia="zh-TW"/>
          </w:rPr>
          <w:t xml:space="preserve"> </w:t>
        </w:r>
        <w:r w:rsidR="004A5905" w:rsidRPr="004A5905">
          <w:rPr>
            <w:rFonts w:ascii="Traditional Arabic" w:hAnsi="Traditional Arabic" w:hint="cs"/>
            <w:rtl/>
            <w:lang w:eastAsia="zh-TW"/>
          </w:rPr>
          <w:t>التقييم</w:t>
        </w:r>
        <w:r w:rsidR="004A5905" w:rsidRPr="004A5905">
          <w:rPr>
            <w:rtl/>
            <w:lang w:eastAsia="zh-TW"/>
          </w:rPr>
          <w:t xml:space="preserve"> </w:t>
        </w:r>
        <w:r w:rsidR="004A5905" w:rsidRPr="004A5905">
          <w:rPr>
            <w:rFonts w:ascii="Traditional Arabic" w:hAnsi="Traditional Arabic" w:hint="cs"/>
            <w:rtl/>
            <w:lang w:eastAsia="zh-TW"/>
          </w:rPr>
          <w:t>بطريقة</w:t>
        </w:r>
        <w:r w:rsidR="004A5905" w:rsidRPr="004A5905">
          <w:rPr>
            <w:rtl/>
            <w:lang w:eastAsia="zh-TW"/>
          </w:rPr>
          <w:t xml:space="preserve"> </w:t>
        </w:r>
        <w:r w:rsidR="004A5905" w:rsidRPr="004A5905">
          <w:rPr>
            <w:rFonts w:ascii="Traditional Arabic" w:hAnsi="Traditional Arabic" w:hint="cs"/>
            <w:rtl/>
            <w:lang w:eastAsia="zh-TW"/>
          </w:rPr>
          <w:t>معمقة</w:t>
        </w:r>
        <w:r w:rsidR="004A5905" w:rsidRPr="004A5905">
          <w:rPr>
            <w:rtl/>
            <w:lang w:eastAsia="zh-TW"/>
          </w:rPr>
          <w:t xml:space="preserve"> </w:t>
        </w:r>
        <w:r w:rsidR="004A5905" w:rsidRPr="004A5905">
          <w:rPr>
            <w:rFonts w:ascii="Traditional Arabic" w:hAnsi="Traditional Arabic" w:hint="cs"/>
            <w:rtl/>
            <w:lang w:eastAsia="zh-TW"/>
          </w:rPr>
          <w:t>وموضوعية،</w:t>
        </w:r>
        <w:r w:rsidR="004A5905" w:rsidRPr="004A5905">
          <w:rPr>
            <w:rtl/>
            <w:lang w:eastAsia="zh-TW"/>
          </w:rPr>
          <w:t xml:space="preserve"> تشمل جميع العناصر ذات الصلة</w:t>
        </w:r>
        <w:r w:rsidR="004A5905" w:rsidRPr="004A5905">
          <w:rPr>
            <w:rFonts w:hint="eastAsia"/>
            <w:rtl/>
            <w:lang w:eastAsia="zh-TW"/>
          </w:rPr>
          <w:t>،</w:t>
        </w:r>
        <w:r w:rsidR="004A5905" w:rsidRPr="004A5905">
          <w:rPr>
            <w:rtl/>
            <w:lang w:eastAsia="zh-TW"/>
          </w:rPr>
          <w:t xml:space="preserve"> قبل أن تستنتج أن تدابير الدعم والتكييف تلك ستشكل عبئا</w:t>
        </w:r>
        <w:r w:rsidR="006B0B45">
          <w:rPr>
            <w:rFonts w:hint="cs"/>
            <w:rtl/>
            <w:lang w:eastAsia="zh-TW"/>
          </w:rPr>
          <w:t>ً</w:t>
        </w:r>
        <w:r w:rsidR="004A5905" w:rsidRPr="004A5905">
          <w:rPr>
            <w:rtl/>
            <w:lang w:eastAsia="zh-TW"/>
          </w:rPr>
          <w:t xml:space="preserve"> غير متناسب أو غير ضروري بالنسبة للدولة الطرف</w:t>
        </w:r>
        <w:r w:rsidR="007A4F0B">
          <w:rPr>
            <w:vertAlign w:val="superscript"/>
            <w:rtl/>
            <w:lang w:eastAsia="zh-TW"/>
          </w:rPr>
          <w:t>(</w:t>
        </w:r>
        <w:r w:rsidR="007A4F0B">
          <w:rPr>
            <w:rStyle w:val="FootnoteReference"/>
            <w:rtl/>
            <w:lang w:eastAsia="zh-TW"/>
          </w:rPr>
          <w:footnoteReference w:id="46"/>
        </w:r>
        <w:r w:rsidR="007A4F0B">
          <w:rPr>
            <w:vertAlign w:val="superscript"/>
            <w:rtl/>
            <w:lang w:eastAsia="zh-TW"/>
          </w:rPr>
          <w:t>)</w:t>
        </w:r>
        <w:r w:rsidR="004A5905" w:rsidRPr="004A5905">
          <w:rPr>
            <w:rtl/>
            <w:lang w:eastAsia="zh-TW"/>
          </w:rPr>
          <w:t>.</w:t>
        </w:r>
        <w:r w:rsidR="006B0B45">
          <w:rPr>
            <w:rtl/>
            <w:lang w:eastAsia="zh-TW"/>
          </w:rPr>
          <w:t xml:space="preserve"> </w:t>
        </w:r>
        <w:r w:rsidR="004A5905" w:rsidRPr="004A5905">
          <w:rPr>
            <w:rFonts w:cs="Times New Roman" w:hint="cs"/>
            <w:rtl/>
            <w:lang w:eastAsia="zh-TW"/>
          </w:rPr>
          <w:t>‬</w:t>
        </w:r>
        <w:r w:rsidR="004A5905" w:rsidRPr="004A5905">
          <w:rPr>
            <w:rFonts w:cs="Times New Roman" w:hint="cs"/>
            <w:rtl/>
            <w:lang w:eastAsia="zh-TW"/>
          </w:rPr>
          <w:t>‬</w:t>
        </w:r>
        <w:r w:rsidR="002809DC">
          <w:t>‬</w:t>
        </w:r>
        <w:r w:rsidR="00043E01">
          <w:t>‬</w:t>
        </w:r>
        <w:r w:rsidR="005E6E98">
          <w:t>‬</w:t>
        </w:r>
      </w:dir>
    </w:p>
    <w:p w:rsidR="004A5905" w:rsidRPr="004A5905" w:rsidRDefault="00363DBE" w:rsidP="00363DBE">
      <w:pPr>
        <w:pStyle w:val="SingleTxtGA"/>
        <w:rPr>
          <w:rtl/>
          <w:lang w:eastAsia="zh-TW"/>
        </w:rPr>
      </w:pPr>
      <w:r>
        <w:rPr>
          <w:rFonts w:hint="cs"/>
          <w:rtl/>
          <w:lang w:eastAsia="zh-TW"/>
        </w:rPr>
        <w:t>8-5</w:t>
      </w:r>
      <w:r>
        <w:rPr>
          <w:rtl/>
          <w:lang w:eastAsia="zh-TW"/>
        </w:rPr>
        <w:tab/>
      </w:r>
      <w:r w:rsidR="004A5905" w:rsidRPr="004A5905">
        <w:rPr>
          <w:rtl/>
          <w:lang w:eastAsia="zh-TW"/>
        </w:rPr>
        <w:t>وفي هذه القضية، تلاحظ اللجنة أن الترتيبات التي توفرها الدولة الطرف للأشخاص المصابين بإعاقة سمعية لن تمكن صاح</w:t>
      </w:r>
      <w:r w:rsidR="004A5905" w:rsidRPr="006B0B45">
        <w:rPr>
          <w:rtl/>
        </w:rPr>
        <w:t>ب</w:t>
      </w:r>
      <w:r w:rsidR="004A5905" w:rsidRPr="004A5905">
        <w:rPr>
          <w:rtl/>
          <w:lang w:eastAsia="zh-TW"/>
        </w:rPr>
        <w:t xml:space="preserve"> البلاغ من المشاركة في هيئة محلفين على قدم المساواة مع الآخرين. وتلاحظ اللجنة </w:t>
      </w:r>
      <w:r w:rsidR="008B5358">
        <w:rPr>
          <w:rtl/>
          <w:lang w:eastAsia="zh-TW"/>
        </w:rPr>
        <w:t>أيضاً</w:t>
      </w:r>
      <w:r w:rsidR="004A5905" w:rsidRPr="004A5905">
        <w:rPr>
          <w:rtl/>
          <w:lang w:eastAsia="zh-TW"/>
        </w:rPr>
        <w:t xml:space="preserve"> أن الدولة الطرف تدعي أن الاستعانة بكاتب اختزال يؤثر على المح</w:t>
      </w:r>
      <w:r w:rsidR="004A5905" w:rsidRPr="004A5905">
        <w:rPr>
          <w:rFonts w:hint="eastAsia"/>
          <w:rtl/>
          <w:lang w:eastAsia="zh-TW"/>
        </w:rPr>
        <w:t>اكمات</w:t>
      </w:r>
      <w:r w:rsidR="004A5905" w:rsidRPr="004A5905">
        <w:rPr>
          <w:rtl/>
          <w:lang w:eastAsia="zh-TW"/>
        </w:rPr>
        <w:t xml:space="preserve"> من حيث تعقيدها وتكلفتها ومدتها، لكنها لا توفر أية بيانات أو تحليلات تثبت أن ذلك سيشكل عبئا غير متناسب أو غير ضروري. وعلاوة على ذلك، فإن احترام مبدأ سرية مداولات هيئة المحلفين أمر واجب، لكن الدولة الطرف لا تقدم أية حجة تبرر عدم إجراء أي ترتيب، من قبيل إتاحة إمكانية أداء يمين خاصة أمام المحكمة، لكي يتسنى للشخص الذي يقدم خدمة العرض النصي بالاختزال أداء مهامه دون التأثير على سرية مداولات هيئة المحلفين. وتلاحظ اللجنة أخيرا، أن العرض النصي بالاختزال ليس بدعة، وأن بعض القضاة والمدعين العامين الذين يعانون من </w:t>
      </w:r>
      <w:r w:rsidR="004A5905" w:rsidRPr="004A5905">
        <w:rPr>
          <w:rFonts w:hint="eastAsia"/>
          <w:rtl/>
          <w:lang w:eastAsia="zh-TW"/>
        </w:rPr>
        <w:t>إعاقة</w:t>
      </w:r>
      <w:r w:rsidR="004A5905" w:rsidRPr="004A5905">
        <w:rPr>
          <w:rtl/>
          <w:lang w:eastAsia="zh-TW"/>
        </w:rPr>
        <w:t xml:space="preserve"> سمعية يؤدون بالفعل مهامهم اليومي</w:t>
      </w:r>
      <w:r w:rsidR="006B0B45">
        <w:rPr>
          <w:rtl/>
          <w:lang w:eastAsia="zh-TW"/>
        </w:rPr>
        <w:t>ة بفضل هذا النوع من الترتيبات</w:t>
      </w:r>
      <w:r w:rsidR="007A4F0B">
        <w:rPr>
          <w:vertAlign w:val="superscript"/>
          <w:rtl/>
          <w:lang w:eastAsia="zh-TW"/>
        </w:rPr>
        <w:t>(</w:t>
      </w:r>
      <w:r w:rsidR="007A4F0B">
        <w:rPr>
          <w:rStyle w:val="FootnoteReference"/>
          <w:rtl/>
          <w:lang w:eastAsia="zh-TW"/>
        </w:rPr>
        <w:footnoteReference w:id="47"/>
      </w:r>
      <w:r w:rsidR="007A4F0B">
        <w:rPr>
          <w:vertAlign w:val="superscript"/>
          <w:rtl/>
          <w:lang w:eastAsia="zh-TW"/>
        </w:rPr>
        <w:t>)</w:t>
      </w:r>
      <w:r w:rsidR="006B0B45">
        <w:rPr>
          <w:rtl/>
          <w:lang w:eastAsia="zh-TW"/>
        </w:rPr>
        <w:t xml:space="preserve">. </w:t>
      </w:r>
      <w:r w:rsidR="004A5905" w:rsidRPr="004A5905">
        <w:rPr>
          <w:rtl/>
          <w:lang w:eastAsia="zh-TW"/>
        </w:rPr>
        <w:t>ولذلك، فإن اللجنة ترى، استنادا</w:t>
      </w:r>
      <w:r w:rsidR="002809DC">
        <w:rPr>
          <w:rFonts w:hint="cs"/>
          <w:rtl/>
          <w:lang w:eastAsia="zh-TW"/>
        </w:rPr>
        <w:t>ً</w:t>
      </w:r>
      <w:r w:rsidR="004A5905" w:rsidRPr="004A5905">
        <w:rPr>
          <w:rtl/>
          <w:lang w:eastAsia="zh-TW"/>
        </w:rPr>
        <w:t xml:space="preserve"> إلى المعلومات المعروضة عليها، أن الدولة الطرف لم تتخذ التدابير اللازمة لضمان توافر ترتيبات تيسيرية معقولة لصاحب البلاغ، وتخلص إلى أن رفض توفير خدمة العرض ا</w:t>
      </w:r>
      <w:r w:rsidR="004A5905" w:rsidRPr="004A5905">
        <w:rPr>
          <w:rFonts w:hint="eastAsia"/>
          <w:rtl/>
          <w:lang w:eastAsia="zh-TW"/>
        </w:rPr>
        <w:t>لنصي</w:t>
      </w:r>
      <w:r w:rsidR="004A5905" w:rsidRPr="004A5905">
        <w:rPr>
          <w:rtl/>
          <w:lang w:eastAsia="zh-TW"/>
        </w:rPr>
        <w:t xml:space="preserve"> بالاختزال، دون إجراء تقييم شامل لما إذا كان ذلك سيشكل عبئا غير متناسب أو غير ضروري، هو بمثابة تمييز على أساس الإعاقة، وفي ذلك انتهاك ل</w:t>
      </w:r>
      <w:r>
        <w:rPr>
          <w:rtl/>
          <w:lang w:eastAsia="zh-TW"/>
        </w:rPr>
        <w:t>حقوق صاحب البلاغ بموجب المادة 5</w:t>
      </w:r>
      <w:r w:rsidR="004A5905" w:rsidRPr="004A5905">
        <w:rPr>
          <w:rtl/>
          <w:lang w:eastAsia="zh-TW"/>
        </w:rPr>
        <w:t xml:space="preserve">(1) و(3) من الاتفاقية. </w:t>
      </w:r>
    </w:p>
    <w:p w:rsidR="004A5905" w:rsidRPr="006B0B45" w:rsidRDefault="00363DBE" w:rsidP="004A5905">
      <w:pPr>
        <w:pStyle w:val="SingleTxtGA"/>
        <w:rPr>
          <w:rtl/>
          <w:lang w:eastAsia="zh-TW"/>
        </w:rPr>
      </w:pPr>
      <w:r>
        <w:rPr>
          <w:rFonts w:hint="cs"/>
          <w:rtl/>
          <w:lang w:eastAsia="zh-TW"/>
        </w:rPr>
        <w:t>8-6</w:t>
      </w:r>
      <w:r>
        <w:rPr>
          <w:rtl/>
          <w:lang w:eastAsia="zh-TW"/>
        </w:rPr>
        <w:tab/>
      </w:r>
      <w:r w:rsidR="004A5905" w:rsidRPr="004A5905">
        <w:rPr>
          <w:rtl/>
          <w:lang w:eastAsia="zh-TW"/>
        </w:rPr>
        <w:t>وفيما يتعلق با</w:t>
      </w:r>
      <w:r>
        <w:rPr>
          <w:rtl/>
          <w:lang w:eastAsia="zh-TW"/>
        </w:rPr>
        <w:t>دعاء صاحب البلاغ بموجب المادة 9</w:t>
      </w:r>
      <w:r w:rsidR="004A5905" w:rsidRPr="004A5905">
        <w:rPr>
          <w:rtl/>
          <w:lang w:eastAsia="zh-TW"/>
        </w:rPr>
        <w:t xml:space="preserve">(1) من الاتفاقية، تذكر اللجنة بأن الدول الأطراف ملزمة، بموجب هذا الحكم، باتخاذ التدابير المناسبة "لتمكين الأشخاص ذوي الإعاقة من العيش في استقلالية والمشاركة بشكل كامل في جميع جوانب الحياة". وفي هذا </w:t>
      </w:r>
      <w:r w:rsidR="004A5905" w:rsidRPr="004A5905">
        <w:rPr>
          <w:rtl/>
          <w:lang w:eastAsia="zh-TW"/>
        </w:rPr>
        <w:lastRenderedPageBreak/>
        <w:t>الصدد، ت</w:t>
      </w:r>
      <w:r w:rsidR="004A5905" w:rsidRPr="004A5905">
        <w:rPr>
          <w:rFonts w:hint="eastAsia"/>
          <w:rtl/>
          <w:lang w:eastAsia="zh-TW"/>
        </w:rPr>
        <w:t>لاحظ</w:t>
      </w:r>
      <w:r w:rsidR="004A5905" w:rsidRPr="004A5905">
        <w:rPr>
          <w:rtl/>
          <w:lang w:eastAsia="zh-TW"/>
        </w:rPr>
        <w:t xml:space="preserve"> اللجنة أن أداء واجب المحلف يمثل جانبا هاما من جوانب الحياة المد</w:t>
      </w:r>
      <w:r w:rsidR="006B0B45">
        <w:rPr>
          <w:rtl/>
          <w:lang w:eastAsia="zh-TW"/>
        </w:rPr>
        <w:t>نية بالمعنى المقصود في المادة 9</w:t>
      </w:r>
      <w:r w:rsidR="004A5905" w:rsidRPr="004A5905">
        <w:rPr>
          <w:rtl/>
          <w:lang w:eastAsia="zh-TW"/>
        </w:rPr>
        <w:t xml:space="preserve">(1)، لأنه يشكل مظهرا من مظاهر المواطنة الفعالة. وتحيط اللجنة </w:t>
      </w:r>
      <w:r w:rsidR="008B5358">
        <w:rPr>
          <w:rtl/>
          <w:lang w:eastAsia="zh-TW"/>
        </w:rPr>
        <w:t>علماً</w:t>
      </w:r>
      <w:r w:rsidR="004A5905" w:rsidRPr="004A5905">
        <w:rPr>
          <w:rtl/>
          <w:lang w:eastAsia="zh-TW"/>
        </w:rPr>
        <w:t xml:space="preserve"> كذلك بتأكيد الدولة الطرف أنها تكرس جهودا وموارد كبيرة لضمان تمكن الأشخاص ذوي الإعاقة من ال</w:t>
      </w:r>
      <w:r w:rsidR="004A5905" w:rsidRPr="004A5905">
        <w:rPr>
          <w:rFonts w:hint="eastAsia"/>
          <w:rtl/>
          <w:lang w:eastAsia="zh-TW"/>
        </w:rPr>
        <w:t>تمتع</w:t>
      </w:r>
      <w:r w:rsidR="004A5905" w:rsidRPr="004A5905">
        <w:rPr>
          <w:rtl/>
          <w:lang w:eastAsia="zh-TW"/>
        </w:rPr>
        <w:t xml:space="preserve"> بجميع حقوق الإنسان بشكل كامل، على قدم المساواة مع الآخرين. وتذكر اللج</w:t>
      </w:r>
      <w:r w:rsidR="006B0B45">
        <w:rPr>
          <w:rtl/>
          <w:lang w:eastAsia="zh-TW"/>
        </w:rPr>
        <w:t xml:space="preserve">نة </w:t>
      </w:r>
      <w:r w:rsidR="008B5358">
        <w:rPr>
          <w:rtl/>
          <w:lang w:eastAsia="zh-TW"/>
        </w:rPr>
        <w:t>أيضاً</w:t>
      </w:r>
      <w:r w:rsidR="006B0B45">
        <w:rPr>
          <w:rtl/>
          <w:lang w:eastAsia="zh-TW"/>
        </w:rPr>
        <w:t xml:space="preserve"> بأن تعليقها العام رقم 2</w:t>
      </w:r>
      <w:r w:rsidR="004A5905" w:rsidRPr="004A5905">
        <w:rPr>
          <w:rtl/>
          <w:lang w:eastAsia="zh-TW"/>
        </w:rPr>
        <w:t>(2014) بشأن المادة 9: إمكانية الوصول، ينص على أن الالتزام بت</w:t>
      </w:r>
      <w:r w:rsidR="006B0B45">
        <w:rPr>
          <w:rtl/>
          <w:lang w:eastAsia="zh-TW"/>
        </w:rPr>
        <w:t>وفير إمكانية الوصول غير مشروط</w:t>
      </w:r>
      <w:r w:rsidR="00623256">
        <w:rPr>
          <w:vertAlign w:val="superscript"/>
          <w:rtl/>
          <w:lang w:eastAsia="zh-TW"/>
        </w:rPr>
        <w:t>(</w:t>
      </w:r>
      <w:r w:rsidR="00623256">
        <w:rPr>
          <w:rStyle w:val="FootnoteReference"/>
          <w:rtl/>
          <w:lang w:eastAsia="zh-TW"/>
        </w:rPr>
        <w:footnoteReference w:id="48"/>
      </w:r>
      <w:r w:rsidR="00623256">
        <w:rPr>
          <w:vertAlign w:val="superscript"/>
          <w:rtl/>
          <w:lang w:eastAsia="zh-TW"/>
        </w:rPr>
        <w:t>)</w:t>
      </w:r>
      <w:r w:rsidR="006B0B45">
        <w:rPr>
          <w:rtl/>
          <w:lang w:eastAsia="zh-TW"/>
        </w:rPr>
        <w:t xml:space="preserve">، </w:t>
      </w:r>
      <w:r w:rsidR="004A5905" w:rsidRPr="004A5905">
        <w:rPr>
          <w:rtl/>
          <w:lang w:eastAsia="zh-TW"/>
        </w:rPr>
        <w:t>وأن من المهم تناول إمكانية الوصول بكل تعقيداتها، بما في ذل</w:t>
      </w:r>
      <w:r w:rsidR="004A5905" w:rsidRPr="004A5905">
        <w:rPr>
          <w:rFonts w:hint="eastAsia"/>
          <w:rtl/>
          <w:lang w:eastAsia="zh-TW"/>
        </w:rPr>
        <w:t>ك</w:t>
      </w:r>
      <w:r w:rsidR="004A5905" w:rsidRPr="004A5905">
        <w:rPr>
          <w:rtl/>
          <w:lang w:eastAsia="zh-TW"/>
        </w:rPr>
        <w:t xml:space="preserve"> الاتصالات. وبالمثل، ينبغي ضمان الوصول على قدم المساواة مع الآخرين </w:t>
      </w:r>
      <w:r w:rsidR="004A5905" w:rsidRPr="006B0B45">
        <w:rPr>
          <w:spacing w:val="-2"/>
          <w:rtl/>
          <w:lang w:eastAsia="zh-TW"/>
        </w:rPr>
        <w:t xml:space="preserve">بصورة فعالة، </w:t>
      </w:r>
      <w:r w:rsidR="008B5358">
        <w:rPr>
          <w:spacing w:val="-2"/>
          <w:rtl/>
          <w:lang w:eastAsia="zh-TW"/>
        </w:rPr>
        <w:t>وفقاً</w:t>
      </w:r>
      <w:r w:rsidR="004A5905" w:rsidRPr="006B0B45">
        <w:rPr>
          <w:spacing w:val="-2"/>
          <w:rtl/>
          <w:lang w:eastAsia="zh-TW"/>
        </w:rPr>
        <w:t xml:space="preserve"> لمبدأ حظر التمييز؛ والحرمان من إمكانية الوصول هو أمر ينبغي اعتبا</w:t>
      </w:r>
      <w:r w:rsidR="006B0B45" w:rsidRPr="006B0B45">
        <w:rPr>
          <w:spacing w:val="-2"/>
          <w:rtl/>
          <w:lang w:eastAsia="zh-TW"/>
        </w:rPr>
        <w:t>ره تمييزيا</w:t>
      </w:r>
      <w:r w:rsidR="006B0B45" w:rsidRPr="006B0B45">
        <w:rPr>
          <w:rFonts w:hint="cs"/>
          <w:spacing w:val="-2"/>
          <w:rtl/>
          <w:lang w:eastAsia="zh-TW"/>
        </w:rPr>
        <w:t>ً</w:t>
      </w:r>
      <w:r w:rsidR="00623256">
        <w:rPr>
          <w:spacing w:val="-2"/>
          <w:vertAlign w:val="superscript"/>
          <w:rtl/>
          <w:lang w:eastAsia="zh-TW"/>
        </w:rPr>
        <w:t>(</w:t>
      </w:r>
      <w:r w:rsidR="00623256">
        <w:rPr>
          <w:rStyle w:val="FootnoteReference"/>
          <w:spacing w:val="-2"/>
          <w:rtl/>
          <w:lang w:eastAsia="zh-TW"/>
        </w:rPr>
        <w:footnoteReference w:id="49"/>
      </w:r>
      <w:r w:rsidR="00623256">
        <w:rPr>
          <w:spacing w:val="-2"/>
          <w:vertAlign w:val="superscript"/>
          <w:rtl/>
          <w:lang w:eastAsia="zh-TW"/>
        </w:rPr>
        <w:t>)</w:t>
      </w:r>
      <w:r w:rsidR="006B0B45" w:rsidRPr="006B0B45">
        <w:rPr>
          <w:spacing w:val="-2"/>
          <w:rtl/>
          <w:lang w:eastAsia="zh-TW"/>
        </w:rPr>
        <w:t>.</w:t>
      </w:r>
      <w:r w:rsidR="004A5905" w:rsidRPr="006B0B45">
        <w:rPr>
          <w:spacing w:val="-2"/>
          <w:rtl/>
          <w:lang w:eastAsia="zh-TW"/>
        </w:rPr>
        <w:t xml:space="preserve"> وفي هذه القضية، تقاعست الدولة الطرف، برفضها توفير خدمة العرض النصي بالاختزال، عن اتخاذ التداب</w:t>
      </w:r>
      <w:r w:rsidR="004A5905" w:rsidRPr="006B0B45">
        <w:rPr>
          <w:rFonts w:hint="eastAsia"/>
          <w:spacing w:val="-2"/>
          <w:rtl/>
          <w:lang w:eastAsia="zh-TW"/>
        </w:rPr>
        <w:t>ير</w:t>
      </w:r>
      <w:r w:rsidR="004A5905" w:rsidRPr="006B0B45">
        <w:rPr>
          <w:spacing w:val="-2"/>
          <w:rtl/>
          <w:lang w:eastAsia="zh-TW"/>
        </w:rPr>
        <w:t xml:space="preserve"> المناسبة لتمكين صاحب البلاغ من أداء واجب المحلف، وبذلك، تكون قد منعته </w:t>
      </w:r>
      <w:r w:rsidR="004A5905" w:rsidRPr="006B0B45">
        <w:rPr>
          <w:rtl/>
          <w:lang w:eastAsia="zh-TW"/>
        </w:rPr>
        <w:t xml:space="preserve">من المشاركة في جانب يعد بوضوح من "جوانب الحياة"، وفي ذلك انتهاك لحقوقه بموجب </w:t>
      </w:r>
      <w:r w:rsidR="006B0B45" w:rsidRPr="006B0B45">
        <w:rPr>
          <w:rtl/>
          <w:lang w:eastAsia="zh-TW"/>
        </w:rPr>
        <w:t>المادة</w:t>
      </w:r>
      <w:r w:rsidR="006B0B45" w:rsidRPr="006B0B45">
        <w:rPr>
          <w:rFonts w:hint="cs"/>
          <w:rtl/>
          <w:lang w:eastAsia="zh-TW"/>
        </w:rPr>
        <w:t> </w:t>
      </w:r>
      <w:r w:rsidR="006B0B45" w:rsidRPr="006B0B45">
        <w:rPr>
          <w:rtl/>
          <w:lang w:eastAsia="zh-TW"/>
        </w:rPr>
        <w:t>9</w:t>
      </w:r>
      <w:r w:rsidR="004A5905" w:rsidRPr="006B0B45">
        <w:rPr>
          <w:rtl/>
          <w:lang w:eastAsia="zh-TW"/>
        </w:rPr>
        <w:t>(1) مقروءة بمفرد</w:t>
      </w:r>
      <w:r w:rsidR="006B0B45" w:rsidRPr="006B0B45">
        <w:rPr>
          <w:rtl/>
          <w:lang w:eastAsia="zh-TW"/>
        </w:rPr>
        <w:t>ها وبالاقتران مع المواد 2 و4 و5</w:t>
      </w:r>
      <w:r w:rsidR="004A5905" w:rsidRPr="006B0B45">
        <w:rPr>
          <w:rtl/>
          <w:lang w:eastAsia="zh-TW"/>
        </w:rPr>
        <w:t>(1) و(3) من الاتفاقية.</w:t>
      </w:r>
      <w:r w:rsidR="006B0B45" w:rsidRPr="006B0B45">
        <w:rPr>
          <w:rFonts w:hint="cs"/>
          <w:rtl/>
          <w:lang w:eastAsia="zh-TW"/>
        </w:rPr>
        <w:t xml:space="preserve"> </w:t>
      </w:r>
    </w:p>
    <w:p w:rsidR="004A5905" w:rsidRPr="004A5905" w:rsidRDefault="0098550C" w:rsidP="004A5905">
      <w:pPr>
        <w:pStyle w:val="SingleTxtGA"/>
        <w:rPr>
          <w:rtl/>
          <w:lang w:eastAsia="zh-TW"/>
        </w:rPr>
      </w:pPr>
      <w:r>
        <w:rPr>
          <w:rFonts w:hint="cs"/>
          <w:rtl/>
          <w:lang w:eastAsia="zh-TW"/>
        </w:rPr>
        <w:t>8-7</w:t>
      </w:r>
      <w:r>
        <w:rPr>
          <w:rtl/>
          <w:lang w:eastAsia="zh-TW"/>
        </w:rPr>
        <w:tab/>
      </w:r>
      <w:r w:rsidR="004A5905" w:rsidRPr="004A5905">
        <w:rPr>
          <w:rtl/>
          <w:lang w:eastAsia="zh-TW"/>
        </w:rPr>
        <w:t xml:space="preserve">وفيما يتعلق بادعاء صاحب البلاغ بموجب المادة 21 من الاتفاقية، تحيط اللجنة </w:t>
      </w:r>
      <w:r w:rsidR="008B5358">
        <w:rPr>
          <w:rtl/>
          <w:lang w:eastAsia="zh-TW"/>
        </w:rPr>
        <w:t>علماً</w:t>
      </w:r>
      <w:r w:rsidR="004A5905" w:rsidRPr="004A5905">
        <w:rPr>
          <w:rtl/>
          <w:lang w:eastAsia="zh-TW"/>
        </w:rPr>
        <w:t xml:space="preserve"> بحجة الدولة الطرف التي تفيد بأن معيار "قبول وتيسير استعمال لغة الإشارة" وغيرها من طرق الاتصال قد استوفته ولاية نيو ساوث ويلز في هذه القضية، وبأن الالتزامات المنصوص عليها في ا</w:t>
      </w:r>
      <w:r w:rsidR="004A5905" w:rsidRPr="004A5905">
        <w:rPr>
          <w:rFonts w:hint="eastAsia"/>
          <w:rtl/>
          <w:lang w:eastAsia="zh-TW"/>
        </w:rPr>
        <w:t>لمادة</w:t>
      </w:r>
      <w:r w:rsidR="004A5905" w:rsidRPr="004A5905">
        <w:rPr>
          <w:rtl/>
          <w:lang w:eastAsia="zh-TW"/>
        </w:rPr>
        <w:t xml:space="preserve"> 21 ينبغي أن تنفذ بصورة تدريجية. وتحيط اللجنة </w:t>
      </w:r>
      <w:r w:rsidR="008B5358">
        <w:rPr>
          <w:rtl/>
          <w:lang w:eastAsia="zh-TW"/>
        </w:rPr>
        <w:t>علماً</w:t>
      </w:r>
      <w:r w:rsidR="004A5905" w:rsidRPr="004A5905">
        <w:rPr>
          <w:rtl/>
          <w:lang w:eastAsia="zh-TW"/>
        </w:rPr>
        <w:t xml:space="preserve"> </w:t>
      </w:r>
      <w:r w:rsidR="008B5358">
        <w:rPr>
          <w:rtl/>
          <w:lang w:eastAsia="zh-TW"/>
        </w:rPr>
        <w:t>أيضاً</w:t>
      </w:r>
      <w:r w:rsidR="004A5905" w:rsidRPr="004A5905">
        <w:rPr>
          <w:rtl/>
          <w:lang w:eastAsia="zh-TW"/>
        </w:rPr>
        <w:t xml:space="preserve"> بزعم صاحب البلاغ أن المادة 21 لا تتضمن حقوقا والتزامات تخضع للإعمال التدريجي، وأن التدابير التي تدعي الدولة الطرف التدابير اتخاذها لتمكين الصم من المشاركة في أداء واجب المحلف لا تتلاءم مع احتياجا</w:t>
      </w:r>
      <w:r w:rsidR="004A5905" w:rsidRPr="004A5905">
        <w:rPr>
          <w:rFonts w:hint="eastAsia"/>
          <w:rtl/>
          <w:lang w:eastAsia="zh-TW"/>
        </w:rPr>
        <w:t>ته</w:t>
      </w:r>
      <w:r w:rsidR="004A5905" w:rsidRPr="004A5905">
        <w:rPr>
          <w:rtl/>
          <w:lang w:eastAsia="zh-TW"/>
        </w:rPr>
        <w:t xml:space="preserve">. </w:t>
      </w:r>
    </w:p>
    <w:p w:rsidR="004A5905" w:rsidRPr="004A5905" w:rsidRDefault="0098550C" w:rsidP="004A5905">
      <w:pPr>
        <w:pStyle w:val="SingleTxtGA"/>
        <w:rPr>
          <w:rtl/>
          <w:lang w:eastAsia="zh-TW"/>
        </w:rPr>
      </w:pPr>
      <w:r>
        <w:rPr>
          <w:rFonts w:hint="cs"/>
          <w:rtl/>
          <w:lang w:eastAsia="zh-TW"/>
        </w:rPr>
        <w:t>8-8</w:t>
      </w:r>
      <w:r>
        <w:rPr>
          <w:rtl/>
          <w:lang w:eastAsia="zh-TW"/>
        </w:rPr>
        <w:tab/>
      </w:r>
      <w:dir w:val="rtl">
        <w:r w:rsidR="004A5905" w:rsidRPr="004A5905">
          <w:rPr>
            <w:rFonts w:ascii="Traditional Arabic" w:hAnsi="Traditional Arabic" w:hint="cs"/>
            <w:rtl/>
            <w:lang w:eastAsia="zh-TW"/>
          </w:rPr>
          <w:t>وتذكر</w:t>
        </w:r>
        <w:r w:rsidR="004A5905" w:rsidRPr="004A5905">
          <w:rPr>
            <w:rtl/>
            <w:lang w:eastAsia="zh-TW"/>
          </w:rPr>
          <w:t xml:space="preserve"> </w:t>
        </w:r>
        <w:r w:rsidR="004A5905" w:rsidRPr="004A5905">
          <w:rPr>
            <w:rFonts w:ascii="Traditional Arabic" w:hAnsi="Traditional Arabic" w:hint="cs"/>
            <w:rtl/>
            <w:lang w:eastAsia="zh-TW"/>
          </w:rPr>
          <w:t>اللجنة</w:t>
        </w:r>
        <w:r w:rsidR="004A5905" w:rsidRPr="004A5905">
          <w:rPr>
            <w:rtl/>
            <w:lang w:eastAsia="zh-TW"/>
          </w:rPr>
          <w:t xml:space="preserve"> </w:t>
        </w:r>
        <w:r w:rsidR="004A5905" w:rsidRPr="004A5905">
          <w:rPr>
            <w:rFonts w:ascii="Traditional Arabic" w:hAnsi="Traditional Arabic" w:hint="cs"/>
            <w:rtl/>
            <w:lang w:eastAsia="zh-TW"/>
          </w:rPr>
          <w:t>بأن</w:t>
        </w:r>
        <w:r w:rsidR="004A5905" w:rsidRPr="004A5905">
          <w:rPr>
            <w:rtl/>
            <w:lang w:eastAsia="zh-TW"/>
          </w:rPr>
          <w:t xml:space="preserve"> </w:t>
        </w:r>
        <w:r w:rsidR="004A5905" w:rsidRPr="004A5905">
          <w:rPr>
            <w:rFonts w:ascii="Traditional Arabic" w:hAnsi="Traditional Arabic" w:hint="cs"/>
            <w:rtl/>
            <w:lang w:eastAsia="zh-TW"/>
          </w:rPr>
          <w:t>المادة</w:t>
        </w:r>
        <w:r>
          <w:rPr>
            <w:rtl/>
            <w:lang w:eastAsia="zh-TW"/>
          </w:rPr>
          <w:t xml:space="preserve"> 21</w:t>
        </w:r>
        <w:r w:rsidR="004A5905" w:rsidRPr="004A5905">
          <w:rPr>
            <w:rtl/>
            <w:lang w:eastAsia="zh-TW"/>
          </w:rPr>
          <w:t>(</w:t>
        </w:r>
        <w:r w:rsidR="004A5905" w:rsidRPr="004A5905">
          <w:rPr>
            <w:rFonts w:ascii="Traditional Arabic" w:hAnsi="Traditional Arabic" w:hint="cs"/>
            <w:rtl/>
            <w:lang w:eastAsia="zh-TW"/>
          </w:rPr>
          <w:t>ب</w:t>
        </w:r>
        <w:r w:rsidR="004A5905" w:rsidRPr="004A5905">
          <w:rPr>
            <w:rtl/>
            <w:lang w:eastAsia="zh-TW"/>
          </w:rPr>
          <w:t xml:space="preserve">) </w:t>
        </w:r>
        <w:r w:rsidR="004A5905" w:rsidRPr="004A5905">
          <w:rPr>
            <w:rFonts w:ascii="Traditional Arabic" w:hAnsi="Traditional Arabic" w:hint="cs"/>
            <w:rtl/>
            <w:lang w:eastAsia="zh-TW"/>
          </w:rPr>
          <w:t>تنص</w:t>
        </w:r>
        <w:r w:rsidR="004A5905" w:rsidRPr="004A5905">
          <w:rPr>
            <w:rtl/>
            <w:lang w:eastAsia="zh-TW"/>
          </w:rPr>
          <w:t xml:space="preserve"> </w:t>
        </w:r>
        <w:r w:rsidR="004A5905" w:rsidRPr="004A5905">
          <w:rPr>
            <w:rFonts w:ascii="Traditional Arabic" w:hAnsi="Traditional Arabic" w:hint="cs"/>
            <w:rtl/>
            <w:lang w:eastAsia="zh-TW"/>
          </w:rPr>
          <w:t>على</w:t>
        </w:r>
        <w:r w:rsidR="004A5905" w:rsidRPr="004A5905">
          <w:rPr>
            <w:rtl/>
            <w:lang w:eastAsia="zh-TW"/>
          </w:rPr>
          <w:t xml:space="preserve"> </w:t>
        </w:r>
        <w:r w:rsidR="004A5905" w:rsidRPr="004A5905">
          <w:rPr>
            <w:rFonts w:ascii="Traditional Arabic" w:hAnsi="Traditional Arabic" w:hint="cs"/>
            <w:rtl/>
            <w:lang w:eastAsia="zh-TW"/>
          </w:rPr>
          <w:t>أن</w:t>
        </w:r>
        <w:r w:rsidR="004A5905" w:rsidRPr="004A5905">
          <w:rPr>
            <w:rtl/>
            <w:lang w:eastAsia="zh-TW"/>
          </w:rPr>
          <w:t xml:space="preserve"> </w:t>
        </w:r>
        <w:r w:rsidR="004A5905" w:rsidRPr="004A5905">
          <w:rPr>
            <w:rFonts w:ascii="Traditional Arabic" w:hAnsi="Traditional Arabic" w:hint="cs"/>
            <w:rtl/>
            <w:lang w:eastAsia="zh-TW"/>
          </w:rPr>
          <w:t>تتخذ</w:t>
        </w:r>
        <w:r w:rsidR="004A5905" w:rsidRPr="004A5905">
          <w:rPr>
            <w:rtl/>
            <w:lang w:eastAsia="zh-TW"/>
          </w:rPr>
          <w:t xml:space="preserve"> </w:t>
        </w:r>
        <w:r w:rsidR="004A5905" w:rsidRPr="004A5905">
          <w:rPr>
            <w:rFonts w:ascii="Traditional Arabic" w:hAnsi="Traditional Arabic" w:hint="cs"/>
            <w:rtl/>
            <w:lang w:eastAsia="zh-TW"/>
          </w:rPr>
          <w:t>الدول</w:t>
        </w:r>
        <w:r w:rsidR="004A5905" w:rsidRPr="004A5905">
          <w:rPr>
            <w:rtl/>
            <w:lang w:eastAsia="zh-TW"/>
          </w:rPr>
          <w:t xml:space="preserve"> </w:t>
        </w:r>
        <w:r w:rsidR="004A5905" w:rsidRPr="004A5905">
          <w:rPr>
            <w:rFonts w:ascii="Traditional Arabic" w:hAnsi="Traditional Arabic" w:hint="cs"/>
            <w:rtl/>
            <w:lang w:eastAsia="zh-TW"/>
          </w:rPr>
          <w:t>الأطراف</w:t>
        </w:r>
        <w:r w:rsidR="004A5905" w:rsidRPr="004A5905">
          <w:rPr>
            <w:rtl/>
            <w:lang w:eastAsia="zh-TW"/>
          </w:rPr>
          <w:t xml:space="preserve"> </w:t>
        </w:r>
        <w:r w:rsidR="004A5905" w:rsidRPr="004A5905">
          <w:rPr>
            <w:rFonts w:ascii="Traditional Arabic" w:hAnsi="Traditional Arabic" w:hint="cs"/>
            <w:rtl/>
            <w:lang w:eastAsia="zh-TW"/>
          </w:rPr>
          <w:t>جميع</w:t>
        </w:r>
        <w:r w:rsidR="004A5905" w:rsidRPr="004A5905">
          <w:rPr>
            <w:rtl/>
            <w:lang w:eastAsia="zh-TW"/>
          </w:rPr>
          <w:t xml:space="preserve"> </w:t>
        </w:r>
        <w:r w:rsidR="004A5905" w:rsidRPr="004A5905">
          <w:rPr>
            <w:rFonts w:ascii="Traditional Arabic" w:hAnsi="Traditional Arabic" w:hint="cs"/>
            <w:rtl/>
            <w:lang w:eastAsia="zh-TW"/>
          </w:rPr>
          <w:t>التدابير</w:t>
        </w:r>
        <w:r w:rsidR="004A5905" w:rsidRPr="004A5905">
          <w:rPr>
            <w:rtl/>
            <w:lang w:eastAsia="zh-TW"/>
          </w:rPr>
          <w:t xml:space="preserve"> </w:t>
        </w:r>
        <w:r w:rsidR="004A5905" w:rsidRPr="004A5905">
          <w:rPr>
            <w:rFonts w:ascii="Traditional Arabic" w:hAnsi="Traditional Arabic" w:hint="cs"/>
            <w:rtl/>
            <w:lang w:eastAsia="zh-TW"/>
          </w:rPr>
          <w:t>المناسبة</w:t>
        </w:r>
        <w:r w:rsidR="004A5905" w:rsidRPr="004A5905">
          <w:rPr>
            <w:rtl/>
            <w:lang w:eastAsia="zh-TW"/>
          </w:rPr>
          <w:t xml:space="preserve"> </w:t>
        </w:r>
        <w:r w:rsidR="004A5905" w:rsidRPr="004A5905">
          <w:rPr>
            <w:rFonts w:ascii="Traditional Arabic" w:hAnsi="Traditional Arabic" w:hint="cs"/>
            <w:rtl/>
            <w:lang w:eastAsia="zh-TW"/>
          </w:rPr>
          <w:t>التي</w:t>
        </w:r>
        <w:r w:rsidR="004A5905" w:rsidRPr="004A5905">
          <w:rPr>
            <w:rtl/>
            <w:lang w:eastAsia="zh-TW"/>
          </w:rPr>
          <w:t xml:space="preserve"> </w:t>
        </w:r>
        <w:r w:rsidR="004A5905" w:rsidRPr="004A5905">
          <w:rPr>
            <w:rFonts w:ascii="Traditional Arabic" w:hAnsi="Traditional Arabic" w:hint="cs"/>
            <w:rtl/>
            <w:lang w:eastAsia="zh-TW"/>
          </w:rPr>
          <w:t>تكفل</w:t>
        </w:r>
        <w:r w:rsidR="004A5905" w:rsidRPr="004A5905">
          <w:rPr>
            <w:rtl/>
            <w:lang w:eastAsia="zh-TW"/>
          </w:rPr>
          <w:t xml:space="preserve"> </w:t>
        </w:r>
        <w:r w:rsidR="004A5905" w:rsidRPr="004A5905">
          <w:rPr>
            <w:rFonts w:ascii="Traditional Arabic" w:hAnsi="Traditional Arabic" w:hint="cs"/>
            <w:rtl/>
            <w:lang w:eastAsia="zh-TW"/>
          </w:rPr>
          <w:t>ممارسة</w:t>
        </w:r>
        <w:r w:rsidR="004A5905" w:rsidRPr="004A5905">
          <w:rPr>
            <w:rtl/>
            <w:lang w:eastAsia="zh-TW"/>
          </w:rPr>
          <w:t xml:space="preserve"> </w:t>
        </w:r>
        <w:r w:rsidR="004A5905" w:rsidRPr="004A5905">
          <w:rPr>
            <w:rFonts w:ascii="Traditional Arabic" w:hAnsi="Traditional Arabic" w:hint="cs"/>
            <w:rtl/>
            <w:lang w:eastAsia="zh-TW"/>
          </w:rPr>
          <w:t>الأشخاص</w:t>
        </w:r>
        <w:r w:rsidR="004A5905" w:rsidRPr="004A5905">
          <w:rPr>
            <w:rtl/>
            <w:lang w:eastAsia="zh-TW"/>
          </w:rPr>
          <w:t xml:space="preserve"> </w:t>
        </w:r>
        <w:r w:rsidR="004A5905" w:rsidRPr="004A5905">
          <w:rPr>
            <w:rFonts w:ascii="Traditional Arabic" w:hAnsi="Traditional Arabic" w:hint="cs"/>
            <w:rtl/>
            <w:lang w:eastAsia="zh-TW"/>
          </w:rPr>
          <w:t>ذوي</w:t>
        </w:r>
        <w:r w:rsidR="004A5905" w:rsidRPr="004A5905">
          <w:rPr>
            <w:rtl/>
            <w:lang w:eastAsia="zh-TW"/>
          </w:rPr>
          <w:t xml:space="preserve"> </w:t>
        </w:r>
        <w:r w:rsidR="004A5905" w:rsidRPr="004A5905">
          <w:rPr>
            <w:rFonts w:ascii="Traditional Arabic" w:hAnsi="Traditional Arabic" w:hint="cs"/>
            <w:rtl/>
            <w:lang w:eastAsia="zh-TW"/>
          </w:rPr>
          <w:t>الإعاقة</w:t>
        </w:r>
        <w:r w:rsidR="004A5905" w:rsidRPr="004A5905">
          <w:rPr>
            <w:rtl/>
            <w:lang w:eastAsia="zh-TW"/>
          </w:rPr>
          <w:t xml:space="preserve"> </w:t>
        </w:r>
        <w:r w:rsidR="004A5905" w:rsidRPr="004A5905">
          <w:rPr>
            <w:rFonts w:ascii="Traditional Arabic" w:hAnsi="Traditional Arabic" w:hint="cs"/>
            <w:rtl/>
            <w:lang w:eastAsia="zh-TW"/>
          </w:rPr>
          <w:t>لحقهم</w:t>
        </w:r>
        <w:r w:rsidR="004A5905" w:rsidRPr="004A5905">
          <w:rPr>
            <w:rtl/>
            <w:lang w:eastAsia="zh-TW"/>
          </w:rPr>
          <w:t xml:space="preserve"> </w:t>
        </w:r>
        <w:r w:rsidR="004A5905" w:rsidRPr="004A5905">
          <w:rPr>
            <w:rFonts w:ascii="Traditional Arabic" w:hAnsi="Traditional Arabic" w:hint="cs"/>
            <w:rtl/>
            <w:lang w:eastAsia="zh-TW"/>
          </w:rPr>
          <w:t>في</w:t>
        </w:r>
        <w:r w:rsidR="004A5905" w:rsidRPr="004A5905">
          <w:rPr>
            <w:rtl/>
            <w:lang w:eastAsia="zh-TW"/>
          </w:rPr>
          <w:t xml:space="preserve"> </w:t>
        </w:r>
        <w:r w:rsidR="004A5905" w:rsidRPr="004A5905">
          <w:rPr>
            <w:rFonts w:ascii="Traditional Arabic" w:hAnsi="Traditional Arabic" w:hint="cs"/>
            <w:rtl/>
            <w:lang w:eastAsia="zh-TW"/>
          </w:rPr>
          <w:t>حرية</w:t>
        </w:r>
        <w:r w:rsidR="004A5905" w:rsidRPr="004A5905">
          <w:rPr>
            <w:rtl/>
            <w:lang w:eastAsia="zh-TW"/>
          </w:rPr>
          <w:t xml:space="preserve"> </w:t>
        </w:r>
        <w:r w:rsidR="004A5905" w:rsidRPr="004A5905">
          <w:rPr>
            <w:rFonts w:ascii="Traditional Arabic" w:hAnsi="Traditional Arabic" w:hint="cs"/>
            <w:rtl/>
            <w:lang w:eastAsia="zh-TW"/>
          </w:rPr>
          <w:t>التعبير</w:t>
        </w:r>
        <w:r w:rsidR="004A5905" w:rsidRPr="004A5905">
          <w:rPr>
            <w:rtl/>
            <w:lang w:eastAsia="zh-TW"/>
          </w:rPr>
          <w:t xml:space="preserve"> </w:t>
        </w:r>
        <w:r w:rsidR="004A5905" w:rsidRPr="004A5905">
          <w:rPr>
            <w:rFonts w:ascii="Traditional Arabic" w:hAnsi="Traditional Arabic" w:hint="cs"/>
            <w:rtl/>
            <w:lang w:eastAsia="zh-TW"/>
          </w:rPr>
          <w:t>والرأي،</w:t>
        </w:r>
        <w:r w:rsidR="004A5905" w:rsidRPr="004A5905">
          <w:rPr>
            <w:rtl/>
            <w:lang w:eastAsia="zh-TW"/>
          </w:rPr>
          <w:t xml:space="preserve"> </w:t>
        </w:r>
        <w:r w:rsidR="004A5905" w:rsidRPr="004A5905">
          <w:rPr>
            <w:rFonts w:ascii="Traditional Arabic" w:hAnsi="Traditional Arabic" w:hint="cs"/>
            <w:rtl/>
            <w:lang w:eastAsia="zh-TW"/>
          </w:rPr>
          <w:t>بما</w:t>
        </w:r>
        <w:r w:rsidR="004A5905" w:rsidRPr="004A5905">
          <w:rPr>
            <w:rtl/>
            <w:lang w:eastAsia="zh-TW"/>
          </w:rPr>
          <w:t xml:space="preserve"> </w:t>
        </w:r>
        <w:r w:rsidR="004A5905" w:rsidRPr="004A5905">
          <w:rPr>
            <w:rFonts w:ascii="Traditional Arabic" w:hAnsi="Traditional Arabic" w:hint="cs"/>
            <w:rtl/>
            <w:lang w:eastAsia="zh-TW"/>
          </w:rPr>
          <w:t>في</w:t>
        </w:r>
        <w:r w:rsidR="004A5905" w:rsidRPr="004A5905">
          <w:rPr>
            <w:rtl/>
            <w:lang w:eastAsia="zh-TW"/>
          </w:rPr>
          <w:t xml:space="preserve"> </w:t>
        </w:r>
        <w:r w:rsidR="004A5905" w:rsidRPr="004A5905">
          <w:rPr>
            <w:rFonts w:ascii="Traditional Arabic" w:hAnsi="Traditional Arabic" w:hint="cs"/>
            <w:rtl/>
            <w:lang w:eastAsia="zh-TW"/>
          </w:rPr>
          <w:t>ذلك</w:t>
        </w:r>
        <w:r w:rsidR="004A5905" w:rsidRPr="004A5905">
          <w:rPr>
            <w:rtl/>
            <w:lang w:eastAsia="zh-TW"/>
          </w:rPr>
          <w:t xml:space="preserve"> </w:t>
        </w:r>
        <w:r w:rsidR="004A5905" w:rsidRPr="004A5905">
          <w:rPr>
            <w:rFonts w:ascii="Traditional Arabic" w:hAnsi="Traditional Arabic" w:hint="cs"/>
            <w:rtl/>
            <w:lang w:eastAsia="zh-TW"/>
          </w:rPr>
          <w:t>الحق</w:t>
        </w:r>
        <w:r w:rsidR="004A5905" w:rsidRPr="004A5905">
          <w:rPr>
            <w:rtl/>
            <w:lang w:eastAsia="zh-TW"/>
          </w:rPr>
          <w:t xml:space="preserve"> </w:t>
        </w:r>
        <w:r w:rsidR="004A5905" w:rsidRPr="004A5905">
          <w:rPr>
            <w:rFonts w:ascii="Traditional Arabic" w:hAnsi="Traditional Arabic" w:hint="cs"/>
            <w:rtl/>
            <w:lang w:eastAsia="zh-TW"/>
          </w:rPr>
          <w:t>في</w:t>
        </w:r>
        <w:r w:rsidR="004A5905" w:rsidRPr="004A5905">
          <w:rPr>
            <w:rtl/>
            <w:lang w:eastAsia="zh-TW"/>
          </w:rPr>
          <w:t xml:space="preserve"> </w:t>
        </w:r>
        <w:r w:rsidR="004A5905" w:rsidRPr="004A5905">
          <w:rPr>
            <w:rFonts w:ascii="Traditional Arabic" w:hAnsi="Traditional Arabic" w:hint="cs"/>
            <w:rtl/>
            <w:lang w:eastAsia="zh-TW"/>
          </w:rPr>
          <w:t>طلب</w:t>
        </w:r>
        <w:r w:rsidR="004A5905" w:rsidRPr="004A5905">
          <w:rPr>
            <w:rtl/>
            <w:lang w:eastAsia="zh-TW"/>
          </w:rPr>
          <w:t xml:space="preserve"> </w:t>
        </w:r>
        <w:r w:rsidR="004A5905" w:rsidRPr="004A5905">
          <w:rPr>
            <w:rFonts w:ascii="Traditional Arabic" w:hAnsi="Traditional Arabic" w:hint="cs"/>
            <w:rtl/>
            <w:lang w:eastAsia="zh-TW"/>
          </w:rPr>
          <w:t>معلومات</w:t>
        </w:r>
        <w:r w:rsidR="004A5905" w:rsidRPr="004A5905">
          <w:rPr>
            <w:rtl/>
            <w:lang w:eastAsia="zh-TW"/>
          </w:rPr>
          <w:t xml:space="preserve"> </w:t>
        </w:r>
        <w:r w:rsidR="004A5905" w:rsidRPr="004A5905">
          <w:rPr>
            <w:rFonts w:ascii="Traditional Arabic" w:hAnsi="Traditional Arabic" w:hint="cs"/>
            <w:rtl/>
            <w:lang w:eastAsia="zh-TW"/>
          </w:rPr>
          <w:t>وأفكار،</w:t>
        </w:r>
        <w:r w:rsidR="004A5905" w:rsidRPr="004A5905">
          <w:rPr>
            <w:rtl/>
            <w:lang w:eastAsia="zh-TW"/>
          </w:rPr>
          <w:t xml:space="preserve"> </w:t>
        </w:r>
        <w:r w:rsidR="004A5905" w:rsidRPr="004A5905">
          <w:rPr>
            <w:rFonts w:ascii="Traditional Arabic" w:hAnsi="Traditional Arabic" w:hint="cs"/>
            <w:rtl/>
            <w:lang w:eastAsia="zh-TW"/>
          </w:rPr>
          <w:t>وتلقيها،</w:t>
        </w:r>
        <w:r w:rsidR="004A5905" w:rsidRPr="004A5905">
          <w:rPr>
            <w:rtl/>
            <w:lang w:eastAsia="zh-TW"/>
          </w:rPr>
          <w:t xml:space="preserve"> والإفصاح عنها، على قدم المساواة مع الآخرين، وعن طريق جميع وسائل الاتصال، وذلك بقبول وتيسير استعمال مختلف وسائل وطرق الاتصال في المعاملات الرسمية. وتذكر اللجنة كذلك بأن المادة 2 من الاتفاقية تنص على أن "الاتصال" يشمل اللغات وطرق ووسائل وأشكال الاتصال البديلة، وذلك، يشمل، على نحو بيِّن، العرض النصي بالاختزال. وفي هذا السياق، تحيط اللجنة </w:t>
        </w:r>
        <w:r w:rsidR="008B5358">
          <w:rPr>
            <w:rtl/>
            <w:lang w:eastAsia="zh-TW"/>
          </w:rPr>
          <w:t>علماً</w:t>
        </w:r>
        <w:r w:rsidR="004A5905" w:rsidRPr="004A5905">
          <w:rPr>
            <w:rtl/>
            <w:lang w:eastAsia="zh-TW"/>
          </w:rPr>
          <w:t xml:space="preserve"> بحجة صاحب البلاغ التي تفيد بأن المحلف هو شخص يتحمل مسؤولية عامة في مجال إقامة العدل "ويتعامل مع أشخاص آخرين"، بمن في ذلك سائر المحلفين والموظفين القضائيين، وأن هذا التعامل يعد بالتالي، من "المعاملات الرسمية" بالمعنى المقصو</w:t>
        </w:r>
        <w:r w:rsidR="004A5905" w:rsidRPr="004A5905">
          <w:rPr>
            <w:rFonts w:hint="eastAsia"/>
            <w:rtl/>
            <w:lang w:eastAsia="zh-TW"/>
          </w:rPr>
          <w:t>د</w:t>
        </w:r>
        <w:r w:rsidR="004A5905" w:rsidRPr="004A5905">
          <w:rPr>
            <w:rtl/>
            <w:lang w:eastAsia="zh-TW"/>
          </w:rPr>
          <w:t xml:space="preserve"> في المادة 21. وفي ضوء ما تقدم، ترى اللجنة أن رفض تزويد صاحب </w:t>
        </w:r>
        <w:r w:rsidR="004A5905" w:rsidRPr="004A5905">
          <w:rPr>
            <w:rtl/>
            <w:lang w:eastAsia="zh-TW"/>
          </w:rPr>
          <w:lastRenderedPageBreak/>
          <w:t>البلاغ بشكل الاتصال الذي يحتاجه للتمكن من أداء وا</w:t>
        </w:r>
        <w:r w:rsidR="006B0B45">
          <w:rPr>
            <w:rtl/>
            <w:lang w:eastAsia="zh-TW"/>
          </w:rPr>
          <w:t>جب المحلف، وبالتالي، التعبير عن</w:t>
        </w:r>
        <w:r w:rsidR="006B0B45">
          <w:rPr>
            <w:rFonts w:hint="cs"/>
            <w:rtl/>
            <w:lang w:eastAsia="zh-TW"/>
          </w:rPr>
          <w:t> </w:t>
        </w:r>
        <w:r w:rsidR="004A5905" w:rsidRPr="004A5905">
          <w:rPr>
            <w:rtl/>
            <w:lang w:eastAsia="zh-TW"/>
          </w:rPr>
          <w:t>نفسه في المعاملة الرسمية، يع</w:t>
        </w:r>
        <w:r>
          <w:rPr>
            <w:rtl/>
            <w:lang w:eastAsia="zh-TW"/>
          </w:rPr>
          <w:t>د بمثابة انتهاك للمادة 21</w:t>
        </w:r>
        <w:r w:rsidR="004A5905" w:rsidRPr="004A5905">
          <w:rPr>
            <w:rtl/>
            <w:lang w:eastAsia="zh-TW"/>
          </w:rPr>
          <w:t>(ب) مقروءة بمفرد</w:t>
        </w:r>
        <w:r w:rsidR="006B0B45">
          <w:rPr>
            <w:rtl/>
            <w:lang w:eastAsia="zh-TW"/>
          </w:rPr>
          <w:t>ها وبالاقتران مع المواد 2 و4 و5</w:t>
        </w:r>
        <w:r w:rsidR="004A5905" w:rsidRPr="004A5905">
          <w:rPr>
            <w:rtl/>
            <w:lang w:eastAsia="zh-TW"/>
          </w:rPr>
          <w:t xml:space="preserve">(1) و(3) من الاتفاقية. </w:t>
        </w:r>
        <w:r w:rsidR="004A5905" w:rsidRPr="004A5905">
          <w:rPr>
            <w:rFonts w:cs="Times New Roman" w:hint="cs"/>
            <w:rtl/>
            <w:lang w:eastAsia="zh-TW"/>
          </w:rPr>
          <w:t>‬</w:t>
        </w:r>
        <w:r w:rsidR="004A5905" w:rsidRPr="004A5905">
          <w:rPr>
            <w:rFonts w:cs="Times New Roman" w:hint="cs"/>
            <w:rtl/>
            <w:lang w:eastAsia="zh-TW"/>
          </w:rPr>
          <w:t>‬</w:t>
        </w:r>
        <w:r w:rsidR="002809DC">
          <w:t>‬</w:t>
        </w:r>
        <w:r w:rsidR="00043E01">
          <w:t>‬</w:t>
        </w:r>
        <w:r w:rsidR="005E6E98">
          <w:t>‬</w:t>
        </w:r>
      </w:dir>
    </w:p>
    <w:p w:rsidR="004A5905" w:rsidRPr="004A5905" w:rsidRDefault="0098550C" w:rsidP="004A5905">
      <w:pPr>
        <w:pStyle w:val="SingleTxtGA"/>
        <w:rPr>
          <w:rtl/>
          <w:lang w:eastAsia="zh-TW"/>
        </w:rPr>
      </w:pPr>
      <w:r>
        <w:rPr>
          <w:rFonts w:hint="cs"/>
          <w:rtl/>
          <w:lang w:eastAsia="zh-TW"/>
        </w:rPr>
        <w:t>8-9</w:t>
      </w:r>
      <w:r>
        <w:rPr>
          <w:rtl/>
          <w:lang w:eastAsia="zh-TW"/>
        </w:rPr>
        <w:tab/>
      </w:r>
      <w:r w:rsidR="004A5905" w:rsidRPr="004A5905">
        <w:rPr>
          <w:rtl/>
          <w:lang w:eastAsia="zh-TW"/>
        </w:rPr>
        <w:t>وفيما يتعلق بادعاءي</w:t>
      </w:r>
      <w:r w:rsidR="006B0B45">
        <w:rPr>
          <w:rtl/>
          <w:lang w:eastAsia="zh-TW"/>
        </w:rPr>
        <w:t>ْ صاحب البلاغ بموجب المادتين 13</w:t>
      </w:r>
      <w:r w:rsidR="004A5905" w:rsidRPr="004A5905">
        <w:rPr>
          <w:rtl/>
          <w:lang w:eastAsia="zh-TW"/>
        </w:rPr>
        <w:t xml:space="preserve">(1) و29 من الاتفاقية، تحيط اللجنة </w:t>
      </w:r>
      <w:r w:rsidR="008B5358">
        <w:rPr>
          <w:rtl/>
          <w:lang w:eastAsia="zh-TW"/>
        </w:rPr>
        <w:t>علماً</w:t>
      </w:r>
      <w:r w:rsidR="004A5905" w:rsidRPr="004A5905">
        <w:rPr>
          <w:rtl/>
          <w:lang w:eastAsia="zh-TW"/>
        </w:rPr>
        <w:t xml:space="preserve"> بحجة الدولة الطرف التي تفيد بأن هذا الادعاء لا يستند إلى أساس موضوعي، لأنها ترى أن عبارة "إمكانية لجوء</w:t>
      </w:r>
      <w:r w:rsidR="006B0B45">
        <w:rPr>
          <w:rFonts w:hint="cs"/>
          <w:rtl/>
          <w:lang w:eastAsia="zh-TW"/>
        </w:rPr>
        <w:t xml:space="preserve"> </w:t>
      </w:r>
      <w:r w:rsidR="004A5905" w:rsidRPr="004A5905">
        <w:rPr>
          <w:rtl/>
          <w:lang w:eastAsia="zh-TW"/>
        </w:rPr>
        <w:t>... إلى القضاء فعليا</w:t>
      </w:r>
      <w:r w:rsidR="006B0B45">
        <w:rPr>
          <w:rFonts w:hint="cs"/>
          <w:rtl/>
          <w:lang w:eastAsia="zh-TW"/>
        </w:rPr>
        <w:t>ً</w:t>
      </w:r>
      <w:r w:rsidR="004A5905" w:rsidRPr="004A5905">
        <w:rPr>
          <w:rtl/>
          <w:lang w:eastAsia="zh-TW"/>
        </w:rPr>
        <w:t>" تشير إلى إمكانية الوصول إلى نظام العدا</w:t>
      </w:r>
      <w:r w:rsidR="004A5905" w:rsidRPr="004A5905">
        <w:rPr>
          <w:rFonts w:hint="eastAsia"/>
          <w:rtl/>
          <w:lang w:eastAsia="zh-TW"/>
        </w:rPr>
        <w:t>لة،</w:t>
      </w:r>
      <w:r w:rsidR="004A5905" w:rsidRPr="004A5905">
        <w:rPr>
          <w:rtl/>
          <w:lang w:eastAsia="zh-TW"/>
        </w:rPr>
        <w:t xml:space="preserve"> وأن مصطلحي المشاركة "المباشرة"</w:t>
      </w:r>
      <w:r w:rsidR="006B0B45">
        <w:rPr>
          <w:rtl/>
          <w:lang w:eastAsia="zh-TW"/>
        </w:rPr>
        <w:t xml:space="preserve"> و</w:t>
      </w:r>
      <w:r w:rsidR="004A5905" w:rsidRPr="004A5905">
        <w:rPr>
          <w:rtl/>
          <w:lang w:eastAsia="zh-TW"/>
        </w:rPr>
        <w:t xml:space="preserve">"غير المباشرة" لا تشمل واجبات المحلف. وتدفع الدولة الطرف </w:t>
      </w:r>
      <w:r w:rsidR="008B5358">
        <w:rPr>
          <w:rtl/>
          <w:lang w:eastAsia="zh-TW"/>
        </w:rPr>
        <w:t>أيضاً</w:t>
      </w:r>
      <w:r w:rsidR="004A5905" w:rsidRPr="004A5905">
        <w:rPr>
          <w:rtl/>
          <w:lang w:eastAsia="zh-TW"/>
        </w:rPr>
        <w:t xml:space="preserve"> بأن معيار "الترتيبات </w:t>
      </w:r>
      <w:proofErr w:type="spellStart"/>
      <w:r w:rsidR="004A5905" w:rsidRPr="004A5905">
        <w:rPr>
          <w:rtl/>
          <w:lang w:eastAsia="zh-TW"/>
        </w:rPr>
        <w:t>التيسيرية</w:t>
      </w:r>
      <w:proofErr w:type="spellEnd"/>
      <w:r w:rsidR="004A5905" w:rsidRPr="004A5905">
        <w:rPr>
          <w:rtl/>
          <w:lang w:eastAsia="zh-TW"/>
        </w:rPr>
        <w:t xml:space="preserve"> المعقولة" لا ينطبق على المادة 13. ويؤكد صاحب البلاغ بدوره أن "المشاركة المباشرة وغير المباشرة" تتعلق بالأفراد الذين يؤدون دورا</w:t>
      </w:r>
      <w:r w:rsidR="006B0B45">
        <w:rPr>
          <w:rFonts w:hint="cs"/>
          <w:rtl/>
          <w:lang w:eastAsia="zh-TW"/>
        </w:rPr>
        <w:t>ً</w:t>
      </w:r>
      <w:r w:rsidR="004A5905" w:rsidRPr="004A5905">
        <w:rPr>
          <w:rtl/>
          <w:lang w:eastAsia="zh-TW"/>
        </w:rPr>
        <w:t xml:space="preserve"> في النظام القانوني، وأن الالتزامات المنصوص عليها في المادة 5 بشأن توفير "الترتيبات </w:t>
      </w:r>
      <w:proofErr w:type="spellStart"/>
      <w:r w:rsidR="004A5905" w:rsidRPr="004A5905">
        <w:rPr>
          <w:rtl/>
          <w:lang w:eastAsia="zh-TW"/>
        </w:rPr>
        <w:t>التيسيرية</w:t>
      </w:r>
      <w:proofErr w:type="spellEnd"/>
      <w:r w:rsidR="004A5905" w:rsidRPr="004A5905">
        <w:rPr>
          <w:rtl/>
          <w:lang w:eastAsia="zh-TW"/>
        </w:rPr>
        <w:t xml:space="preserve"> المعقولة" تنطبق على إعمال هذه الحقوق. وتذكر اللجنة بأن الدول الأطراف يتعين عليها، عملا</w:t>
      </w:r>
      <w:r w:rsidR="006B0B45">
        <w:rPr>
          <w:rFonts w:hint="cs"/>
          <w:rtl/>
          <w:lang w:eastAsia="zh-TW"/>
        </w:rPr>
        <w:t>ً</w:t>
      </w:r>
      <w:r w:rsidR="004A5905" w:rsidRPr="004A5905">
        <w:rPr>
          <w:rtl/>
          <w:lang w:eastAsia="zh-TW"/>
        </w:rPr>
        <w:t xml:space="preserve"> بالمادة 13، أن تكفل سبلا</w:t>
      </w:r>
      <w:r w:rsidR="006B0B45">
        <w:rPr>
          <w:rFonts w:hint="cs"/>
          <w:rtl/>
          <w:lang w:eastAsia="zh-TW"/>
        </w:rPr>
        <w:t>ً</w:t>
      </w:r>
      <w:r w:rsidR="004A5905" w:rsidRPr="004A5905">
        <w:rPr>
          <w:rtl/>
          <w:lang w:eastAsia="zh-TW"/>
        </w:rPr>
        <w:t xml:space="preserve"> فعالة للأشخاص ذوي الإعاقة للجوء إلى القضاء على قدم المساواة مع الآخرين، بغرض تيسير دورهم الفعال في "المشاركة المباشرة وغير المباشرة في جميع الإجراءات القانونية"، بما في ذلك من خلال توفير </w:t>
      </w:r>
      <w:proofErr w:type="spellStart"/>
      <w:r w:rsidR="004A5905" w:rsidRPr="004A5905">
        <w:rPr>
          <w:rtl/>
          <w:lang w:eastAsia="zh-TW"/>
        </w:rPr>
        <w:t>التيسيرات</w:t>
      </w:r>
      <w:proofErr w:type="spellEnd"/>
      <w:r w:rsidR="004A5905" w:rsidRPr="004A5905">
        <w:rPr>
          <w:rtl/>
          <w:lang w:eastAsia="zh-TW"/>
        </w:rPr>
        <w:t xml:space="preserve"> الإجرائية التي تتناسب مع أعمارهم. وتحيط اللجنة </w:t>
      </w:r>
      <w:r w:rsidR="008B5358">
        <w:rPr>
          <w:rtl/>
          <w:lang w:eastAsia="zh-TW"/>
        </w:rPr>
        <w:t>علماً</w:t>
      </w:r>
      <w:r w:rsidR="004A5905" w:rsidRPr="004A5905">
        <w:rPr>
          <w:rtl/>
          <w:lang w:eastAsia="zh-TW"/>
        </w:rPr>
        <w:t xml:space="preserve"> بأن أداء واجب المحلف يعد جزءا لا يتجزأ من النظام القضائي </w:t>
      </w:r>
      <w:r w:rsidR="004A5905" w:rsidRPr="004A5905">
        <w:rPr>
          <w:rFonts w:hint="eastAsia"/>
          <w:rtl/>
          <w:lang w:eastAsia="zh-TW"/>
        </w:rPr>
        <w:t>الأسترالي،</w:t>
      </w:r>
      <w:r w:rsidR="004A5905" w:rsidRPr="004A5905">
        <w:rPr>
          <w:rtl/>
          <w:lang w:eastAsia="zh-TW"/>
        </w:rPr>
        <w:t xml:space="preserve"> ويعد بذلك، "مشاركة" في الإجراءات القانو</w:t>
      </w:r>
      <w:r w:rsidR="006B0B45">
        <w:rPr>
          <w:rtl/>
          <w:lang w:eastAsia="zh-TW"/>
        </w:rPr>
        <w:t>نية. وتذكر اللجنة بأن المادة 29</w:t>
      </w:r>
      <w:r w:rsidR="004A5905" w:rsidRPr="004A5905">
        <w:rPr>
          <w:rtl/>
          <w:lang w:eastAsia="zh-TW"/>
        </w:rPr>
        <w:t xml:space="preserve">(ب) تقتضي من الدول أن تعمل على نحو فعال من أجل تهيئة بيئة يتسنى فيها للأشخاص ذوي الإعاقة أن يشاركوا مشاركة فعلية وكاملة في تسيير الشؤون العامة، دون تمييز وعلى قدم المساواة مع الآخرين، وأن تشجع مشاركتهم في الشؤون العامة. ولذلك يجب إيلاء الاهتمام لمشاركة الأشخاص ذوي الإعاقة في النظام القضائي بصفات أخرى غير صفة المتظلم أو الضحية أو المدعى عليه، بما في ذلك في خدمة المحلفين، على قدم المساواة مع الآخرين. وفي ضوء ما تقدم، ترى اللجنة </w:t>
      </w:r>
      <w:r w:rsidR="004A5905" w:rsidRPr="004A5905">
        <w:rPr>
          <w:rFonts w:hint="eastAsia"/>
          <w:rtl/>
          <w:lang w:eastAsia="zh-TW"/>
        </w:rPr>
        <w:t>أن</w:t>
      </w:r>
      <w:r w:rsidR="004A5905" w:rsidRPr="004A5905">
        <w:rPr>
          <w:rtl/>
          <w:lang w:eastAsia="zh-TW"/>
        </w:rPr>
        <w:t xml:space="preserve"> قرار </w:t>
      </w:r>
      <w:proofErr w:type="spellStart"/>
      <w:r w:rsidR="004A5905" w:rsidRPr="004A5905">
        <w:rPr>
          <w:rtl/>
          <w:lang w:eastAsia="zh-TW"/>
        </w:rPr>
        <w:t>والية</w:t>
      </w:r>
      <w:proofErr w:type="spellEnd"/>
      <w:r w:rsidR="004A5905" w:rsidRPr="004A5905">
        <w:rPr>
          <w:rtl/>
          <w:lang w:eastAsia="zh-TW"/>
        </w:rPr>
        <w:t xml:space="preserve"> القضاء الامتناع عن توفير خدمة العرض النصي بالاختزال لصاحب الب</w:t>
      </w:r>
      <w:r w:rsidR="006B0B45">
        <w:rPr>
          <w:rtl/>
          <w:lang w:eastAsia="zh-TW"/>
        </w:rPr>
        <w:t>لاغ يعد بمثابة انتهاك للمادة 13</w:t>
      </w:r>
      <w:r w:rsidR="004A5905" w:rsidRPr="004A5905">
        <w:rPr>
          <w:rtl/>
          <w:lang w:eastAsia="zh-TW"/>
        </w:rPr>
        <w:t>(1)، مقروءة بم</w:t>
      </w:r>
      <w:r w:rsidR="006B0B45">
        <w:rPr>
          <w:rtl/>
          <w:lang w:eastAsia="zh-TW"/>
        </w:rPr>
        <w:t>فردها وبالاقتران مع المواد 3 و5</w:t>
      </w:r>
      <w:r w:rsidR="004A5905" w:rsidRPr="004A5905">
        <w:rPr>
          <w:rtl/>
          <w:lang w:eastAsia="zh-TW"/>
        </w:rPr>
        <w:t>(1)</w:t>
      </w:r>
      <w:r w:rsidR="006B0B45">
        <w:rPr>
          <w:rtl/>
          <w:lang w:eastAsia="zh-TW"/>
        </w:rPr>
        <w:t xml:space="preserve"> و29</w:t>
      </w:r>
      <w:r w:rsidR="004A5905" w:rsidRPr="004A5905">
        <w:rPr>
          <w:rtl/>
          <w:lang w:eastAsia="zh-TW"/>
        </w:rPr>
        <w:t>(ب) من الاتفاقية.</w:t>
      </w:r>
    </w:p>
    <w:p w:rsidR="004A5905" w:rsidRPr="004A5905" w:rsidRDefault="0098550C" w:rsidP="0098550C">
      <w:pPr>
        <w:pStyle w:val="H1GA"/>
        <w:rPr>
          <w:rtl/>
          <w:lang w:eastAsia="zh-TW"/>
        </w:rPr>
      </w:pPr>
      <w:r>
        <w:rPr>
          <w:rFonts w:hint="cs"/>
          <w:rtl/>
          <w:lang w:eastAsia="zh-TW"/>
        </w:rPr>
        <w:tab/>
      </w:r>
      <w:r w:rsidR="004A5905" w:rsidRPr="004A5905">
        <w:rPr>
          <w:rtl/>
          <w:lang w:eastAsia="zh-TW"/>
        </w:rPr>
        <w:t>جيم-</w:t>
      </w:r>
      <w:r>
        <w:rPr>
          <w:rFonts w:hint="cs"/>
          <w:rtl/>
          <w:lang w:eastAsia="zh-TW"/>
        </w:rPr>
        <w:tab/>
      </w:r>
      <w:r w:rsidR="004A5905" w:rsidRPr="004A5905">
        <w:rPr>
          <w:rtl/>
          <w:lang w:eastAsia="zh-TW"/>
        </w:rPr>
        <w:t>الاستنتاجات والتوصيات</w:t>
      </w:r>
      <w:r w:rsidR="004A5905" w:rsidRPr="004A5905">
        <w:rPr>
          <w:rFonts w:cs="Times New Roman" w:hint="cs"/>
          <w:rtl/>
          <w:lang w:eastAsia="zh-TW"/>
        </w:rPr>
        <w:t>‬</w:t>
      </w:r>
    </w:p>
    <w:p w:rsidR="004A5905" w:rsidRPr="004A5905" w:rsidRDefault="0098550C" w:rsidP="004A5905">
      <w:pPr>
        <w:pStyle w:val="SingleTxtGA"/>
        <w:rPr>
          <w:rtl/>
          <w:lang w:eastAsia="zh-TW"/>
        </w:rPr>
      </w:pPr>
      <w:r>
        <w:rPr>
          <w:rFonts w:hint="cs"/>
          <w:rtl/>
          <w:lang w:eastAsia="zh-TW"/>
        </w:rPr>
        <w:t>9-</w:t>
      </w:r>
      <w:r>
        <w:rPr>
          <w:rtl/>
          <w:lang w:eastAsia="zh-TW"/>
        </w:rPr>
        <w:tab/>
      </w:r>
      <w:r w:rsidR="004A5905" w:rsidRPr="004A5905">
        <w:rPr>
          <w:rtl/>
          <w:lang w:eastAsia="zh-TW"/>
        </w:rPr>
        <w:t>واللجنة، إذ تتصرف بموجب المادة 5 من البروتوكول الاختياري، ترى أن الدولة الطرف لم تف بالتزاماتها بمو</w:t>
      </w:r>
      <w:r>
        <w:rPr>
          <w:rtl/>
          <w:lang w:eastAsia="zh-TW"/>
        </w:rPr>
        <w:t>جب المواد 5(1) و(3) و9(1) و13</w:t>
      </w:r>
      <w:r w:rsidR="004A5905" w:rsidRPr="004A5905">
        <w:rPr>
          <w:rtl/>
          <w:lang w:eastAsia="zh-TW"/>
        </w:rPr>
        <w:t>(1) مقروءة بمفردها وبالاقتران</w:t>
      </w:r>
      <w:r>
        <w:rPr>
          <w:rtl/>
          <w:lang w:eastAsia="zh-TW"/>
        </w:rPr>
        <w:t xml:space="preserve"> مع المواد 3 و5(1) و29(ب) و21</w:t>
      </w:r>
      <w:r w:rsidR="004A5905" w:rsidRPr="004A5905">
        <w:rPr>
          <w:rtl/>
          <w:lang w:eastAsia="zh-TW"/>
        </w:rPr>
        <w:t>(ب) مقروءة بمفرد</w:t>
      </w:r>
      <w:r>
        <w:rPr>
          <w:rtl/>
          <w:lang w:eastAsia="zh-TW"/>
        </w:rPr>
        <w:t>ها وبالاقتران مع المواد 2 و4 و5</w:t>
      </w:r>
      <w:r w:rsidR="004A5905" w:rsidRPr="004A5905">
        <w:rPr>
          <w:rtl/>
          <w:lang w:eastAsia="zh-TW"/>
        </w:rPr>
        <w:t>(1) و(3) من ا</w:t>
      </w:r>
      <w:r w:rsidR="004A5905" w:rsidRPr="004A5905">
        <w:rPr>
          <w:rFonts w:hint="eastAsia"/>
          <w:rtl/>
          <w:lang w:eastAsia="zh-TW"/>
        </w:rPr>
        <w:t>لاتفاقية</w:t>
      </w:r>
      <w:r w:rsidR="004A5905" w:rsidRPr="004A5905">
        <w:rPr>
          <w:rtl/>
          <w:lang w:eastAsia="zh-TW"/>
        </w:rPr>
        <w:t xml:space="preserve">. </w:t>
      </w:r>
      <w:dir w:val="rtl">
        <w:r w:rsidR="004A5905" w:rsidRPr="004A5905">
          <w:rPr>
            <w:rFonts w:ascii="Traditional Arabic" w:hAnsi="Traditional Arabic" w:hint="cs"/>
            <w:rtl/>
            <w:lang w:eastAsia="zh-TW"/>
          </w:rPr>
          <w:t>وعليه،</w:t>
        </w:r>
        <w:r w:rsidR="004A5905" w:rsidRPr="004A5905">
          <w:rPr>
            <w:rtl/>
            <w:lang w:eastAsia="zh-TW"/>
          </w:rPr>
          <w:t xml:space="preserve"> </w:t>
        </w:r>
        <w:r w:rsidR="004A5905" w:rsidRPr="004A5905">
          <w:rPr>
            <w:rFonts w:ascii="Traditional Arabic" w:hAnsi="Traditional Arabic" w:hint="cs"/>
            <w:rtl/>
            <w:lang w:eastAsia="zh-TW"/>
          </w:rPr>
          <w:t>تقدم</w:t>
        </w:r>
        <w:r w:rsidR="004A5905" w:rsidRPr="004A5905">
          <w:rPr>
            <w:rtl/>
            <w:lang w:eastAsia="zh-TW"/>
          </w:rPr>
          <w:t xml:space="preserve"> </w:t>
        </w:r>
        <w:r w:rsidR="004A5905" w:rsidRPr="004A5905">
          <w:rPr>
            <w:rFonts w:ascii="Traditional Arabic" w:hAnsi="Traditional Arabic" w:hint="cs"/>
            <w:rtl/>
            <w:lang w:eastAsia="zh-TW"/>
          </w:rPr>
          <w:t>اللجنة</w:t>
        </w:r>
        <w:r w:rsidR="004A5905" w:rsidRPr="004A5905">
          <w:rPr>
            <w:rtl/>
            <w:lang w:eastAsia="zh-TW"/>
          </w:rPr>
          <w:t xml:space="preserve"> </w:t>
        </w:r>
        <w:r w:rsidR="004A5905" w:rsidRPr="004A5905">
          <w:rPr>
            <w:rFonts w:ascii="Traditional Arabic" w:hAnsi="Traditional Arabic" w:hint="cs"/>
            <w:rtl/>
            <w:lang w:eastAsia="zh-TW"/>
          </w:rPr>
          <w:t>إلى</w:t>
        </w:r>
        <w:r w:rsidR="004A5905" w:rsidRPr="004A5905">
          <w:rPr>
            <w:rtl/>
            <w:lang w:eastAsia="zh-TW"/>
          </w:rPr>
          <w:t xml:space="preserve"> </w:t>
        </w:r>
        <w:r w:rsidR="004A5905" w:rsidRPr="004A5905">
          <w:rPr>
            <w:rFonts w:ascii="Traditional Arabic" w:hAnsi="Traditional Arabic" w:hint="cs"/>
            <w:rtl/>
            <w:lang w:eastAsia="zh-TW"/>
          </w:rPr>
          <w:t>الدولة</w:t>
        </w:r>
        <w:r w:rsidR="004A5905" w:rsidRPr="004A5905">
          <w:rPr>
            <w:rtl/>
            <w:lang w:eastAsia="zh-TW"/>
          </w:rPr>
          <w:t xml:space="preserve"> </w:t>
        </w:r>
        <w:r w:rsidR="004A5905" w:rsidRPr="004A5905">
          <w:rPr>
            <w:rFonts w:ascii="Traditional Arabic" w:hAnsi="Traditional Arabic" w:hint="cs"/>
            <w:rtl/>
            <w:lang w:eastAsia="zh-TW"/>
          </w:rPr>
          <w:t>الطرف</w:t>
        </w:r>
        <w:r w:rsidR="004A5905" w:rsidRPr="004A5905">
          <w:rPr>
            <w:rtl/>
            <w:lang w:eastAsia="zh-TW"/>
          </w:rPr>
          <w:t xml:space="preserve"> </w:t>
        </w:r>
        <w:r w:rsidR="004A5905" w:rsidRPr="004A5905">
          <w:rPr>
            <w:rFonts w:ascii="Traditional Arabic" w:hAnsi="Traditional Arabic" w:hint="cs"/>
            <w:rtl/>
            <w:lang w:eastAsia="zh-TW"/>
          </w:rPr>
          <w:t>التوصيات</w:t>
        </w:r>
        <w:r w:rsidR="004A5905" w:rsidRPr="004A5905">
          <w:rPr>
            <w:rtl/>
            <w:lang w:eastAsia="zh-TW"/>
          </w:rPr>
          <w:t xml:space="preserve"> </w:t>
        </w:r>
        <w:r w:rsidR="004A5905" w:rsidRPr="004A5905">
          <w:rPr>
            <w:rFonts w:ascii="Traditional Arabic" w:hAnsi="Traditional Arabic" w:hint="cs"/>
            <w:rtl/>
            <w:lang w:eastAsia="zh-TW"/>
          </w:rPr>
          <w:t>التالية</w:t>
        </w:r>
        <w:r w:rsidR="004A5905" w:rsidRPr="004A5905">
          <w:rPr>
            <w:rtl/>
            <w:lang w:eastAsia="zh-TW"/>
          </w:rPr>
          <w:t xml:space="preserve">: </w:t>
        </w:r>
        <w:r w:rsidR="004A5905" w:rsidRPr="004A5905">
          <w:rPr>
            <w:rFonts w:cs="Times New Roman" w:hint="cs"/>
            <w:rtl/>
            <w:lang w:eastAsia="zh-TW"/>
          </w:rPr>
          <w:t>‬</w:t>
        </w:r>
        <w:r w:rsidR="004A5905" w:rsidRPr="004A5905">
          <w:rPr>
            <w:rFonts w:cs="Times New Roman" w:hint="cs"/>
            <w:rtl/>
            <w:lang w:eastAsia="zh-TW"/>
          </w:rPr>
          <w:t>‬</w:t>
        </w:r>
        <w:r w:rsidR="002809DC">
          <w:t>‬</w:t>
        </w:r>
        <w:r w:rsidR="00043E01">
          <w:t>‬</w:t>
        </w:r>
        <w:r w:rsidR="005E6E98">
          <w:t>‬</w:t>
        </w:r>
      </w:dir>
    </w:p>
    <w:p w:rsidR="004A5905" w:rsidRPr="004A5905" w:rsidRDefault="0098550C" w:rsidP="0098550C">
      <w:pPr>
        <w:pStyle w:val="SingleTxtGA"/>
        <w:rPr>
          <w:rtl/>
          <w:lang w:eastAsia="zh-TW"/>
        </w:rPr>
      </w:pPr>
      <w:r>
        <w:rPr>
          <w:rFonts w:hint="cs"/>
          <w:rtl/>
          <w:lang w:eastAsia="zh-TW"/>
        </w:rPr>
        <w:tab/>
      </w:r>
      <w:r w:rsidR="004A5905" w:rsidRPr="004A5905">
        <w:rPr>
          <w:rtl/>
          <w:lang w:eastAsia="zh-TW"/>
        </w:rPr>
        <w:t>(أ)</w:t>
      </w:r>
      <w:r>
        <w:rPr>
          <w:rFonts w:hint="cs"/>
          <w:rtl/>
          <w:lang w:eastAsia="zh-TW"/>
        </w:rPr>
        <w:tab/>
      </w:r>
      <w:r w:rsidR="004A5905" w:rsidRPr="004A5905">
        <w:rPr>
          <w:rtl/>
          <w:lang w:eastAsia="zh-TW"/>
        </w:rPr>
        <w:t>فيما يتعلق بصاحب البلاغ، تعتبر الدولة الطرف ملزمة بما يلي:</w:t>
      </w:r>
      <w:r w:rsidR="006B0B45">
        <w:rPr>
          <w:rFonts w:hint="cs"/>
          <w:rtl/>
          <w:lang w:eastAsia="zh-TW"/>
        </w:rPr>
        <w:t xml:space="preserve"> </w:t>
      </w:r>
    </w:p>
    <w:p w:rsidR="004A5905" w:rsidRPr="004A5905" w:rsidRDefault="0098550C" w:rsidP="0098550C">
      <w:pPr>
        <w:pStyle w:val="Bullet1GA"/>
        <w:numPr>
          <w:ilvl w:val="0"/>
          <w:numId w:val="0"/>
        </w:numPr>
        <w:bidi/>
        <w:ind w:left="2626" w:hanging="676"/>
        <w:rPr>
          <w:rtl/>
          <w:lang w:eastAsia="zh-TW"/>
        </w:rPr>
      </w:pPr>
      <w:r w:rsidRPr="0098550C">
        <w:rPr>
          <w:rFonts w:ascii="Traditional Arabic" w:hAnsi="Traditional Arabic"/>
          <w:rtl/>
          <w:lang w:eastAsia="zh-TW"/>
        </w:rPr>
        <w:t>'1'</w:t>
      </w:r>
      <w:r>
        <w:rPr>
          <w:rtl/>
          <w:lang w:eastAsia="zh-TW"/>
        </w:rPr>
        <w:tab/>
      </w:r>
      <w:r w:rsidR="004A5905" w:rsidRPr="004A5905">
        <w:rPr>
          <w:rtl/>
          <w:lang w:eastAsia="zh-TW"/>
        </w:rPr>
        <w:t xml:space="preserve">توفير سبيل انتصاف فعال له يشمل سداد أية تكاليف قانونية تكبدها له، إلى جانب التعويض؛ </w:t>
      </w:r>
    </w:p>
    <w:p w:rsidR="004A5905" w:rsidRPr="004A5905" w:rsidRDefault="0098550C" w:rsidP="0098550C">
      <w:pPr>
        <w:pStyle w:val="Bullet1GA"/>
        <w:numPr>
          <w:ilvl w:val="0"/>
          <w:numId w:val="0"/>
        </w:numPr>
        <w:bidi/>
        <w:ind w:left="2626" w:hanging="676"/>
        <w:rPr>
          <w:rtl/>
          <w:lang w:eastAsia="zh-TW"/>
        </w:rPr>
      </w:pPr>
      <w:r w:rsidRPr="0098550C">
        <w:rPr>
          <w:rFonts w:ascii="Traditional Arabic" w:hAnsi="Traditional Arabic"/>
          <w:rtl/>
          <w:lang w:eastAsia="zh-TW"/>
        </w:rPr>
        <w:lastRenderedPageBreak/>
        <w:t>'</w:t>
      </w:r>
      <w:r>
        <w:rPr>
          <w:rFonts w:ascii="Traditional Arabic" w:hAnsi="Traditional Arabic" w:hint="cs"/>
          <w:rtl/>
          <w:lang w:eastAsia="zh-TW"/>
        </w:rPr>
        <w:t>2</w:t>
      </w:r>
      <w:r w:rsidRPr="0098550C">
        <w:rPr>
          <w:rFonts w:ascii="Traditional Arabic" w:hAnsi="Traditional Arabic"/>
          <w:rtl/>
          <w:lang w:eastAsia="zh-TW"/>
        </w:rPr>
        <w:t>'</w:t>
      </w:r>
      <w:r>
        <w:rPr>
          <w:rFonts w:ascii="Traditional Arabic" w:hAnsi="Traditional Arabic"/>
          <w:rtl/>
          <w:lang w:eastAsia="zh-TW"/>
        </w:rPr>
        <w:tab/>
      </w:r>
      <w:r w:rsidR="004A5905" w:rsidRPr="004A5905">
        <w:rPr>
          <w:rFonts w:ascii="Traditional Arabic" w:hAnsi="Traditional Arabic" w:hint="cs"/>
          <w:rtl/>
          <w:lang w:eastAsia="zh-TW"/>
        </w:rPr>
        <w:t>تمكينه</w:t>
      </w:r>
      <w:r w:rsidR="004A5905" w:rsidRPr="004A5905">
        <w:rPr>
          <w:rtl/>
          <w:lang w:eastAsia="zh-TW"/>
        </w:rPr>
        <w:t xml:space="preserve"> </w:t>
      </w:r>
      <w:r w:rsidR="004A5905" w:rsidRPr="004A5905">
        <w:rPr>
          <w:rFonts w:ascii="Traditional Arabic" w:hAnsi="Traditional Arabic" w:hint="cs"/>
          <w:rtl/>
          <w:lang w:eastAsia="zh-TW"/>
        </w:rPr>
        <w:t>من</w:t>
      </w:r>
      <w:r w:rsidR="004A5905" w:rsidRPr="004A5905">
        <w:rPr>
          <w:rtl/>
          <w:lang w:eastAsia="zh-TW"/>
        </w:rPr>
        <w:t xml:space="preserve"> </w:t>
      </w:r>
      <w:r w:rsidR="004A5905" w:rsidRPr="004A5905">
        <w:rPr>
          <w:rFonts w:ascii="Traditional Arabic" w:hAnsi="Traditional Arabic" w:hint="cs"/>
          <w:rtl/>
          <w:lang w:eastAsia="zh-TW"/>
        </w:rPr>
        <w:t>المشاركة</w:t>
      </w:r>
      <w:r w:rsidR="004A5905" w:rsidRPr="004A5905">
        <w:rPr>
          <w:rtl/>
          <w:lang w:eastAsia="zh-TW"/>
        </w:rPr>
        <w:t xml:space="preserve"> </w:t>
      </w:r>
      <w:r w:rsidR="004A5905" w:rsidRPr="004A5905">
        <w:rPr>
          <w:rFonts w:ascii="Traditional Arabic" w:hAnsi="Traditional Arabic" w:hint="cs"/>
          <w:rtl/>
          <w:lang w:eastAsia="zh-TW"/>
        </w:rPr>
        <w:t>في</w:t>
      </w:r>
      <w:r w:rsidR="004A5905" w:rsidRPr="004A5905">
        <w:rPr>
          <w:rtl/>
          <w:lang w:eastAsia="zh-TW"/>
        </w:rPr>
        <w:t xml:space="preserve"> </w:t>
      </w:r>
      <w:r w:rsidR="004A5905" w:rsidRPr="004A5905">
        <w:rPr>
          <w:rFonts w:ascii="Traditional Arabic" w:hAnsi="Traditional Arabic" w:hint="cs"/>
          <w:rtl/>
          <w:lang w:eastAsia="zh-TW"/>
        </w:rPr>
        <w:t>أداء</w:t>
      </w:r>
      <w:r w:rsidR="004A5905" w:rsidRPr="004A5905">
        <w:rPr>
          <w:rtl/>
          <w:lang w:eastAsia="zh-TW"/>
        </w:rPr>
        <w:t xml:space="preserve"> </w:t>
      </w:r>
      <w:r w:rsidR="004A5905" w:rsidRPr="004A5905">
        <w:rPr>
          <w:rFonts w:ascii="Traditional Arabic" w:hAnsi="Traditional Arabic" w:hint="cs"/>
          <w:rtl/>
          <w:lang w:eastAsia="zh-TW"/>
        </w:rPr>
        <w:t>وا</w:t>
      </w:r>
      <w:r w:rsidR="004A5905" w:rsidRPr="004A5905">
        <w:rPr>
          <w:rtl/>
          <w:lang w:eastAsia="zh-TW"/>
        </w:rPr>
        <w:t xml:space="preserve">جب المحلف، بتوفير ترتيبات تيسيرية معقولة له تتمثل في العرض النصي بطريقة تحترم سرية الإجراءات، في جميع مراحل اختيار المحلفين وإجراءات المحكمة؛ </w:t>
      </w:r>
      <w:r w:rsidR="004A5905" w:rsidRPr="004A5905">
        <w:rPr>
          <w:rFonts w:cs="Times New Roman" w:hint="cs"/>
          <w:rtl/>
          <w:lang w:eastAsia="zh-TW"/>
        </w:rPr>
        <w:t>‬</w:t>
      </w:r>
      <w:r w:rsidR="004A5905" w:rsidRPr="004A5905">
        <w:rPr>
          <w:rFonts w:cs="Times New Roman" w:hint="cs"/>
          <w:rtl/>
          <w:lang w:eastAsia="zh-TW"/>
        </w:rPr>
        <w:t>‬</w:t>
      </w:r>
    </w:p>
    <w:p w:rsidR="004A5905" w:rsidRPr="004A5905" w:rsidRDefault="0098550C" w:rsidP="0098550C">
      <w:pPr>
        <w:pStyle w:val="SingleTxtGA"/>
        <w:rPr>
          <w:rtl/>
          <w:lang w:eastAsia="zh-TW"/>
        </w:rPr>
      </w:pPr>
      <w:r>
        <w:rPr>
          <w:rFonts w:hint="cs"/>
          <w:rtl/>
          <w:lang w:eastAsia="zh-TW"/>
        </w:rPr>
        <w:tab/>
      </w:r>
      <w:r w:rsidR="004A5905" w:rsidRPr="004A5905">
        <w:rPr>
          <w:rtl/>
          <w:lang w:eastAsia="zh-TW"/>
        </w:rPr>
        <w:t>(ب)</w:t>
      </w:r>
      <w:r>
        <w:rPr>
          <w:rFonts w:hint="cs"/>
          <w:rtl/>
          <w:lang w:eastAsia="zh-TW"/>
        </w:rPr>
        <w:tab/>
      </w:r>
      <w:r w:rsidR="004A5905" w:rsidRPr="004A5905">
        <w:rPr>
          <w:rtl/>
          <w:lang w:eastAsia="zh-TW"/>
        </w:rPr>
        <w:t xml:space="preserve">وبصفة عامة، يقع على الدولة الطرف التزام باتخاذ تدابير لمنع حدوث انتهاكات مماثلة في المستقبل، بما في ذلك عن طريق ما يلي: </w:t>
      </w:r>
      <w:r w:rsidR="004A5905" w:rsidRPr="004A5905">
        <w:rPr>
          <w:rFonts w:cs="Times New Roman" w:hint="cs"/>
          <w:rtl/>
          <w:lang w:eastAsia="zh-TW"/>
        </w:rPr>
        <w:t>‬</w:t>
      </w:r>
    </w:p>
    <w:p w:rsidR="004A5905" w:rsidRPr="004A5905" w:rsidRDefault="0098550C" w:rsidP="0098550C">
      <w:pPr>
        <w:pStyle w:val="Bullet1GA"/>
        <w:numPr>
          <w:ilvl w:val="0"/>
          <w:numId w:val="0"/>
        </w:numPr>
        <w:bidi/>
        <w:ind w:left="2626" w:hanging="676"/>
        <w:rPr>
          <w:rtl/>
          <w:lang w:eastAsia="zh-TW"/>
        </w:rPr>
      </w:pPr>
      <w:r w:rsidRPr="0098550C">
        <w:rPr>
          <w:rFonts w:ascii="Traditional Arabic" w:hAnsi="Traditional Arabic"/>
          <w:rtl/>
          <w:lang w:eastAsia="zh-TW"/>
        </w:rPr>
        <w:t>'</w:t>
      </w:r>
      <w:r>
        <w:rPr>
          <w:rFonts w:ascii="Traditional Arabic" w:hAnsi="Traditional Arabic" w:hint="cs"/>
          <w:rtl/>
          <w:lang w:eastAsia="zh-TW"/>
        </w:rPr>
        <w:t>1</w:t>
      </w:r>
      <w:r w:rsidRPr="0098550C">
        <w:rPr>
          <w:rFonts w:ascii="Traditional Arabic" w:hAnsi="Traditional Arabic"/>
          <w:rtl/>
          <w:lang w:eastAsia="zh-TW"/>
        </w:rPr>
        <w:t>'</w:t>
      </w:r>
      <w:r>
        <w:rPr>
          <w:rFonts w:hint="cs"/>
          <w:rtl/>
          <w:lang w:eastAsia="zh-TW"/>
        </w:rPr>
        <w:tab/>
      </w:r>
      <w:r w:rsidR="004A5905" w:rsidRPr="004A5905">
        <w:rPr>
          <w:rtl/>
          <w:lang w:eastAsia="zh-TW"/>
        </w:rPr>
        <w:t xml:space="preserve">الحرص، في كل مرة يستدعى فيها شخص من ذوي الإعاقة لأداء واجب المحلف، شاملا، على إجراء تقييم تام وموضوعي وشامل لطلبه الحصول على ترتيبات، وعلى توفير جميع الترتيبات </w:t>
      </w:r>
      <w:proofErr w:type="spellStart"/>
      <w:r w:rsidR="004A5905" w:rsidRPr="004A5905">
        <w:rPr>
          <w:rtl/>
          <w:lang w:eastAsia="zh-TW"/>
        </w:rPr>
        <w:t>التيسيرية</w:t>
      </w:r>
      <w:proofErr w:type="spellEnd"/>
      <w:r w:rsidR="004A5905" w:rsidRPr="004A5905">
        <w:rPr>
          <w:rtl/>
          <w:lang w:eastAsia="zh-TW"/>
        </w:rPr>
        <w:t xml:space="preserve"> المعقولة على النحو الواجب لتمكينه من المشاركة الكاملة؛ </w:t>
      </w:r>
    </w:p>
    <w:p w:rsidR="004A5905" w:rsidRPr="004A5905" w:rsidRDefault="0098550C" w:rsidP="0098550C">
      <w:pPr>
        <w:pStyle w:val="Bullet1GA"/>
        <w:numPr>
          <w:ilvl w:val="0"/>
          <w:numId w:val="0"/>
        </w:numPr>
        <w:bidi/>
        <w:ind w:left="2626" w:hanging="676"/>
        <w:rPr>
          <w:rtl/>
          <w:lang w:eastAsia="zh-TW"/>
        </w:rPr>
      </w:pPr>
      <w:r w:rsidRPr="0098550C">
        <w:rPr>
          <w:rFonts w:ascii="Traditional Arabic" w:hAnsi="Traditional Arabic"/>
          <w:rtl/>
          <w:lang w:eastAsia="zh-TW"/>
        </w:rPr>
        <w:t>'</w:t>
      </w:r>
      <w:r>
        <w:rPr>
          <w:rFonts w:ascii="Traditional Arabic" w:hAnsi="Traditional Arabic" w:hint="cs"/>
          <w:rtl/>
          <w:lang w:eastAsia="zh-TW"/>
        </w:rPr>
        <w:t>2</w:t>
      </w:r>
      <w:r w:rsidRPr="0098550C">
        <w:rPr>
          <w:rFonts w:ascii="Traditional Arabic" w:hAnsi="Traditional Arabic"/>
          <w:rtl/>
          <w:lang w:eastAsia="zh-TW"/>
        </w:rPr>
        <w:t>'</w:t>
      </w:r>
      <w:r>
        <w:rPr>
          <w:rFonts w:hint="cs"/>
          <w:rtl/>
          <w:lang w:eastAsia="zh-TW"/>
        </w:rPr>
        <w:tab/>
      </w:r>
      <w:r w:rsidR="004A5905" w:rsidRPr="004A5905">
        <w:rPr>
          <w:rtl/>
          <w:lang w:eastAsia="zh-TW"/>
        </w:rPr>
        <w:t xml:space="preserve">اعتماد التعديلات اللازمة في القوانين واللوائح والسياسات والبرامج ذات الصلة، بالتشاور الوثيق مع الأشخاص ذوي الإعاقة والمنظمات التي تمثلهم؛ </w:t>
      </w:r>
    </w:p>
    <w:p w:rsidR="004A5905" w:rsidRPr="004A5905" w:rsidRDefault="0098550C" w:rsidP="0098550C">
      <w:pPr>
        <w:pStyle w:val="Bullet1GA"/>
        <w:numPr>
          <w:ilvl w:val="0"/>
          <w:numId w:val="0"/>
        </w:numPr>
        <w:bidi/>
        <w:ind w:left="2626" w:hanging="676"/>
        <w:rPr>
          <w:rtl/>
          <w:lang w:eastAsia="zh-TW"/>
        </w:rPr>
      </w:pPr>
      <w:r w:rsidRPr="0098550C">
        <w:rPr>
          <w:rFonts w:ascii="Traditional Arabic" w:hAnsi="Traditional Arabic"/>
          <w:rtl/>
          <w:lang w:eastAsia="zh-TW"/>
        </w:rPr>
        <w:t>'</w:t>
      </w:r>
      <w:r>
        <w:rPr>
          <w:rFonts w:ascii="Traditional Arabic" w:hAnsi="Traditional Arabic" w:hint="cs"/>
          <w:rtl/>
          <w:lang w:eastAsia="zh-TW"/>
        </w:rPr>
        <w:t>3</w:t>
      </w:r>
      <w:r w:rsidRPr="0098550C">
        <w:rPr>
          <w:rFonts w:ascii="Traditional Arabic" w:hAnsi="Traditional Arabic"/>
          <w:rtl/>
          <w:lang w:eastAsia="zh-TW"/>
        </w:rPr>
        <w:t>'</w:t>
      </w:r>
      <w:r>
        <w:rPr>
          <w:rFonts w:hint="cs"/>
          <w:rtl/>
          <w:lang w:eastAsia="zh-TW"/>
        </w:rPr>
        <w:tab/>
      </w:r>
      <w:r w:rsidR="004A5905" w:rsidRPr="004A5905">
        <w:rPr>
          <w:rtl/>
          <w:lang w:eastAsia="zh-TW"/>
        </w:rPr>
        <w:t>ضمان توفير التدريب الملائم والمنتظم بشأن نطاق انطباق الاتفاقية وبروتوكولها الاختياري، بما في ذلك بشأن إتاحة إمكانية الوصول للأشخاص ذوي الإعاقة، لفائدة السلطات المحلية، مثل والي القضاء، والموظفين القضائيين والموظفين الم</w:t>
      </w:r>
      <w:r>
        <w:rPr>
          <w:rtl/>
          <w:lang w:eastAsia="zh-TW"/>
        </w:rPr>
        <w:t>عنيين بتسهيل عمل الجهاز القضائي</w:t>
      </w:r>
      <w:r>
        <w:rPr>
          <w:rFonts w:hint="cs"/>
          <w:rtl/>
          <w:lang w:eastAsia="zh-TW"/>
        </w:rPr>
        <w:t xml:space="preserve">. </w:t>
      </w:r>
    </w:p>
    <w:p w:rsidR="004A5905" w:rsidRPr="003C36EA" w:rsidRDefault="004A5905" w:rsidP="004A5905">
      <w:pPr>
        <w:pStyle w:val="SingleTxtGA"/>
        <w:rPr>
          <w:rtl/>
          <w:lang w:eastAsia="zh-TW"/>
        </w:rPr>
      </w:pPr>
      <w:r>
        <w:rPr>
          <w:rtl/>
          <w:lang w:eastAsia="zh-TW"/>
        </w:rPr>
        <w:t>١٠</w:t>
      </w:r>
      <w:r>
        <w:rPr>
          <w:rFonts w:hint="cs"/>
          <w:rtl/>
          <w:lang w:eastAsia="zh-TW"/>
        </w:rPr>
        <w:t>-</w:t>
      </w:r>
      <w:r>
        <w:rPr>
          <w:rtl/>
          <w:lang w:eastAsia="zh-TW"/>
        </w:rPr>
        <w:tab/>
      </w:r>
      <w:r w:rsidRPr="004A5905">
        <w:rPr>
          <w:rtl/>
          <w:lang w:eastAsia="zh-TW"/>
        </w:rPr>
        <w:t>و</w:t>
      </w:r>
      <w:r w:rsidR="008B5358">
        <w:rPr>
          <w:rtl/>
          <w:lang w:eastAsia="zh-TW"/>
        </w:rPr>
        <w:t>وفقاً</w:t>
      </w:r>
      <w:r w:rsidRPr="004A5905">
        <w:rPr>
          <w:rtl/>
          <w:lang w:eastAsia="zh-TW"/>
        </w:rPr>
        <w:t xml:space="preserve"> للمادة 5 من البروتوكول الاختياري والمادة 75 من نظام اللجنة الداخلي، يتعين على الدولة الطرف أن تقدم إلى اللجنة، في ظرف ستة أشهر، رداً خطياً يتضمن معلومات عن الإجراءات المتخذة في ضوء آراء اللجنة وتوصياتها. </w:t>
      </w:r>
      <w:r w:rsidRPr="004A5905">
        <w:rPr>
          <w:rFonts w:cs="Times New Roman" w:hint="cs"/>
          <w:rtl/>
          <w:lang w:eastAsia="zh-TW"/>
        </w:rPr>
        <w:t>‬</w:t>
      </w:r>
      <w:r w:rsidRPr="004A5905">
        <w:rPr>
          <w:rFonts w:ascii="Traditional Arabic" w:hAnsi="Traditional Arabic" w:hint="cs"/>
          <w:rtl/>
          <w:lang w:eastAsia="zh-TW"/>
        </w:rPr>
        <w:t>كما</w:t>
      </w:r>
      <w:r w:rsidRPr="004A5905">
        <w:rPr>
          <w:rtl/>
          <w:lang w:eastAsia="zh-TW"/>
        </w:rPr>
        <w:t xml:space="preserve"> </w:t>
      </w:r>
      <w:r w:rsidRPr="004A5905">
        <w:rPr>
          <w:rFonts w:ascii="Traditional Arabic" w:hAnsi="Traditional Arabic" w:hint="cs"/>
          <w:rtl/>
          <w:lang w:eastAsia="zh-TW"/>
        </w:rPr>
        <w:t>أن</w:t>
      </w:r>
      <w:r w:rsidRPr="004A5905">
        <w:rPr>
          <w:rtl/>
          <w:lang w:eastAsia="zh-TW"/>
        </w:rPr>
        <w:t xml:space="preserve"> </w:t>
      </w:r>
      <w:r w:rsidRPr="004A5905">
        <w:rPr>
          <w:rFonts w:ascii="Traditional Arabic" w:hAnsi="Traditional Arabic" w:hint="cs"/>
          <w:rtl/>
          <w:lang w:eastAsia="zh-TW"/>
        </w:rPr>
        <w:t>الدولة</w:t>
      </w:r>
      <w:r w:rsidRPr="004A5905">
        <w:rPr>
          <w:rtl/>
          <w:lang w:eastAsia="zh-TW"/>
        </w:rPr>
        <w:t xml:space="preserve"> </w:t>
      </w:r>
      <w:r w:rsidRPr="004A5905">
        <w:rPr>
          <w:rFonts w:ascii="Traditional Arabic" w:hAnsi="Traditional Arabic" w:hint="cs"/>
          <w:rtl/>
          <w:lang w:eastAsia="zh-TW"/>
        </w:rPr>
        <w:t>الطرف</w:t>
      </w:r>
      <w:r w:rsidRPr="004A5905">
        <w:rPr>
          <w:rtl/>
          <w:lang w:eastAsia="zh-TW"/>
        </w:rPr>
        <w:t xml:space="preserve"> </w:t>
      </w:r>
      <w:r w:rsidRPr="004A5905">
        <w:rPr>
          <w:rFonts w:ascii="Traditional Arabic" w:hAnsi="Traditional Arabic" w:hint="cs"/>
          <w:rtl/>
          <w:lang w:eastAsia="zh-TW"/>
        </w:rPr>
        <w:t>مطالبة</w:t>
      </w:r>
      <w:r w:rsidRPr="004A5905">
        <w:rPr>
          <w:rtl/>
          <w:lang w:eastAsia="zh-TW"/>
        </w:rPr>
        <w:t xml:space="preserve"> </w:t>
      </w:r>
      <w:r w:rsidRPr="004A5905">
        <w:rPr>
          <w:rFonts w:ascii="Traditional Arabic" w:hAnsi="Traditional Arabic" w:hint="cs"/>
          <w:rtl/>
          <w:lang w:eastAsia="zh-TW"/>
        </w:rPr>
        <w:t>بنشر</w:t>
      </w:r>
      <w:r w:rsidRPr="004A5905">
        <w:rPr>
          <w:rtl/>
          <w:lang w:eastAsia="zh-TW"/>
        </w:rPr>
        <w:t xml:space="preserve"> </w:t>
      </w:r>
      <w:r w:rsidRPr="004A5905">
        <w:rPr>
          <w:rFonts w:ascii="Traditional Arabic" w:hAnsi="Traditional Arabic" w:hint="cs"/>
          <w:rtl/>
          <w:lang w:eastAsia="zh-TW"/>
        </w:rPr>
        <w:t>آراء</w:t>
      </w:r>
      <w:r w:rsidRPr="004A5905">
        <w:rPr>
          <w:rtl/>
          <w:lang w:eastAsia="zh-TW"/>
        </w:rPr>
        <w:t xml:space="preserve"> </w:t>
      </w:r>
      <w:r w:rsidRPr="004A5905">
        <w:rPr>
          <w:rFonts w:hint="eastAsia"/>
          <w:rtl/>
          <w:lang w:eastAsia="zh-TW"/>
        </w:rPr>
        <w:t>اللجنة</w:t>
      </w:r>
      <w:r w:rsidRPr="004A5905">
        <w:rPr>
          <w:rtl/>
          <w:lang w:eastAsia="zh-TW"/>
        </w:rPr>
        <w:t xml:space="preserve"> وترجمتها إلى اللغة الرسمية للدولة الطرف وتعميمها على نطاق واسع بأشكال يسهل الاطلاع عليها، من أجل الوصول إلى جميع قطاعات السكان.</w:t>
      </w:r>
      <w:r w:rsidRPr="004A5905">
        <w:rPr>
          <w:rFonts w:cs="Times New Roman" w:hint="cs"/>
          <w:rtl/>
          <w:lang w:eastAsia="zh-TW"/>
        </w:rPr>
        <w:t>‬</w:t>
      </w:r>
      <w:r w:rsidRPr="004A5905">
        <w:rPr>
          <w:rFonts w:cs="Times New Roman" w:hint="cs"/>
          <w:rtl/>
          <w:lang w:eastAsia="zh-TW"/>
        </w:rPr>
        <w:t>‬</w:t>
      </w:r>
      <w:r w:rsidRPr="004A5905">
        <w:rPr>
          <w:rFonts w:cs="Times New Roman" w:hint="cs"/>
          <w:rtl/>
          <w:lang w:eastAsia="zh-TW"/>
        </w:rPr>
        <w:t>‬</w:t>
      </w:r>
      <w:r>
        <w:rPr>
          <w:rFonts w:hint="cs"/>
          <w:rtl/>
          <w:lang w:eastAsia="zh-TW"/>
        </w:rPr>
        <w:t xml:space="preserve"> </w:t>
      </w:r>
    </w:p>
    <w:p w:rsidR="008D3FDA" w:rsidRPr="008D3FDA" w:rsidRDefault="008D3FDA" w:rsidP="008D3FDA">
      <w:pPr>
        <w:spacing w:before="120"/>
        <w:jc w:val="center"/>
        <w:rPr>
          <w:u w:val="single"/>
          <w:rtl/>
          <w:lang w:eastAsia="ar-SA"/>
        </w:rPr>
      </w:pPr>
      <w:r>
        <w:rPr>
          <w:u w:val="single"/>
          <w:rtl/>
          <w:lang w:eastAsia="ar-SA"/>
        </w:rPr>
        <w:tab/>
      </w:r>
      <w:r>
        <w:rPr>
          <w:u w:val="single"/>
          <w:rtl/>
          <w:lang w:eastAsia="ar-SA"/>
        </w:rPr>
        <w:tab/>
      </w:r>
      <w:r>
        <w:rPr>
          <w:u w:val="single"/>
          <w:rtl/>
          <w:lang w:eastAsia="ar-SA"/>
        </w:rPr>
        <w:tab/>
      </w:r>
    </w:p>
    <w:sectPr w:rsidR="008D3FDA" w:rsidRPr="008D3FDA" w:rsidSect="008E7EB0">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B49" w:rsidRPr="002901D9" w:rsidRDefault="00220B49" w:rsidP="002901D9">
      <w:pPr>
        <w:spacing w:after="60" w:line="240" w:lineRule="auto"/>
        <w:rPr>
          <w:i/>
          <w:iCs/>
        </w:rPr>
      </w:pPr>
      <w:r>
        <w:rPr>
          <w:rFonts w:hint="cs"/>
          <w:i/>
          <w:iCs/>
          <w:rtl/>
        </w:rPr>
        <w:t>الحواشي</w:t>
      </w:r>
    </w:p>
  </w:endnote>
  <w:endnote w:type="continuationSeparator" w:id="0">
    <w:p w:rsidR="00220B49" w:rsidRDefault="00220B49"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B49" w:rsidRPr="008D3FDA" w:rsidRDefault="00220B49" w:rsidP="008D3FDA">
    <w:pPr>
      <w:pStyle w:val="Footer"/>
      <w:tabs>
        <w:tab w:val="right" w:pos="9598"/>
      </w:tabs>
      <w:rPr>
        <w:sz w:val="17"/>
      </w:rPr>
    </w:pPr>
    <w:r>
      <w:rPr>
        <w:sz w:val="17"/>
      </w:rPr>
      <w:t>GE.16-08603</w:t>
    </w:r>
    <w:r>
      <w:rPr>
        <w:sz w:val="17"/>
      </w:rPr>
      <w:tab/>
    </w:r>
    <w:r w:rsidRPr="008D3FDA">
      <w:rPr>
        <w:b/>
        <w:sz w:val="18"/>
      </w:rPr>
      <w:fldChar w:fldCharType="begin"/>
    </w:r>
    <w:r w:rsidRPr="008D3FDA">
      <w:rPr>
        <w:b/>
        <w:sz w:val="18"/>
      </w:rPr>
      <w:instrText xml:space="preserve"> PAGE  \* MERGEFORMAT </w:instrText>
    </w:r>
    <w:r w:rsidRPr="008D3FDA">
      <w:rPr>
        <w:b/>
        <w:sz w:val="18"/>
      </w:rPr>
      <w:fldChar w:fldCharType="separate"/>
    </w:r>
    <w:r w:rsidR="00575EAE">
      <w:rPr>
        <w:b/>
        <w:noProof/>
        <w:sz w:val="18"/>
      </w:rPr>
      <w:t>2</w:t>
    </w:r>
    <w:r w:rsidRPr="008D3FDA">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B49" w:rsidRPr="008D3FDA" w:rsidRDefault="00220B49" w:rsidP="006959B0">
    <w:pPr>
      <w:pStyle w:val="Footer"/>
      <w:tabs>
        <w:tab w:val="right" w:pos="9599"/>
      </w:tabs>
      <w:jc w:val="left"/>
      <w:rPr>
        <w:b/>
        <w:sz w:val="18"/>
        <w:lang w:val="en-US"/>
      </w:rPr>
    </w:pPr>
    <w:r w:rsidRPr="008D3FDA">
      <w:rPr>
        <w:b/>
        <w:sz w:val="18"/>
        <w:lang w:val="en-US"/>
      </w:rPr>
      <w:fldChar w:fldCharType="begin"/>
    </w:r>
    <w:r w:rsidRPr="008D3FDA">
      <w:rPr>
        <w:b/>
        <w:sz w:val="18"/>
        <w:lang w:val="en-US"/>
      </w:rPr>
      <w:instrText xml:space="preserve"> PAGE  \* MERGEFORMAT </w:instrText>
    </w:r>
    <w:r w:rsidRPr="008D3FDA">
      <w:rPr>
        <w:b/>
        <w:sz w:val="18"/>
        <w:lang w:val="en-US"/>
      </w:rPr>
      <w:fldChar w:fldCharType="separate"/>
    </w:r>
    <w:r w:rsidR="00575EAE">
      <w:rPr>
        <w:b/>
        <w:noProof/>
        <w:sz w:val="18"/>
        <w:lang w:val="en-US"/>
      </w:rPr>
      <w:t>3</w:t>
    </w:r>
    <w:r w:rsidRPr="008D3FDA">
      <w:rPr>
        <w:b/>
        <w:sz w:val="18"/>
        <w:lang w:val="en-US"/>
      </w:rPr>
      <w:fldChar w:fldCharType="end"/>
    </w:r>
    <w:r>
      <w:rPr>
        <w:b/>
        <w:sz w:val="18"/>
        <w:lang w:val="en-US"/>
      </w:rPr>
      <w:tab/>
    </w:r>
    <w:r>
      <w:rPr>
        <w:sz w:val="17"/>
        <w:lang w:val="en-US"/>
      </w:rPr>
      <w:t>GE.16-08603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B49" w:rsidRDefault="00220B49" w:rsidP="00FD4BC9">
    <w:pPr>
      <w:pStyle w:val="Footer"/>
      <w:jc w:val="right"/>
      <w:rPr>
        <w:sz w:val="20"/>
        <w:szCs w:val="20"/>
      </w:rPr>
    </w:pPr>
    <w:r>
      <w:rPr>
        <w:sz w:val="20"/>
        <w:szCs w:val="20"/>
      </w:rPr>
      <w:t>GE.16-08603</w:t>
    </w:r>
    <w:r>
      <w:rPr>
        <w:noProof/>
        <w:lang w:val="en-US"/>
      </w:rPr>
      <w:drawing>
        <wp:anchor distT="0" distB="0" distL="114300" distR="114300" simplePos="0" relativeHeight="251659264" behindDoc="1" locked="1" layoutInCell="0" allowOverlap="1" wp14:anchorId="20B55D6C" wp14:editId="68CDC4D0">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220B49" w:rsidRPr="008E7EB0" w:rsidRDefault="00220B49" w:rsidP="008E7EB0">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CRPD/C/15/D/13/2013&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15/D/13/2013&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B49" w:rsidRPr="0054762C" w:rsidRDefault="00220B49" w:rsidP="00173565">
      <w:pPr>
        <w:pStyle w:val="Footer"/>
        <w:bidi/>
        <w:spacing w:after="80" w:line="200" w:lineRule="exact"/>
        <w:ind w:left="680"/>
      </w:pPr>
      <w:r>
        <w:rPr>
          <w:rtl/>
        </w:rPr>
        <w:t>__________</w:t>
      </w:r>
    </w:p>
  </w:footnote>
  <w:footnote w:type="continuationSeparator" w:id="0">
    <w:p w:rsidR="00220B49" w:rsidRDefault="00220B49" w:rsidP="00656392">
      <w:pPr>
        <w:spacing w:line="240" w:lineRule="auto"/>
      </w:pPr>
      <w:r>
        <w:continuationSeparator/>
      </w:r>
    </w:p>
  </w:footnote>
  <w:footnote w:id="1">
    <w:p w:rsidR="00220B49" w:rsidRPr="00B95CEA" w:rsidRDefault="00220B49" w:rsidP="00B95CEA">
      <w:pPr>
        <w:pStyle w:val="FootnoteText1"/>
      </w:pPr>
      <w:r>
        <w:rPr>
          <w:rtl/>
        </w:rPr>
        <w:t>*</w:t>
      </w:r>
      <w:r>
        <w:rPr>
          <w:rtl/>
        </w:rPr>
        <w:tab/>
      </w:r>
      <w:r w:rsidRPr="00B95CEA">
        <w:rPr>
          <w:rtl/>
        </w:rPr>
        <w:t>اعتمدتها اللجنة في دورتها الخامسة عشرة (29 آذار/مارس - 21 نيسان/أبريل 2016).</w:t>
      </w:r>
      <w:r w:rsidRPr="00B95CEA">
        <w:rPr>
          <w:rFonts w:cs="Times New Roman" w:hint="cs"/>
          <w:rtl/>
        </w:rPr>
        <w:t>‬</w:t>
      </w:r>
      <w:r w:rsidRPr="00B95CEA">
        <w:rPr>
          <w:rFonts w:cs="Times New Roman" w:hint="cs"/>
          <w:rtl/>
        </w:rPr>
        <w:t>‬</w:t>
      </w:r>
      <w:r>
        <w:rPr>
          <w:rFonts w:cs="Times New Roman" w:hint="cs"/>
          <w:rtl/>
        </w:rPr>
        <w:t xml:space="preserve"> </w:t>
      </w:r>
    </w:p>
  </w:footnote>
  <w:footnote w:id="2">
    <w:p w:rsidR="00220B49" w:rsidRPr="00B95CEA" w:rsidRDefault="00220B49" w:rsidP="00B95CEA">
      <w:pPr>
        <w:pStyle w:val="FootnoteText1"/>
      </w:pPr>
      <w:r>
        <w:rPr>
          <w:rtl/>
        </w:rPr>
        <w:t>**</w:t>
      </w:r>
      <w:r>
        <w:rPr>
          <w:rtl/>
        </w:rPr>
        <w:tab/>
      </w:r>
      <w:r w:rsidRPr="00B95CEA">
        <w:rPr>
          <w:rtl/>
        </w:rPr>
        <w:t xml:space="preserve">شارك في دراسة هذا البلاغ أعضاء اللجنة التالية أسماؤهم: محمد </w:t>
      </w:r>
      <w:proofErr w:type="spellStart"/>
      <w:r w:rsidRPr="00B95CEA">
        <w:rPr>
          <w:rtl/>
        </w:rPr>
        <w:t>الطراونه</w:t>
      </w:r>
      <w:proofErr w:type="spellEnd"/>
      <w:r w:rsidRPr="00B95CEA">
        <w:rPr>
          <w:rtl/>
        </w:rPr>
        <w:t xml:space="preserve">، </w:t>
      </w:r>
      <w:proofErr w:type="spellStart"/>
      <w:r w:rsidRPr="00B95CEA">
        <w:rPr>
          <w:rtl/>
        </w:rPr>
        <w:t>ودانلامي</w:t>
      </w:r>
      <w:proofErr w:type="spellEnd"/>
      <w:r w:rsidRPr="00B95CEA">
        <w:rPr>
          <w:rtl/>
        </w:rPr>
        <w:t xml:space="preserve"> عمر </w:t>
      </w:r>
      <w:proofErr w:type="spellStart"/>
      <w:r w:rsidRPr="00B95CEA">
        <w:rPr>
          <w:rtl/>
        </w:rPr>
        <w:t>باشارو</w:t>
      </w:r>
      <w:proofErr w:type="spellEnd"/>
      <w:r w:rsidRPr="00B95CEA">
        <w:rPr>
          <w:rtl/>
        </w:rPr>
        <w:t xml:space="preserve">، </w:t>
      </w:r>
      <w:proofErr w:type="spellStart"/>
      <w:r w:rsidRPr="00B95CEA">
        <w:rPr>
          <w:rtl/>
        </w:rPr>
        <w:t>ومونثيان</w:t>
      </w:r>
      <w:proofErr w:type="spellEnd"/>
      <w:r w:rsidRPr="00B95CEA">
        <w:rPr>
          <w:rtl/>
        </w:rPr>
        <w:t xml:space="preserve"> بونتان، وماريا </w:t>
      </w:r>
      <w:proofErr w:type="spellStart"/>
      <w:r w:rsidRPr="00B95CEA">
        <w:rPr>
          <w:rtl/>
        </w:rPr>
        <w:t>سوليداد</w:t>
      </w:r>
      <w:proofErr w:type="spellEnd"/>
      <w:r w:rsidRPr="00B95CEA">
        <w:rPr>
          <w:rtl/>
        </w:rPr>
        <w:t xml:space="preserve"> </w:t>
      </w:r>
      <w:proofErr w:type="spellStart"/>
      <w:r w:rsidRPr="00B95CEA">
        <w:rPr>
          <w:rtl/>
        </w:rPr>
        <w:t>ثيستيراس</w:t>
      </w:r>
      <w:proofErr w:type="spellEnd"/>
      <w:r w:rsidRPr="00B95CEA">
        <w:rPr>
          <w:rtl/>
        </w:rPr>
        <w:t xml:space="preserve"> </w:t>
      </w:r>
      <w:proofErr w:type="spellStart"/>
      <w:r w:rsidRPr="00B95CEA">
        <w:rPr>
          <w:rtl/>
        </w:rPr>
        <w:t>رييس</w:t>
      </w:r>
      <w:proofErr w:type="spellEnd"/>
      <w:r w:rsidRPr="00B95CEA">
        <w:rPr>
          <w:rtl/>
        </w:rPr>
        <w:t xml:space="preserve">، </w:t>
      </w:r>
      <w:proofErr w:type="spellStart"/>
      <w:r w:rsidRPr="00B95CEA">
        <w:rPr>
          <w:rtl/>
        </w:rPr>
        <w:t>وتيريزيا</w:t>
      </w:r>
      <w:proofErr w:type="spellEnd"/>
      <w:r w:rsidRPr="00B95CEA">
        <w:rPr>
          <w:rtl/>
        </w:rPr>
        <w:t xml:space="preserve"> </w:t>
      </w:r>
      <w:proofErr w:type="spellStart"/>
      <w:r w:rsidRPr="00B95CEA">
        <w:rPr>
          <w:rtl/>
        </w:rPr>
        <w:t>ديغينير</w:t>
      </w:r>
      <w:proofErr w:type="spellEnd"/>
      <w:r w:rsidRPr="00B95CEA">
        <w:rPr>
          <w:rtl/>
        </w:rPr>
        <w:t xml:space="preserve">، وكيم </w:t>
      </w:r>
      <w:proofErr w:type="spellStart"/>
      <w:r w:rsidRPr="00B95CEA">
        <w:rPr>
          <w:rtl/>
        </w:rPr>
        <w:t>هيونغ</w:t>
      </w:r>
      <w:proofErr w:type="spellEnd"/>
      <w:r w:rsidRPr="00B95CEA">
        <w:rPr>
          <w:rtl/>
        </w:rPr>
        <w:t xml:space="preserve"> شيك، وديان </w:t>
      </w:r>
      <w:proofErr w:type="spellStart"/>
      <w:r w:rsidRPr="00B95CEA">
        <w:rPr>
          <w:rtl/>
        </w:rPr>
        <w:t>كينغستن</w:t>
      </w:r>
      <w:proofErr w:type="spellEnd"/>
      <w:r w:rsidRPr="00B95CEA">
        <w:rPr>
          <w:rtl/>
        </w:rPr>
        <w:t>،</w:t>
      </w:r>
      <w:r w:rsidR="006B0B45">
        <w:rPr>
          <w:rtl/>
        </w:rPr>
        <w:t xml:space="preserve"> و</w:t>
      </w:r>
      <w:r w:rsidRPr="00B95CEA">
        <w:rPr>
          <w:rtl/>
        </w:rPr>
        <w:t xml:space="preserve">ستيك </w:t>
      </w:r>
      <w:proofErr w:type="spellStart"/>
      <w:r w:rsidRPr="00B95CEA">
        <w:rPr>
          <w:rtl/>
        </w:rPr>
        <w:t>لانغفاد</w:t>
      </w:r>
      <w:proofErr w:type="spellEnd"/>
      <w:r w:rsidRPr="00B95CEA">
        <w:rPr>
          <w:rtl/>
        </w:rPr>
        <w:t xml:space="preserve">، </w:t>
      </w:r>
      <w:proofErr w:type="spellStart"/>
      <w:r w:rsidRPr="00B95CEA">
        <w:rPr>
          <w:rtl/>
        </w:rPr>
        <w:t>و</w:t>
      </w:r>
      <w:r>
        <w:rPr>
          <w:rtl/>
        </w:rPr>
        <w:t>لاسلو</w:t>
      </w:r>
      <w:proofErr w:type="spellEnd"/>
      <w:r>
        <w:rPr>
          <w:rtl/>
        </w:rPr>
        <w:t xml:space="preserve"> </w:t>
      </w:r>
      <w:proofErr w:type="spellStart"/>
      <w:r>
        <w:rPr>
          <w:rtl/>
        </w:rPr>
        <w:t>غابور</w:t>
      </w:r>
      <w:proofErr w:type="spellEnd"/>
      <w:r>
        <w:rPr>
          <w:rtl/>
        </w:rPr>
        <w:t xml:space="preserve"> </w:t>
      </w:r>
      <w:proofErr w:type="spellStart"/>
      <w:r>
        <w:rPr>
          <w:rtl/>
        </w:rPr>
        <w:t>لوفاسي</w:t>
      </w:r>
      <w:proofErr w:type="spellEnd"/>
      <w:r>
        <w:rPr>
          <w:rtl/>
        </w:rPr>
        <w:t xml:space="preserve">، ومارتن </w:t>
      </w:r>
      <w:proofErr w:type="spellStart"/>
      <w:r>
        <w:rPr>
          <w:rtl/>
        </w:rPr>
        <w:t>بابو</w:t>
      </w:r>
      <w:proofErr w:type="spellEnd"/>
      <w:r w:rsidRPr="00B95CEA">
        <w:rPr>
          <w:rtl/>
        </w:rPr>
        <w:t xml:space="preserve"> </w:t>
      </w:r>
      <w:proofErr w:type="spellStart"/>
      <w:r w:rsidRPr="00B95CEA">
        <w:rPr>
          <w:rtl/>
        </w:rPr>
        <w:t>مويسيغوا</w:t>
      </w:r>
      <w:proofErr w:type="spellEnd"/>
      <w:r w:rsidR="006B0B45">
        <w:rPr>
          <w:rtl/>
        </w:rPr>
        <w:t xml:space="preserve">، </w:t>
      </w:r>
      <w:r w:rsidRPr="00B95CEA">
        <w:rPr>
          <w:rtl/>
        </w:rPr>
        <w:t xml:space="preserve">وكارلوس ألبرتو بارا </w:t>
      </w:r>
      <w:proofErr w:type="spellStart"/>
      <w:r w:rsidRPr="00B95CEA">
        <w:rPr>
          <w:rtl/>
        </w:rPr>
        <w:t>دوسان</w:t>
      </w:r>
      <w:proofErr w:type="spellEnd"/>
      <w:r w:rsidRPr="00B95CEA">
        <w:rPr>
          <w:rtl/>
        </w:rPr>
        <w:t xml:space="preserve">، </w:t>
      </w:r>
      <w:proofErr w:type="spellStart"/>
      <w:r w:rsidRPr="00B95CEA">
        <w:rPr>
          <w:rtl/>
        </w:rPr>
        <w:t>وكومارافيل</w:t>
      </w:r>
      <w:proofErr w:type="spellEnd"/>
      <w:r w:rsidRPr="00B95CEA">
        <w:rPr>
          <w:rtl/>
        </w:rPr>
        <w:t xml:space="preserve"> </w:t>
      </w:r>
      <w:proofErr w:type="spellStart"/>
      <w:r w:rsidRPr="00B95CEA">
        <w:rPr>
          <w:rtl/>
        </w:rPr>
        <w:t>بيانياندي</w:t>
      </w:r>
      <w:proofErr w:type="spellEnd"/>
      <w:r w:rsidRPr="00B95CEA">
        <w:rPr>
          <w:rtl/>
        </w:rPr>
        <w:t xml:space="preserve">، وسيلفيا </w:t>
      </w:r>
      <w:proofErr w:type="spellStart"/>
      <w:r w:rsidRPr="00B95CEA">
        <w:rPr>
          <w:rtl/>
        </w:rPr>
        <w:t>جوديث</w:t>
      </w:r>
      <w:proofErr w:type="spellEnd"/>
      <w:r w:rsidRPr="00B95CEA">
        <w:rPr>
          <w:rtl/>
        </w:rPr>
        <w:t xml:space="preserve"> كوان</w:t>
      </w:r>
      <w:r>
        <w:rPr>
          <w:rFonts w:hint="cs"/>
          <w:rtl/>
        </w:rPr>
        <w:t xml:space="preserve"> </w:t>
      </w:r>
      <w:r w:rsidRPr="00B95CEA">
        <w:rPr>
          <w:rtl/>
        </w:rPr>
        <w:t xml:space="preserve">- تشانغ، </w:t>
      </w:r>
      <w:proofErr w:type="spellStart"/>
      <w:r w:rsidRPr="00B95CEA">
        <w:rPr>
          <w:rtl/>
        </w:rPr>
        <w:t>وجوناس</w:t>
      </w:r>
      <w:proofErr w:type="spellEnd"/>
      <w:r w:rsidRPr="00B95CEA">
        <w:rPr>
          <w:rtl/>
        </w:rPr>
        <w:t xml:space="preserve"> </w:t>
      </w:r>
      <w:proofErr w:type="spellStart"/>
      <w:r w:rsidRPr="00B95CEA">
        <w:rPr>
          <w:rtl/>
        </w:rPr>
        <w:t>روسكس</w:t>
      </w:r>
      <w:proofErr w:type="spellEnd"/>
      <w:r w:rsidRPr="00B95CEA">
        <w:rPr>
          <w:rtl/>
        </w:rPr>
        <w:t xml:space="preserve">، </w:t>
      </w:r>
      <w:proofErr w:type="spellStart"/>
      <w:r w:rsidRPr="00B95CEA">
        <w:rPr>
          <w:rtl/>
        </w:rPr>
        <w:t>وداميان</w:t>
      </w:r>
      <w:proofErr w:type="spellEnd"/>
      <w:r w:rsidRPr="00B95CEA">
        <w:rPr>
          <w:rtl/>
        </w:rPr>
        <w:t xml:space="preserve"> </w:t>
      </w:r>
      <w:proofErr w:type="spellStart"/>
      <w:r w:rsidRPr="00B95CEA">
        <w:rPr>
          <w:rtl/>
        </w:rPr>
        <w:t>تاتيتش</w:t>
      </w:r>
      <w:proofErr w:type="spellEnd"/>
      <w:r w:rsidRPr="00B95CEA">
        <w:rPr>
          <w:rtl/>
        </w:rPr>
        <w:t xml:space="preserve">، </w:t>
      </w:r>
      <w:proofErr w:type="spellStart"/>
      <w:r w:rsidRPr="00B95CEA">
        <w:rPr>
          <w:rtl/>
        </w:rPr>
        <w:t>ويو</w:t>
      </w:r>
      <w:proofErr w:type="spellEnd"/>
      <w:r w:rsidRPr="00B95CEA">
        <w:rPr>
          <w:rtl/>
        </w:rPr>
        <w:t xml:space="preserve"> ليانغ.</w:t>
      </w:r>
      <w:r w:rsidRPr="00B95CEA">
        <w:rPr>
          <w:rFonts w:cs="Times New Roman" w:hint="cs"/>
          <w:rtl/>
        </w:rPr>
        <w:t>‬</w:t>
      </w:r>
      <w:r w:rsidRPr="00B95CEA">
        <w:rPr>
          <w:rFonts w:cs="Times New Roman" w:hint="cs"/>
          <w:rtl/>
        </w:rPr>
        <w:t>‬</w:t>
      </w:r>
      <w:r w:rsidRPr="00B95CEA">
        <w:rPr>
          <w:rFonts w:cs="Times New Roman" w:hint="cs"/>
          <w:rtl/>
        </w:rPr>
        <w:t>‬</w:t>
      </w:r>
      <w:r>
        <w:rPr>
          <w:rFonts w:hint="cs"/>
          <w:rtl/>
        </w:rPr>
        <w:t xml:space="preserve"> </w:t>
      </w:r>
    </w:p>
  </w:footnote>
  <w:footnote w:id="3">
    <w:p w:rsidR="00220B49" w:rsidRPr="002A572D" w:rsidRDefault="00220B49" w:rsidP="002A572D">
      <w:pPr>
        <w:pStyle w:val="FootnoteText1"/>
      </w:pPr>
      <w:r w:rsidRPr="002A572D">
        <w:rPr>
          <w:rtl/>
        </w:rPr>
        <w:t>(</w:t>
      </w:r>
      <w:r w:rsidRPr="002A572D">
        <w:rPr>
          <w:rStyle w:val="FootnoteReference"/>
          <w:vertAlign w:val="baseline"/>
        </w:rPr>
        <w:footnoteRef/>
      </w:r>
      <w:r>
        <w:rPr>
          <w:sz w:val="26"/>
          <w:rtl/>
        </w:rPr>
        <w:t>)</w:t>
      </w:r>
      <w:r>
        <w:rPr>
          <w:sz w:val="26"/>
          <w:rtl/>
        </w:rPr>
        <w:tab/>
      </w:r>
      <w:r w:rsidRPr="002A572D">
        <w:rPr>
          <w:rtl/>
        </w:rPr>
        <w:t>المقصود بـ "قانون مك</w:t>
      </w:r>
      <w:r>
        <w:rPr>
          <w:rtl/>
        </w:rPr>
        <w:t xml:space="preserve">افحة التمييز على أساس الإعاقة" </w:t>
      </w:r>
      <w:r w:rsidRPr="002A572D">
        <w:rPr>
          <w:rtl/>
        </w:rPr>
        <w:t>هو القانون الوطني لمكافحة التمييز عل</w:t>
      </w:r>
      <w:r>
        <w:rPr>
          <w:rtl/>
        </w:rPr>
        <w:t>ى أساس الإعاقة لعام 1992، ما لم</w:t>
      </w:r>
      <w:r w:rsidRPr="002A572D">
        <w:rPr>
          <w:rtl/>
        </w:rPr>
        <w:t xml:space="preserve"> يرد ما يبيّن خلاف ذلك.</w:t>
      </w:r>
      <w:r>
        <w:rPr>
          <w:rFonts w:hint="cs"/>
          <w:rtl/>
        </w:rPr>
        <w:t xml:space="preserve"> </w:t>
      </w:r>
    </w:p>
  </w:footnote>
  <w:footnote w:id="4">
    <w:p w:rsidR="00832A0C" w:rsidRPr="00832A0C" w:rsidRDefault="00832A0C" w:rsidP="00832A0C">
      <w:pPr>
        <w:pStyle w:val="FootnoteText1"/>
      </w:pPr>
      <w:r w:rsidRPr="00832A0C">
        <w:rPr>
          <w:rtl/>
        </w:rPr>
        <w:t>(</w:t>
      </w:r>
      <w:r w:rsidRPr="00832A0C">
        <w:rPr>
          <w:rStyle w:val="FootnoteReference"/>
          <w:vertAlign w:val="baseline"/>
        </w:rPr>
        <w:footnoteRef/>
      </w:r>
      <w:r>
        <w:rPr>
          <w:sz w:val="26"/>
          <w:rtl/>
        </w:rPr>
        <w:t>)</w:t>
      </w:r>
      <w:r>
        <w:rPr>
          <w:sz w:val="26"/>
          <w:rtl/>
        </w:rPr>
        <w:tab/>
      </w:r>
      <w:r w:rsidRPr="00832A0C">
        <w:rPr>
          <w:rtl/>
        </w:rPr>
        <w:t>المقصود بـ "قانون مكافحة التمييز"  قانون نيو ساوث ويلز لمكافحة التمييز لعام 1997، ما لم يرد ما  يبيّن على خلاف ذلك.</w:t>
      </w:r>
      <w:r>
        <w:rPr>
          <w:rFonts w:hint="cs"/>
          <w:rtl/>
        </w:rPr>
        <w:t xml:space="preserve"> </w:t>
      </w:r>
    </w:p>
  </w:footnote>
  <w:footnote w:id="5">
    <w:p w:rsidR="00832A0C" w:rsidRPr="00832A0C" w:rsidRDefault="00832A0C" w:rsidP="00832A0C">
      <w:pPr>
        <w:pStyle w:val="FootnoteText1"/>
      </w:pPr>
      <w:r w:rsidRPr="00832A0C">
        <w:rPr>
          <w:rtl/>
        </w:rPr>
        <w:t>(</w:t>
      </w:r>
      <w:r w:rsidRPr="00832A0C">
        <w:rPr>
          <w:rStyle w:val="FootnoteReference"/>
          <w:vertAlign w:val="baseline"/>
        </w:rPr>
        <w:footnoteRef/>
      </w:r>
      <w:r>
        <w:rPr>
          <w:sz w:val="26"/>
          <w:rtl/>
        </w:rPr>
        <w:t>)</w:t>
      </w:r>
      <w:r>
        <w:rPr>
          <w:sz w:val="26"/>
          <w:rtl/>
        </w:rPr>
        <w:tab/>
      </w:r>
      <w:r>
        <w:rPr>
          <w:rFonts w:hint="cs"/>
          <w:rtl/>
        </w:rPr>
        <w:t xml:space="preserve">300 35 </w:t>
      </w:r>
      <w:r w:rsidRPr="00832A0C">
        <w:rPr>
          <w:rtl/>
        </w:rPr>
        <w:t>-</w:t>
      </w:r>
      <w:r>
        <w:rPr>
          <w:rFonts w:hint="cs"/>
          <w:rtl/>
        </w:rPr>
        <w:t xml:space="preserve"> 600 70 </w:t>
      </w:r>
      <w:r w:rsidRPr="00832A0C">
        <w:rPr>
          <w:rtl/>
        </w:rPr>
        <w:t>دولار أمريكي تقريبا</w:t>
      </w:r>
      <w:r>
        <w:rPr>
          <w:rFonts w:hint="cs"/>
          <w:rtl/>
        </w:rPr>
        <w:t>ً</w:t>
      </w:r>
      <w:r w:rsidRPr="00832A0C">
        <w:rPr>
          <w:rtl/>
        </w:rPr>
        <w:t>.</w:t>
      </w:r>
      <w:r w:rsidRPr="00832A0C">
        <w:rPr>
          <w:rFonts w:cs="Times New Roman" w:hint="cs"/>
          <w:rtl/>
        </w:rPr>
        <w:t>‬</w:t>
      </w:r>
      <w:r w:rsidRPr="00832A0C">
        <w:rPr>
          <w:rtl/>
        </w:rPr>
        <w:t xml:space="preserve"> </w:t>
      </w:r>
      <w:r w:rsidRPr="00832A0C">
        <w:rPr>
          <w:rFonts w:cs="Times New Roman" w:hint="cs"/>
          <w:rtl/>
        </w:rPr>
        <w:t>‬</w:t>
      </w:r>
      <w:r w:rsidRPr="00832A0C">
        <w:rPr>
          <w:rFonts w:cs="Times New Roman" w:hint="cs"/>
          <w:rtl/>
        </w:rPr>
        <w:t>‬</w:t>
      </w:r>
      <w:r>
        <w:rPr>
          <w:rFonts w:hint="cs"/>
          <w:rtl/>
        </w:rPr>
        <w:t xml:space="preserve"> </w:t>
      </w:r>
    </w:p>
  </w:footnote>
  <w:footnote w:id="6">
    <w:p w:rsidR="00832A0C" w:rsidRPr="00DE3908" w:rsidRDefault="00832A0C" w:rsidP="00E374DA">
      <w:pPr>
        <w:pStyle w:val="FootnoteText1"/>
        <w:spacing w:line="240" w:lineRule="exact"/>
        <w:rPr>
          <w:rtl/>
        </w:rPr>
      </w:pPr>
      <w:r w:rsidRPr="00832A0C">
        <w:rPr>
          <w:rtl/>
        </w:rPr>
        <w:t>(</w:t>
      </w:r>
      <w:r w:rsidRPr="00832A0C">
        <w:rPr>
          <w:rStyle w:val="FootnoteReference"/>
          <w:vertAlign w:val="baseline"/>
        </w:rPr>
        <w:footnoteRef/>
      </w:r>
      <w:r>
        <w:rPr>
          <w:sz w:val="26"/>
          <w:rtl/>
        </w:rPr>
        <w:t>)</w:t>
      </w:r>
      <w:r>
        <w:rPr>
          <w:sz w:val="26"/>
          <w:rtl/>
        </w:rPr>
        <w:tab/>
      </w:r>
      <w:r w:rsidR="00DE3908" w:rsidRPr="00BA4D98">
        <w:t>New South Wales</w:t>
      </w:r>
      <w:r w:rsidR="00DE3908">
        <w:t xml:space="preserve"> </w:t>
      </w:r>
      <w:r w:rsidR="00DE3908" w:rsidRPr="003C368A">
        <w:rPr>
          <w:szCs w:val="24"/>
        </w:rPr>
        <w:t>Law Reform Commission</w:t>
      </w:r>
      <w:r w:rsidR="00DE3908" w:rsidRPr="00BA23F9">
        <w:rPr>
          <w:szCs w:val="24"/>
        </w:rPr>
        <w:t xml:space="preserve">, </w:t>
      </w:r>
      <w:r w:rsidR="00DE3908">
        <w:rPr>
          <w:szCs w:val="24"/>
        </w:rPr>
        <w:t>“</w:t>
      </w:r>
      <w:r w:rsidR="00DE3908" w:rsidRPr="00F577BA">
        <w:rPr>
          <w:szCs w:val="24"/>
        </w:rPr>
        <w:t>Report 114: Blind or Deaf Jurors</w:t>
      </w:r>
      <w:r w:rsidR="00DE3908">
        <w:rPr>
          <w:szCs w:val="24"/>
        </w:rPr>
        <w:t>”</w:t>
      </w:r>
      <w:r w:rsidR="00DE3908" w:rsidRPr="003C368A">
        <w:rPr>
          <w:szCs w:val="24"/>
        </w:rPr>
        <w:t xml:space="preserve"> (2006)</w:t>
      </w:r>
      <w:r w:rsidR="00DE3908">
        <w:rPr>
          <w:rFonts w:hint="cs"/>
          <w:rtl/>
        </w:rPr>
        <w:t xml:space="preserve">. </w:t>
      </w:r>
    </w:p>
  </w:footnote>
  <w:footnote w:id="7">
    <w:p w:rsidR="00832A0C" w:rsidRPr="00832A0C" w:rsidRDefault="00832A0C" w:rsidP="00E374DA">
      <w:pPr>
        <w:pStyle w:val="FootnoteText1"/>
        <w:spacing w:line="240" w:lineRule="exact"/>
      </w:pPr>
      <w:r w:rsidRPr="00832A0C">
        <w:rPr>
          <w:rtl/>
        </w:rPr>
        <w:t>(</w:t>
      </w:r>
      <w:r w:rsidRPr="00832A0C">
        <w:rPr>
          <w:rStyle w:val="FootnoteReference"/>
          <w:vertAlign w:val="baseline"/>
        </w:rPr>
        <w:footnoteRef/>
      </w:r>
      <w:r>
        <w:rPr>
          <w:sz w:val="26"/>
          <w:rtl/>
        </w:rPr>
        <w:t>)</w:t>
      </w:r>
      <w:r>
        <w:rPr>
          <w:sz w:val="26"/>
          <w:rtl/>
        </w:rPr>
        <w:tab/>
      </w:r>
      <w:r w:rsidR="00DE3908" w:rsidRPr="00DB4FD7">
        <w:t>Government</w:t>
      </w:r>
      <w:r w:rsidR="00DE3908">
        <w:t xml:space="preserve"> of </w:t>
      </w:r>
      <w:r w:rsidR="00DE3908" w:rsidRPr="00BA4D98">
        <w:t>New South Wales</w:t>
      </w:r>
      <w:r w:rsidR="00DE3908" w:rsidRPr="00DB4FD7">
        <w:t xml:space="preserve">, </w:t>
      </w:r>
      <w:r w:rsidR="00DE3908">
        <w:t>“</w:t>
      </w:r>
      <w:r w:rsidR="00DE3908" w:rsidRPr="00DB4FD7">
        <w:t xml:space="preserve">Response to the NSW Law Reform Commission </w:t>
      </w:r>
      <w:r w:rsidR="00DE3908">
        <w:t>‘</w:t>
      </w:r>
      <w:r w:rsidR="00B62961">
        <w:t>Report 114:</w:t>
      </w:r>
      <w:r w:rsidR="00B62961">
        <w:br/>
      </w:r>
      <w:r w:rsidR="00DE3908" w:rsidRPr="00DB4FD7">
        <w:t>Blind or Deaf Jurors</w:t>
      </w:r>
      <w:r w:rsidR="00DE3908">
        <w:t>’” (</w:t>
      </w:r>
      <w:r w:rsidR="00DE3908" w:rsidRPr="00DB4FD7">
        <w:t>June 2010</w:t>
      </w:r>
      <w:r w:rsidR="00DE3908">
        <w:t xml:space="preserve">). Available from </w:t>
      </w:r>
      <w:r w:rsidR="00DE3908" w:rsidRPr="0081323E">
        <w:t>https://www.parliament.nsw.gov.au/la/papers/</w:t>
      </w:r>
      <w:r w:rsidR="00DE3908">
        <w:t xml:space="preserve"> </w:t>
      </w:r>
      <w:r w:rsidR="00DE3908" w:rsidRPr="0081323E">
        <w:t>Pages/tabledpaperprofiles/government-response-to-the-new-south-wal_47367.aspx</w:t>
      </w:r>
      <w:r w:rsidR="00DE3908">
        <w:rPr>
          <w:rFonts w:hint="cs"/>
          <w:rtl/>
        </w:rPr>
        <w:t xml:space="preserve">. </w:t>
      </w:r>
    </w:p>
  </w:footnote>
  <w:footnote w:id="8">
    <w:p w:rsidR="00832A0C" w:rsidRPr="00832A0C" w:rsidRDefault="00832A0C" w:rsidP="00B62961">
      <w:pPr>
        <w:pStyle w:val="FootnoteText1"/>
        <w:rPr>
          <w:rtl/>
        </w:rPr>
      </w:pPr>
      <w:r w:rsidRPr="00832A0C">
        <w:rPr>
          <w:rtl/>
        </w:rPr>
        <w:t>(</w:t>
      </w:r>
      <w:r w:rsidRPr="00832A0C">
        <w:rPr>
          <w:rStyle w:val="FootnoteReference"/>
          <w:vertAlign w:val="baseline"/>
        </w:rPr>
        <w:footnoteRef/>
      </w:r>
      <w:r>
        <w:rPr>
          <w:sz w:val="26"/>
          <w:rtl/>
        </w:rPr>
        <w:t>)</w:t>
      </w:r>
      <w:r>
        <w:rPr>
          <w:sz w:val="26"/>
          <w:rtl/>
        </w:rPr>
        <w:tab/>
      </w:r>
      <w:r w:rsidR="00DE3908" w:rsidRPr="00DE3908">
        <w:rPr>
          <w:rtl/>
        </w:rPr>
        <w:t>يشير صاحب البلاغ إلى القضايا التالية:</w:t>
      </w:r>
      <w:r w:rsidR="00DE3908" w:rsidRPr="00962665">
        <w:rPr>
          <w:i/>
          <w:iCs/>
        </w:rPr>
        <w:t>Waters v. Public Transport Corporation</w:t>
      </w:r>
      <w:r w:rsidR="00DE3908" w:rsidRPr="00DE3908">
        <w:t xml:space="preserve"> [1991] HCA 49; 173 CLR 349</w:t>
      </w:r>
      <w:r w:rsidR="00DE3908" w:rsidRPr="00962665">
        <w:rPr>
          <w:i/>
          <w:iCs/>
        </w:rPr>
        <w:t>; IW v. City of Perth</w:t>
      </w:r>
      <w:r w:rsidR="00DE3908" w:rsidRPr="00DE3908">
        <w:t xml:space="preserve"> [1997] HCA 30; 191 CLR 1; </w:t>
      </w:r>
      <w:r w:rsidR="00DE3908" w:rsidRPr="00962665">
        <w:rPr>
          <w:i/>
          <w:iCs/>
        </w:rPr>
        <w:t>Rainsford v. Victoria</w:t>
      </w:r>
      <w:r w:rsidR="00DE3908" w:rsidRPr="00DE3908">
        <w:t xml:space="preserve"> (No. 2) (2004) 184 FLR 110; </w:t>
      </w:r>
      <w:r w:rsidR="00DE3908" w:rsidRPr="00962665">
        <w:rPr>
          <w:i/>
          <w:iCs/>
        </w:rPr>
        <w:t>Rainsford v. Victoria</w:t>
      </w:r>
      <w:r w:rsidR="00DE3908" w:rsidRPr="00DE3908">
        <w:t xml:space="preserve"> (2005) 144 FCR 279; </w:t>
      </w:r>
      <w:proofErr w:type="spellStart"/>
      <w:r w:rsidR="00DE3908" w:rsidRPr="00962665">
        <w:rPr>
          <w:i/>
          <w:iCs/>
        </w:rPr>
        <w:t>Vintila</w:t>
      </w:r>
      <w:proofErr w:type="spellEnd"/>
      <w:r w:rsidR="00DE3908" w:rsidRPr="00962665">
        <w:rPr>
          <w:i/>
          <w:iCs/>
        </w:rPr>
        <w:t xml:space="preserve"> v. Federal Attorney-General</w:t>
      </w:r>
      <w:r w:rsidR="00DE3908" w:rsidRPr="00DE3908">
        <w:t xml:space="preserve"> [2001] FMCA 110; </w:t>
      </w:r>
      <w:r w:rsidR="00DE3908" w:rsidRPr="00962665">
        <w:rPr>
          <w:i/>
          <w:iCs/>
        </w:rPr>
        <w:t>AB v. Registrar of Births, Deaths and Marriages</w:t>
      </w:r>
      <w:r w:rsidR="00DE3908" w:rsidRPr="00DE3908">
        <w:t xml:space="preserve"> (2006) FCA 1071; </w:t>
      </w:r>
      <w:r w:rsidR="00DE3908" w:rsidRPr="00294FF6">
        <w:rPr>
          <w:i/>
          <w:iCs/>
        </w:rPr>
        <w:t>AB v. Registrar of Births, Deaths and Marriages</w:t>
      </w:r>
      <w:r w:rsidR="00DE3908" w:rsidRPr="00DE3908">
        <w:t xml:space="preserve"> (2007) 162 FCR 528; </w:t>
      </w:r>
      <w:r w:rsidR="00DE3908" w:rsidRPr="00294FF6">
        <w:rPr>
          <w:i/>
          <w:iCs/>
        </w:rPr>
        <w:t>Secretary of the Department of Justice and Industrial Relations v. Anti-Discrimination Commissioner</w:t>
      </w:r>
      <w:r w:rsidR="00DE3908" w:rsidRPr="00DE3908">
        <w:t xml:space="preserve"> (2003) 11 </w:t>
      </w:r>
      <w:proofErr w:type="spellStart"/>
      <w:r w:rsidR="00DE3908" w:rsidRPr="00DE3908">
        <w:t>Tas</w:t>
      </w:r>
      <w:proofErr w:type="spellEnd"/>
      <w:r w:rsidR="00DE3908" w:rsidRPr="00DE3908">
        <w:t xml:space="preserve"> R 324; </w:t>
      </w:r>
      <w:r w:rsidR="00DE3908" w:rsidRPr="00294FF6">
        <w:rPr>
          <w:i/>
          <w:iCs/>
        </w:rPr>
        <w:t>Commissioner of Police v. Mohamed</w:t>
      </w:r>
      <w:r w:rsidR="00DE3908" w:rsidRPr="00DE3908">
        <w:t xml:space="preserve"> [2009] NSWCA 432</w:t>
      </w:r>
      <w:r w:rsidR="00DE3908" w:rsidRPr="00DE3908">
        <w:rPr>
          <w:rtl/>
        </w:rPr>
        <w:t>.</w:t>
      </w:r>
      <w:r w:rsidR="00DE3908">
        <w:rPr>
          <w:rFonts w:hint="cs"/>
          <w:rtl/>
        </w:rPr>
        <w:t xml:space="preserve"> </w:t>
      </w:r>
    </w:p>
  </w:footnote>
  <w:footnote w:id="9">
    <w:p w:rsidR="00F9584A" w:rsidRPr="00F9584A" w:rsidRDefault="00F9584A" w:rsidP="00B62961">
      <w:pPr>
        <w:pStyle w:val="FootnoteText1"/>
      </w:pPr>
      <w:r w:rsidRPr="00F9584A">
        <w:rPr>
          <w:rtl/>
        </w:rPr>
        <w:t>(</w:t>
      </w:r>
      <w:r w:rsidRPr="00F9584A">
        <w:rPr>
          <w:rStyle w:val="FootnoteReference"/>
          <w:vertAlign w:val="baseline"/>
        </w:rPr>
        <w:footnoteRef/>
      </w:r>
      <w:r>
        <w:rPr>
          <w:sz w:val="26"/>
          <w:rtl/>
        </w:rPr>
        <w:t>)</w:t>
      </w:r>
      <w:r>
        <w:rPr>
          <w:sz w:val="26"/>
          <w:rtl/>
        </w:rPr>
        <w:tab/>
      </w:r>
      <w:r w:rsidR="00DE3908" w:rsidRPr="00DE3908">
        <w:rPr>
          <w:rtl/>
        </w:rPr>
        <w:t>يشير صاحب البلاغ إلى</w:t>
      </w:r>
      <w:r w:rsidR="00741DAB">
        <w:rPr>
          <w:rFonts w:hint="cs"/>
          <w:rtl/>
        </w:rPr>
        <w:t xml:space="preserve"> </w:t>
      </w:r>
      <w:r w:rsidR="00DE3908" w:rsidRPr="00741DAB">
        <w:rPr>
          <w:i/>
          <w:iCs/>
        </w:rPr>
        <w:t>Purvis v. State of New South Wal</w:t>
      </w:r>
      <w:r w:rsidR="00741DAB">
        <w:rPr>
          <w:i/>
          <w:iCs/>
        </w:rPr>
        <w:t xml:space="preserve">es (Department of Education and </w:t>
      </w:r>
      <w:r w:rsidR="00DE3908" w:rsidRPr="00741DAB">
        <w:rPr>
          <w:i/>
          <w:iCs/>
        </w:rPr>
        <w:t>Training)</w:t>
      </w:r>
      <w:r w:rsidR="00DE3908" w:rsidRPr="00DE3908">
        <w:t xml:space="preserve"> (2003) 217 CLR 92</w:t>
      </w:r>
      <w:r w:rsidR="00DE3908" w:rsidRPr="00DE3908">
        <w:rPr>
          <w:rtl/>
        </w:rPr>
        <w:t>.</w:t>
      </w:r>
      <w:r w:rsidR="00DE3908">
        <w:rPr>
          <w:rFonts w:hint="cs"/>
          <w:rtl/>
        </w:rPr>
        <w:t xml:space="preserve"> </w:t>
      </w:r>
    </w:p>
  </w:footnote>
  <w:footnote w:id="10">
    <w:p w:rsidR="00F9584A" w:rsidRPr="00DE3908" w:rsidRDefault="00F9584A" w:rsidP="00F9584A">
      <w:pPr>
        <w:pStyle w:val="FootnoteText1"/>
        <w:rPr>
          <w:rtl/>
        </w:rPr>
      </w:pPr>
      <w:r w:rsidRPr="00F9584A">
        <w:rPr>
          <w:rtl/>
        </w:rPr>
        <w:t>(</w:t>
      </w:r>
      <w:r w:rsidRPr="00F9584A">
        <w:rPr>
          <w:rStyle w:val="FootnoteReference"/>
          <w:vertAlign w:val="baseline"/>
        </w:rPr>
        <w:footnoteRef/>
      </w:r>
      <w:r>
        <w:rPr>
          <w:sz w:val="26"/>
          <w:rtl/>
        </w:rPr>
        <w:t>)</w:t>
      </w:r>
      <w:r>
        <w:rPr>
          <w:sz w:val="26"/>
          <w:rtl/>
        </w:rPr>
        <w:tab/>
      </w:r>
      <w:r w:rsidR="00DE3908" w:rsidRPr="00DE3908">
        <w:t>Government of New South Wales, “NSW 2021: a plan to make NSW No. 1” (2011), p. 3</w:t>
      </w:r>
      <w:r w:rsidR="00DE3908">
        <w:rPr>
          <w:rFonts w:hint="cs"/>
          <w:rtl/>
        </w:rPr>
        <w:t xml:space="preserve">. </w:t>
      </w:r>
    </w:p>
  </w:footnote>
  <w:footnote w:id="11">
    <w:p w:rsidR="00107881" w:rsidRPr="00107881" w:rsidRDefault="00107881" w:rsidP="00107881">
      <w:pPr>
        <w:pStyle w:val="FootnoteText1"/>
      </w:pPr>
      <w:r w:rsidRPr="00107881">
        <w:rPr>
          <w:rtl/>
        </w:rPr>
        <w:t>(</w:t>
      </w:r>
      <w:r w:rsidRPr="00107881">
        <w:rPr>
          <w:rStyle w:val="FootnoteReference"/>
          <w:vertAlign w:val="baseline"/>
        </w:rPr>
        <w:footnoteRef/>
      </w:r>
      <w:r>
        <w:rPr>
          <w:sz w:val="26"/>
          <w:rtl/>
        </w:rPr>
        <w:t>)</w:t>
      </w:r>
      <w:r>
        <w:rPr>
          <w:sz w:val="26"/>
          <w:rtl/>
        </w:rPr>
        <w:tab/>
      </w:r>
      <w:r w:rsidR="00DE3908" w:rsidRPr="00DE3908">
        <w:rPr>
          <w:rtl/>
        </w:rPr>
        <w:t>مذكرة تفسيرية لمشروع قانون المحلفين المعدل لعام 2010.</w:t>
      </w:r>
      <w:r w:rsidR="00DE3908">
        <w:rPr>
          <w:rFonts w:hint="cs"/>
          <w:rtl/>
        </w:rPr>
        <w:t xml:space="preserve"> </w:t>
      </w:r>
    </w:p>
  </w:footnote>
  <w:footnote w:id="12">
    <w:p w:rsidR="00107881" w:rsidRPr="00DE3908" w:rsidRDefault="00107881" w:rsidP="00CC3788">
      <w:pPr>
        <w:pStyle w:val="FootnoteText1"/>
        <w:rPr>
          <w:rtl/>
          <w:lang w:val="en-GB"/>
        </w:rPr>
      </w:pPr>
      <w:r w:rsidRPr="00107881">
        <w:rPr>
          <w:rtl/>
        </w:rPr>
        <w:t>(</w:t>
      </w:r>
      <w:r w:rsidRPr="00107881">
        <w:rPr>
          <w:rStyle w:val="FootnoteReference"/>
          <w:vertAlign w:val="baseline"/>
        </w:rPr>
        <w:footnoteRef/>
      </w:r>
      <w:r>
        <w:rPr>
          <w:sz w:val="26"/>
          <w:rtl/>
        </w:rPr>
        <w:t>)</w:t>
      </w:r>
      <w:r>
        <w:rPr>
          <w:sz w:val="26"/>
          <w:rtl/>
        </w:rPr>
        <w:tab/>
      </w:r>
      <w:r w:rsidR="00DE3908" w:rsidRPr="000C4F85">
        <w:rPr>
          <w:rtl/>
          <w:lang w:val="en-GB" w:eastAsia="zh-TW"/>
        </w:rPr>
        <w:t>قانون اللجنة الاسترالية لحقوق الإنسان لع</w:t>
      </w:r>
      <w:r w:rsidR="0022722A">
        <w:rPr>
          <w:rFonts w:hint="cs"/>
          <w:rtl/>
          <w:lang w:val="en-GB" w:eastAsia="zh-TW"/>
        </w:rPr>
        <w:t>ام</w:t>
      </w:r>
      <w:r w:rsidR="00DE3908" w:rsidRPr="000C4F85">
        <w:rPr>
          <w:rtl/>
          <w:lang w:val="en-GB" w:eastAsia="zh-TW"/>
        </w:rPr>
        <w:t xml:space="preserve"> 1986 </w:t>
      </w:r>
      <w:r w:rsidR="00DE3908" w:rsidRPr="003C36EA">
        <w:rPr>
          <w:rFonts w:ascii="Traditional Arabic" w:hAnsi="Traditional Arabic"/>
          <w:sz w:val="28"/>
          <w:szCs w:val="28"/>
          <w:rtl/>
          <w:lang w:val="en-GB" w:eastAsia="zh-TW"/>
        </w:rPr>
        <w:t xml:space="preserve">(الكومنولث)، المادة </w:t>
      </w:r>
      <w:r w:rsidR="00DE3908">
        <w:t xml:space="preserve">46 </w:t>
      </w:r>
      <w:r w:rsidR="00DE3908" w:rsidRPr="00DE3908">
        <w:t>PO</w:t>
      </w:r>
      <w:r w:rsidR="00CC3788">
        <w:t>(2)</w:t>
      </w:r>
      <w:r w:rsidR="00DE3908" w:rsidRPr="003C36EA">
        <w:rPr>
          <w:rFonts w:ascii="Traditional Arabic" w:hAnsi="Traditional Arabic"/>
          <w:sz w:val="28"/>
          <w:szCs w:val="28"/>
          <w:rtl/>
          <w:lang w:val="en-GB" w:eastAsia="zh-TW"/>
        </w:rPr>
        <w:t>.</w:t>
      </w:r>
      <w:r w:rsidR="00DE3908" w:rsidRPr="003C36EA">
        <w:rPr>
          <w:sz w:val="28"/>
          <w:szCs w:val="28"/>
          <w:lang w:val="en-GB" w:eastAsia="zh-TW"/>
        </w:rPr>
        <w:t>‬</w:t>
      </w:r>
      <w:r w:rsidR="00DE3908">
        <w:rPr>
          <w:rFonts w:hint="cs"/>
          <w:rtl/>
          <w:lang w:val="en-GB"/>
        </w:rPr>
        <w:t xml:space="preserve"> </w:t>
      </w:r>
    </w:p>
  </w:footnote>
  <w:footnote w:id="13">
    <w:p w:rsidR="00107881" w:rsidRPr="00107881" w:rsidRDefault="00107881" w:rsidP="00963933">
      <w:pPr>
        <w:pStyle w:val="FootnoteText1"/>
      </w:pPr>
      <w:r w:rsidRPr="00107881">
        <w:rPr>
          <w:rtl/>
        </w:rPr>
        <w:t>(</w:t>
      </w:r>
      <w:r w:rsidRPr="00107881">
        <w:rPr>
          <w:rStyle w:val="FootnoteReference"/>
          <w:vertAlign w:val="baseline"/>
        </w:rPr>
        <w:footnoteRef/>
      </w:r>
      <w:r>
        <w:rPr>
          <w:sz w:val="26"/>
          <w:rtl/>
        </w:rPr>
        <w:t>)</w:t>
      </w:r>
      <w:r>
        <w:rPr>
          <w:sz w:val="26"/>
          <w:rtl/>
        </w:rPr>
        <w:tab/>
      </w:r>
      <w:r w:rsidR="00963933" w:rsidRPr="00963933">
        <w:rPr>
          <w:rtl/>
        </w:rPr>
        <w:t xml:space="preserve">انظر البلاغ رقم 437/1990، </w:t>
      </w:r>
      <w:proofErr w:type="spellStart"/>
      <w:r w:rsidR="00963933" w:rsidRPr="00963933">
        <w:rPr>
          <w:i/>
          <w:iCs/>
          <w:rtl/>
        </w:rPr>
        <w:t>باتينيو</w:t>
      </w:r>
      <w:proofErr w:type="spellEnd"/>
      <w:r w:rsidR="00963933" w:rsidRPr="00963933">
        <w:rPr>
          <w:i/>
          <w:iCs/>
          <w:rtl/>
        </w:rPr>
        <w:t xml:space="preserve"> ضد بنما،</w:t>
      </w:r>
      <w:r w:rsidR="00963933" w:rsidRPr="00963933">
        <w:rPr>
          <w:rtl/>
        </w:rPr>
        <w:t xml:space="preserve"> لعام 1990، القرار المعتمد في 21 تشرين الأول/أكتوبر 1994، الفقرة 5</w:t>
      </w:r>
      <w:r w:rsidR="00963933">
        <w:rPr>
          <w:rFonts w:hint="cs"/>
          <w:rtl/>
        </w:rPr>
        <w:t>-</w:t>
      </w:r>
      <w:r w:rsidR="00963933" w:rsidRPr="00963933">
        <w:rPr>
          <w:rtl/>
        </w:rPr>
        <w:t>٢.</w:t>
      </w:r>
      <w:r w:rsidR="00963933">
        <w:rPr>
          <w:rFonts w:hint="cs"/>
          <w:rtl/>
        </w:rPr>
        <w:t xml:space="preserve"> </w:t>
      </w:r>
    </w:p>
  </w:footnote>
  <w:footnote w:id="14">
    <w:p w:rsidR="00107881" w:rsidRPr="00107881" w:rsidRDefault="00107881" w:rsidP="00963933">
      <w:pPr>
        <w:pStyle w:val="FootnoteText1"/>
      </w:pPr>
      <w:r w:rsidRPr="00107881">
        <w:rPr>
          <w:rtl/>
        </w:rPr>
        <w:t>(</w:t>
      </w:r>
      <w:r w:rsidRPr="00107881">
        <w:rPr>
          <w:rStyle w:val="FootnoteReference"/>
          <w:vertAlign w:val="baseline"/>
        </w:rPr>
        <w:footnoteRef/>
      </w:r>
      <w:r>
        <w:rPr>
          <w:sz w:val="26"/>
          <w:rtl/>
        </w:rPr>
        <w:t>)</w:t>
      </w:r>
      <w:r>
        <w:rPr>
          <w:sz w:val="26"/>
          <w:rtl/>
        </w:rPr>
        <w:tab/>
      </w:r>
      <w:r w:rsidR="00963933" w:rsidRPr="00963933">
        <w:rPr>
          <w:rtl/>
        </w:rPr>
        <w:t xml:space="preserve">تشير الدولة الطرف إلى استنتاج اللجنة المعنية بحقوق الإنسان في البلاغ رقم 397/1990، </w:t>
      </w:r>
      <w:r w:rsidR="00963933" w:rsidRPr="00963933">
        <w:rPr>
          <w:i/>
          <w:iCs/>
          <w:rtl/>
        </w:rPr>
        <w:t>ب. س. ضد الدانمرك،</w:t>
      </w:r>
      <w:r w:rsidR="00963933" w:rsidRPr="00963933">
        <w:rPr>
          <w:rtl/>
        </w:rPr>
        <w:t xml:space="preserve"> القرار بشأن عدم المقبولية المعتمد في 22 تموز/يوليه 1992، الفقرة 5</w:t>
      </w:r>
      <w:r w:rsidR="00963933">
        <w:rPr>
          <w:rFonts w:hint="cs"/>
          <w:rtl/>
        </w:rPr>
        <w:t>-</w:t>
      </w:r>
      <w:r w:rsidR="00963933" w:rsidRPr="00963933">
        <w:rPr>
          <w:rtl/>
        </w:rPr>
        <w:t>٤.</w:t>
      </w:r>
      <w:r w:rsidR="00963933">
        <w:rPr>
          <w:rFonts w:hint="cs"/>
          <w:rtl/>
        </w:rPr>
        <w:t xml:space="preserve"> </w:t>
      </w:r>
    </w:p>
  </w:footnote>
  <w:footnote w:id="15">
    <w:p w:rsidR="00107881" w:rsidRPr="00963933" w:rsidRDefault="00107881" w:rsidP="00963933">
      <w:pPr>
        <w:pStyle w:val="FootnoteText1"/>
        <w:rPr>
          <w:lang w:val="en-GB"/>
        </w:rPr>
      </w:pPr>
      <w:r w:rsidRPr="00107881">
        <w:rPr>
          <w:rtl/>
        </w:rPr>
        <w:t>(</w:t>
      </w:r>
      <w:r w:rsidRPr="00107881">
        <w:rPr>
          <w:rStyle w:val="FootnoteReference"/>
          <w:vertAlign w:val="baseline"/>
        </w:rPr>
        <w:footnoteRef/>
      </w:r>
      <w:r>
        <w:rPr>
          <w:sz w:val="26"/>
          <w:rtl/>
        </w:rPr>
        <w:t>)</w:t>
      </w:r>
      <w:r>
        <w:rPr>
          <w:sz w:val="26"/>
          <w:rtl/>
        </w:rPr>
        <w:tab/>
      </w:r>
      <w:r w:rsidR="00963933" w:rsidRPr="00963933">
        <w:rPr>
          <w:rtl/>
          <w:lang w:val="en-GB"/>
        </w:rPr>
        <w:t>قواعد المحكمة الاتحادية لعام 2011، والقاعدتان 40</w:t>
      </w:r>
      <w:r w:rsidR="00963933">
        <w:rPr>
          <w:rFonts w:hint="cs"/>
          <w:rtl/>
          <w:lang w:val="en-GB"/>
        </w:rPr>
        <w:t>-</w:t>
      </w:r>
      <w:r w:rsidR="00963933" w:rsidRPr="00963933">
        <w:rPr>
          <w:rtl/>
          <w:lang w:val="en-GB"/>
        </w:rPr>
        <w:t>51 و21</w:t>
      </w:r>
      <w:r w:rsidR="00963933">
        <w:rPr>
          <w:rFonts w:hint="cs"/>
          <w:rtl/>
          <w:lang w:val="en-GB"/>
        </w:rPr>
        <w:t>-</w:t>
      </w:r>
      <w:r w:rsidR="00963933" w:rsidRPr="00963933">
        <w:rPr>
          <w:rtl/>
          <w:lang w:val="en-GB"/>
        </w:rPr>
        <w:t xml:space="preserve">03؛ انظر </w:t>
      </w:r>
      <w:r w:rsidR="008B5358">
        <w:rPr>
          <w:rtl/>
          <w:lang w:val="en-GB"/>
        </w:rPr>
        <w:t>أيضاً</w:t>
      </w:r>
      <w:r w:rsidR="00963933" w:rsidRPr="00963933">
        <w:rPr>
          <w:rtl/>
          <w:lang w:val="en-GB"/>
        </w:rPr>
        <w:t xml:space="preserve"> الرابط التالي: </w:t>
      </w:r>
      <w:r w:rsidR="00963933" w:rsidRPr="00963933">
        <w:rPr>
          <w:lang w:val="en-GB"/>
        </w:rPr>
        <w:t>www</w:t>
      </w:r>
      <w:r w:rsidR="00963933">
        <w:t>.</w:t>
      </w:r>
      <w:r w:rsidR="00963933" w:rsidRPr="00963933">
        <w:rPr>
          <w:lang w:val="en-GB"/>
        </w:rPr>
        <w:t>federalcircuitcourt</w:t>
      </w:r>
      <w:r w:rsidR="00963933">
        <w:rPr>
          <w:lang w:val="en-GB"/>
        </w:rPr>
        <w:t>.</w:t>
      </w:r>
      <w:r w:rsidR="00963933" w:rsidRPr="00963933">
        <w:rPr>
          <w:lang w:val="en-GB"/>
        </w:rPr>
        <w:t>gov</w:t>
      </w:r>
      <w:r w:rsidR="00963933">
        <w:rPr>
          <w:lang w:val="en-GB"/>
        </w:rPr>
        <w:t>.au</w:t>
      </w:r>
      <w:r w:rsidR="00963933">
        <w:rPr>
          <w:rFonts w:hint="cs"/>
          <w:rtl/>
          <w:lang w:val="en-GB"/>
        </w:rPr>
        <w:t xml:space="preserve">. </w:t>
      </w:r>
    </w:p>
  </w:footnote>
  <w:footnote w:id="16">
    <w:p w:rsidR="00107881" w:rsidRPr="00107881" w:rsidRDefault="00107881" w:rsidP="0022722A">
      <w:pPr>
        <w:pStyle w:val="FootnoteText1"/>
        <w:spacing w:line="240" w:lineRule="exact"/>
      </w:pPr>
      <w:r w:rsidRPr="00107881">
        <w:rPr>
          <w:rtl/>
        </w:rPr>
        <w:t>(</w:t>
      </w:r>
      <w:r w:rsidRPr="00107881">
        <w:rPr>
          <w:rStyle w:val="FootnoteReference"/>
          <w:vertAlign w:val="baseline"/>
        </w:rPr>
        <w:footnoteRef/>
      </w:r>
      <w:r>
        <w:rPr>
          <w:sz w:val="26"/>
          <w:rtl/>
        </w:rPr>
        <w:t>)</w:t>
      </w:r>
      <w:r>
        <w:rPr>
          <w:sz w:val="26"/>
          <w:rtl/>
        </w:rPr>
        <w:tab/>
      </w:r>
      <w:r w:rsidR="00963933">
        <w:t xml:space="preserve">See </w:t>
      </w:r>
      <w:r w:rsidR="00963933">
        <w:rPr>
          <w:iCs/>
          <w:lang w:val="en-GB"/>
        </w:rPr>
        <w:t>A/64</w:t>
      </w:r>
      <w:r w:rsidR="00963933" w:rsidRPr="00F577BA">
        <w:rPr>
          <w:iCs/>
          <w:lang w:val="en-GB"/>
        </w:rPr>
        <w:t>/40 (Vol. I</w:t>
      </w:r>
      <w:r w:rsidR="00963933">
        <w:rPr>
          <w:iCs/>
          <w:lang w:val="en-GB"/>
        </w:rPr>
        <w:t>)</w:t>
      </w:r>
      <w:r w:rsidR="00963933" w:rsidRPr="00E11FD5">
        <w:t xml:space="preserve">, para. </w:t>
      </w:r>
      <w:r w:rsidR="00963933" w:rsidRPr="00F577BA">
        <w:t xml:space="preserve">118; </w:t>
      </w:r>
      <w:r w:rsidR="00963933" w:rsidRPr="009665F2">
        <w:rPr>
          <w:iCs/>
          <w:lang w:val="en-GB"/>
        </w:rPr>
        <w:t>A/</w:t>
      </w:r>
      <w:r w:rsidR="00963933">
        <w:rPr>
          <w:iCs/>
          <w:lang w:val="en-GB"/>
        </w:rPr>
        <w:t>63</w:t>
      </w:r>
      <w:r w:rsidR="00963933" w:rsidRPr="009665F2">
        <w:rPr>
          <w:iCs/>
          <w:lang w:val="en-GB"/>
        </w:rPr>
        <w:t>/40 (Vol. I</w:t>
      </w:r>
      <w:r w:rsidR="00963933">
        <w:rPr>
          <w:iCs/>
          <w:lang w:val="en-GB"/>
        </w:rPr>
        <w:t>)</w:t>
      </w:r>
      <w:r w:rsidR="00963933" w:rsidRPr="00F577BA">
        <w:t xml:space="preserve">, para. 108; </w:t>
      </w:r>
      <w:r w:rsidR="00963933" w:rsidRPr="009665F2">
        <w:rPr>
          <w:iCs/>
          <w:lang w:val="en-GB"/>
        </w:rPr>
        <w:t>A/</w:t>
      </w:r>
      <w:r w:rsidR="00963933">
        <w:rPr>
          <w:iCs/>
          <w:lang w:val="en-GB"/>
        </w:rPr>
        <w:t>62</w:t>
      </w:r>
      <w:r w:rsidR="00963933" w:rsidRPr="009665F2">
        <w:rPr>
          <w:iCs/>
          <w:lang w:val="en-GB"/>
        </w:rPr>
        <w:t>/40 (Vol. I</w:t>
      </w:r>
      <w:r w:rsidR="00963933">
        <w:rPr>
          <w:iCs/>
          <w:lang w:val="en-GB"/>
        </w:rPr>
        <w:t>)</w:t>
      </w:r>
      <w:r w:rsidR="00963933" w:rsidRPr="00F577BA">
        <w:t xml:space="preserve">, para. 119; </w:t>
      </w:r>
      <w:r w:rsidR="00963933" w:rsidRPr="009665F2">
        <w:rPr>
          <w:iCs/>
          <w:lang w:val="en-GB"/>
        </w:rPr>
        <w:t>A/</w:t>
      </w:r>
      <w:r w:rsidR="00963933">
        <w:rPr>
          <w:iCs/>
          <w:lang w:val="en-GB"/>
        </w:rPr>
        <w:t>61</w:t>
      </w:r>
      <w:r w:rsidR="00963933" w:rsidRPr="009665F2">
        <w:rPr>
          <w:iCs/>
          <w:lang w:val="en-GB"/>
        </w:rPr>
        <w:t>/40 (Vol. I</w:t>
      </w:r>
      <w:r w:rsidR="00963933">
        <w:rPr>
          <w:iCs/>
          <w:lang w:val="en-GB"/>
        </w:rPr>
        <w:t>)</w:t>
      </w:r>
      <w:r w:rsidR="00963933" w:rsidRPr="00F577BA">
        <w:t xml:space="preserve">, para. </w:t>
      </w:r>
      <w:r w:rsidR="00963933" w:rsidRPr="00E11FD5">
        <w:t>115</w:t>
      </w:r>
      <w:r w:rsidR="00963933">
        <w:rPr>
          <w:rFonts w:hint="cs"/>
          <w:rtl/>
        </w:rPr>
        <w:t xml:space="preserve">. </w:t>
      </w:r>
    </w:p>
  </w:footnote>
  <w:footnote w:id="17">
    <w:p w:rsidR="00107881" w:rsidRPr="00107881" w:rsidRDefault="00107881" w:rsidP="00107881">
      <w:pPr>
        <w:pStyle w:val="FootnoteText1"/>
        <w:rPr>
          <w:rtl/>
        </w:rPr>
      </w:pPr>
      <w:r w:rsidRPr="00107881">
        <w:rPr>
          <w:rtl/>
        </w:rPr>
        <w:t>(</w:t>
      </w:r>
      <w:r w:rsidRPr="00107881">
        <w:rPr>
          <w:rStyle w:val="FootnoteReference"/>
          <w:vertAlign w:val="baseline"/>
        </w:rPr>
        <w:footnoteRef/>
      </w:r>
      <w:r>
        <w:rPr>
          <w:sz w:val="26"/>
          <w:rtl/>
        </w:rPr>
        <w:t>)</w:t>
      </w:r>
      <w:r>
        <w:rPr>
          <w:sz w:val="26"/>
          <w:rtl/>
        </w:rPr>
        <w:tab/>
      </w:r>
      <w:r w:rsidR="00963933" w:rsidRPr="00963933">
        <w:rPr>
          <w:rtl/>
        </w:rPr>
        <w:t>انظر التعليق العام رقم 1 للجنة (2014) بشأن المادة 12: الاعتراف بالأشخاص ذوي الإعاقة على قدم المساواة مع غيرهم أمام القانون، الفقرة 1.</w:t>
      </w:r>
      <w:r w:rsidR="00963933">
        <w:rPr>
          <w:rFonts w:hint="cs"/>
          <w:rtl/>
        </w:rPr>
        <w:t xml:space="preserve"> </w:t>
      </w:r>
    </w:p>
  </w:footnote>
  <w:footnote w:id="18">
    <w:p w:rsidR="00107881" w:rsidRPr="00107881" w:rsidRDefault="00107881" w:rsidP="00081772">
      <w:pPr>
        <w:pStyle w:val="FootnoteText1"/>
      </w:pPr>
      <w:r w:rsidRPr="00107881">
        <w:rPr>
          <w:rtl/>
        </w:rPr>
        <w:t>(</w:t>
      </w:r>
      <w:r w:rsidRPr="00107881">
        <w:rPr>
          <w:rStyle w:val="FootnoteReference"/>
          <w:vertAlign w:val="baseline"/>
        </w:rPr>
        <w:footnoteRef/>
      </w:r>
      <w:r>
        <w:rPr>
          <w:sz w:val="26"/>
          <w:rtl/>
        </w:rPr>
        <w:t>)</w:t>
      </w:r>
      <w:r>
        <w:rPr>
          <w:sz w:val="26"/>
          <w:rtl/>
        </w:rPr>
        <w:tab/>
      </w:r>
      <w:r w:rsidR="00081772" w:rsidRPr="00081772">
        <w:rPr>
          <w:rFonts w:cs="Times New Roman"/>
          <w:szCs w:val="18"/>
          <w:rtl/>
        </w:rPr>
        <w:t>”</w:t>
      </w:r>
      <w:r w:rsidR="00081772" w:rsidRPr="00081772">
        <w:t>Government of New South Wales, “Response, June 2010to the NSW Law Reform Commission</w:t>
      </w:r>
      <w:r w:rsidR="00081772" w:rsidRPr="00081772">
        <w:rPr>
          <w:rtl/>
        </w:rPr>
        <w:t xml:space="preserve">. انظر </w:t>
      </w:r>
      <w:r w:rsidR="008B5358">
        <w:rPr>
          <w:rtl/>
        </w:rPr>
        <w:t>أيضاً</w:t>
      </w:r>
      <w:r w:rsidR="00081772" w:rsidRPr="00081772">
        <w:rPr>
          <w:rtl/>
        </w:rPr>
        <w:t xml:space="preserve"> الفقرة 4-1 أعلاه.</w:t>
      </w:r>
      <w:r w:rsidR="00081772">
        <w:rPr>
          <w:rFonts w:hint="cs"/>
          <w:rtl/>
        </w:rPr>
        <w:t xml:space="preserve"> </w:t>
      </w:r>
    </w:p>
  </w:footnote>
  <w:footnote w:id="19">
    <w:p w:rsidR="008F18B4" w:rsidRPr="008F18B4" w:rsidRDefault="008F18B4" w:rsidP="005C4816">
      <w:pPr>
        <w:pStyle w:val="FootnoteText1"/>
      </w:pPr>
      <w:r w:rsidRPr="008F18B4">
        <w:rPr>
          <w:rtl/>
        </w:rPr>
        <w:t>(</w:t>
      </w:r>
      <w:r w:rsidRPr="008F18B4">
        <w:rPr>
          <w:rStyle w:val="FootnoteReference"/>
          <w:vertAlign w:val="baseline"/>
        </w:rPr>
        <w:footnoteRef/>
      </w:r>
      <w:r>
        <w:rPr>
          <w:sz w:val="26"/>
          <w:rtl/>
        </w:rPr>
        <w:t>)</w:t>
      </w:r>
      <w:r>
        <w:rPr>
          <w:sz w:val="26"/>
          <w:rtl/>
        </w:rPr>
        <w:tab/>
      </w:r>
      <w:r w:rsidR="00081772" w:rsidRPr="00081772">
        <w:rPr>
          <w:rtl/>
        </w:rPr>
        <w:t xml:space="preserve">انظر الموجز اليومي لمناقشات الدورة السابعة للجنة المخصصة المعنية بوضع اتفاقية دولية شاملة متكاملة بشأن تعزيز وحماية حقوق المعوقين وكرامتهم، يمكن الاطلاع عليه على الرابط التالي: </w:t>
      </w:r>
      <w:r w:rsidR="00081772" w:rsidRPr="00081772">
        <w:t>www.un.org/esa/socdev/enable/rights/adhoccom.htm</w:t>
      </w:r>
      <w:r w:rsidR="00081772" w:rsidRPr="00081772">
        <w:rPr>
          <w:rtl/>
        </w:rPr>
        <w:t xml:space="preserve">، </w:t>
      </w:r>
      <w:r w:rsidR="005C4816">
        <w:rPr>
          <w:rFonts w:hint="cs"/>
          <w:rtl/>
        </w:rPr>
        <w:t>18</w:t>
      </w:r>
      <w:r w:rsidR="00081772" w:rsidRPr="00081772">
        <w:rPr>
          <w:rtl/>
        </w:rPr>
        <w:t xml:space="preserve"> كانون الثاني/يناير 2006، الجلسة الصباحية، الرئيس.</w:t>
      </w:r>
      <w:r w:rsidR="00081772">
        <w:rPr>
          <w:rFonts w:hint="cs"/>
          <w:rtl/>
        </w:rPr>
        <w:t xml:space="preserve"> </w:t>
      </w:r>
    </w:p>
  </w:footnote>
  <w:footnote w:id="20">
    <w:p w:rsidR="008F18B4" w:rsidRPr="008F18B4" w:rsidRDefault="008F18B4" w:rsidP="008F18B4">
      <w:pPr>
        <w:pStyle w:val="FootnoteText1"/>
      </w:pPr>
      <w:r w:rsidRPr="008F18B4">
        <w:rPr>
          <w:rtl/>
        </w:rPr>
        <w:t>(</w:t>
      </w:r>
      <w:r w:rsidRPr="008F18B4">
        <w:rPr>
          <w:rStyle w:val="FootnoteReference"/>
          <w:vertAlign w:val="baseline"/>
        </w:rPr>
        <w:footnoteRef/>
      </w:r>
      <w:r>
        <w:rPr>
          <w:sz w:val="26"/>
          <w:rtl/>
        </w:rPr>
        <w:t>)</w:t>
      </w:r>
      <w:r>
        <w:rPr>
          <w:sz w:val="26"/>
          <w:rtl/>
        </w:rPr>
        <w:tab/>
      </w:r>
      <w:r w:rsidR="00081772" w:rsidRPr="00081772">
        <w:rPr>
          <w:rtl/>
        </w:rPr>
        <w:t>انظر الموجز اليومي للمناقشات الدورة الخامسة للجنة المخصصة، 25 كانون الثاني/يناير 2005، الجلسة المعقودة بعد الظهر، المنسق.</w:t>
      </w:r>
      <w:r w:rsidR="00081772">
        <w:rPr>
          <w:rFonts w:hint="cs"/>
          <w:rtl/>
        </w:rPr>
        <w:t xml:space="preserve"> </w:t>
      </w:r>
    </w:p>
  </w:footnote>
  <w:footnote w:id="21">
    <w:p w:rsidR="008F18B4" w:rsidRPr="008F18B4" w:rsidRDefault="008F18B4" w:rsidP="008120ED">
      <w:pPr>
        <w:pStyle w:val="FootnoteText1"/>
        <w:spacing w:line="240" w:lineRule="exact"/>
      </w:pPr>
      <w:r w:rsidRPr="008F18B4">
        <w:rPr>
          <w:rtl/>
        </w:rPr>
        <w:t>(</w:t>
      </w:r>
      <w:r w:rsidRPr="008F18B4">
        <w:rPr>
          <w:rStyle w:val="FootnoteReference"/>
          <w:vertAlign w:val="baseline"/>
        </w:rPr>
        <w:footnoteRef/>
      </w:r>
      <w:r>
        <w:rPr>
          <w:sz w:val="26"/>
          <w:rtl/>
        </w:rPr>
        <w:t>)</w:t>
      </w:r>
      <w:r>
        <w:rPr>
          <w:sz w:val="26"/>
          <w:rtl/>
        </w:rPr>
        <w:tab/>
      </w:r>
      <w:r w:rsidR="00081772" w:rsidRPr="00DB4FD7">
        <w:t>Government</w:t>
      </w:r>
      <w:r w:rsidR="00081772">
        <w:t xml:space="preserve"> of New South Wales, “R</w:t>
      </w:r>
      <w:r w:rsidR="00081772" w:rsidRPr="00DB4FD7">
        <w:t>esponse</w:t>
      </w:r>
      <w:r w:rsidR="00081772" w:rsidRPr="00A27207">
        <w:t xml:space="preserve"> </w:t>
      </w:r>
      <w:r w:rsidR="00081772">
        <w:t>to the NSW Law Reform Commission”</w:t>
      </w:r>
      <w:r w:rsidR="00081772">
        <w:rPr>
          <w:rFonts w:hint="cs"/>
          <w:rtl/>
        </w:rPr>
        <w:t xml:space="preserve">. </w:t>
      </w:r>
    </w:p>
  </w:footnote>
  <w:footnote w:id="22">
    <w:p w:rsidR="008F18B4" w:rsidRPr="008F18B4" w:rsidRDefault="008F18B4" w:rsidP="008F18B4">
      <w:pPr>
        <w:pStyle w:val="FootnoteText1"/>
        <w:rPr>
          <w:rtl/>
        </w:rPr>
      </w:pPr>
      <w:r w:rsidRPr="008F18B4">
        <w:rPr>
          <w:rtl/>
        </w:rPr>
        <w:t>(</w:t>
      </w:r>
      <w:r w:rsidRPr="008F18B4">
        <w:rPr>
          <w:rStyle w:val="FootnoteReference"/>
          <w:vertAlign w:val="baseline"/>
        </w:rPr>
        <w:footnoteRef/>
      </w:r>
      <w:r>
        <w:rPr>
          <w:sz w:val="26"/>
          <w:rtl/>
        </w:rPr>
        <w:t>)</w:t>
      </w:r>
      <w:r>
        <w:rPr>
          <w:sz w:val="26"/>
          <w:rtl/>
        </w:rPr>
        <w:tab/>
      </w:r>
      <w:r w:rsidR="00081772" w:rsidRPr="00081772">
        <w:rPr>
          <w:sz w:val="26"/>
          <w:rtl/>
        </w:rPr>
        <w:t>انظر الموجز اليومي لمناقشات الدورة الخامسة للجنة المخصصة، 28 كانون الثاني/يناير 2005، الجلسة المعقودة بعد الظهر، شيلي، بالتعاون مع أستراليا، والبوسنة والهرسك، وكندا، وكوستاريكا، والاتحاد الروسي، والمكسيك، وبعض المنظمات غير الحكومية.</w:t>
      </w:r>
      <w:r w:rsidR="00081772">
        <w:rPr>
          <w:rFonts w:hint="cs"/>
          <w:sz w:val="26"/>
          <w:rtl/>
        </w:rPr>
        <w:t xml:space="preserve"> </w:t>
      </w:r>
    </w:p>
  </w:footnote>
  <w:footnote w:id="23">
    <w:p w:rsidR="008F18B4" w:rsidRPr="008F18B4" w:rsidRDefault="008F18B4" w:rsidP="008F18B4">
      <w:pPr>
        <w:pStyle w:val="FootnoteText1"/>
      </w:pPr>
      <w:r w:rsidRPr="008F18B4">
        <w:rPr>
          <w:rtl/>
        </w:rPr>
        <w:t>(</w:t>
      </w:r>
      <w:r w:rsidRPr="008F18B4">
        <w:rPr>
          <w:rStyle w:val="FootnoteReference"/>
          <w:vertAlign w:val="baseline"/>
        </w:rPr>
        <w:footnoteRef/>
      </w:r>
      <w:r>
        <w:rPr>
          <w:sz w:val="26"/>
          <w:rtl/>
        </w:rPr>
        <w:t>)</w:t>
      </w:r>
      <w:r>
        <w:rPr>
          <w:sz w:val="26"/>
          <w:rtl/>
        </w:rPr>
        <w:tab/>
      </w:r>
      <w:r w:rsidR="00081772" w:rsidRPr="00081772">
        <w:rPr>
          <w:rtl/>
        </w:rPr>
        <w:t>انظر الموجز اليومي لمناقشات الدورة الخامسة للجنة المخصصة، 18كانون الثاني/يناير 2006، الجلسة المعقودة بعد الظهر، إسرائيل، الرئيس.</w:t>
      </w:r>
      <w:r w:rsidR="00081772">
        <w:rPr>
          <w:rFonts w:hint="cs"/>
          <w:rtl/>
        </w:rPr>
        <w:t xml:space="preserve"> </w:t>
      </w:r>
    </w:p>
  </w:footnote>
  <w:footnote w:id="24">
    <w:p w:rsidR="008F18B4" w:rsidRPr="008F18B4" w:rsidRDefault="008F18B4" w:rsidP="008F18B4">
      <w:pPr>
        <w:pStyle w:val="FootnoteText1"/>
        <w:rPr>
          <w:rtl/>
        </w:rPr>
      </w:pPr>
      <w:r w:rsidRPr="008F18B4">
        <w:rPr>
          <w:rtl/>
        </w:rPr>
        <w:t>(</w:t>
      </w:r>
      <w:r w:rsidRPr="008F18B4">
        <w:rPr>
          <w:rStyle w:val="FootnoteReference"/>
          <w:vertAlign w:val="baseline"/>
        </w:rPr>
        <w:footnoteRef/>
      </w:r>
      <w:r>
        <w:rPr>
          <w:sz w:val="26"/>
          <w:rtl/>
        </w:rPr>
        <w:t>)</w:t>
      </w:r>
      <w:r>
        <w:rPr>
          <w:sz w:val="26"/>
          <w:rtl/>
        </w:rPr>
        <w:tab/>
      </w:r>
      <w:r w:rsidR="00081772" w:rsidRPr="00081772">
        <w:rPr>
          <w:rtl/>
        </w:rPr>
        <w:t>انظر الموجز اليومي لمناقشات الدورة الخامسة للجنة المخصصة، 1 شباط/فبراير 2005، الجلسة الصباحية، الاتحاد الأوروبي.</w:t>
      </w:r>
      <w:r w:rsidR="00081772">
        <w:rPr>
          <w:rFonts w:hint="cs"/>
          <w:rtl/>
        </w:rPr>
        <w:t xml:space="preserve"> </w:t>
      </w:r>
    </w:p>
  </w:footnote>
  <w:footnote w:id="25">
    <w:p w:rsidR="004D24C8" w:rsidRPr="004D24C8" w:rsidRDefault="004D24C8" w:rsidP="005F6E57">
      <w:pPr>
        <w:pStyle w:val="FootnoteText1"/>
        <w:spacing w:line="240" w:lineRule="exact"/>
        <w:rPr>
          <w:rtl/>
        </w:rPr>
      </w:pPr>
      <w:r w:rsidRPr="004D24C8">
        <w:rPr>
          <w:rtl/>
        </w:rPr>
        <w:t>(</w:t>
      </w:r>
      <w:r w:rsidRPr="004D24C8">
        <w:rPr>
          <w:rStyle w:val="FootnoteReference"/>
          <w:vertAlign w:val="baseline"/>
        </w:rPr>
        <w:footnoteRef/>
      </w:r>
      <w:r>
        <w:rPr>
          <w:sz w:val="26"/>
          <w:rtl/>
        </w:rPr>
        <w:t>)</w:t>
      </w:r>
      <w:r>
        <w:rPr>
          <w:sz w:val="26"/>
          <w:rtl/>
        </w:rPr>
        <w:tab/>
      </w:r>
      <w:r w:rsidR="00081772">
        <w:t xml:space="preserve">See Sarah </w:t>
      </w:r>
      <w:r w:rsidR="00081772" w:rsidRPr="00BF321B">
        <w:t xml:space="preserve">Joseph and </w:t>
      </w:r>
      <w:r w:rsidR="00081772">
        <w:t xml:space="preserve">Melissa </w:t>
      </w:r>
      <w:proofErr w:type="spellStart"/>
      <w:r w:rsidR="00081772" w:rsidRPr="00BF321B">
        <w:t>Castan</w:t>
      </w:r>
      <w:proofErr w:type="spellEnd"/>
      <w:r w:rsidR="00081772" w:rsidRPr="00BF321B">
        <w:t xml:space="preserve">, </w:t>
      </w:r>
      <w:r w:rsidR="00081772" w:rsidRPr="00BF321B">
        <w:rPr>
          <w:i/>
        </w:rPr>
        <w:t>The International Covenant on Civil and Political Rights: Cases, Materials, and Commentary</w:t>
      </w:r>
      <w:r w:rsidR="00081772">
        <w:rPr>
          <w:iCs/>
        </w:rPr>
        <w:t>, 3rd ed.</w:t>
      </w:r>
      <w:r w:rsidR="00081772" w:rsidRPr="00BF321B">
        <w:t xml:space="preserve"> (Oxford University Press, 2013), p. 732</w:t>
      </w:r>
      <w:r w:rsidR="00081772">
        <w:t>, and</w:t>
      </w:r>
      <w:r w:rsidR="00081772" w:rsidRPr="00BF321B">
        <w:t xml:space="preserve"> </w:t>
      </w:r>
      <w:r w:rsidR="00081772">
        <w:t xml:space="preserve">Manfred </w:t>
      </w:r>
      <w:r w:rsidR="00081772" w:rsidRPr="00BF321B">
        <w:t xml:space="preserve">Nowak, </w:t>
      </w:r>
      <w:r w:rsidR="00081772" w:rsidRPr="00BF321B">
        <w:rPr>
          <w:i/>
        </w:rPr>
        <w:t>U.N. Covenant on Civil and Political Rights: CCPR Commentary</w:t>
      </w:r>
      <w:r w:rsidR="00081772">
        <w:rPr>
          <w:iCs/>
        </w:rPr>
        <w:t>, 2nd revised ed.</w:t>
      </w:r>
      <w:r w:rsidR="00081772" w:rsidRPr="00BF321B">
        <w:rPr>
          <w:i/>
        </w:rPr>
        <w:t xml:space="preserve"> </w:t>
      </w:r>
      <w:r w:rsidR="00081772" w:rsidRPr="00BF321B">
        <w:t>(</w:t>
      </w:r>
      <w:proofErr w:type="spellStart"/>
      <w:r w:rsidR="00081772">
        <w:t>Kehl</w:t>
      </w:r>
      <w:proofErr w:type="spellEnd"/>
      <w:r w:rsidR="00081772">
        <w:t xml:space="preserve"> am </w:t>
      </w:r>
      <w:proofErr w:type="spellStart"/>
      <w:r w:rsidR="00081772">
        <w:t>Rhein</w:t>
      </w:r>
      <w:proofErr w:type="spellEnd"/>
      <w:r w:rsidR="00081772">
        <w:t xml:space="preserve">, </w:t>
      </w:r>
      <w:r w:rsidR="00081772" w:rsidRPr="00BF321B">
        <w:t>N.P. Engel, 2005), p. 570</w:t>
      </w:r>
      <w:r w:rsidR="00081772">
        <w:rPr>
          <w:rFonts w:hint="cs"/>
          <w:rtl/>
        </w:rPr>
        <w:t xml:space="preserve">. </w:t>
      </w:r>
    </w:p>
  </w:footnote>
  <w:footnote w:id="26">
    <w:p w:rsidR="004D24C8" w:rsidRPr="004D24C8" w:rsidRDefault="004D24C8" w:rsidP="005F6E57">
      <w:pPr>
        <w:pStyle w:val="FootnoteText1"/>
        <w:spacing w:line="240" w:lineRule="exact"/>
      </w:pPr>
      <w:r w:rsidRPr="004D24C8">
        <w:rPr>
          <w:rtl/>
        </w:rPr>
        <w:t>(</w:t>
      </w:r>
      <w:r w:rsidRPr="004D24C8">
        <w:rPr>
          <w:rStyle w:val="FootnoteReference"/>
          <w:vertAlign w:val="baseline"/>
        </w:rPr>
        <w:footnoteRef/>
      </w:r>
      <w:r>
        <w:rPr>
          <w:sz w:val="26"/>
          <w:rtl/>
        </w:rPr>
        <w:t>)</w:t>
      </w:r>
      <w:r>
        <w:rPr>
          <w:sz w:val="26"/>
          <w:rtl/>
        </w:rPr>
        <w:tab/>
      </w:r>
      <w:r w:rsidR="00CF39EE" w:rsidRPr="00DB4FD7">
        <w:t xml:space="preserve">Government </w:t>
      </w:r>
      <w:r w:rsidR="00CF39EE">
        <w:t>of New South Wales, “R</w:t>
      </w:r>
      <w:r w:rsidR="00CF39EE" w:rsidRPr="00DB4FD7">
        <w:t>esponse to the NSW Law Reform Commission</w:t>
      </w:r>
      <w:r w:rsidR="00CF39EE">
        <w:t>”</w:t>
      </w:r>
      <w:r w:rsidR="00CF39EE">
        <w:rPr>
          <w:rFonts w:hint="cs"/>
          <w:rtl/>
        </w:rPr>
        <w:t xml:space="preserve">. </w:t>
      </w:r>
    </w:p>
  </w:footnote>
  <w:footnote w:id="27">
    <w:p w:rsidR="004D24C8" w:rsidRPr="004D24C8" w:rsidRDefault="004D24C8" w:rsidP="005F6E57">
      <w:pPr>
        <w:pStyle w:val="FootnoteText1"/>
        <w:spacing w:line="240" w:lineRule="exact"/>
      </w:pPr>
      <w:r w:rsidRPr="004D24C8">
        <w:rPr>
          <w:rtl/>
        </w:rPr>
        <w:t>(</w:t>
      </w:r>
      <w:r w:rsidRPr="004D24C8">
        <w:rPr>
          <w:rStyle w:val="FootnoteReference"/>
          <w:vertAlign w:val="baseline"/>
        </w:rPr>
        <w:footnoteRef/>
      </w:r>
      <w:r>
        <w:rPr>
          <w:sz w:val="26"/>
          <w:rtl/>
        </w:rPr>
        <w:t>)</w:t>
      </w:r>
      <w:r>
        <w:rPr>
          <w:sz w:val="26"/>
          <w:rtl/>
        </w:rPr>
        <w:tab/>
      </w:r>
      <w:r w:rsidR="00CF39EE">
        <w:t xml:space="preserve">See </w:t>
      </w:r>
      <w:r w:rsidR="00CF39EE" w:rsidRPr="00BF321B">
        <w:t>Peter Bartlett, “The United Nations Convention on the Rights of Persons with Disabilities and Mental Health Law”</w:t>
      </w:r>
      <w:r w:rsidR="00CF39EE">
        <w:t xml:space="preserve">, </w:t>
      </w:r>
      <w:r w:rsidR="00CF39EE" w:rsidRPr="00BF321B">
        <w:rPr>
          <w:i/>
        </w:rPr>
        <w:t>Modern Law Review</w:t>
      </w:r>
      <w:r w:rsidR="00CF39EE">
        <w:t xml:space="preserve">, vol. </w:t>
      </w:r>
      <w:r w:rsidR="00CF39EE" w:rsidRPr="00BF321B">
        <w:t>75</w:t>
      </w:r>
      <w:r w:rsidR="00CF39EE">
        <w:t xml:space="preserve">, No. 5 </w:t>
      </w:r>
      <w:r w:rsidR="00CF39EE" w:rsidRPr="003C6BB9">
        <w:t>(</w:t>
      </w:r>
      <w:r w:rsidR="00CF39EE">
        <w:t xml:space="preserve">September </w:t>
      </w:r>
      <w:r w:rsidR="00CF39EE" w:rsidRPr="003C6BB9">
        <w:t>2012)</w:t>
      </w:r>
      <w:r w:rsidR="00CF39EE">
        <w:rPr>
          <w:rFonts w:hint="cs"/>
          <w:rtl/>
        </w:rPr>
        <w:t xml:space="preserve">. </w:t>
      </w:r>
    </w:p>
  </w:footnote>
  <w:footnote w:id="28">
    <w:p w:rsidR="004D24C8" w:rsidRPr="004D24C8" w:rsidRDefault="004D24C8" w:rsidP="005F6E57">
      <w:pPr>
        <w:pStyle w:val="FootnoteText1"/>
        <w:spacing w:line="240" w:lineRule="exact"/>
      </w:pPr>
      <w:r w:rsidRPr="004D24C8">
        <w:rPr>
          <w:rtl/>
        </w:rPr>
        <w:t>(</w:t>
      </w:r>
      <w:r w:rsidRPr="004D24C8">
        <w:rPr>
          <w:rStyle w:val="FootnoteReference"/>
          <w:vertAlign w:val="baseline"/>
        </w:rPr>
        <w:footnoteRef/>
      </w:r>
      <w:r>
        <w:rPr>
          <w:sz w:val="26"/>
          <w:rtl/>
        </w:rPr>
        <w:t>)</w:t>
      </w:r>
      <w:r>
        <w:rPr>
          <w:sz w:val="26"/>
          <w:rtl/>
        </w:rPr>
        <w:tab/>
      </w:r>
      <w:r w:rsidR="00CF39EE" w:rsidRPr="00BF321B">
        <w:t>W</w:t>
      </w:r>
      <w:r w:rsidR="00CF39EE">
        <w:t>.</w:t>
      </w:r>
      <w:r w:rsidR="00CF39EE" w:rsidRPr="00BF321B">
        <w:t>A</w:t>
      </w:r>
      <w:r w:rsidR="00CF39EE">
        <w:t>.</w:t>
      </w:r>
      <w:r w:rsidR="00CF39EE" w:rsidRPr="00BF321B">
        <w:t xml:space="preserve"> </w:t>
      </w:r>
      <w:r w:rsidR="00CF39EE">
        <w:t>Mc</w:t>
      </w:r>
      <w:r w:rsidR="00CF39EE" w:rsidRPr="00BF321B">
        <w:t>Kean, “The meaning of discrimination in international and municipal law”</w:t>
      </w:r>
      <w:r w:rsidR="00CF39EE">
        <w:t>,</w:t>
      </w:r>
      <w:r w:rsidR="00CF39EE" w:rsidRPr="00BF321B">
        <w:t xml:space="preserve"> </w:t>
      </w:r>
      <w:r w:rsidR="00CF39EE" w:rsidRPr="00BF321B">
        <w:rPr>
          <w:i/>
        </w:rPr>
        <w:t>British Yearbook of International Law</w:t>
      </w:r>
      <w:r w:rsidR="00CF39EE">
        <w:t>, vol.</w:t>
      </w:r>
      <w:r w:rsidR="00CF39EE" w:rsidRPr="00BF321B">
        <w:t xml:space="preserve"> </w:t>
      </w:r>
      <w:r w:rsidR="00CF39EE" w:rsidRPr="007F4051">
        <w:t>44</w:t>
      </w:r>
      <w:r w:rsidR="00CF39EE">
        <w:t xml:space="preserve"> </w:t>
      </w:r>
      <w:r w:rsidR="00CF39EE" w:rsidRPr="00322E94">
        <w:t>(1970)</w:t>
      </w:r>
      <w:r w:rsidR="00CF39EE">
        <w:rPr>
          <w:rFonts w:hint="cs"/>
          <w:rtl/>
        </w:rPr>
        <w:t xml:space="preserve">. </w:t>
      </w:r>
    </w:p>
  </w:footnote>
  <w:footnote w:id="29">
    <w:p w:rsidR="004D24C8" w:rsidRPr="004D24C8" w:rsidRDefault="004D24C8" w:rsidP="005F6E57">
      <w:pPr>
        <w:pStyle w:val="FootnoteText1"/>
        <w:spacing w:line="240" w:lineRule="exact"/>
      </w:pPr>
      <w:r w:rsidRPr="004D24C8">
        <w:rPr>
          <w:rtl/>
        </w:rPr>
        <w:t>(</w:t>
      </w:r>
      <w:r w:rsidRPr="004D24C8">
        <w:rPr>
          <w:rStyle w:val="FootnoteReference"/>
          <w:vertAlign w:val="baseline"/>
        </w:rPr>
        <w:footnoteRef/>
      </w:r>
      <w:r>
        <w:rPr>
          <w:sz w:val="26"/>
          <w:rtl/>
        </w:rPr>
        <w:t>)</w:t>
      </w:r>
      <w:r>
        <w:rPr>
          <w:sz w:val="26"/>
          <w:rtl/>
        </w:rPr>
        <w:tab/>
      </w:r>
      <w:r w:rsidR="00CF39EE" w:rsidRPr="00CF39EE">
        <w:t>Jury Act 1977, art. 14 A (b</w:t>
      </w:r>
      <w:r w:rsidR="00CF39EE">
        <w:t>)</w:t>
      </w:r>
      <w:r w:rsidR="00CF39EE" w:rsidRPr="00CF39EE">
        <w:rPr>
          <w:rtl/>
        </w:rPr>
        <w:t>.</w:t>
      </w:r>
      <w:r w:rsidR="00CF39EE">
        <w:rPr>
          <w:rFonts w:hint="cs"/>
          <w:rtl/>
        </w:rPr>
        <w:t xml:space="preserve"> </w:t>
      </w:r>
    </w:p>
  </w:footnote>
  <w:footnote w:id="30">
    <w:p w:rsidR="004615D8" w:rsidRPr="004615D8" w:rsidRDefault="004615D8" w:rsidP="005F6E57">
      <w:pPr>
        <w:pStyle w:val="FootnoteText1"/>
        <w:spacing w:line="240" w:lineRule="exact"/>
      </w:pPr>
      <w:r w:rsidRPr="004615D8">
        <w:rPr>
          <w:rtl/>
        </w:rPr>
        <w:t>(</w:t>
      </w:r>
      <w:r w:rsidRPr="004615D8">
        <w:rPr>
          <w:rStyle w:val="FootnoteReference"/>
          <w:vertAlign w:val="baseline"/>
        </w:rPr>
        <w:footnoteRef/>
      </w:r>
      <w:r>
        <w:rPr>
          <w:sz w:val="26"/>
          <w:rtl/>
        </w:rPr>
        <w:t>)</w:t>
      </w:r>
      <w:r>
        <w:rPr>
          <w:sz w:val="26"/>
          <w:rtl/>
        </w:rPr>
        <w:tab/>
      </w:r>
      <w:r w:rsidR="00CF39EE" w:rsidRPr="005C4816">
        <w:rPr>
          <w:i/>
          <w:iCs/>
        </w:rPr>
        <w:t>Lyons v. State of Queensland</w:t>
      </w:r>
      <w:r w:rsidR="00CF39EE" w:rsidRPr="00CF39EE">
        <w:t xml:space="preserve"> [2013] QCAT 731 (ADL075-12); </w:t>
      </w:r>
      <w:r w:rsidR="00CF39EE" w:rsidRPr="005C4816">
        <w:rPr>
          <w:i/>
          <w:iCs/>
        </w:rPr>
        <w:t>Lyons v. State of Queensland</w:t>
      </w:r>
      <w:r w:rsidR="00CF39EE" w:rsidRPr="00CF39EE">
        <w:t xml:space="preserve"> [2014] QCATA 302 (APL008-14</w:t>
      </w:r>
      <w:r w:rsidR="00CF39EE" w:rsidRPr="00CF39EE">
        <w:rPr>
          <w:rtl/>
        </w:rPr>
        <w:t>).</w:t>
      </w:r>
      <w:r w:rsidR="00CF39EE">
        <w:rPr>
          <w:rFonts w:hint="cs"/>
          <w:rtl/>
        </w:rPr>
        <w:t xml:space="preserve"> </w:t>
      </w:r>
    </w:p>
  </w:footnote>
  <w:footnote w:id="31">
    <w:p w:rsidR="004615D8" w:rsidRPr="004615D8" w:rsidRDefault="004615D8" w:rsidP="004615D8">
      <w:pPr>
        <w:pStyle w:val="FootnoteText1"/>
      </w:pPr>
      <w:r w:rsidRPr="004615D8">
        <w:rPr>
          <w:rtl/>
        </w:rPr>
        <w:t>(</w:t>
      </w:r>
      <w:r w:rsidRPr="004615D8">
        <w:rPr>
          <w:rStyle w:val="FootnoteReference"/>
          <w:vertAlign w:val="baseline"/>
        </w:rPr>
        <w:footnoteRef/>
      </w:r>
      <w:r>
        <w:rPr>
          <w:sz w:val="26"/>
          <w:rtl/>
        </w:rPr>
        <w:t>)</w:t>
      </w:r>
      <w:r>
        <w:rPr>
          <w:sz w:val="26"/>
          <w:rtl/>
        </w:rPr>
        <w:tab/>
      </w:r>
      <w:r w:rsidR="00CF39EE" w:rsidRPr="00CF39EE">
        <w:rPr>
          <w:rtl/>
        </w:rPr>
        <w:t xml:space="preserve">يشير صاحب البلاغ إلى قرار المحكمة العليا في </w:t>
      </w:r>
      <w:proofErr w:type="spellStart"/>
      <w:r w:rsidR="00CF39EE" w:rsidRPr="00CF39EE">
        <w:rPr>
          <w:rtl/>
        </w:rPr>
        <w:t>كوينزلاند</w:t>
      </w:r>
      <w:proofErr w:type="spellEnd"/>
      <w:r w:rsidR="00CF39EE" w:rsidRPr="00CF39EE">
        <w:rPr>
          <w:rtl/>
        </w:rPr>
        <w:t xml:space="preserve"> بشأن: </w:t>
      </w:r>
      <w:r w:rsidR="00CF39EE" w:rsidRPr="005C4816">
        <w:rPr>
          <w:i/>
          <w:iCs/>
        </w:rPr>
        <w:t>the Jury Act 1995 and an application by</w:t>
      </w:r>
      <w:r w:rsidR="00CF39EE" w:rsidRPr="00CF39EE">
        <w:t xml:space="preserve"> </w:t>
      </w:r>
      <w:r w:rsidR="00CF39EE" w:rsidRPr="005C4816">
        <w:rPr>
          <w:i/>
          <w:iCs/>
        </w:rPr>
        <w:t>the Sheriff of Queensland</w:t>
      </w:r>
      <w:r w:rsidR="00CF39EE" w:rsidRPr="00CF39EE">
        <w:t xml:space="preserve"> [2014] QSC 113</w:t>
      </w:r>
      <w:r w:rsidR="00CF39EE" w:rsidRPr="00CF39EE">
        <w:rPr>
          <w:rtl/>
        </w:rPr>
        <w:t>.</w:t>
      </w:r>
      <w:r w:rsidR="00CF39EE">
        <w:rPr>
          <w:rFonts w:hint="cs"/>
          <w:rtl/>
        </w:rPr>
        <w:t xml:space="preserve"> </w:t>
      </w:r>
    </w:p>
  </w:footnote>
  <w:footnote w:id="32">
    <w:p w:rsidR="004615D8" w:rsidRPr="004615D8" w:rsidRDefault="004615D8" w:rsidP="005F6E57">
      <w:pPr>
        <w:pStyle w:val="FootnoteText1"/>
        <w:spacing w:line="240" w:lineRule="exact"/>
      </w:pPr>
      <w:r w:rsidRPr="004615D8">
        <w:rPr>
          <w:rtl/>
        </w:rPr>
        <w:t>(</w:t>
      </w:r>
      <w:r w:rsidRPr="004615D8">
        <w:rPr>
          <w:rStyle w:val="FootnoteReference"/>
          <w:vertAlign w:val="baseline"/>
        </w:rPr>
        <w:footnoteRef/>
      </w:r>
      <w:r>
        <w:rPr>
          <w:sz w:val="26"/>
          <w:rtl/>
        </w:rPr>
        <w:t>)</w:t>
      </w:r>
      <w:r>
        <w:rPr>
          <w:sz w:val="26"/>
          <w:rtl/>
        </w:rPr>
        <w:tab/>
      </w:r>
      <w:r w:rsidR="00CF39EE" w:rsidRPr="00B831E9">
        <w:rPr>
          <w:i/>
          <w:iCs/>
        </w:rPr>
        <w:t>Flew v. Mirvac Parking Pty Limited</w:t>
      </w:r>
      <w:r w:rsidR="00CF39EE" w:rsidRPr="00CF39EE">
        <w:t xml:space="preserve"> [2006] FMCA 1818 at [15</w:t>
      </w:r>
      <w:r w:rsidR="00CF39EE">
        <w:t>]</w:t>
      </w:r>
      <w:r w:rsidR="00CF39EE" w:rsidRPr="00CF39EE">
        <w:rPr>
          <w:rtl/>
        </w:rPr>
        <w:t>.</w:t>
      </w:r>
      <w:r w:rsidR="00CF39EE">
        <w:rPr>
          <w:rFonts w:hint="cs"/>
          <w:rtl/>
        </w:rPr>
        <w:t xml:space="preserve"> </w:t>
      </w:r>
    </w:p>
  </w:footnote>
  <w:footnote w:id="33">
    <w:p w:rsidR="00D46779" w:rsidRPr="00D46779" w:rsidRDefault="00D46779" w:rsidP="00D46779">
      <w:pPr>
        <w:pStyle w:val="FootnoteText1"/>
      </w:pPr>
      <w:r w:rsidRPr="00D46779">
        <w:rPr>
          <w:rtl/>
        </w:rPr>
        <w:t>(</w:t>
      </w:r>
      <w:r w:rsidRPr="00D46779">
        <w:rPr>
          <w:rStyle w:val="FootnoteReference"/>
          <w:vertAlign w:val="baseline"/>
        </w:rPr>
        <w:footnoteRef/>
      </w:r>
      <w:r>
        <w:rPr>
          <w:sz w:val="26"/>
          <w:rtl/>
        </w:rPr>
        <w:t>)</w:t>
      </w:r>
      <w:r>
        <w:rPr>
          <w:sz w:val="26"/>
          <w:rtl/>
        </w:rPr>
        <w:tab/>
      </w:r>
      <w:r w:rsidR="00CF39EE" w:rsidRPr="00CF39EE">
        <w:rPr>
          <w:sz w:val="26"/>
          <w:rtl/>
        </w:rPr>
        <w:t xml:space="preserve">المادة 348 والباب 4 من قانون المهن القانونية. </w:t>
      </w:r>
      <w:r w:rsidR="00CF39EE" w:rsidRPr="00CF39EE">
        <w:rPr>
          <w:rFonts w:cs="Times New Roman" w:hint="cs"/>
          <w:sz w:val="26"/>
          <w:rtl/>
        </w:rPr>
        <w:t>‬</w:t>
      </w:r>
    </w:p>
  </w:footnote>
  <w:footnote w:id="34">
    <w:p w:rsidR="00D46779" w:rsidRPr="00D46779" w:rsidRDefault="00D46779" w:rsidP="005F6E57">
      <w:pPr>
        <w:pStyle w:val="FootnoteText1"/>
        <w:spacing w:line="240" w:lineRule="exact"/>
      </w:pPr>
      <w:r w:rsidRPr="00D46779">
        <w:rPr>
          <w:rtl/>
        </w:rPr>
        <w:t>(</w:t>
      </w:r>
      <w:r w:rsidRPr="00D46779">
        <w:rPr>
          <w:rStyle w:val="FootnoteReference"/>
          <w:vertAlign w:val="baseline"/>
        </w:rPr>
        <w:footnoteRef/>
      </w:r>
      <w:r>
        <w:rPr>
          <w:sz w:val="26"/>
          <w:rtl/>
        </w:rPr>
        <w:t>)</w:t>
      </w:r>
      <w:r>
        <w:rPr>
          <w:sz w:val="26"/>
          <w:rtl/>
        </w:rPr>
        <w:tab/>
      </w:r>
      <w:r w:rsidR="00C71257" w:rsidRPr="00B831E9">
        <w:rPr>
          <w:i/>
          <w:iCs/>
        </w:rPr>
        <w:t>Commonwealth v. Tasmania</w:t>
      </w:r>
      <w:r w:rsidR="00C71257" w:rsidRPr="00C71257">
        <w:t xml:space="preserve"> (1983) 158 CLR 1; </w:t>
      </w:r>
      <w:r w:rsidR="00C71257" w:rsidRPr="00B831E9">
        <w:rPr>
          <w:i/>
          <w:iCs/>
        </w:rPr>
        <w:t>Mabo and others v. Queensland</w:t>
      </w:r>
      <w:r w:rsidR="00C71257" w:rsidRPr="00C71257">
        <w:t xml:space="preserve"> (No. 2) (1992) 175 CLR 1</w:t>
      </w:r>
      <w:r w:rsidR="00C71257" w:rsidRPr="00C71257">
        <w:rPr>
          <w:rtl/>
        </w:rPr>
        <w:t>.</w:t>
      </w:r>
      <w:r w:rsidR="00C71257">
        <w:rPr>
          <w:rFonts w:hint="cs"/>
          <w:rtl/>
        </w:rPr>
        <w:t xml:space="preserve"> </w:t>
      </w:r>
    </w:p>
  </w:footnote>
  <w:footnote w:id="35">
    <w:p w:rsidR="00D46779" w:rsidRPr="00D46779" w:rsidRDefault="00D46779" w:rsidP="00D46779">
      <w:pPr>
        <w:pStyle w:val="FootnoteText1"/>
      </w:pPr>
      <w:r w:rsidRPr="00D46779">
        <w:rPr>
          <w:rtl/>
        </w:rPr>
        <w:t>(</w:t>
      </w:r>
      <w:r w:rsidRPr="00D46779">
        <w:rPr>
          <w:rStyle w:val="FootnoteReference"/>
          <w:vertAlign w:val="baseline"/>
        </w:rPr>
        <w:footnoteRef/>
      </w:r>
      <w:r>
        <w:rPr>
          <w:sz w:val="26"/>
          <w:rtl/>
        </w:rPr>
        <w:t>)</w:t>
      </w:r>
      <w:r>
        <w:rPr>
          <w:sz w:val="26"/>
          <w:rtl/>
        </w:rPr>
        <w:tab/>
      </w:r>
      <w:r w:rsidR="00C71257" w:rsidRPr="00C71257">
        <w:rPr>
          <w:rtl/>
        </w:rPr>
        <w:t>انظر الموجز اليومي لمناقشات الدورة السابعة للجنة المخصصة، 17 كانون الثاني/يناير 2006، الأردن والجبل الأسود وشيلي وصربيا؛ والموجز اليومي لمناقشات الدورة السابعة للجنة المخصصة، 18 كانون الثاني/يناير 2006، الاتحاد الروسي، والصين، وليختنشتاين.</w:t>
      </w:r>
      <w:r w:rsidR="00C71257">
        <w:rPr>
          <w:rFonts w:hint="cs"/>
          <w:rtl/>
        </w:rPr>
        <w:t xml:space="preserve"> </w:t>
      </w:r>
    </w:p>
  </w:footnote>
  <w:footnote w:id="36">
    <w:p w:rsidR="007A4F0B" w:rsidRPr="007A4F0B" w:rsidRDefault="007A4F0B" w:rsidP="007A4F0B">
      <w:pPr>
        <w:pStyle w:val="FootnoteText1"/>
      </w:pPr>
      <w:r w:rsidRPr="007A4F0B">
        <w:rPr>
          <w:rtl/>
        </w:rPr>
        <w:t>(</w:t>
      </w:r>
      <w:r w:rsidRPr="007A4F0B">
        <w:rPr>
          <w:rStyle w:val="FootnoteReference"/>
          <w:vertAlign w:val="baseline"/>
        </w:rPr>
        <w:footnoteRef/>
      </w:r>
      <w:r>
        <w:rPr>
          <w:sz w:val="26"/>
          <w:rtl/>
        </w:rPr>
        <w:t>)</w:t>
      </w:r>
      <w:r>
        <w:rPr>
          <w:sz w:val="26"/>
          <w:rtl/>
        </w:rPr>
        <w:tab/>
      </w:r>
      <w:r w:rsidR="00C71257" w:rsidRPr="00C71257">
        <w:rPr>
          <w:sz w:val="26"/>
          <w:rtl/>
        </w:rPr>
        <w:t>انظر الموجز اليومي لمناقشات الدورة السابعة للجنة المخصصة، 18كانون الثاني/يناير 2006.</w:t>
      </w:r>
      <w:r w:rsidR="00C71257">
        <w:rPr>
          <w:rFonts w:hint="cs"/>
          <w:sz w:val="26"/>
          <w:rtl/>
        </w:rPr>
        <w:t xml:space="preserve"> </w:t>
      </w:r>
    </w:p>
  </w:footnote>
  <w:footnote w:id="37">
    <w:p w:rsidR="007A4F0B" w:rsidRPr="007A4F0B" w:rsidRDefault="007A4F0B" w:rsidP="00954533">
      <w:pPr>
        <w:pStyle w:val="FootnoteText1"/>
        <w:spacing w:line="240" w:lineRule="exact"/>
      </w:pPr>
      <w:r w:rsidRPr="007A4F0B">
        <w:rPr>
          <w:rtl/>
        </w:rPr>
        <w:t>(</w:t>
      </w:r>
      <w:r w:rsidRPr="007A4F0B">
        <w:rPr>
          <w:rStyle w:val="FootnoteReference"/>
          <w:vertAlign w:val="baseline"/>
        </w:rPr>
        <w:footnoteRef/>
      </w:r>
      <w:r>
        <w:rPr>
          <w:sz w:val="26"/>
          <w:rtl/>
        </w:rPr>
        <w:t>)</w:t>
      </w:r>
      <w:r>
        <w:rPr>
          <w:sz w:val="26"/>
          <w:rtl/>
        </w:rPr>
        <w:tab/>
      </w:r>
      <w:r w:rsidR="00C71257" w:rsidRPr="00C71257">
        <w:rPr>
          <w:rFonts w:cs="Times New Roman"/>
          <w:szCs w:val="18"/>
          <w:rtl/>
        </w:rPr>
        <w:t>”</w:t>
      </w:r>
      <w:r w:rsidR="00C71257" w:rsidRPr="00C71257">
        <w:t>New South Wales Law Reform Commission, “Report 114: Blind or Deaf Jurors</w:t>
      </w:r>
      <w:r w:rsidR="00C71257" w:rsidRPr="00C71257">
        <w:rPr>
          <w:rtl/>
        </w:rPr>
        <w:t>.</w:t>
      </w:r>
      <w:r w:rsidR="00C71257">
        <w:rPr>
          <w:rFonts w:hint="cs"/>
          <w:rtl/>
        </w:rPr>
        <w:t xml:space="preserve"> </w:t>
      </w:r>
    </w:p>
  </w:footnote>
  <w:footnote w:id="38">
    <w:p w:rsidR="007A4F0B" w:rsidRPr="007A4F0B" w:rsidRDefault="007A4F0B" w:rsidP="00C71257">
      <w:pPr>
        <w:pStyle w:val="FootnoteText1"/>
      </w:pPr>
      <w:r w:rsidRPr="007A4F0B">
        <w:rPr>
          <w:rtl/>
        </w:rPr>
        <w:t>(</w:t>
      </w:r>
      <w:r w:rsidRPr="007A4F0B">
        <w:rPr>
          <w:rStyle w:val="FootnoteReference"/>
          <w:vertAlign w:val="baseline"/>
        </w:rPr>
        <w:footnoteRef/>
      </w:r>
      <w:r>
        <w:rPr>
          <w:sz w:val="26"/>
          <w:rtl/>
        </w:rPr>
        <w:t>)</w:t>
      </w:r>
      <w:r>
        <w:rPr>
          <w:sz w:val="26"/>
          <w:rtl/>
        </w:rPr>
        <w:tab/>
      </w:r>
      <w:r w:rsidR="00C71257" w:rsidRPr="00C71257">
        <w:rPr>
          <w:rtl/>
        </w:rPr>
        <w:t>أرسلت الملاحظات الإضافية المقدمة من الدولة الطرف إلى صاحب البلاغ في نفس اليوم. ولم يرد أي تعليق من صاحب البلاغ.</w:t>
      </w:r>
      <w:r w:rsidR="00C71257">
        <w:rPr>
          <w:rFonts w:hint="cs"/>
          <w:rtl/>
        </w:rPr>
        <w:t xml:space="preserve"> </w:t>
      </w:r>
    </w:p>
  </w:footnote>
  <w:footnote w:id="39">
    <w:p w:rsidR="007A4F0B" w:rsidRPr="00C71257" w:rsidRDefault="007A4F0B" w:rsidP="00504B83">
      <w:pPr>
        <w:pStyle w:val="FootnoteText1"/>
        <w:rPr>
          <w:lang w:val="en-GB"/>
        </w:rPr>
      </w:pPr>
      <w:r w:rsidRPr="007A4F0B">
        <w:rPr>
          <w:rtl/>
        </w:rPr>
        <w:t>(</w:t>
      </w:r>
      <w:r w:rsidRPr="007A4F0B">
        <w:rPr>
          <w:rStyle w:val="FootnoteReference"/>
          <w:vertAlign w:val="baseline"/>
        </w:rPr>
        <w:footnoteRef/>
      </w:r>
      <w:r>
        <w:rPr>
          <w:sz w:val="26"/>
          <w:rtl/>
        </w:rPr>
        <w:t>)</w:t>
      </w:r>
      <w:r>
        <w:rPr>
          <w:sz w:val="26"/>
          <w:rtl/>
        </w:rPr>
        <w:tab/>
      </w:r>
      <w:r w:rsidR="00954533">
        <w:rPr>
          <w:rtl/>
          <w:lang w:val="en-GB"/>
        </w:rPr>
        <w:t>التعليق العام للجنة رقم 1</w:t>
      </w:r>
      <w:r w:rsidR="00C71257" w:rsidRPr="00C71257">
        <w:rPr>
          <w:rtl/>
          <w:lang w:val="en-GB"/>
        </w:rPr>
        <w:t xml:space="preserve">(2014)، الفقرة 1. </w:t>
      </w:r>
      <w:r w:rsidR="00C71257" w:rsidRPr="00C71257">
        <w:rPr>
          <w:rFonts w:cs="Times New Roman" w:hint="cs"/>
          <w:rtl/>
          <w:lang w:val="en-GB"/>
        </w:rPr>
        <w:t>‬</w:t>
      </w:r>
    </w:p>
  </w:footnote>
  <w:footnote w:id="40">
    <w:p w:rsidR="007A4F0B" w:rsidRPr="007A4F0B" w:rsidRDefault="007A4F0B" w:rsidP="00C71257">
      <w:pPr>
        <w:pStyle w:val="FootnoteText1"/>
      </w:pPr>
      <w:r w:rsidRPr="007A4F0B">
        <w:rPr>
          <w:rtl/>
        </w:rPr>
        <w:t>(</w:t>
      </w:r>
      <w:r w:rsidRPr="007A4F0B">
        <w:rPr>
          <w:rStyle w:val="FootnoteReference"/>
          <w:vertAlign w:val="baseline"/>
        </w:rPr>
        <w:footnoteRef/>
      </w:r>
      <w:r>
        <w:rPr>
          <w:sz w:val="26"/>
          <w:rtl/>
        </w:rPr>
        <w:t>)</w:t>
      </w:r>
      <w:r>
        <w:rPr>
          <w:sz w:val="26"/>
          <w:rtl/>
        </w:rPr>
        <w:tab/>
      </w:r>
      <w:r w:rsidR="00C71257" w:rsidRPr="00C71257">
        <w:rPr>
          <w:rtl/>
        </w:rPr>
        <w:t xml:space="preserve">انظر البلاغ رقم 8/2012، </w:t>
      </w:r>
      <w:r w:rsidR="00C71257" w:rsidRPr="00E374DA">
        <w:rPr>
          <w:i/>
          <w:iCs/>
          <w:rtl/>
        </w:rPr>
        <w:t>س. ضد الأرجنتين،</w:t>
      </w:r>
      <w:r w:rsidR="00BF76F7">
        <w:rPr>
          <w:rtl/>
        </w:rPr>
        <w:t xml:space="preserve"> </w:t>
      </w:r>
      <w:r w:rsidR="00C71257" w:rsidRPr="00C71257">
        <w:rPr>
          <w:rtl/>
        </w:rPr>
        <w:t xml:space="preserve">الآراء المعتمدة في 11 نيسان/أبريل 2014، الفقرة 7-4. </w:t>
      </w:r>
      <w:r w:rsidR="00C71257" w:rsidRPr="00C71257">
        <w:rPr>
          <w:rFonts w:cs="Times New Roman" w:hint="cs"/>
          <w:rtl/>
        </w:rPr>
        <w:t>‬</w:t>
      </w:r>
      <w:r w:rsidR="00C71257" w:rsidRPr="00C71257">
        <w:rPr>
          <w:rFonts w:cs="Times New Roman" w:hint="cs"/>
          <w:rtl/>
        </w:rPr>
        <w:t>‬</w:t>
      </w:r>
      <w:r w:rsidR="00C71257" w:rsidRPr="00C71257">
        <w:rPr>
          <w:rFonts w:cs="Times New Roman" w:hint="cs"/>
          <w:rtl/>
        </w:rPr>
        <w:t>‬</w:t>
      </w:r>
    </w:p>
  </w:footnote>
  <w:footnote w:id="41">
    <w:p w:rsidR="007A4F0B" w:rsidRPr="007A4F0B" w:rsidRDefault="007A4F0B" w:rsidP="00C71257">
      <w:pPr>
        <w:pStyle w:val="FootnoteText1"/>
      </w:pPr>
      <w:r w:rsidRPr="007A4F0B">
        <w:rPr>
          <w:rtl/>
        </w:rPr>
        <w:t>(</w:t>
      </w:r>
      <w:r w:rsidRPr="007A4F0B">
        <w:rPr>
          <w:rStyle w:val="FootnoteReference"/>
          <w:vertAlign w:val="baseline"/>
        </w:rPr>
        <w:footnoteRef/>
      </w:r>
      <w:r>
        <w:rPr>
          <w:sz w:val="26"/>
          <w:rtl/>
        </w:rPr>
        <w:t>)</w:t>
      </w:r>
      <w:r>
        <w:rPr>
          <w:sz w:val="26"/>
          <w:rtl/>
        </w:rPr>
        <w:tab/>
      </w:r>
      <w:r w:rsidR="00C71257" w:rsidRPr="00C71257">
        <w:rPr>
          <w:rtl/>
        </w:rPr>
        <w:t>المرجع نفسه</w:t>
      </w:r>
      <w:r w:rsidR="00C71257">
        <w:rPr>
          <w:rFonts w:hint="cs"/>
          <w:rtl/>
        </w:rPr>
        <w:t xml:space="preserve">. </w:t>
      </w:r>
    </w:p>
  </w:footnote>
  <w:footnote w:id="42">
    <w:p w:rsidR="007A4F0B" w:rsidRPr="007A4F0B" w:rsidRDefault="007A4F0B" w:rsidP="007A4F0B">
      <w:pPr>
        <w:pStyle w:val="FootnoteText1"/>
      </w:pPr>
      <w:r w:rsidRPr="007A4F0B">
        <w:rPr>
          <w:rtl/>
        </w:rPr>
        <w:t>(</w:t>
      </w:r>
      <w:r w:rsidRPr="007A4F0B">
        <w:rPr>
          <w:rStyle w:val="FootnoteReference"/>
          <w:vertAlign w:val="baseline"/>
        </w:rPr>
        <w:footnoteRef/>
      </w:r>
      <w:r>
        <w:rPr>
          <w:sz w:val="26"/>
          <w:rtl/>
        </w:rPr>
        <w:t>)</w:t>
      </w:r>
      <w:r>
        <w:rPr>
          <w:sz w:val="26"/>
          <w:rtl/>
        </w:rPr>
        <w:tab/>
      </w:r>
      <w:r w:rsidR="00C71257" w:rsidRPr="00C71257">
        <w:rPr>
          <w:rtl/>
        </w:rPr>
        <w:t xml:space="preserve">انظر البلاغ رقم 3/2011، </w:t>
      </w:r>
      <w:r w:rsidR="00C71257" w:rsidRPr="00E374DA">
        <w:rPr>
          <w:i/>
          <w:iCs/>
          <w:rtl/>
        </w:rPr>
        <w:t>هـ.</w:t>
      </w:r>
      <w:r w:rsidR="00E374DA">
        <w:rPr>
          <w:rFonts w:hint="cs"/>
          <w:i/>
          <w:iCs/>
          <w:rtl/>
        </w:rPr>
        <w:t xml:space="preserve"> </w:t>
      </w:r>
      <w:r w:rsidR="00C71257" w:rsidRPr="00E374DA">
        <w:rPr>
          <w:i/>
          <w:iCs/>
          <w:rtl/>
        </w:rPr>
        <w:t>م</w:t>
      </w:r>
      <w:r w:rsidR="00E374DA">
        <w:rPr>
          <w:rFonts w:hint="cs"/>
          <w:i/>
          <w:iCs/>
          <w:rtl/>
        </w:rPr>
        <w:t>.</w:t>
      </w:r>
      <w:r w:rsidR="00C71257" w:rsidRPr="00E374DA">
        <w:rPr>
          <w:i/>
          <w:iCs/>
          <w:rtl/>
        </w:rPr>
        <w:t xml:space="preserve"> ضد السويد،</w:t>
      </w:r>
      <w:r w:rsidR="00BF76F7">
        <w:rPr>
          <w:rtl/>
        </w:rPr>
        <w:t xml:space="preserve"> </w:t>
      </w:r>
      <w:r w:rsidR="00C71257" w:rsidRPr="00C71257">
        <w:rPr>
          <w:rtl/>
        </w:rPr>
        <w:t xml:space="preserve">الآراء المعتمدة في 19نيسان/أبريل 2012، الفقرة 7-3، </w:t>
      </w:r>
      <w:r w:rsidR="00C71257" w:rsidRPr="00C71257">
        <w:rPr>
          <w:rFonts w:cs="Times New Roman" w:hint="cs"/>
          <w:rtl/>
        </w:rPr>
        <w:t>‬</w:t>
      </w:r>
      <w:r w:rsidR="00C71257" w:rsidRPr="00C71257">
        <w:rPr>
          <w:rFonts w:ascii="Traditional Arabic" w:hAnsi="Traditional Arabic" w:hint="cs"/>
          <w:rtl/>
        </w:rPr>
        <w:t>والبلاغ</w:t>
      </w:r>
      <w:r w:rsidR="00C71257" w:rsidRPr="00C71257">
        <w:rPr>
          <w:rtl/>
        </w:rPr>
        <w:t xml:space="preserve"> </w:t>
      </w:r>
      <w:r w:rsidR="00C71257" w:rsidRPr="00C71257">
        <w:rPr>
          <w:rFonts w:ascii="Traditional Arabic" w:hAnsi="Traditional Arabic" w:hint="cs"/>
          <w:rtl/>
        </w:rPr>
        <w:t>رقم</w:t>
      </w:r>
      <w:r w:rsidR="00C71257" w:rsidRPr="00C71257">
        <w:rPr>
          <w:rtl/>
        </w:rPr>
        <w:t xml:space="preserve"> 2/2010</w:t>
      </w:r>
      <w:r w:rsidR="00C71257" w:rsidRPr="00C71257">
        <w:rPr>
          <w:rFonts w:ascii="Traditional Arabic" w:hAnsi="Traditional Arabic" w:hint="cs"/>
          <w:rtl/>
        </w:rPr>
        <w:t>،</w:t>
      </w:r>
      <w:r w:rsidR="00C71257" w:rsidRPr="00C71257">
        <w:rPr>
          <w:rtl/>
        </w:rPr>
        <w:t xml:space="preserve"> </w:t>
      </w:r>
      <w:proofErr w:type="spellStart"/>
      <w:r w:rsidR="00C71257" w:rsidRPr="00E374DA">
        <w:rPr>
          <w:rFonts w:ascii="Traditional Arabic" w:hAnsi="Traditional Arabic" w:hint="cs"/>
          <w:i/>
          <w:iCs/>
          <w:rtl/>
        </w:rPr>
        <w:t>غرونينغر</w:t>
      </w:r>
      <w:proofErr w:type="spellEnd"/>
      <w:r w:rsidR="00C71257" w:rsidRPr="00E374DA">
        <w:rPr>
          <w:i/>
          <w:iCs/>
          <w:rtl/>
        </w:rPr>
        <w:t xml:space="preserve"> </w:t>
      </w:r>
      <w:r w:rsidR="00C71257" w:rsidRPr="00E374DA">
        <w:rPr>
          <w:rFonts w:ascii="Traditional Arabic" w:hAnsi="Traditional Arabic" w:hint="cs"/>
          <w:i/>
          <w:iCs/>
          <w:rtl/>
        </w:rPr>
        <w:t>ضد</w:t>
      </w:r>
      <w:r w:rsidR="00C71257" w:rsidRPr="00E374DA">
        <w:rPr>
          <w:i/>
          <w:iCs/>
          <w:rtl/>
        </w:rPr>
        <w:t xml:space="preserve"> </w:t>
      </w:r>
      <w:r w:rsidR="00C71257" w:rsidRPr="00E374DA">
        <w:rPr>
          <w:rFonts w:ascii="Traditional Arabic" w:hAnsi="Traditional Arabic" w:hint="cs"/>
          <w:i/>
          <w:iCs/>
          <w:rtl/>
        </w:rPr>
        <w:t>ألمانيا،</w:t>
      </w:r>
      <w:r w:rsidR="00C71257" w:rsidRPr="00C71257">
        <w:rPr>
          <w:rtl/>
        </w:rPr>
        <w:t xml:space="preserve"> </w:t>
      </w:r>
      <w:r w:rsidR="00C71257" w:rsidRPr="00C71257">
        <w:rPr>
          <w:rFonts w:ascii="Traditional Arabic" w:hAnsi="Traditional Arabic" w:hint="cs"/>
          <w:rtl/>
        </w:rPr>
        <w:t>الآراء</w:t>
      </w:r>
      <w:r w:rsidR="00C71257" w:rsidRPr="00C71257">
        <w:rPr>
          <w:rtl/>
        </w:rPr>
        <w:t xml:space="preserve"> </w:t>
      </w:r>
      <w:r w:rsidR="00C71257" w:rsidRPr="00C71257">
        <w:rPr>
          <w:rFonts w:ascii="Traditional Arabic" w:hAnsi="Traditional Arabic" w:hint="cs"/>
          <w:rtl/>
        </w:rPr>
        <w:t>المعتمدة</w:t>
      </w:r>
      <w:r w:rsidR="00C71257" w:rsidRPr="00C71257">
        <w:rPr>
          <w:rtl/>
        </w:rPr>
        <w:t xml:space="preserve"> </w:t>
      </w:r>
      <w:r w:rsidR="00C71257" w:rsidRPr="00C71257">
        <w:rPr>
          <w:rFonts w:ascii="Traditional Arabic" w:hAnsi="Traditional Arabic" w:hint="cs"/>
          <w:rtl/>
        </w:rPr>
        <w:t>في</w:t>
      </w:r>
      <w:r w:rsidR="00C71257" w:rsidRPr="00C71257">
        <w:rPr>
          <w:rtl/>
        </w:rPr>
        <w:t xml:space="preserve"> 4 </w:t>
      </w:r>
      <w:r w:rsidR="00C71257" w:rsidRPr="00C71257">
        <w:rPr>
          <w:rFonts w:ascii="Traditional Arabic" w:hAnsi="Traditional Arabic" w:hint="cs"/>
          <w:rtl/>
        </w:rPr>
        <w:t>نيسان</w:t>
      </w:r>
      <w:r w:rsidR="00C71257" w:rsidRPr="00C71257">
        <w:rPr>
          <w:rtl/>
        </w:rPr>
        <w:t>/</w:t>
      </w:r>
      <w:r w:rsidR="00C71257" w:rsidRPr="00C71257">
        <w:rPr>
          <w:rFonts w:ascii="Traditional Arabic" w:hAnsi="Traditional Arabic" w:hint="cs"/>
          <w:rtl/>
        </w:rPr>
        <w:t>أبريل</w:t>
      </w:r>
      <w:r w:rsidR="00C71257" w:rsidRPr="00C71257">
        <w:rPr>
          <w:rtl/>
        </w:rPr>
        <w:t xml:space="preserve"> 2014</w:t>
      </w:r>
      <w:r w:rsidR="00C71257" w:rsidRPr="00C71257">
        <w:rPr>
          <w:rFonts w:ascii="Traditional Arabic" w:hAnsi="Traditional Arabic" w:hint="cs"/>
          <w:rtl/>
        </w:rPr>
        <w:t>،</w:t>
      </w:r>
      <w:r w:rsidR="00C71257" w:rsidRPr="00C71257">
        <w:rPr>
          <w:rtl/>
        </w:rPr>
        <w:t xml:space="preserve"> </w:t>
      </w:r>
      <w:r w:rsidR="00C71257" w:rsidRPr="00C71257">
        <w:rPr>
          <w:rFonts w:ascii="Traditional Arabic" w:hAnsi="Traditional Arabic" w:hint="cs"/>
          <w:rtl/>
        </w:rPr>
        <w:t>الفقرة</w:t>
      </w:r>
      <w:r w:rsidR="00C71257" w:rsidRPr="00C71257">
        <w:rPr>
          <w:rtl/>
        </w:rPr>
        <w:t xml:space="preserve"> 6-2.</w:t>
      </w:r>
      <w:r w:rsidR="00C71257">
        <w:rPr>
          <w:rFonts w:hint="cs"/>
          <w:rtl/>
        </w:rPr>
        <w:t xml:space="preserve"> </w:t>
      </w:r>
    </w:p>
  </w:footnote>
  <w:footnote w:id="43">
    <w:p w:rsidR="007A4F0B" w:rsidRPr="00C71257" w:rsidRDefault="007A4F0B" w:rsidP="007A4F0B">
      <w:pPr>
        <w:pStyle w:val="FootnoteText1"/>
        <w:rPr>
          <w:lang w:val="en-GB"/>
        </w:rPr>
      </w:pPr>
      <w:r w:rsidRPr="007A4F0B">
        <w:rPr>
          <w:rtl/>
        </w:rPr>
        <w:t>(</w:t>
      </w:r>
      <w:r w:rsidRPr="007A4F0B">
        <w:rPr>
          <w:rStyle w:val="FootnoteReference"/>
          <w:vertAlign w:val="baseline"/>
        </w:rPr>
        <w:footnoteRef/>
      </w:r>
      <w:r>
        <w:rPr>
          <w:sz w:val="26"/>
          <w:rtl/>
        </w:rPr>
        <w:t>)</w:t>
      </w:r>
      <w:r>
        <w:rPr>
          <w:sz w:val="26"/>
          <w:rtl/>
        </w:rPr>
        <w:tab/>
      </w:r>
      <w:r w:rsidR="00C71257" w:rsidRPr="00C71257">
        <w:rPr>
          <w:rtl/>
          <w:lang w:val="en-GB"/>
        </w:rPr>
        <w:t xml:space="preserve">انظر البلاغ رقم 10/2013، </w:t>
      </w:r>
      <w:r w:rsidR="00C71257" w:rsidRPr="00C71257">
        <w:rPr>
          <w:i/>
          <w:iCs/>
          <w:rtl/>
          <w:lang w:val="en-GB"/>
        </w:rPr>
        <w:t>س.</w:t>
      </w:r>
      <w:r w:rsidR="00C71257" w:rsidRPr="00C71257">
        <w:rPr>
          <w:rFonts w:hint="cs"/>
          <w:i/>
          <w:iCs/>
          <w:rtl/>
          <w:lang w:val="en-GB"/>
        </w:rPr>
        <w:t xml:space="preserve"> </w:t>
      </w:r>
      <w:r w:rsidR="00C71257" w:rsidRPr="00C71257">
        <w:rPr>
          <w:i/>
          <w:iCs/>
          <w:rtl/>
          <w:lang w:val="en-GB"/>
        </w:rPr>
        <w:t>ك. ضد البرازيل</w:t>
      </w:r>
      <w:r w:rsidR="00C71257" w:rsidRPr="00C71257">
        <w:rPr>
          <w:rtl/>
          <w:lang w:val="en-GB"/>
        </w:rPr>
        <w:t>، قرار عدم المق</w:t>
      </w:r>
      <w:r w:rsidR="00E374DA">
        <w:rPr>
          <w:rtl/>
          <w:lang w:val="en-GB"/>
        </w:rPr>
        <w:t>بولية المعتمد في 2 تشرين الأول/</w:t>
      </w:r>
      <w:r w:rsidR="00C71257" w:rsidRPr="00C71257">
        <w:rPr>
          <w:rtl/>
          <w:lang w:val="en-GB"/>
        </w:rPr>
        <w:t xml:space="preserve">أكتوبر 2014، الفقرة 6-4. </w:t>
      </w:r>
      <w:r w:rsidR="00C71257" w:rsidRPr="00C71257">
        <w:rPr>
          <w:rFonts w:cs="Times New Roman" w:hint="cs"/>
          <w:rtl/>
          <w:lang w:val="en-GB"/>
        </w:rPr>
        <w:t>‬</w:t>
      </w:r>
      <w:r w:rsidR="00C71257">
        <w:rPr>
          <w:rFonts w:hint="cs"/>
          <w:rtl/>
          <w:lang w:val="en-GB"/>
        </w:rPr>
        <w:t xml:space="preserve"> </w:t>
      </w:r>
    </w:p>
  </w:footnote>
  <w:footnote w:id="44">
    <w:p w:rsidR="007A4F0B" w:rsidRPr="007A4F0B" w:rsidRDefault="007A4F0B" w:rsidP="007A4F0B">
      <w:pPr>
        <w:pStyle w:val="FootnoteText1"/>
      </w:pPr>
      <w:r w:rsidRPr="007A4F0B">
        <w:rPr>
          <w:rtl/>
        </w:rPr>
        <w:t>(</w:t>
      </w:r>
      <w:r w:rsidRPr="007A4F0B">
        <w:rPr>
          <w:rStyle w:val="FootnoteReference"/>
          <w:vertAlign w:val="baseline"/>
        </w:rPr>
        <w:footnoteRef/>
      </w:r>
      <w:r>
        <w:rPr>
          <w:sz w:val="26"/>
          <w:rtl/>
        </w:rPr>
        <w:t>)</w:t>
      </w:r>
      <w:r>
        <w:rPr>
          <w:sz w:val="26"/>
          <w:rtl/>
        </w:rPr>
        <w:tab/>
      </w:r>
      <w:r w:rsidR="00C71257" w:rsidRPr="00C71257">
        <w:rPr>
          <w:sz w:val="26"/>
          <w:rtl/>
        </w:rPr>
        <w:t xml:space="preserve">انظر البلاغ رقم 5/2011، </w:t>
      </w:r>
      <w:proofErr w:type="spellStart"/>
      <w:r w:rsidR="00C71257" w:rsidRPr="00E374DA">
        <w:rPr>
          <w:i/>
          <w:iCs/>
          <w:sz w:val="26"/>
          <w:rtl/>
        </w:rPr>
        <w:t>يونجلين</w:t>
      </w:r>
      <w:proofErr w:type="spellEnd"/>
      <w:r w:rsidR="00C71257" w:rsidRPr="00E374DA">
        <w:rPr>
          <w:i/>
          <w:iCs/>
          <w:sz w:val="26"/>
          <w:rtl/>
        </w:rPr>
        <w:t xml:space="preserve"> ضد السويد،</w:t>
      </w:r>
      <w:r w:rsidR="00C71257" w:rsidRPr="00C71257">
        <w:rPr>
          <w:sz w:val="26"/>
          <w:rtl/>
        </w:rPr>
        <w:t xml:space="preserve"> الآراء المعتمدة في 2 تشرين </w:t>
      </w:r>
      <w:r w:rsidR="00E374DA">
        <w:rPr>
          <w:sz w:val="26"/>
          <w:rtl/>
        </w:rPr>
        <w:t>الأول/أكتوبر 2014، الفقرة 10-4</w:t>
      </w:r>
      <w:r w:rsidR="00C71257" w:rsidRPr="00C71257">
        <w:rPr>
          <w:sz w:val="26"/>
          <w:rtl/>
        </w:rPr>
        <w:t>.</w:t>
      </w:r>
      <w:r w:rsidR="00C71257">
        <w:rPr>
          <w:rFonts w:hint="cs"/>
          <w:sz w:val="26"/>
          <w:rtl/>
        </w:rPr>
        <w:t xml:space="preserve"> </w:t>
      </w:r>
    </w:p>
  </w:footnote>
  <w:footnote w:id="45">
    <w:p w:rsidR="007A4F0B" w:rsidRPr="007A4F0B" w:rsidRDefault="007A4F0B" w:rsidP="007A4F0B">
      <w:pPr>
        <w:pStyle w:val="FootnoteText1"/>
      </w:pPr>
      <w:r w:rsidRPr="007A4F0B">
        <w:rPr>
          <w:rtl/>
        </w:rPr>
        <w:t>(</w:t>
      </w:r>
      <w:r w:rsidRPr="007A4F0B">
        <w:rPr>
          <w:rStyle w:val="FootnoteReference"/>
          <w:vertAlign w:val="baseline"/>
        </w:rPr>
        <w:footnoteRef/>
      </w:r>
      <w:r>
        <w:rPr>
          <w:sz w:val="26"/>
          <w:rtl/>
        </w:rPr>
        <w:t>)</w:t>
      </w:r>
      <w:r>
        <w:rPr>
          <w:sz w:val="26"/>
          <w:rtl/>
        </w:rPr>
        <w:tab/>
      </w:r>
      <w:r w:rsidR="0036199C" w:rsidRPr="0036199C">
        <w:rPr>
          <w:sz w:val="26"/>
          <w:rtl/>
        </w:rPr>
        <w:t>المرجع نفسه، الفقرة 10-5.</w:t>
      </w:r>
      <w:r w:rsidR="0036199C">
        <w:rPr>
          <w:rFonts w:hint="cs"/>
          <w:sz w:val="26"/>
          <w:rtl/>
        </w:rPr>
        <w:t xml:space="preserve"> </w:t>
      </w:r>
    </w:p>
  </w:footnote>
  <w:footnote w:id="46">
    <w:p w:rsidR="007A4F0B" w:rsidRPr="007A4F0B" w:rsidRDefault="007A4F0B" w:rsidP="007A4F0B">
      <w:pPr>
        <w:pStyle w:val="FootnoteText1"/>
        <w:rPr>
          <w:rtl/>
        </w:rPr>
      </w:pPr>
      <w:r w:rsidRPr="007A4F0B">
        <w:rPr>
          <w:rtl/>
        </w:rPr>
        <w:t>(</w:t>
      </w:r>
      <w:r w:rsidRPr="007A4F0B">
        <w:rPr>
          <w:rStyle w:val="FootnoteReference"/>
          <w:vertAlign w:val="baseline"/>
        </w:rPr>
        <w:footnoteRef/>
      </w:r>
      <w:r>
        <w:rPr>
          <w:sz w:val="26"/>
          <w:rtl/>
        </w:rPr>
        <w:t>)</w:t>
      </w:r>
      <w:r>
        <w:rPr>
          <w:sz w:val="26"/>
          <w:rtl/>
        </w:rPr>
        <w:tab/>
      </w:r>
      <w:r w:rsidR="0036199C" w:rsidRPr="0036199C">
        <w:rPr>
          <w:sz w:val="26"/>
          <w:rtl/>
        </w:rPr>
        <w:t>ال</w:t>
      </w:r>
      <w:r w:rsidR="00E374DA">
        <w:rPr>
          <w:sz w:val="26"/>
          <w:rtl/>
        </w:rPr>
        <w:t>مرجع نفسه، الفقرة 10-6</w:t>
      </w:r>
      <w:r w:rsidR="0036199C" w:rsidRPr="0036199C">
        <w:rPr>
          <w:sz w:val="26"/>
          <w:rtl/>
        </w:rPr>
        <w:t>.</w:t>
      </w:r>
      <w:r w:rsidR="0036199C">
        <w:rPr>
          <w:rFonts w:hint="cs"/>
          <w:sz w:val="26"/>
          <w:rtl/>
        </w:rPr>
        <w:t xml:space="preserve"> </w:t>
      </w:r>
    </w:p>
  </w:footnote>
  <w:footnote w:id="47">
    <w:p w:rsidR="007A4F0B" w:rsidRPr="007A4F0B" w:rsidRDefault="007A4F0B" w:rsidP="007A4F0B">
      <w:pPr>
        <w:pStyle w:val="FootnoteText1"/>
        <w:rPr>
          <w:rtl/>
        </w:rPr>
      </w:pPr>
      <w:r w:rsidRPr="007A4F0B">
        <w:rPr>
          <w:rtl/>
        </w:rPr>
        <w:t>(</w:t>
      </w:r>
      <w:r w:rsidRPr="007A4F0B">
        <w:rPr>
          <w:rStyle w:val="FootnoteReference"/>
          <w:vertAlign w:val="baseline"/>
        </w:rPr>
        <w:footnoteRef/>
      </w:r>
      <w:r>
        <w:rPr>
          <w:sz w:val="26"/>
          <w:rtl/>
        </w:rPr>
        <w:t>)</w:t>
      </w:r>
      <w:r>
        <w:rPr>
          <w:sz w:val="26"/>
          <w:rtl/>
        </w:rPr>
        <w:tab/>
      </w:r>
      <w:r w:rsidR="0036199C" w:rsidRPr="0036199C">
        <w:rPr>
          <w:sz w:val="26"/>
          <w:rtl/>
        </w:rPr>
        <w:t xml:space="preserve">انظر: </w:t>
      </w:r>
      <w:r w:rsidR="0036199C" w:rsidRPr="0036199C">
        <w:rPr>
          <w:rFonts w:cs="Times New Roman"/>
          <w:szCs w:val="18"/>
        </w:rPr>
        <w:t xml:space="preserve">Douglas M. Pravda, “Understanding the Rights of Deaf and Hard of Hearing Individuals to Meaningful Participation in Court Proceedings”, </w:t>
      </w:r>
      <w:r w:rsidR="0036199C" w:rsidRPr="00BF76F7">
        <w:rPr>
          <w:rFonts w:cs="Times New Roman"/>
          <w:i/>
          <w:iCs/>
          <w:szCs w:val="18"/>
        </w:rPr>
        <w:t>Valparaiso University Law Review</w:t>
      </w:r>
      <w:r w:rsidR="0036199C" w:rsidRPr="0036199C">
        <w:rPr>
          <w:rFonts w:cs="Times New Roman"/>
          <w:szCs w:val="18"/>
        </w:rPr>
        <w:t>, vol. 45, No. 927 (Spring 2011); Sarah Geer, “Jury Duty, For some it’s a chore, for others it’s a hard won right” (available at https://www.gallaudet.edu/Documents/PublicRelations/GT1989.pdf ); Dorothy Smith, “Communication in the Courtroom: Technology is helping to provide equal access to the law” (Spring 1989</w:t>
      </w:r>
      <w:r w:rsidR="00E374DA">
        <w:rPr>
          <w:rFonts w:cs="Times New Roman"/>
          <w:szCs w:val="18"/>
        </w:rPr>
        <w:t>)</w:t>
      </w:r>
      <w:r w:rsidR="00E374DA" w:rsidRPr="00E374DA">
        <w:rPr>
          <w:rFonts w:ascii="Traditional Arabic" w:hAnsi="Traditional Arabic"/>
          <w:sz w:val="26"/>
          <w:rtl/>
        </w:rPr>
        <w:t xml:space="preserve">. </w:t>
      </w:r>
    </w:p>
  </w:footnote>
  <w:footnote w:id="48">
    <w:p w:rsidR="00623256" w:rsidRPr="00623256" w:rsidRDefault="00623256" w:rsidP="00623256">
      <w:pPr>
        <w:pStyle w:val="FootnoteText1"/>
      </w:pPr>
      <w:r w:rsidRPr="00623256">
        <w:rPr>
          <w:rtl/>
        </w:rPr>
        <w:t>(</w:t>
      </w:r>
      <w:r w:rsidRPr="00623256">
        <w:rPr>
          <w:rStyle w:val="FootnoteReference"/>
          <w:vertAlign w:val="baseline"/>
        </w:rPr>
        <w:footnoteRef/>
      </w:r>
      <w:r>
        <w:rPr>
          <w:sz w:val="26"/>
          <w:rtl/>
        </w:rPr>
        <w:t>)</w:t>
      </w:r>
      <w:r>
        <w:rPr>
          <w:sz w:val="26"/>
          <w:rtl/>
        </w:rPr>
        <w:tab/>
      </w:r>
      <w:r w:rsidR="0036199C" w:rsidRPr="0036199C">
        <w:rPr>
          <w:sz w:val="26"/>
          <w:rtl/>
        </w:rPr>
        <w:t>انظر الفقرة 25.</w:t>
      </w:r>
      <w:r w:rsidR="0036199C">
        <w:rPr>
          <w:rFonts w:hint="cs"/>
          <w:sz w:val="26"/>
          <w:rtl/>
        </w:rPr>
        <w:t xml:space="preserve"> </w:t>
      </w:r>
    </w:p>
  </w:footnote>
  <w:footnote w:id="49">
    <w:p w:rsidR="00623256" w:rsidRPr="00623256" w:rsidRDefault="00623256" w:rsidP="0036199C">
      <w:pPr>
        <w:pStyle w:val="FootnoteText1"/>
      </w:pPr>
      <w:r w:rsidRPr="00623256">
        <w:rPr>
          <w:rtl/>
        </w:rPr>
        <w:t>(</w:t>
      </w:r>
      <w:r w:rsidRPr="00623256">
        <w:rPr>
          <w:rStyle w:val="FootnoteReference"/>
          <w:vertAlign w:val="baseline"/>
        </w:rPr>
        <w:footnoteRef/>
      </w:r>
      <w:r>
        <w:rPr>
          <w:sz w:val="26"/>
          <w:rtl/>
        </w:rPr>
        <w:t>)</w:t>
      </w:r>
      <w:r>
        <w:rPr>
          <w:sz w:val="26"/>
          <w:rtl/>
        </w:rPr>
        <w:tab/>
      </w:r>
      <w:r w:rsidR="0036199C" w:rsidRPr="0036199C">
        <w:rPr>
          <w:rtl/>
        </w:rPr>
        <w:t>المرجع نفسه، الفقرة 13.</w:t>
      </w:r>
      <w:r w:rsidR="0036199C">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B49" w:rsidRPr="008D3FDA" w:rsidRDefault="00220B49" w:rsidP="008D3FDA">
    <w:pPr>
      <w:pStyle w:val="Header"/>
      <w:jc w:val="right"/>
    </w:pPr>
    <w:r w:rsidRPr="008D3FDA">
      <w:t>CRPD/C/15/D/13/2013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B49" w:rsidRPr="008D3FDA" w:rsidRDefault="00220B49" w:rsidP="008D3FDA">
    <w:pPr>
      <w:pStyle w:val="Header"/>
      <w:jc w:val="left"/>
    </w:pPr>
    <w:r w:rsidRPr="008D3FDA">
      <w:t>CRPD/C/15/D/13/2013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327664"/>
    <w:multiLevelType w:val="multilevel"/>
    <w:tmpl w:val="EF2ABA28"/>
    <w:name w:val="AGSCorp"/>
    <w:lvl w:ilvl="0">
      <w:start w:val="1"/>
      <w:numFmt w:val="decimal"/>
      <w:pStyle w:val="NumberLevel1"/>
      <w:lvlText w:val="%1."/>
      <w:lvlJc w:val="left"/>
      <w:pPr>
        <w:tabs>
          <w:tab w:val="num" w:pos="709"/>
        </w:tabs>
        <w:ind w:left="709" w:hanging="709"/>
      </w:pPr>
      <w:rPr>
        <w:sz w:val="20"/>
      </w:rPr>
    </w:lvl>
    <w:lvl w:ilvl="1">
      <w:start w:val="1"/>
      <w:numFmt w:val="decimal"/>
      <w:pStyle w:val="NumberLevel2"/>
      <w:lvlText w:val="%1.%2."/>
      <w:lvlJc w:val="left"/>
      <w:pPr>
        <w:tabs>
          <w:tab w:val="num" w:pos="709"/>
        </w:tabs>
        <w:ind w:left="709" w:hanging="709"/>
      </w:pPr>
      <w:rPr>
        <w:sz w:val="20"/>
      </w:rPr>
    </w:lvl>
    <w:lvl w:ilvl="2">
      <w:start w:val="1"/>
      <w:numFmt w:val="decimal"/>
      <w:pStyle w:val="NumberLevel3"/>
      <w:lvlText w:val="%1.%2.%3."/>
      <w:lvlJc w:val="left"/>
      <w:pPr>
        <w:tabs>
          <w:tab w:val="num" w:pos="709"/>
        </w:tabs>
        <w:ind w:left="709" w:hanging="709"/>
      </w:pPr>
      <w:rPr>
        <w:sz w:val="20"/>
      </w:rPr>
    </w:lvl>
    <w:lvl w:ilvl="3">
      <w:start w:val="1"/>
      <w:numFmt w:val="lowerLetter"/>
      <w:pStyle w:val="NumberLevel4"/>
      <w:lvlText w:val="%4."/>
      <w:lvlJc w:val="left"/>
      <w:pPr>
        <w:tabs>
          <w:tab w:val="num" w:pos="1134"/>
        </w:tabs>
        <w:ind w:left="1134" w:hanging="425"/>
      </w:pPr>
    </w:lvl>
    <w:lvl w:ilvl="4">
      <w:start w:val="1"/>
      <w:numFmt w:val="bullet"/>
      <w:pStyle w:val="NumberLevel5"/>
      <w:lvlText w:val="–"/>
      <w:lvlJc w:val="left"/>
      <w:pPr>
        <w:tabs>
          <w:tab w:val="num" w:pos="1559"/>
        </w:tabs>
        <w:ind w:left="1559" w:hanging="425"/>
      </w:pPr>
      <w:rPr>
        <w:b w:val="0"/>
        <w:i w:val="0"/>
      </w:rPr>
    </w:lvl>
    <w:lvl w:ilvl="5">
      <w:start w:val="1"/>
      <w:numFmt w:val="bullet"/>
      <w:pStyle w:val="NumberLevel6"/>
      <w:lvlText w:val="–"/>
      <w:lvlJc w:val="left"/>
      <w:pPr>
        <w:tabs>
          <w:tab w:val="num" w:pos="1985"/>
        </w:tabs>
        <w:ind w:left="1985" w:hanging="426"/>
      </w:pPr>
      <w:rPr>
        <w:b w:val="0"/>
        <w:i w:val="0"/>
      </w:rPr>
    </w:lvl>
    <w:lvl w:ilvl="6">
      <w:start w:val="1"/>
      <w:numFmt w:val="bullet"/>
      <w:pStyle w:val="NumberLevel7"/>
      <w:lvlText w:val="–"/>
      <w:lvlJc w:val="left"/>
      <w:pPr>
        <w:tabs>
          <w:tab w:val="num" w:pos="2410"/>
        </w:tabs>
        <w:ind w:left="2410" w:hanging="425"/>
      </w:pPr>
      <w:rPr>
        <w:b w:val="0"/>
        <w:i w:val="0"/>
      </w:rPr>
    </w:lvl>
    <w:lvl w:ilvl="7">
      <w:start w:val="1"/>
      <w:numFmt w:val="bullet"/>
      <w:pStyle w:val="NumberLevel8"/>
      <w:lvlText w:val="–"/>
      <w:lvlJc w:val="left"/>
      <w:pPr>
        <w:tabs>
          <w:tab w:val="num" w:pos="2835"/>
        </w:tabs>
        <w:ind w:left="2835" w:hanging="425"/>
      </w:pPr>
      <w:rPr>
        <w:b w:val="0"/>
        <w:i w:val="0"/>
      </w:rPr>
    </w:lvl>
    <w:lvl w:ilvl="8">
      <w:start w:val="1"/>
      <w:numFmt w:val="bullet"/>
      <w:pStyle w:val="NumberLevel9"/>
      <w:lvlText w:val="–"/>
      <w:lvlJc w:val="left"/>
      <w:pPr>
        <w:tabs>
          <w:tab w:val="num" w:pos="3260"/>
        </w:tabs>
        <w:ind w:left="3260" w:hanging="425"/>
      </w:pPr>
      <w:rPr>
        <w:b w:val="0"/>
        <w:i w:val="0"/>
      </w:rPr>
    </w:lvl>
  </w:abstractNum>
  <w:abstractNum w:abstractNumId="3">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4">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6">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756BF3"/>
    <w:multiLevelType w:val="multilevel"/>
    <w:tmpl w:val="25F6B2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9"/>
  </w:num>
  <w:num w:numId="2">
    <w:abstractNumId w:val="6"/>
  </w:num>
  <w:num w:numId="3">
    <w:abstractNumId w:val="1"/>
  </w:num>
  <w:num w:numId="4">
    <w:abstractNumId w:val="5"/>
  </w:num>
  <w:num w:numId="5">
    <w:abstractNumId w:val="4"/>
  </w:num>
  <w:num w:numId="6">
    <w:abstractNumId w:val="3"/>
  </w:num>
  <w:num w:numId="7">
    <w:abstractNumId w:val="10"/>
  </w:num>
  <w:num w:numId="8">
    <w:abstractNumId w:val="1"/>
  </w:num>
  <w:num w:numId="9">
    <w:abstractNumId w:val="5"/>
  </w:num>
  <w:num w:numId="10">
    <w:abstractNumId w:val="3"/>
  </w:num>
  <w:num w:numId="11">
    <w:abstractNumId w:val="10"/>
  </w:num>
  <w:num w:numId="12">
    <w:abstractNumId w:val="0"/>
  </w:num>
  <w:num w:numId="13">
    <w:abstractNumId w:val="8"/>
  </w:num>
  <w:num w:numId="14">
    <w:abstractNumId w:val="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5">
    <w:abstractNumId w:val="7"/>
  </w:num>
  <w:num w:numId="16">
    <w:abstractNumId w:val="1"/>
  </w:num>
  <w:num w:numId="17">
    <w:abstractNumId w:val="1"/>
  </w:num>
  <w:num w:numId="18">
    <w:abstractNumId w:val="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4D728E"/>
    <w:rsid w:val="000076D5"/>
    <w:rsid w:val="000178AE"/>
    <w:rsid w:val="00043663"/>
    <w:rsid w:val="00043E01"/>
    <w:rsid w:val="000505CF"/>
    <w:rsid w:val="00081772"/>
    <w:rsid w:val="000D4BC3"/>
    <w:rsid w:val="000D701C"/>
    <w:rsid w:val="000E1564"/>
    <w:rsid w:val="000E2A71"/>
    <w:rsid w:val="00107881"/>
    <w:rsid w:val="00160263"/>
    <w:rsid w:val="00173565"/>
    <w:rsid w:val="00181F96"/>
    <w:rsid w:val="001A1371"/>
    <w:rsid w:val="001B346A"/>
    <w:rsid w:val="001E1CAD"/>
    <w:rsid w:val="001E290D"/>
    <w:rsid w:val="002144FA"/>
    <w:rsid w:val="00220B49"/>
    <w:rsid w:val="0022722A"/>
    <w:rsid w:val="0023469A"/>
    <w:rsid w:val="00243C8A"/>
    <w:rsid w:val="00267A0E"/>
    <w:rsid w:val="0027111A"/>
    <w:rsid w:val="002809DC"/>
    <w:rsid w:val="002901D9"/>
    <w:rsid w:val="00294FF6"/>
    <w:rsid w:val="002976C2"/>
    <w:rsid w:val="002A572D"/>
    <w:rsid w:val="003260FF"/>
    <w:rsid w:val="00331A0F"/>
    <w:rsid w:val="00343D95"/>
    <w:rsid w:val="0036199C"/>
    <w:rsid w:val="00363DBE"/>
    <w:rsid w:val="00374341"/>
    <w:rsid w:val="003D1062"/>
    <w:rsid w:val="003D4C4E"/>
    <w:rsid w:val="003D58CC"/>
    <w:rsid w:val="003D6F86"/>
    <w:rsid w:val="003E159A"/>
    <w:rsid w:val="00420D7B"/>
    <w:rsid w:val="00450B21"/>
    <w:rsid w:val="00453B63"/>
    <w:rsid w:val="00455780"/>
    <w:rsid w:val="004615D8"/>
    <w:rsid w:val="00492FF6"/>
    <w:rsid w:val="004A3FF8"/>
    <w:rsid w:val="004A5905"/>
    <w:rsid w:val="004B0A1C"/>
    <w:rsid w:val="004D24C8"/>
    <w:rsid w:val="004D298E"/>
    <w:rsid w:val="004D728E"/>
    <w:rsid w:val="00504B83"/>
    <w:rsid w:val="00517BC9"/>
    <w:rsid w:val="0054472E"/>
    <w:rsid w:val="0054762C"/>
    <w:rsid w:val="005662A9"/>
    <w:rsid w:val="00575EAE"/>
    <w:rsid w:val="005827D4"/>
    <w:rsid w:val="0059622A"/>
    <w:rsid w:val="005C281C"/>
    <w:rsid w:val="005C4816"/>
    <w:rsid w:val="005C5878"/>
    <w:rsid w:val="005C7CEA"/>
    <w:rsid w:val="005D3C0B"/>
    <w:rsid w:val="005E5217"/>
    <w:rsid w:val="005F0FA4"/>
    <w:rsid w:val="005F30EE"/>
    <w:rsid w:val="005F6E57"/>
    <w:rsid w:val="0060473A"/>
    <w:rsid w:val="00606EDF"/>
    <w:rsid w:val="00623256"/>
    <w:rsid w:val="00656392"/>
    <w:rsid w:val="00673B57"/>
    <w:rsid w:val="00687200"/>
    <w:rsid w:val="0068781D"/>
    <w:rsid w:val="006959B0"/>
    <w:rsid w:val="006B0B45"/>
    <w:rsid w:val="006B3E27"/>
    <w:rsid w:val="006B6507"/>
    <w:rsid w:val="006C104C"/>
    <w:rsid w:val="006E14CA"/>
    <w:rsid w:val="006E1A95"/>
    <w:rsid w:val="00733704"/>
    <w:rsid w:val="00741DAB"/>
    <w:rsid w:val="0078071A"/>
    <w:rsid w:val="007A4F0B"/>
    <w:rsid w:val="007A70BB"/>
    <w:rsid w:val="00801222"/>
    <w:rsid w:val="00805296"/>
    <w:rsid w:val="008120ED"/>
    <w:rsid w:val="00832A0C"/>
    <w:rsid w:val="00852A9A"/>
    <w:rsid w:val="008930DB"/>
    <w:rsid w:val="00895D16"/>
    <w:rsid w:val="008B5358"/>
    <w:rsid w:val="008D3FDA"/>
    <w:rsid w:val="008E7EB0"/>
    <w:rsid w:val="008F18B4"/>
    <w:rsid w:val="008F49E1"/>
    <w:rsid w:val="0090370F"/>
    <w:rsid w:val="009269D2"/>
    <w:rsid w:val="00942135"/>
    <w:rsid w:val="009521B0"/>
    <w:rsid w:val="00954533"/>
    <w:rsid w:val="00962665"/>
    <w:rsid w:val="00963933"/>
    <w:rsid w:val="0096560F"/>
    <w:rsid w:val="0098550C"/>
    <w:rsid w:val="009A7E9F"/>
    <w:rsid w:val="009E5018"/>
    <w:rsid w:val="00A0687B"/>
    <w:rsid w:val="00A12B37"/>
    <w:rsid w:val="00A50EC0"/>
    <w:rsid w:val="00A94FBB"/>
    <w:rsid w:val="00AB6758"/>
    <w:rsid w:val="00B13763"/>
    <w:rsid w:val="00B477A4"/>
    <w:rsid w:val="00B54045"/>
    <w:rsid w:val="00B62961"/>
    <w:rsid w:val="00B831E9"/>
    <w:rsid w:val="00B95CEA"/>
    <w:rsid w:val="00BC3790"/>
    <w:rsid w:val="00BE78B2"/>
    <w:rsid w:val="00BF76F7"/>
    <w:rsid w:val="00C022F5"/>
    <w:rsid w:val="00C438D7"/>
    <w:rsid w:val="00C53FE8"/>
    <w:rsid w:val="00C70A7C"/>
    <w:rsid w:val="00C71257"/>
    <w:rsid w:val="00C81B50"/>
    <w:rsid w:val="00CA655B"/>
    <w:rsid w:val="00CC3788"/>
    <w:rsid w:val="00CD1801"/>
    <w:rsid w:val="00CF39EE"/>
    <w:rsid w:val="00D10EF1"/>
    <w:rsid w:val="00D42810"/>
    <w:rsid w:val="00D4456B"/>
    <w:rsid w:val="00D46779"/>
    <w:rsid w:val="00D83618"/>
    <w:rsid w:val="00D866EB"/>
    <w:rsid w:val="00D914A7"/>
    <w:rsid w:val="00DD13C3"/>
    <w:rsid w:val="00DD596E"/>
    <w:rsid w:val="00DD621E"/>
    <w:rsid w:val="00DE3908"/>
    <w:rsid w:val="00DF0575"/>
    <w:rsid w:val="00E30533"/>
    <w:rsid w:val="00E374DA"/>
    <w:rsid w:val="00E37EF9"/>
    <w:rsid w:val="00E70E04"/>
    <w:rsid w:val="00EC05A7"/>
    <w:rsid w:val="00EC4B6B"/>
    <w:rsid w:val="00ED7442"/>
    <w:rsid w:val="00EE0B18"/>
    <w:rsid w:val="00EF1EE5"/>
    <w:rsid w:val="00F16633"/>
    <w:rsid w:val="00F763B4"/>
    <w:rsid w:val="00F80224"/>
    <w:rsid w:val="00F900C3"/>
    <w:rsid w:val="00F9584A"/>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qFormat="1"/>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uiPriority w:val="9"/>
    <w:qFormat/>
    <w:rsid w:val="00AB6758"/>
    <w:pPr>
      <w:suppressAutoHyphens/>
      <w:bidi w:val="0"/>
      <w:outlineLvl w:val="0"/>
    </w:pPr>
  </w:style>
  <w:style w:type="paragraph" w:styleId="Heading2">
    <w:name w:val="heading 2"/>
    <w:basedOn w:val="Normal"/>
    <w:next w:val="Normal"/>
    <w:link w:val="Heading2Char"/>
    <w:uiPriority w:val="9"/>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C70A7C"/>
    <w:pPr>
      <w:keepNext/>
      <w:keepLines/>
      <w:tabs>
        <w:tab w:val="right" w:pos="1021"/>
      </w:tabs>
      <w:suppressAutoHyphen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uiPriority w:val="99"/>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6_G"/>
    <w:basedOn w:val="Normal"/>
    <w:link w:val="HeaderChar"/>
    <w:uiPriority w:val="99"/>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uiPriority w:val="99"/>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uiPriority w:val="9"/>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qFormat/>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B3E27"/>
    <w:rPr>
      <w:rFonts w:ascii="Tahoma" w:hAnsi="Tahoma" w:cs="Tahoma"/>
      <w:sz w:val="16"/>
      <w:szCs w:val="16"/>
    </w:rPr>
  </w:style>
  <w:style w:type="paragraph" w:customStyle="1" w:styleId="SingleTxtG">
    <w:name w:val="_ Single Txt_G"/>
    <w:basedOn w:val="Normal"/>
    <w:link w:val="SingleTxtGChar"/>
    <w:rsid w:val="008D3FDA"/>
    <w:pPr>
      <w:suppressAutoHyphens/>
      <w:bidi w:val="0"/>
      <w:spacing w:after="120"/>
      <w:ind w:left="1134" w:right="1134"/>
      <w:jc w:val="both"/>
    </w:pPr>
    <w:rPr>
      <w:rFonts w:cs="Times New Roman"/>
      <w:lang w:val="en-GB"/>
    </w:rPr>
  </w:style>
  <w:style w:type="paragraph" w:customStyle="1" w:styleId="HMG">
    <w:name w:val="_ H __M_G"/>
    <w:basedOn w:val="Normal"/>
    <w:next w:val="Normal"/>
    <w:rsid w:val="008D3FDA"/>
    <w:pPr>
      <w:keepNext/>
      <w:keepLines/>
      <w:tabs>
        <w:tab w:val="right" w:pos="851"/>
      </w:tabs>
      <w:suppressAutoHyphens/>
      <w:bidi w:val="0"/>
      <w:spacing w:before="240" w:after="240" w:line="360" w:lineRule="exact"/>
      <w:ind w:left="1134" w:right="1134" w:hanging="1134"/>
      <w:jc w:val="left"/>
    </w:pPr>
    <w:rPr>
      <w:rFonts w:cs="Times New Roman"/>
      <w:b/>
      <w:sz w:val="34"/>
      <w:lang w:val="en-GB"/>
    </w:rPr>
  </w:style>
  <w:style w:type="paragraph" w:customStyle="1" w:styleId="HChG">
    <w:name w:val="_ H _Ch_G"/>
    <w:basedOn w:val="Normal"/>
    <w:next w:val="Normal"/>
    <w:rsid w:val="008D3FDA"/>
    <w:pPr>
      <w:keepNext/>
      <w:keepLines/>
      <w:tabs>
        <w:tab w:val="right" w:pos="851"/>
      </w:tabs>
      <w:suppressAutoHyphens/>
      <w:bidi w:val="0"/>
      <w:spacing w:before="360" w:after="240" w:line="300" w:lineRule="exact"/>
      <w:ind w:left="1134" w:right="1134" w:hanging="1134"/>
      <w:jc w:val="left"/>
    </w:pPr>
    <w:rPr>
      <w:rFonts w:cs="Times New Roman"/>
      <w:b/>
      <w:sz w:val="28"/>
      <w:lang w:val="en-GB"/>
    </w:rPr>
  </w:style>
  <w:style w:type="character" w:styleId="Hyperlink">
    <w:name w:val="Hyperlink"/>
    <w:uiPriority w:val="99"/>
    <w:rsid w:val="008D3FDA"/>
    <w:rPr>
      <w:color w:val="auto"/>
      <w:u w:val="none"/>
    </w:rPr>
  </w:style>
  <w:style w:type="character" w:styleId="FollowedHyperlink">
    <w:name w:val="FollowedHyperlink"/>
    <w:uiPriority w:val="99"/>
    <w:semiHidden/>
    <w:rsid w:val="008D3FDA"/>
    <w:rPr>
      <w:color w:val="auto"/>
      <w:u w:val="none"/>
    </w:rPr>
  </w:style>
  <w:style w:type="paragraph" w:customStyle="1" w:styleId="SMG">
    <w:name w:val="__S_M_G"/>
    <w:basedOn w:val="Normal"/>
    <w:next w:val="Normal"/>
    <w:rsid w:val="008D3FDA"/>
    <w:pPr>
      <w:keepNext/>
      <w:keepLines/>
      <w:suppressAutoHyphens/>
      <w:bidi w:val="0"/>
      <w:spacing w:before="240" w:after="240" w:line="420" w:lineRule="exact"/>
      <w:ind w:left="1134" w:right="1134"/>
      <w:jc w:val="left"/>
    </w:pPr>
    <w:rPr>
      <w:rFonts w:cs="Times New Roman"/>
      <w:b/>
      <w:sz w:val="40"/>
      <w:lang w:val="en-GB"/>
    </w:rPr>
  </w:style>
  <w:style w:type="paragraph" w:customStyle="1" w:styleId="SLG">
    <w:name w:val="__S_L_G"/>
    <w:basedOn w:val="Normal"/>
    <w:next w:val="Normal"/>
    <w:rsid w:val="008D3FDA"/>
    <w:pPr>
      <w:keepNext/>
      <w:keepLines/>
      <w:suppressAutoHyphens/>
      <w:bidi w:val="0"/>
      <w:spacing w:before="240" w:after="240" w:line="580" w:lineRule="exact"/>
      <w:ind w:left="1134" w:right="1134"/>
      <w:jc w:val="left"/>
    </w:pPr>
    <w:rPr>
      <w:rFonts w:cs="Times New Roman"/>
      <w:b/>
      <w:sz w:val="56"/>
      <w:lang w:val="en-GB"/>
    </w:rPr>
  </w:style>
  <w:style w:type="paragraph" w:customStyle="1" w:styleId="SSG">
    <w:name w:val="__S_S_G"/>
    <w:basedOn w:val="Normal"/>
    <w:next w:val="Normal"/>
    <w:rsid w:val="008D3FDA"/>
    <w:pPr>
      <w:keepNext/>
      <w:keepLines/>
      <w:suppressAutoHyphens/>
      <w:bidi w:val="0"/>
      <w:spacing w:before="240" w:after="240" w:line="300" w:lineRule="exact"/>
      <w:ind w:left="1134" w:right="1134"/>
      <w:jc w:val="left"/>
    </w:pPr>
    <w:rPr>
      <w:rFonts w:cs="Times New Roman"/>
      <w:b/>
      <w:sz w:val="28"/>
      <w:lang w:val="en-GB"/>
    </w:rPr>
  </w:style>
  <w:style w:type="paragraph" w:customStyle="1" w:styleId="XLargeG">
    <w:name w:val="__XLarge_G"/>
    <w:basedOn w:val="Normal"/>
    <w:next w:val="Normal"/>
    <w:rsid w:val="008D3FDA"/>
    <w:pPr>
      <w:keepNext/>
      <w:keepLines/>
      <w:suppressAutoHyphens/>
      <w:bidi w:val="0"/>
      <w:spacing w:before="240" w:after="240" w:line="420" w:lineRule="exact"/>
      <w:ind w:left="1134" w:right="1134"/>
      <w:jc w:val="left"/>
    </w:pPr>
    <w:rPr>
      <w:rFonts w:cs="Times New Roman"/>
      <w:b/>
      <w:sz w:val="40"/>
      <w:lang w:val="en-GB"/>
    </w:rPr>
  </w:style>
  <w:style w:type="paragraph" w:customStyle="1" w:styleId="Bullet1G">
    <w:name w:val="_Bullet 1_G"/>
    <w:basedOn w:val="Normal"/>
    <w:rsid w:val="008D3FDA"/>
    <w:pPr>
      <w:numPr>
        <w:numId w:val="12"/>
      </w:numPr>
      <w:suppressAutoHyphens/>
      <w:bidi w:val="0"/>
      <w:spacing w:after="120"/>
      <w:ind w:right="1134"/>
      <w:jc w:val="both"/>
    </w:pPr>
    <w:rPr>
      <w:rFonts w:cs="Times New Roman"/>
      <w:lang w:val="en-GB"/>
    </w:rPr>
  </w:style>
  <w:style w:type="paragraph" w:customStyle="1" w:styleId="Bullet2G">
    <w:name w:val="_Bullet 2_G"/>
    <w:basedOn w:val="Normal"/>
    <w:rsid w:val="008D3FDA"/>
    <w:pPr>
      <w:numPr>
        <w:numId w:val="13"/>
      </w:numPr>
      <w:suppressAutoHyphens/>
      <w:bidi w:val="0"/>
      <w:spacing w:after="120"/>
      <w:ind w:right="1134"/>
      <w:jc w:val="both"/>
    </w:pPr>
    <w:rPr>
      <w:rFonts w:cs="Times New Roman"/>
      <w:lang w:val="en-GB"/>
    </w:rPr>
  </w:style>
  <w:style w:type="paragraph" w:customStyle="1" w:styleId="H1G">
    <w:name w:val="_ H_1_G"/>
    <w:basedOn w:val="Normal"/>
    <w:next w:val="Normal"/>
    <w:rsid w:val="008D3FDA"/>
    <w:pPr>
      <w:keepNext/>
      <w:keepLines/>
      <w:tabs>
        <w:tab w:val="right" w:pos="851"/>
      </w:tabs>
      <w:suppressAutoHyphens/>
      <w:bidi w:val="0"/>
      <w:spacing w:before="360" w:after="240" w:line="270" w:lineRule="exact"/>
      <w:ind w:left="1134" w:right="1134" w:hanging="1134"/>
      <w:jc w:val="left"/>
    </w:pPr>
    <w:rPr>
      <w:rFonts w:cs="Times New Roman"/>
      <w:b/>
      <w:sz w:val="24"/>
      <w:lang w:val="en-GB"/>
    </w:rPr>
  </w:style>
  <w:style w:type="paragraph" w:customStyle="1" w:styleId="H23G">
    <w:name w:val="_ H_2/3_G"/>
    <w:basedOn w:val="Normal"/>
    <w:next w:val="Normal"/>
    <w:rsid w:val="008D3FDA"/>
    <w:pPr>
      <w:keepNext/>
      <w:keepLines/>
      <w:tabs>
        <w:tab w:val="right" w:pos="851"/>
      </w:tabs>
      <w:suppressAutoHyphens/>
      <w:bidi w:val="0"/>
      <w:spacing w:before="240" w:after="120" w:line="240" w:lineRule="exact"/>
      <w:ind w:left="1134" w:right="1134" w:hanging="1134"/>
      <w:jc w:val="left"/>
    </w:pPr>
    <w:rPr>
      <w:rFonts w:cs="Times New Roman"/>
      <w:b/>
      <w:lang w:val="en-GB"/>
    </w:rPr>
  </w:style>
  <w:style w:type="paragraph" w:customStyle="1" w:styleId="H4G">
    <w:name w:val="_ H_4_G"/>
    <w:basedOn w:val="Normal"/>
    <w:next w:val="Normal"/>
    <w:rsid w:val="008D3FDA"/>
    <w:pPr>
      <w:keepNext/>
      <w:keepLines/>
      <w:tabs>
        <w:tab w:val="right" w:pos="851"/>
      </w:tabs>
      <w:suppressAutoHyphens/>
      <w:bidi w:val="0"/>
      <w:spacing w:before="240" w:after="120" w:line="240" w:lineRule="exact"/>
      <w:ind w:left="1134" w:right="1134" w:hanging="1134"/>
      <w:jc w:val="left"/>
    </w:pPr>
    <w:rPr>
      <w:rFonts w:cs="Times New Roman"/>
      <w:i/>
      <w:lang w:val="en-GB"/>
    </w:rPr>
  </w:style>
  <w:style w:type="paragraph" w:customStyle="1" w:styleId="H56G">
    <w:name w:val="_ H_5/6_G"/>
    <w:basedOn w:val="Normal"/>
    <w:next w:val="Normal"/>
    <w:rsid w:val="008D3FDA"/>
    <w:pPr>
      <w:keepNext/>
      <w:keepLines/>
      <w:tabs>
        <w:tab w:val="right" w:pos="851"/>
      </w:tabs>
      <w:suppressAutoHyphens/>
      <w:bidi w:val="0"/>
      <w:spacing w:before="240" w:after="120" w:line="240" w:lineRule="exact"/>
      <w:ind w:left="1134" w:right="1134" w:hanging="1134"/>
      <w:jc w:val="left"/>
    </w:pPr>
    <w:rPr>
      <w:rFonts w:cs="Times New Roman"/>
      <w:lang w:val="en-GB"/>
    </w:rPr>
  </w:style>
  <w:style w:type="character" w:customStyle="1" w:styleId="SingleTxtGChar">
    <w:name w:val="_ Single Txt_G Char"/>
    <w:link w:val="SingleTxtG"/>
    <w:rsid w:val="008D3FDA"/>
    <w:rPr>
      <w:rFonts w:ascii="Times New Roman" w:hAnsi="Times New Roman" w:cs="Times New Roman"/>
      <w:sz w:val="20"/>
      <w:szCs w:val="30"/>
      <w:lang w:val="en-GB"/>
    </w:rPr>
  </w:style>
  <w:style w:type="paragraph" w:customStyle="1" w:styleId="SingleTxt">
    <w:name w:val="__Single Txt"/>
    <w:basedOn w:val="Normal"/>
    <w:rsid w:val="008D3FD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after="120" w:line="240" w:lineRule="exact"/>
      <w:ind w:left="1267" w:right="1267"/>
      <w:jc w:val="both"/>
    </w:pPr>
    <w:rPr>
      <w:rFonts w:cs="Times New Roman"/>
      <w:spacing w:val="4"/>
      <w:w w:val="103"/>
      <w:kern w:val="14"/>
      <w:lang w:val="en-GB"/>
    </w:rPr>
  </w:style>
  <w:style w:type="character" w:styleId="CommentReference">
    <w:name w:val="annotation reference"/>
    <w:uiPriority w:val="99"/>
    <w:rsid w:val="008D3FDA"/>
    <w:rPr>
      <w:sz w:val="16"/>
      <w:szCs w:val="16"/>
    </w:rPr>
  </w:style>
  <w:style w:type="paragraph" w:styleId="CommentText">
    <w:name w:val="annotation text"/>
    <w:basedOn w:val="Normal"/>
    <w:link w:val="CommentTextChar"/>
    <w:uiPriority w:val="99"/>
    <w:rsid w:val="008D3FDA"/>
    <w:pPr>
      <w:suppressAutoHyphens/>
      <w:bidi w:val="0"/>
      <w:jc w:val="left"/>
    </w:pPr>
    <w:rPr>
      <w:rFonts w:cs="Times New Roman"/>
      <w:lang w:val="en-GB"/>
    </w:rPr>
  </w:style>
  <w:style w:type="character" w:customStyle="1" w:styleId="CommentTextChar">
    <w:name w:val="Comment Text Char"/>
    <w:basedOn w:val="DefaultParagraphFont"/>
    <w:link w:val="CommentText"/>
    <w:uiPriority w:val="99"/>
    <w:rsid w:val="008D3FDA"/>
    <w:rPr>
      <w:rFonts w:ascii="Times New Roman" w:hAnsi="Times New Roman" w:cs="Times New Roman"/>
      <w:sz w:val="20"/>
      <w:szCs w:val="30"/>
      <w:lang w:val="en-GB"/>
    </w:rPr>
  </w:style>
  <w:style w:type="paragraph" w:styleId="CommentSubject">
    <w:name w:val="annotation subject"/>
    <w:basedOn w:val="CommentText"/>
    <w:next w:val="CommentText"/>
    <w:link w:val="CommentSubjectChar"/>
    <w:uiPriority w:val="99"/>
    <w:rsid w:val="008D3FDA"/>
    <w:rPr>
      <w:b/>
      <w:bCs/>
    </w:rPr>
  </w:style>
  <w:style w:type="character" w:customStyle="1" w:styleId="CommentSubjectChar">
    <w:name w:val="Comment Subject Char"/>
    <w:basedOn w:val="CommentTextChar"/>
    <w:link w:val="CommentSubject"/>
    <w:uiPriority w:val="99"/>
    <w:rsid w:val="008D3FDA"/>
    <w:rPr>
      <w:rFonts w:ascii="Times New Roman" w:hAnsi="Times New Roman" w:cs="Times New Roman"/>
      <w:b/>
      <w:bCs/>
      <w:sz w:val="20"/>
      <w:szCs w:val="30"/>
      <w:lang w:val="en-GB"/>
    </w:rPr>
  </w:style>
  <w:style w:type="paragraph" w:customStyle="1" w:styleId="Paragraphnumbered">
    <w:name w:val="Paragraph (numbered)"/>
    <w:basedOn w:val="Normal"/>
    <w:rsid w:val="008D3FDA"/>
    <w:pPr>
      <w:bidi w:val="0"/>
      <w:spacing w:before="240" w:line="240" w:lineRule="auto"/>
      <w:jc w:val="left"/>
    </w:pPr>
    <w:rPr>
      <w:rFonts w:cs="Times New Roman"/>
      <w:sz w:val="24"/>
      <w:lang w:val="en-AU" w:eastAsia="en-AU"/>
    </w:rPr>
  </w:style>
  <w:style w:type="paragraph" w:styleId="Revision">
    <w:name w:val="Revision"/>
    <w:hidden/>
    <w:uiPriority w:val="99"/>
    <w:semiHidden/>
    <w:rsid w:val="008D3FDA"/>
    <w:pPr>
      <w:spacing w:after="0" w:line="240" w:lineRule="auto"/>
    </w:pPr>
    <w:rPr>
      <w:rFonts w:ascii="Calibri" w:eastAsia="Calibri" w:hAnsi="Calibri" w:cs="Times New Roman"/>
      <w:lang w:val="en-AU"/>
    </w:rPr>
  </w:style>
  <w:style w:type="character" w:customStyle="1" w:styleId="NumberLevel1Char">
    <w:name w:val="Number Level 1 Char"/>
    <w:link w:val="NumberLevel1"/>
    <w:locked/>
    <w:rsid w:val="008D3FDA"/>
    <w:rPr>
      <w:rFonts w:ascii="Arial" w:hAnsi="Arial" w:cs="Arial"/>
    </w:rPr>
  </w:style>
  <w:style w:type="paragraph" w:customStyle="1" w:styleId="NumberLevel1">
    <w:name w:val="Number Level 1"/>
    <w:basedOn w:val="Normal"/>
    <w:link w:val="NumberLevel1Char"/>
    <w:rsid w:val="008D3FDA"/>
    <w:pPr>
      <w:numPr>
        <w:numId w:val="14"/>
      </w:numPr>
      <w:bidi w:val="0"/>
      <w:spacing w:before="140" w:after="140" w:line="280" w:lineRule="atLeast"/>
      <w:jc w:val="left"/>
    </w:pPr>
    <w:rPr>
      <w:rFonts w:ascii="Arial" w:hAnsi="Arial" w:cs="Arial"/>
      <w:sz w:val="22"/>
      <w:szCs w:val="22"/>
    </w:rPr>
  </w:style>
  <w:style w:type="paragraph" w:customStyle="1" w:styleId="NumberLevel2">
    <w:name w:val="Number Level 2"/>
    <w:basedOn w:val="Normal"/>
    <w:uiPriority w:val="99"/>
    <w:rsid w:val="008D3FDA"/>
    <w:pPr>
      <w:numPr>
        <w:ilvl w:val="1"/>
        <w:numId w:val="14"/>
      </w:numPr>
      <w:bidi w:val="0"/>
      <w:spacing w:before="140" w:after="140" w:line="280" w:lineRule="atLeast"/>
      <w:jc w:val="left"/>
    </w:pPr>
    <w:rPr>
      <w:rFonts w:ascii="Arial" w:eastAsia="Calibri" w:hAnsi="Arial" w:cs="Arial"/>
      <w:sz w:val="22"/>
      <w:szCs w:val="22"/>
      <w:lang w:val="en-AU" w:eastAsia="en-AU"/>
    </w:rPr>
  </w:style>
  <w:style w:type="paragraph" w:customStyle="1" w:styleId="NumberLevel3">
    <w:name w:val="Number Level 3"/>
    <w:basedOn w:val="Normal"/>
    <w:uiPriority w:val="99"/>
    <w:rsid w:val="008D3FDA"/>
    <w:pPr>
      <w:numPr>
        <w:ilvl w:val="2"/>
        <w:numId w:val="14"/>
      </w:numPr>
      <w:bidi w:val="0"/>
      <w:spacing w:before="140" w:after="140" w:line="280" w:lineRule="atLeast"/>
      <w:jc w:val="left"/>
    </w:pPr>
    <w:rPr>
      <w:rFonts w:ascii="Arial" w:eastAsia="Calibri" w:hAnsi="Arial" w:cs="Arial"/>
      <w:sz w:val="22"/>
      <w:szCs w:val="22"/>
      <w:lang w:val="en-AU" w:eastAsia="en-AU"/>
    </w:rPr>
  </w:style>
  <w:style w:type="paragraph" w:customStyle="1" w:styleId="NumberLevel4">
    <w:name w:val="Number Level 4"/>
    <w:basedOn w:val="Normal"/>
    <w:uiPriority w:val="99"/>
    <w:rsid w:val="008D3FDA"/>
    <w:pPr>
      <w:numPr>
        <w:ilvl w:val="3"/>
        <w:numId w:val="14"/>
      </w:numPr>
      <w:bidi w:val="0"/>
      <w:spacing w:after="140" w:line="280" w:lineRule="atLeast"/>
      <w:jc w:val="left"/>
    </w:pPr>
    <w:rPr>
      <w:rFonts w:ascii="Arial" w:eastAsia="Calibri" w:hAnsi="Arial" w:cs="Arial"/>
      <w:sz w:val="22"/>
      <w:szCs w:val="22"/>
      <w:lang w:val="en-AU" w:eastAsia="en-AU"/>
    </w:rPr>
  </w:style>
  <w:style w:type="paragraph" w:customStyle="1" w:styleId="NumberLevel5">
    <w:name w:val="Number Level 5"/>
    <w:basedOn w:val="Normal"/>
    <w:uiPriority w:val="99"/>
    <w:rsid w:val="008D3FDA"/>
    <w:pPr>
      <w:numPr>
        <w:ilvl w:val="4"/>
        <w:numId w:val="14"/>
      </w:numPr>
      <w:bidi w:val="0"/>
      <w:spacing w:after="140" w:line="280" w:lineRule="atLeast"/>
      <w:jc w:val="left"/>
    </w:pPr>
    <w:rPr>
      <w:rFonts w:ascii="Arial" w:eastAsia="Calibri" w:hAnsi="Arial" w:cs="Arial"/>
      <w:sz w:val="22"/>
      <w:szCs w:val="22"/>
      <w:lang w:val="en-AU" w:eastAsia="en-AU"/>
    </w:rPr>
  </w:style>
  <w:style w:type="paragraph" w:customStyle="1" w:styleId="NumberLevel6">
    <w:name w:val="Number Level 6"/>
    <w:basedOn w:val="Normal"/>
    <w:uiPriority w:val="99"/>
    <w:rsid w:val="008D3FDA"/>
    <w:pPr>
      <w:numPr>
        <w:ilvl w:val="5"/>
        <w:numId w:val="14"/>
      </w:numPr>
      <w:bidi w:val="0"/>
      <w:spacing w:after="140" w:line="280" w:lineRule="atLeast"/>
      <w:jc w:val="left"/>
    </w:pPr>
    <w:rPr>
      <w:rFonts w:ascii="Arial" w:eastAsia="Calibri" w:hAnsi="Arial" w:cs="Arial"/>
      <w:sz w:val="22"/>
      <w:szCs w:val="22"/>
      <w:lang w:val="en-AU" w:eastAsia="en-AU"/>
    </w:rPr>
  </w:style>
  <w:style w:type="paragraph" w:customStyle="1" w:styleId="NumberLevel7">
    <w:name w:val="Number Level 7"/>
    <w:basedOn w:val="Normal"/>
    <w:uiPriority w:val="99"/>
    <w:rsid w:val="008D3FDA"/>
    <w:pPr>
      <w:numPr>
        <w:ilvl w:val="6"/>
        <w:numId w:val="14"/>
      </w:numPr>
      <w:bidi w:val="0"/>
      <w:spacing w:after="140" w:line="280" w:lineRule="atLeast"/>
      <w:jc w:val="left"/>
    </w:pPr>
    <w:rPr>
      <w:rFonts w:ascii="Arial" w:eastAsia="Calibri" w:hAnsi="Arial" w:cs="Arial"/>
      <w:sz w:val="22"/>
      <w:szCs w:val="22"/>
      <w:lang w:val="en-AU" w:eastAsia="en-AU"/>
    </w:rPr>
  </w:style>
  <w:style w:type="paragraph" w:customStyle="1" w:styleId="NumberLevel8">
    <w:name w:val="Number Level 8"/>
    <w:basedOn w:val="Normal"/>
    <w:uiPriority w:val="99"/>
    <w:rsid w:val="008D3FDA"/>
    <w:pPr>
      <w:numPr>
        <w:ilvl w:val="7"/>
        <w:numId w:val="14"/>
      </w:numPr>
      <w:bidi w:val="0"/>
      <w:spacing w:after="140" w:line="280" w:lineRule="atLeast"/>
      <w:jc w:val="left"/>
    </w:pPr>
    <w:rPr>
      <w:rFonts w:ascii="Arial" w:eastAsia="Calibri" w:hAnsi="Arial" w:cs="Arial"/>
      <w:sz w:val="22"/>
      <w:szCs w:val="22"/>
      <w:lang w:val="en-AU" w:eastAsia="en-AU"/>
    </w:rPr>
  </w:style>
  <w:style w:type="paragraph" w:customStyle="1" w:styleId="NumberLevel9">
    <w:name w:val="Number Level 9"/>
    <w:basedOn w:val="Normal"/>
    <w:uiPriority w:val="99"/>
    <w:rsid w:val="008D3FDA"/>
    <w:pPr>
      <w:numPr>
        <w:ilvl w:val="8"/>
        <w:numId w:val="14"/>
      </w:numPr>
      <w:bidi w:val="0"/>
      <w:spacing w:after="140" w:line="280" w:lineRule="atLeast"/>
      <w:jc w:val="left"/>
    </w:pPr>
    <w:rPr>
      <w:rFonts w:ascii="Arial" w:eastAsia="Calibri" w:hAnsi="Arial" w:cs="Arial"/>
      <w:sz w:val="22"/>
      <w:szCs w:val="22"/>
      <w:lang w:val="en-AU" w:eastAsia="en-AU"/>
    </w:rPr>
  </w:style>
  <w:style w:type="paragraph" w:styleId="TOCHeading">
    <w:name w:val="TOC Heading"/>
    <w:basedOn w:val="Heading1"/>
    <w:next w:val="Normal"/>
    <w:uiPriority w:val="39"/>
    <w:semiHidden/>
    <w:unhideWhenUsed/>
    <w:qFormat/>
    <w:rsid w:val="008D3FDA"/>
    <w:pPr>
      <w:keepNext/>
      <w:keepLines/>
      <w:tabs>
        <w:tab w:val="clear" w:pos="1928"/>
        <w:tab w:val="clear" w:pos="2608"/>
        <w:tab w:val="clear" w:pos="3289"/>
        <w:tab w:val="clear" w:pos="3969"/>
        <w:tab w:val="clear" w:pos="4649"/>
        <w:tab w:val="clear" w:pos="5330"/>
      </w:tabs>
      <w:suppressAutoHyphens w:val="0"/>
      <w:spacing w:before="480" w:after="0" w:line="276" w:lineRule="auto"/>
      <w:ind w:left="0" w:right="0"/>
      <w:jc w:val="left"/>
      <w:outlineLvl w:val="9"/>
    </w:pPr>
    <w:rPr>
      <w:rFonts w:ascii="Cambria" w:hAnsi="Cambria" w:cs="Times New Roman"/>
      <w:b/>
      <w:bCs/>
      <w:color w:val="365F91"/>
      <w:sz w:val="28"/>
      <w:szCs w:val="28"/>
      <w:lang w:eastAsia="ja-JP"/>
    </w:rPr>
  </w:style>
  <w:style w:type="paragraph" w:styleId="TOC1">
    <w:name w:val="toc 1"/>
    <w:basedOn w:val="Normal"/>
    <w:next w:val="Normal"/>
    <w:autoRedefine/>
    <w:uiPriority w:val="39"/>
    <w:unhideWhenUsed/>
    <w:rsid w:val="008D3FDA"/>
    <w:pPr>
      <w:bidi w:val="0"/>
      <w:spacing w:after="100" w:line="276" w:lineRule="auto"/>
      <w:jc w:val="left"/>
    </w:pPr>
    <w:rPr>
      <w:rFonts w:ascii="Calibri" w:eastAsia="Calibri" w:hAnsi="Calibri" w:cs="Times New Roman"/>
      <w:sz w:val="22"/>
      <w:szCs w:val="22"/>
      <w:lang w:val="en-AU"/>
    </w:rPr>
  </w:style>
  <w:style w:type="paragraph" w:styleId="TOC2">
    <w:name w:val="toc 2"/>
    <w:basedOn w:val="Normal"/>
    <w:next w:val="Normal"/>
    <w:autoRedefine/>
    <w:uiPriority w:val="39"/>
    <w:unhideWhenUsed/>
    <w:rsid w:val="008D3FDA"/>
    <w:pPr>
      <w:bidi w:val="0"/>
      <w:spacing w:after="100" w:line="276" w:lineRule="auto"/>
      <w:ind w:left="220"/>
      <w:jc w:val="left"/>
    </w:pPr>
    <w:rPr>
      <w:rFonts w:ascii="Calibri" w:eastAsia="Calibri" w:hAnsi="Calibri" w:cs="Times New Roman"/>
      <w:sz w:val="22"/>
      <w:szCs w:val="22"/>
      <w:lang w:val="en-AU"/>
    </w:rPr>
  </w:style>
  <w:style w:type="paragraph" w:styleId="TOC3">
    <w:name w:val="toc 3"/>
    <w:basedOn w:val="Normal"/>
    <w:next w:val="Normal"/>
    <w:autoRedefine/>
    <w:uiPriority w:val="39"/>
    <w:unhideWhenUsed/>
    <w:rsid w:val="008D3FDA"/>
    <w:pPr>
      <w:bidi w:val="0"/>
      <w:spacing w:after="100" w:line="276" w:lineRule="auto"/>
      <w:ind w:left="440"/>
      <w:jc w:val="left"/>
    </w:pPr>
    <w:rPr>
      <w:rFonts w:ascii="Calibri" w:eastAsia="Calibri" w:hAnsi="Calibri" w:cs="Times New Roman"/>
      <w:sz w:val="22"/>
      <w:szCs w:val="22"/>
      <w:lang w:val="en-AU"/>
    </w:rPr>
  </w:style>
  <w:style w:type="character" w:customStyle="1" w:styleId="st1">
    <w:name w:val="st1"/>
    <w:rsid w:val="008D3FDA"/>
  </w:style>
  <w:style w:type="paragraph" w:styleId="NormalWeb">
    <w:name w:val="Normal (Web)"/>
    <w:basedOn w:val="Normal"/>
    <w:uiPriority w:val="99"/>
    <w:unhideWhenUsed/>
    <w:rsid w:val="008D3FDA"/>
    <w:pPr>
      <w:bidi w:val="0"/>
      <w:spacing w:before="100" w:beforeAutospacing="1" w:after="100" w:afterAutospacing="1" w:line="240" w:lineRule="auto"/>
      <w:jc w:val="left"/>
    </w:pPr>
    <w:rPr>
      <w:rFonts w:eastAsia="Calibri" w:cs="Times New Roman"/>
      <w:sz w:val="24"/>
      <w:szCs w:val="24"/>
      <w:lang w:val="en-AU" w:eastAsia="en-AU"/>
    </w:rPr>
  </w:style>
  <w:style w:type="paragraph" w:customStyle="1" w:styleId="Default">
    <w:name w:val="Default"/>
    <w:rsid w:val="008D3FDA"/>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character" w:customStyle="1" w:styleId="freetext">
    <w:name w:val="freetext"/>
    <w:basedOn w:val="DefaultParagraphFont"/>
    <w:rsid w:val="008D3F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qFormat="1"/>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uiPriority w:val="9"/>
    <w:qFormat/>
    <w:rsid w:val="00AB6758"/>
    <w:pPr>
      <w:suppressAutoHyphens/>
      <w:bidi w:val="0"/>
      <w:outlineLvl w:val="0"/>
    </w:pPr>
  </w:style>
  <w:style w:type="paragraph" w:styleId="Heading2">
    <w:name w:val="heading 2"/>
    <w:basedOn w:val="Normal"/>
    <w:next w:val="Normal"/>
    <w:link w:val="Heading2Char"/>
    <w:uiPriority w:val="9"/>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C70A7C"/>
    <w:pPr>
      <w:keepNext/>
      <w:keepLines/>
      <w:tabs>
        <w:tab w:val="right" w:pos="1021"/>
      </w:tabs>
      <w:suppressAutoHyphen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uiPriority w:val="99"/>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6_G"/>
    <w:basedOn w:val="Normal"/>
    <w:link w:val="HeaderChar"/>
    <w:uiPriority w:val="99"/>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uiPriority w:val="99"/>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uiPriority w:val="9"/>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qFormat/>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B3E27"/>
    <w:rPr>
      <w:rFonts w:ascii="Tahoma" w:hAnsi="Tahoma" w:cs="Tahoma"/>
      <w:sz w:val="16"/>
      <w:szCs w:val="16"/>
    </w:rPr>
  </w:style>
  <w:style w:type="paragraph" w:customStyle="1" w:styleId="SingleTxtG">
    <w:name w:val="_ Single Txt_G"/>
    <w:basedOn w:val="Normal"/>
    <w:link w:val="SingleTxtGChar"/>
    <w:rsid w:val="008D3FDA"/>
    <w:pPr>
      <w:suppressAutoHyphens/>
      <w:bidi w:val="0"/>
      <w:spacing w:after="120"/>
      <w:ind w:left="1134" w:right="1134"/>
      <w:jc w:val="both"/>
    </w:pPr>
    <w:rPr>
      <w:rFonts w:cs="Times New Roman"/>
      <w:lang w:val="en-GB"/>
    </w:rPr>
  </w:style>
  <w:style w:type="paragraph" w:customStyle="1" w:styleId="HMG">
    <w:name w:val="_ H __M_G"/>
    <w:basedOn w:val="Normal"/>
    <w:next w:val="Normal"/>
    <w:rsid w:val="008D3FDA"/>
    <w:pPr>
      <w:keepNext/>
      <w:keepLines/>
      <w:tabs>
        <w:tab w:val="right" w:pos="851"/>
      </w:tabs>
      <w:suppressAutoHyphens/>
      <w:bidi w:val="0"/>
      <w:spacing w:before="240" w:after="240" w:line="360" w:lineRule="exact"/>
      <w:ind w:left="1134" w:right="1134" w:hanging="1134"/>
      <w:jc w:val="left"/>
    </w:pPr>
    <w:rPr>
      <w:rFonts w:cs="Times New Roman"/>
      <w:b/>
      <w:sz w:val="34"/>
      <w:lang w:val="en-GB"/>
    </w:rPr>
  </w:style>
  <w:style w:type="paragraph" w:customStyle="1" w:styleId="HChG">
    <w:name w:val="_ H _Ch_G"/>
    <w:basedOn w:val="Normal"/>
    <w:next w:val="Normal"/>
    <w:rsid w:val="008D3FDA"/>
    <w:pPr>
      <w:keepNext/>
      <w:keepLines/>
      <w:tabs>
        <w:tab w:val="right" w:pos="851"/>
      </w:tabs>
      <w:suppressAutoHyphens/>
      <w:bidi w:val="0"/>
      <w:spacing w:before="360" w:after="240" w:line="300" w:lineRule="exact"/>
      <w:ind w:left="1134" w:right="1134" w:hanging="1134"/>
      <w:jc w:val="left"/>
    </w:pPr>
    <w:rPr>
      <w:rFonts w:cs="Times New Roman"/>
      <w:b/>
      <w:sz w:val="28"/>
      <w:lang w:val="en-GB"/>
    </w:rPr>
  </w:style>
  <w:style w:type="character" w:styleId="Hyperlink">
    <w:name w:val="Hyperlink"/>
    <w:uiPriority w:val="99"/>
    <w:rsid w:val="008D3FDA"/>
    <w:rPr>
      <w:color w:val="auto"/>
      <w:u w:val="none"/>
    </w:rPr>
  </w:style>
  <w:style w:type="character" w:styleId="FollowedHyperlink">
    <w:name w:val="FollowedHyperlink"/>
    <w:uiPriority w:val="99"/>
    <w:semiHidden/>
    <w:rsid w:val="008D3FDA"/>
    <w:rPr>
      <w:color w:val="auto"/>
      <w:u w:val="none"/>
    </w:rPr>
  </w:style>
  <w:style w:type="paragraph" w:customStyle="1" w:styleId="SMG">
    <w:name w:val="__S_M_G"/>
    <w:basedOn w:val="Normal"/>
    <w:next w:val="Normal"/>
    <w:rsid w:val="008D3FDA"/>
    <w:pPr>
      <w:keepNext/>
      <w:keepLines/>
      <w:suppressAutoHyphens/>
      <w:bidi w:val="0"/>
      <w:spacing w:before="240" w:after="240" w:line="420" w:lineRule="exact"/>
      <w:ind w:left="1134" w:right="1134"/>
      <w:jc w:val="left"/>
    </w:pPr>
    <w:rPr>
      <w:rFonts w:cs="Times New Roman"/>
      <w:b/>
      <w:sz w:val="40"/>
      <w:lang w:val="en-GB"/>
    </w:rPr>
  </w:style>
  <w:style w:type="paragraph" w:customStyle="1" w:styleId="SLG">
    <w:name w:val="__S_L_G"/>
    <w:basedOn w:val="Normal"/>
    <w:next w:val="Normal"/>
    <w:rsid w:val="008D3FDA"/>
    <w:pPr>
      <w:keepNext/>
      <w:keepLines/>
      <w:suppressAutoHyphens/>
      <w:bidi w:val="0"/>
      <w:spacing w:before="240" w:after="240" w:line="580" w:lineRule="exact"/>
      <w:ind w:left="1134" w:right="1134"/>
      <w:jc w:val="left"/>
    </w:pPr>
    <w:rPr>
      <w:rFonts w:cs="Times New Roman"/>
      <w:b/>
      <w:sz w:val="56"/>
      <w:lang w:val="en-GB"/>
    </w:rPr>
  </w:style>
  <w:style w:type="paragraph" w:customStyle="1" w:styleId="SSG">
    <w:name w:val="__S_S_G"/>
    <w:basedOn w:val="Normal"/>
    <w:next w:val="Normal"/>
    <w:rsid w:val="008D3FDA"/>
    <w:pPr>
      <w:keepNext/>
      <w:keepLines/>
      <w:suppressAutoHyphens/>
      <w:bidi w:val="0"/>
      <w:spacing w:before="240" w:after="240" w:line="300" w:lineRule="exact"/>
      <w:ind w:left="1134" w:right="1134"/>
      <w:jc w:val="left"/>
    </w:pPr>
    <w:rPr>
      <w:rFonts w:cs="Times New Roman"/>
      <w:b/>
      <w:sz w:val="28"/>
      <w:lang w:val="en-GB"/>
    </w:rPr>
  </w:style>
  <w:style w:type="paragraph" w:customStyle="1" w:styleId="XLargeG">
    <w:name w:val="__XLarge_G"/>
    <w:basedOn w:val="Normal"/>
    <w:next w:val="Normal"/>
    <w:rsid w:val="008D3FDA"/>
    <w:pPr>
      <w:keepNext/>
      <w:keepLines/>
      <w:suppressAutoHyphens/>
      <w:bidi w:val="0"/>
      <w:spacing w:before="240" w:after="240" w:line="420" w:lineRule="exact"/>
      <w:ind w:left="1134" w:right="1134"/>
      <w:jc w:val="left"/>
    </w:pPr>
    <w:rPr>
      <w:rFonts w:cs="Times New Roman"/>
      <w:b/>
      <w:sz w:val="40"/>
      <w:lang w:val="en-GB"/>
    </w:rPr>
  </w:style>
  <w:style w:type="paragraph" w:customStyle="1" w:styleId="Bullet1G">
    <w:name w:val="_Bullet 1_G"/>
    <w:basedOn w:val="Normal"/>
    <w:rsid w:val="008D3FDA"/>
    <w:pPr>
      <w:numPr>
        <w:numId w:val="12"/>
      </w:numPr>
      <w:suppressAutoHyphens/>
      <w:bidi w:val="0"/>
      <w:spacing w:after="120"/>
      <w:ind w:right="1134"/>
      <w:jc w:val="both"/>
    </w:pPr>
    <w:rPr>
      <w:rFonts w:cs="Times New Roman"/>
      <w:lang w:val="en-GB"/>
    </w:rPr>
  </w:style>
  <w:style w:type="paragraph" w:customStyle="1" w:styleId="Bullet2G">
    <w:name w:val="_Bullet 2_G"/>
    <w:basedOn w:val="Normal"/>
    <w:rsid w:val="008D3FDA"/>
    <w:pPr>
      <w:numPr>
        <w:numId w:val="13"/>
      </w:numPr>
      <w:suppressAutoHyphens/>
      <w:bidi w:val="0"/>
      <w:spacing w:after="120"/>
      <w:ind w:right="1134"/>
      <w:jc w:val="both"/>
    </w:pPr>
    <w:rPr>
      <w:rFonts w:cs="Times New Roman"/>
      <w:lang w:val="en-GB"/>
    </w:rPr>
  </w:style>
  <w:style w:type="paragraph" w:customStyle="1" w:styleId="H1G">
    <w:name w:val="_ H_1_G"/>
    <w:basedOn w:val="Normal"/>
    <w:next w:val="Normal"/>
    <w:rsid w:val="008D3FDA"/>
    <w:pPr>
      <w:keepNext/>
      <w:keepLines/>
      <w:tabs>
        <w:tab w:val="right" w:pos="851"/>
      </w:tabs>
      <w:suppressAutoHyphens/>
      <w:bidi w:val="0"/>
      <w:spacing w:before="360" w:after="240" w:line="270" w:lineRule="exact"/>
      <w:ind w:left="1134" w:right="1134" w:hanging="1134"/>
      <w:jc w:val="left"/>
    </w:pPr>
    <w:rPr>
      <w:rFonts w:cs="Times New Roman"/>
      <w:b/>
      <w:sz w:val="24"/>
      <w:lang w:val="en-GB"/>
    </w:rPr>
  </w:style>
  <w:style w:type="paragraph" w:customStyle="1" w:styleId="H23G">
    <w:name w:val="_ H_2/3_G"/>
    <w:basedOn w:val="Normal"/>
    <w:next w:val="Normal"/>
    <w:rsid w:val="008D3FDA"/>
    <w:pPr>
      <w:keepNext/>
      <w:keepLines/>
      <w:tabs>
        <w:tab w:val="right" w:pos="851"/>
      </w:tabs>
      <w:suppressAutoHyphens/>
      <w:bidi w:val="0"/>
      <w:spacing w:before="240" w:after="120" w:line="240" w:lineRule="exact"/>
      <w:ind w:left="1134" w:right="1134" w:hanging="1134"/>
      <w:jc w:val="left"/>
    </w:pPr>
    <w:rPr>
      <w:rFonts w:cs="Times New Roman"/>
      <w:b/>
      <w:lang w:val="en-GB"/>
    </w:rPr>
  </w:style>
  <w:style w:type="paragraph" w:customStyle="1" w:styleId="H4G">
    <w:name w:val="_ H_4_G"/>
    <w:basedOn w:val="Normal"/>
    <w:next w:val="Normal"/>
    <w:rsid w:val="008D3FDA"/>
    <w:pPr>
      <w:keepNext/>
      <w:keepLines/>
      <w:tabs>
        <w:tab w:val="right" w:pos="851"/>
      </w:tabs>
      <w:suppressAutoHyphens/>
      <w:bidi w:val="0"/>
      <w:spacing w:before="240" w:after="120" w:line="240" w:lineRule="exact"/>
      <w:ind w:left="1134" w:right="1134" w:hanging="1134"/>
      <w:jc w:val="left"/>
    </w:pPr>
    <w:rPr>
      <w:rFonts w:cs="Times New Roman"/>
      <w:i/>
      <w:lang w:val="en-GB"/>
    </w:rPr>
  </w:style>
  <w:style w:type="paragraph" w:customStyle="1" w:styleId="H56G">
    <w:name w:val="_ H_5/6_G"/>
    <w:basedOn w:val="Normal"/>
    <w:next w:val="Normal"/>
    <w:rsid w:val="008D3FDA"/>
    <w:pPr>
      <w:keepNext/>
      <w:keepLines/>
      <w:tabs>
        <w:tab w:val="right" w:pos="851"/>
      </w:tabs>
      <w:suppressAutoHyphens/>
      <w:bidi w:val="0"/>
      <w:spacing w:before="240" w:after="120" w:line="240" w:lineRule="exact"/>
      <w:ind w:left="1134" w:right="1134" w:hanging="1134"/>
      <w:jc w:val="left"/>
    </w:pPr>
    <w:rPr>
      <w:rFonts w:cs="Times New Roman"/>
      <w:lang w:val="en-GB"/>
    </w:rPr>
  </w:style>
  <w:style w:type="character" w:customStyle="1" w:styleId="SingleTxtGChar">
    <w:name w:val="_ Single Txt_G Char"/>
    <w:link w:val="SingleTxtG"/>
    <w:rsid w:val="008D3FDA"/>
    <w:rPr>
      <w:rFonts w:ascii="Times New Roman" w:hAnsi="Times New Roman" w:cs="Times New Roman"/>
      <w:sz w:val="20"/>
      <w:szCs w:val="30"/>
      <w:lang w:val="en-GB"/>
    </w:rPr>
  </w:style>
  <w:style w:type="paragraph" w:customStyle="1" w:styleId="SingleTxt">
    <w:name w:val="__Single Txt"/>
    <w:basedOn w:val="Normal"/>
    <w:rsid w:val="008D3FD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after="120" w:line="240" w:lineRule="exact"/>
      <w:ind w:left="1267" w:right="1267"/>
      <w:jc w:val="both"/>
    </w:pPr>
    <w:rPr>
      <w:rFonts w:cs="Times New Roman"/>
      <w:spacing w:val="4"/>
      <w:w w:val="103"/>
      <w:kern w:val="14"/>
      <w:lang w:val="en-GB"/>
    </w:rPr>
  </w:style>
  <w:style w:type="character" w:styleId="CommentReference">
    <w:name w:val="annotation reference"/>
    <w:uiPriority w:val="99"/>
    <w:rsid w:val="008D3FDA"/>
    <w:rPr>
      <w:sz w:val="16"/>
      <w:szCs w:val="16"/>
    </w:rPr>
  </w:style>
  <w:style w:type="paragraph" w:styleId="CommentText">
    <w:name w:val="annotation text"/>
    <w:basedOn w:val="Normal"/>
    <w:link w:val="CommentTextChar"/>
    <w:uiPriority w:val="99"/>
    <w:rsid w:val="008D3FDA"/>
    <w:pPr>
      <w:suppressAutoHyphens/>
      <w:bidi w:val="0"/>
      <w:jc w:val="left"/>
    </w:pPr>
    <w:rPr>
      <w:rFonts w:cs="Times New Roman"/>
      <w:lang w:val="en-GB"/>
    </w:rPr>
  </w:style>
  <w:style w:type="character" w:customStyle="1" w:styleId="CommentTextChar">
    <w:name w:val="Comment Text Char"/>
    <w:basedOn w:val="DefaultParagraphFont"/>
    <w:link w:val="CommentText"/>
    <w:uiPriority w:val="99"/>
    <w:rsid w:val="008D3FDA"/>
    <w:rPr>
      <w:rFonts w:ascii="Times New Roman" w:hAnsi="Times New Roman" w:cs="Times New Roman"/>
      <w:sz w:val="20"/>
      <w:szCs w:val="30"/>
      <w:lang w:val="en-GB"/>
    </w:rPr>
  </w:style>
  <w:style w:type="paragraph" w:styleId="CommentSubject">
    <w:name w:val="annotation subject"/>
    <w:basedOn w:val="CommentText"/>
    <w:next w:val="CommentText"/>
    <w:link w:val="CommentSubjectChar"/>
    <w:uiPriority w:val="99"/>
    <w:rsid w:val="008D3FDA"/>
    <w:rPr>
      <w:b/>
      <w:bCs/>
    </w:rPr>
  </w:style>
  <w:style w:type="character" w:customStyle="1" w:styleId="CommentSubjectChar">
    <w:name w:val="Comment Subject Char"/>
    <w:basedOn w:val="CommentTextChar"/>
    <w:link w:val="CommentSubject"/>
    <w:uiPriority w:val="99"/>
    <w:rsid w:val="008D3FDA"/>
    <w:rPr>
      <w:rFonts w:ascii="Times New Roman" w:hAnsi="Times New Roman" w:cs="Times New Roman"/>
      <w:b/>
      <w:bCs/>
      <w:sz w:val="20"/>
      <w:szCs w:val="30"/>
      <w:lang w:val="en-GB"/>
    </w:rPr>
  </w:style>
  <w:style w:type="paragraph" w:customStyle="1" w:styleId="Paragraphnumbered">
    <w:name w:val="Paragraph (numbered)"/>
    <w:basedOn w:val="Normal"/>
    <w:rsid w:val="008D3FDA"/>
    <w:pPr>
      <w:bidi w:val="0"/>
      <w:spacing w:before="240" w:line="240" w:lineRule="auto"/>
      <w:jc w:val="left"/>
    </w:pPr>
    <w:rPr>
      <w:rFonts w:cs="Times New Roman"/>
      <w:sz w:val="24"/>
      <w:lang w:val="en-AU" w:eastAsia="en-AU"/>
    </w:rPr>
  </w:style>
  <w:style w:type="paragraph" w:styleId="Revision">
    <w:name w:val="Revision"/>
    <w:hidden/>
    <w:uiPriority w:val="99"/>
    <w:semiHidden/>
    <w:rsid w:val="008D3FDA"/>
    <w:pPr>
      <w:spacing w:after="0" w:line="240" w:lineRule="auto"/>
    </w:pPr>
    <w:rPr>
      <w:rFonts w:ascii="Calibri" w:eastAsia="Calibri" w:hAnsi="Calibri" w:cs="Times New Roman"/>
      <w:lang w:val="en-AU"/>
    </w:rPr>
  </w:style>
  <w:style w:type="character" w:customStyle="1" w:styleId="NumberLevel1Char">
    <w:name w:val="Number Level 1 Char"/>
    <w:link w:val="NumberLevel1"/>
    <w:locked/>
    <w:rsid w:val="008D3FDA"/>
    <w:rPr>
      <w:rFonts w:ascii="Arial" w:hAnsi="Arial" w:cs="Arial"/>
    </w:rPr>
  </w:style>
  <w:style w:type="paragraph" w:customStyle="1" w:styleId="NumberLevel1">
    <w:name w:val="Number Level 1"/>
    <w:basedOn w:val="Normal"/>
    <w:link w:val="NumberLevel1Char"/>
    <w:rsid w:val="008D3FDA"/>
    <w:pPr>
      <w:numPr>
        <w:numId w:val="14"/>
      </w:numPr>
      <w:bidi w:val="0"/>
      <w:spacing w:before="140" w:after="140" w:line="280" w:lineRule="atLeast"/>
      <w:jc w:val="left"/>
    </w:pPr>
    <w:rPr>
      <w:rFonts w:ascii="Arial" w:hAnsi="Arial" w:cs="Arial"/>
      <w:sz w:val="22"/>
      <w:szCs w:val="22"/>
    </w:rPr>
  </w:style>
  <w:style w:type="paragraph" w:customStyle="1" w:styleId="NumberLevel2">
    <w:name w:val="Number Level 2"/>
    <w:basedOn w:val="Normal"/>
    <w:uiPriority w:val="99"/>
    <w:rsid w:val="008D3FDA"/>
    <w:pPr>
      <w:numPr>
        <w:ilvl w:val="1"/>
        <w:numId w:val="14"/>
      </w:numPr>
      <w:bidi w:val="0"/>
      <w:spacing w:before="140" w:after="140" w:line="280" w:lineRule="atLeast"/>
      <w:jc w:val="left"/>
    </w:pPr>
    <w:rPr>
      <w:rFonts w:ascii="Arial" w:eastAsia="Calibri" w:hAnsi="Arial" w:cs="Arial"/>
      <w:sz w:val="22"/>
      <w:szCs w:val="22"/>
      <w:lang w:val="en-AU" w:eastAsia="en-AU"/>
    </w:rPr>
  </w:style>
  <w:style w:type="paragraph" w:customStyle="1" w:styleId="NumberLevel3">
    <w:name w:val="Number Level 3"/>
    <w:basedOn w:val="Normal"/>
    <w:uiPriority w:val="99"/>
    <w:rsid w:val="008D3FDA"/>
    <w:pPr>
      <w:numPr>
        <w:ilvl w:val="2"/>
        <w:numId w:val="14"/>
      </w:numPr>
      <w:bidi w:val="0"/>
      <w:spacing w:before="140" w:after="140" w:line="280" w:lineRule="atLeast"/>
      <w:jc w:val="left"/>
    </w:pPr>
    <w:rPr>
      <w:rFonts w:ascii="Arial" w:eastAsia="Calibri" w:hAnsi="Arial" w:cs="Arial"/>
      <w:sz w:val="22"/>
      <w:szCs w:val="22"/>
      <w:lang w:val="en-AU" w:eastAsia="en-AU"/>
    </w:rPr>
  </w:style>
  <w:style w:type="paragraph" w:customStyle="1" w:styleId="NumberLevel4">
    <w:name w:val="Number Level 4"/>
    <w:basedOn w:val="Normal"/>
    <w:uiPriority w:val="99"/>
    <w:rsid w:val="008D3FDA"/>
    <w:pPr>
      <w:numPr>
        <w:ilvl w:val="3"/>
        <w:numId w:val="14"/>
      </w:numPr>
      <w:bidi w:val="0"/>
      <w:spacing w:after="140" w:line="280" w:lineRule="atLeast"/>
      <w:jc w:val="left"/>
    </w:pPr>
    <w:rPr>
      <w:rFonts w:ascii="Arial" w:eastAsia="Calibri" w:hAnsi="Arial" w:cs="Arial"/>
      <w:sz w:val="22"/>
      <w:szCs w:val="22"/>
      <w:lang w:val="en-AU" w:eastAsia="en-AU"/>
    </w:rPr>
  </w:style>
  <w:style w:type="paragraph" w:customStyle="1" w:styleId="NumberLevel5">
    <w:name w:val="Number Level 5"/>
    <w:basedOn w:val="Normal"/>
    <w:uiPriority w:val="99"/>
    <w:rsid w:val="008D3FDA"/>
    <w:pPr>
      <w:numPr>
        <w:ilvl w:val="4"/>
        <w:numId w:val="14"/>
      </w:numPr>
      <w:bidi w:val="0"/>
      <w:spacing w:after="140" w:line="280" w:lineRule="atLeast"/>
      <w:jc w:val="left"/>
    </w:pPr>
    <w:rPr>
      <w:rFonts w:ascii="Arial" w:eastAsia="Calibri" w:hAnsi="Arial" w:cs="Arial"/>
      <w:sz w:val="22"/>
      <w:szCs w:val="22"/>
      <w:lang w:val="en-AU" w:eastAsia="en-AU"/>
    </w:rPr>
  </w:style>
  <w:style w:type="paragraph" w:customStyle="1" w:styleId="NumberLevel6">
    <w:name w:val="Number Level 6"/>
    <w:basedOn w:val="Normal"/>
    <w:uiPriority w:val="99"/>
    <w:rsid w:val="008D3FDA"/>
    <w:pPr>
      <w:numPr>
        <w:ilvl w:val="5"/>
        <w:numId w:val="14"/>
      </w:numPr>
      <w:bidi w:val="0"/>
      <w:spacing w:after="140" w:line="280" w:lineRule="atLeast"/>
      <w:jc w:val="left"/>
    </w:pPr>
    <w:rPr>
      <w:rFonts w:ascii="Arial" w:eastAsia="Calibri" w:hAnsi="Arial" w:cs="Arial"/>
      <w:sz w:val="22"/>
      <w:szCs w:val="22"/>
      <w:lang w:val="en-AU" w:eastAsia="en-AU"/>
    </w:rPr>
  </w:style>
  <w:style w:type="paragraph" w:customStyle="1" w:styleId="NumberLevel7">
    <w:name w:val="Number Level 7"/>
    <w:basedOn w:val="Normal"/>
    <w:uiPriority w:val="99"/>
    <w:rsid w:val="008D3FDA"/>
    <w:pPr>
      <w:numPr>
        <w:ilvl w:val="6"/>
        <w:numId w:val="14"/>
      </w:numPr>
      <w:bidi w:val="0"/>
      <w:spacing w:after="140" w:line="280" w:lineRule="atLeast"/>
      <w:jc w:val="left"/>
    </w:pPr>
    <w:rPr>
      <w:rFonts w:ascii="Arial" w:eastAsia="Calibri" w:hAnsi="Arial" w:cs="Arial"/>
      <w:sz w:val="22"/>
      <w:szCs w:val="22"/>
      <w:lang w:val="en-AU" w:eastAsia="en-AU"/>
    </w:rPr>
  </w:style>
  <w:style w:type="paragraph" w:customStyle="1" w:styleId="NumberLevel8">
    <w:name w:val="Number Level 8"/>
    <w:basedOn w:val="Normal"/>
    <w:uiPriority w:val="99"/>
    <w:rsid w:val="008D3FDA"/>
    <w:pPr>
      <w:numPr>
        <w:ilvl w:val="7"/>
        <w:numId w:val="14"/>
      </w:numPr>
      <w:bidi w:val="0"/>
      <w:spacing w:after="140" w:line="280" w:lineRule="atLeast"/>
      <w:jc w:val="left"/>
    </w:pPr>
    <w:rPr>
      <w:rFonts w:ascii="Arial" w:eastAsia="Calibri" w:hAnsi="Arial" w:cs="Arial"/>
      <w:sz w:val="22"/>
      <w:szCs w:val="22"/>
      <w:lang w:val="en-AU" w:eastAsia="en-AU"/>
    </w:rPr>
  </w:style>
  <w:style w:type="paragraph" w:customStyle="1" w:styleId="NumberLevel9">
    <w:name w:val="Number Level 9"/>
    <w:basedOn w:val="Normal"/>
    <w:uiPriority w:val="99"/>
    <w:rsid w:val="008D3FDA"/>
    <w:pPr>
      <w:numPr>
        <w:ilvl w:val="8"/>
        <w:numId w:val="14"/>
      </w:numPr>
      <w:bidi w:val="0"/>
      <w:spacing w:after="140" w:line="280" w:lineRule="atLeast"/>
      <w:jc w:val="left"/>
    </w:pPr>
    <w:rPr>
      <w:rFonts w:ascii="Arial" w:eastAsia="Calibri" w:hAnsi="Arial" w:cs="Arial"/>
      <w:sz w:val="22"/>
      <w:szCs w:val="22"/>
      <w:lang w:val="en-AU" w:eastAsia="en-AU"/>
    </w:rPr>
  </w:style>
  <w:style w:type="paragraph" w:styleId="TOCHeading">
    <w:name w:val="TOC Heading"/>
    <w:basedOn w:val="Heading1"/>
    <w:next w:val="Normal"/>
    <w:uiPriority w:val="39"/>
    <w:semiHidden/>
    <w:unhideWhenUsed/>
    <w:qFormat/>
    <w:rsid w:val="008D3FDA"/>
    <w:pPr>
      <w:keepNext/>
      <w:keepLines/>
      <w:tabs>
        <w:tab w:val="clear" w:pos="1928"/>
        <w:tab w:val="clear" w:pos="2608"/>
        <w:tab w:val="clear" w:pos="3289"/>
        <w:tab w:val="clear" w:pos="3969"/>
        <w:tab w:val="clear" w:pos="4649"/>
        <w:tab w:val="clear" w:pos="5330"/>
      </w:tabs>
      <w:suppressAutoHyphens w:val="0"/>
      <w:spacing w:before="480" w:after="0" w:line="276" w:lineRule="auto"/>
      <w:ind w:left="0" w:right="0"/>
      <w:jc w:val="left"/>
      <w:outlineLvl w:val="9"/>
    </w:pPr>
    <w:rPr>
      <w:rFonts w:ascii="Cambria" w:hAnsi="Cambria" w:cs="Times New Roman"/>
      <w:b/>
      <w:bCs/>
      <w:color w:val="365F91"/>
      <w:sz w:val="28"/>
      <w:szCs w:val="28"/>
      <w:lang w:eastAsia="ja-JP"/>
    </w:rPr>
  </w:style>
  <w:style w:type="paragraph" w:styleId="TOC1">
    <w:name w:val="toc 1"/>
    <w:basedOn w:val="Normal"/>
    <w:next w:val="Normal"/>
    <w:autoRedefine/>
    <w:uiPriority w:val="39"/>
    <w:unhideWhenUsed/>
    <w:rsid w:val="008D3FDA"/>
    <w:pPr>
      <w:bidi w:val="0"/>
      <w:spacing w:after="100" w:line="276" w:lineRule="auto"/>
      <w:jc w:val="left"/>
    </w:pPr>
    <w:rPr>
      <w:rFonts w:ascii="Calibri" w:eastAsia="Calibri" w:hAnsi="Calibri" w:cs="Times New Roman"/>
      <w:sz w:val="22"/>
      <w:szCs w:val="22"/>
      <w:lang w:val="en-AU"/>
    </w:rPr>
  </w:style>
  <w:style w:type="paragraph" w:styleId="TOC2">
    <w:name w:val="toc 2"/>
    <w:basedOn w:val="Normal"/>
    <w:next w:val="Normal"/>
    <w:autoRedefine/>
    <w:uiPriority w:val="39"/>
    <w:unhideWhenUsed/>
    <w:rsid w:val="008D3FDA"/>
    <w:pPr>
      <w:bidi w:val="0"/>
      <w:spacing w:after="100" w:line="276" w:lineRule="auto"/>
      <w:ind w:left="220"/>
      <w:jc w:val="left"/>
    </w:pPr>
    <w:rPr>
      <w:rFonts w:ascii="Calibri" w:eastAsia="Calibri" w:hAnsi="Calibri" w:cs="Times New Roman"/>
      <w:sz w:val="22"/>
      <w:szCs w:val="22"/>
      <w:lang w:val="en-AU"/>
    </w:rPr>
  </w:style>
  <w:style w:type="paragraph" w:styleId="TOC3">
    <w:name w:val="toc 3"/>
    <w:basedOn w:val="Normal"/>
    <w:next w:val="Normal"/>
    <w:autoRedefine/>
    <w:uiPriority w:val="39"/>
    <w:unhideWhenUsed/>
    <w:rsid w:val="008D3FDA"/>
    <w:pPr>
      <w:bidi w:val="0"/>
      <w:spacing w:after="100" w:line="276" w:lineRule="auto"/>
      <w:ind w:left="440"/>
      <w:jc w:val="left"/>
    </w:pPr>
    <w:rPr>
      <w:rFonts w:ascii="Calibri" w:eastAsia="Calibri" w:hAnsi="Calibri" w:cs="Times New Roman"/>
      <w:sz w:val="22"/>
      <w:szCs w:val="22"/>
      <w:lang w:val="en-AU"/>
    </w:rPr>
  </w:style>
  <w:style w:type="character" w:customStyle="1" w:styleId="st1">
    <w:name w:val="st1"/>
    <w:rsid w:val="008D3FDA"/>
  </w:style>
  <w:style w:type="paragraph" w:styleId="NormalWeb">
    <w:name w:val="Normal (Web)"/>
    <w:basedOn w:val="Normal"/>
    <w:uiPriority w:val="99"/>
    <w:unhideWhenUsed/>
    <w:rsid w:val="008D3FDA"/>
    <w:pPr>
      <w:bidi w:val="0"/>
      <w:spacing w:before="100" w:beforeAutospacing="1" w:after="100" w:afterAutospacing="1" w:line="240" w:lineRule="auto"/>
      <w:jc w:val="left"/>
    </w:pPr>
    <w:rPr>
      <w:rFonts w:eastAsia="Calibri" w:cs="Times New Roman"/>
      <w:sz w:val="24"/>
      <w:szCs w:val="24"/>
      <w:lang w:val="en-AU" w:eastAsia="en-AU"/>
    </w:rPr>
  </w:style>
  <w:style w:type="paragraph" w:customStyle="1" w:styleId="Default">
    <w:name w:val="Default"/>
    <w:rsid w:val="008D3FDA"/>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character" w:customStyle="1" w:styleId="freetext">
    <w:name w:val="freetext"/>
    <w:basedOn w:val="DefaultParagraphFont"/>
    <w:rsid w:val="008D3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E3669-6C5F-48F1-AAE5-0765484F0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25</Pages>
  <Words>7559</Words>
  <Characters>43088</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CRPD/C/15/D/13/2013</vt:lpstr>
    </vt:vector>
  </TitlesOfParts>
  <Company>DCM</Company>
  <LinksUpToDate>false</LinksUpToDate>
  <CharactersWithSpaces>50546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CRPD/C/15/D/13/2013</dc:title>
  <dc:subject>GE.1608603(A)</dc:subject>
  <dc:creator>IHRZ</dc:creator>
  <cp:keywords>ODS No.1610663</cp:keywords>
  <dc:description>Original: English _x000d_
Distribution: General_x000d_
Date: 30 May 2016</dc:description>
  <cp:lastModifiedBy>El-Maseri M.</cp:lastModifiedBy>
  <cp:revision>2</cp:revision>
  <dcterms:created xsi:type="dcterms:W3CDTF">2016-06-22T10:31:00Z</dcterms:created>
  <dcterms:modified xsi:type="dcterms:W3CDTF">2016-06-22T10:31:00Z</dcterms:modified>
  <cp:category>Final</cp:category>
</cp:coreProperties>
</file>