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3B7063FF" w14:textId="77777777" w:rsidTr="004C4D99">
        <w:trPr>
          <w:trHeight w:hRule="exact" w:val="851"/>
        </w:trPr>
        <w:tc>
          <w:tcPr>
            <w:tcW w:w="1276" w:type="dxa"/>
            <w:tcBorders>
              <w:bottom w:val="single" w:sz="4" w:space="0" w:color="auto"/>
            </w:tcBorders>
          </w:tcPr>
          <w:p w14:paraId="3CFC8187" w14:textId="77777777" w:rsidR="00392B1D" w:rsidRPr="00DB58B5" w:rsidRDefault="00392B1D" w:rsidP="001D2AE9"/>
        </w:tc>
        <w:tc>
          <w:tcPr>
            <w:tcW w:w="2268" w:type="dxa"/>
            <w:tcBorders>
              <w:bottom w:val="single" w:sz="4" w:space="0" w:color="auto"/>
            </w:tcBorders>
            <w:vAlign w:val="bottom"/>
          </w:tcPr>
          <w:p w14:paraId="3E01DF9A"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EBDC54" w14:textId="45137534" w:rsidR="00392B1D" w:rsidRPr="00DB58B5" w:rsidRDefault="001D2AE9" w:rsidP="001D2AE9">
            <w:pPr>
              <w:jc w:val="right"/>
            </w:pPr>
            <w:r w:rsidRPr="001D2AE9">
              <w:rPr>
                <w:sz w:val="40"/>
              </w:rPr>
              <w:t>CED</w:t>
            </w:r>
            <w:r>
              <w:t>/C/21/2</w:t>
            </w:r>
          </w:p>
        </w:tc>
      </w:tr>
      <w:tr w:rsidR="00392B1D" w:rsidRPr="00DB58B5" w14:paraId="412E21A1" w14:textId="77777777" w:rsidTr="004C4D99">
        <w:trPr>
          <w:trHeight w:hRule="exact" w:val="2835"/>
        </w:trPr>
        <w:tc>
          <w:tcPr>
            <w:tcW w:w="1276" w:type="dxa"/>
            <w:tcBorders>
              <w:top w:val="single" w:sz="4" w:space="0" w:color="auto"/>
              <w:bottom w:val="single" w:sz="12" w:space="0" w:color="auto"/>
            </w:tcBorders>
          </w:tcPr>
          <w:p w14:paraId="61B9138A" w14:textId="77777777" w:rsidR="00392B1D" w:rsidRPr="00DB58B5" w:rsidRDefault="00392B1D" w:rsidP="004C4D99">
            <w:pPr>
              <w:spacing w:before="120"/>
              <w:jc w:val="center"/>
            </w:pPr>
            <w:r>
              <w:rPr>
                <w:noProof/>
                <w:lang w:eastAsia="fr-CH"/>
              </w:rPr>
              <w:drawing>
                <wp:inline distT="0" distB="0" distL="0" distR="0" wp14:anchorId="7DAD25EA" wp14:editId="7694813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2F702C"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1A39D446" w14:textId="77777777" w:rsidR="00392B1D" w:rsidRDefault="001D2AE9" w:rsidP="004C4D99">
            <w:pPr>
              <w:spacing w:before="240"/>
            </w:pPr>
            <w:proofErr w:type="spellStart"/>
            <w:r>
              <w:t>Distr</w:t>
            </w:r>
            <w:proofErr w:type="spellEnd"/>
            <w:r>
              <w:t>. générale</w:t>
            </w:r>
          </w:p>
          <w:p w14:paraId="5EE6E5F9" w14:textId="77777777" w:rsidR="001D2AE9" w:rsidRDefault="001D2AE9" w:rsidP="001D2AE9">
            <w:pPr>
              <w:spacing w:line="240" w:lineRule="exact"/>
            </w:pPr>
            <w:r>
              <w:t>20 octobre 2021</w:t>
            </w:r>
          </w:p>
          <w:p w14:paraId="6DA51530" w14:textId="77777777" w:rsidR="001D2AE9" w:rsidRDefault="001D2AE9" w:rsidP="001D2AE9">
            <w:pPr>
              <w:spacing w:line="240" w:lineRule="exact"/>
            </w:pPr>
            <w:r>
              <w:t>Français</w:t>
            </w:r>
          </w:p>
          <w:p w14:paraId="7AEF160E" w14:textId="11BA7C85" w:rsidR="001D2AE9" w:rsidRPr="00DB58B5" w:rsidRDefault="001D2AE9" w:rsidP="001D2AE9">
            <w:pPr>
              <w:spacing w:line="240" w:lineRule="exact"/>
            </w:pPr>
            <w:r>
              <w:t>Original : anglais</w:t>
            </w:r>
          </w:p>
        </w:tc>
      </w:tr>
    </w:tbl>
    <w:p w14:paraId="21CCF1C9" w14:textId="77777777" w:rsidR="00392B1D" w:rsidRPr="00D55CFF" w:rsidRDefault="00392B1D" w:rsidP="00392B1D">
      <w:pPr>
        <w:spacing w:before="120"/>
        <w:rPr>
          <w:b/>
          <w:sz w:val="24"/>
          <w:szCs w:val="24"/>
        </w:rPr>
      </w:pPr>
      <w:r w:rsidRPr="00D55CFF">
        <w:rPr>
          <w:b/>
          <w:sz w:val="24"/>
          <w:szCs w:val="24"/>
        </w:rPr>
        <w:t>Comité des disparitions forcées</w:t>
      </w:r>
    </w:p>
    <w:p w14:paraId="2631FCD4" w14:textId="77777777" w:rsidR="001D2AE9" w:rsidRPr="0014400B" w:rsidRDefault="001D2AE9" w:rsidP="001D2AE9">
      <w:pPr>
        <w:pStyle w:val="HChG"/>
        <w:rPr>
          <w:lang w:val="fr-FR"/>
        </w:rPr>
      </w:pPr>
      <w:r w:rsidRPr="0014400B">
        <w:rPr>
          <w:lang w:val="fr-FR"/>
        </w:rPr>
        <w:tab/>
      </w:r>
      <w:r w:rsidRPr="0014400B">
        <w:rPr>
          <w:lang w:val="fr-FR"/>
        </w:rPr>
        <w:tab/>
        <w:t>Rapport sur les demandes d</w:t>
      </w:r>
      <w:r>
        <w:rPr>
          <w:lang w:val="fr-FR"/>
        </w:rPr>
        <w:t>’</w:t>
      </w:r>
      <w:r w:rsidRPr="0014400B">
        <w:rPr>
          <w:lang w:val="fr-FR"/>
        </w:rPr>
        <w:t xml:space="preserve">action en urgence reçues </w:t>
      </w:r>
      <w:r>
        <w:rPr>
          <w:lang w:val="fr-FR"/>
        </w:rPr>
        <w:br/>
      </w:r>
      <w:r w:rsidRPr="0014400B">
        <w:rPr>
          <w:lang w:val="fr-FR"/>
        </w:rPr>
        <w:t>au titre de l</w:t>
      </w:r>
      <w:r>
        <w:rPr>
          <w:lang w:val="fr-FR"/>
        </w:rPr>
        <w:t>’</w:t>
      </w:r>
      <w:r w:rsidRPr="0014400B">
        <w:rPr>
          <w:lang w:val="fr-FR"/>
        </w:rPr>
        <w:t>article 30 de la Convention</w:t>
      </w:r>
      <w:r w:rsidRPr="008C3C1B">
        <w:rPr>
          <w:rStyle w:val="Appelnotedebasdep"/>
          <w:b w:val="0"/>
          <w:bCs/>
          <w:sz w:val="20"/>
          <w:vertAlign w:val="baseline"/>
        </w:rPr>
        <w:footnoteReference w:customMarkFollows="1" w:id="2"/>
        <w:t>*</w:t>
      </w:r>
    </w:p>
    <w:p w14:paraId="66BD21A3" w14:textId="77777777" w:rsidR="001D2AE9" w:rsidRPr="0014400B" w:rsidRDefault="001D2AE9" w:rsidP="001D2AE9">
      <w:pPr>
        <w:pStyle w:val="H1G"/>
        <w:rPr>
          <w:lang w:val="fr-FR"/>
        </w:rPr>
      </w:pPr>
      <w:r>
        <w:rPr>
          <w:lang w:val="fr-FR"/>
        </w:rPr>
        <w:tab/>
      </w:r>
      <w:r w:rsidRPr="0014400B">
        <w:rPr>
          <w:lang w:val="fr-FR"/>
        </w:rPr>
        <w:t>A</w:t>
      </w:r>
      <w:r w:rsidRPr="00DC385F">
        <w:rPr>
          <w:lang w:val="fr-FR"/>
        </w:rPr>
        <w:t>.</w:t>
      </w:r>
      <w:r w:rsidRPr="0014400B">
        <w:rPr>
          <w:lang w:val="fr-FR"/>
        </w:rPr>
        <w:tab/>
        <w:t>Introduction</w:t>
      </w:r>
    </w:p>
    <w:p w14:paraId="00C05524" w14:textId="77777777" w:rsidR="001D2AE9" w:rsidRPr="0014400B" w:rsidRDefault="001D2AE9" w:rsidP="001D2AE9">
      <w:pPr>
        <w:pStyle w:val="SingleTxtG"/>
        <w:rPr>
          <w:lang w:val="fr-FR"/>
        </w:rPr>
      </w:pPr>
      <w:r w:rsidRPr="0014400B">
        <w:rPr>
          <w:lang w:val="fr-FR"/>
        </w:rPr>
        <w:t>1</w:t>
      </w:r>
      <w:r w:rsidRPr="00DC385F">
        <w:rPr>
          <w:lang w:val="fr-FR"/>
        </w:rPr>
        <w:t>.</w:t>
      </w:r>
      <w:r w:rsidRPr="0014400B">
        <w:rPr>
          <w:lang w:val="fr-FR"/>
        </w:rPr>
        <w:tab/>
        <w:t>Le Règlement intérieur du Comité dispose en ses articles 57 et 58 que sont portées à l</w:t>
      </w:r>
      <w:r>
        <w:rPr>
          <w:lang w:val="fr-FR"/>
        </w:rPr>
        <w:t>’</w:t>
      </w:r>
      <w:r w:rsidRPr="0014400B">
        <w:rPr>
          <w:lang w:val="fr-FR"/>
        </w:rPr>
        <w:t>attention du Comité toutes les demandes d</w:t>
      </w:r>
      <w:r>
        <w:rPr>
          <w:lang w:val="fr-FR"/>
        </w:rPr>
        <w:t>’</w:t>
      </w:r>
      <w:r w:rsidRPr="0014400B">
        <w:rPr>
          <w:lang w:val="fr-FR"/>
        </w:rPr>
        <w:t>action en urgence qui sont présentées pour examen par le Comité au titre de l</w:t>
      </w:r>
      <w:r>
        <w:rPr>
          <w:lang w:val="fr-FR"/>
        </w:rPr>
        <w:t>’</w:t>
      </w:r>
      <w:r w:rsidRPr="0014400B">
        <w:rPr>
          <w:lang w:val="fr-FR"/>
        </w:rPr>
        <w:t>article 30 de la Convention</w:t>
      </w:r>
      <w:r w:rsidRPr="00DC385F">
        <w:rPr>
          <w:lang w:val="fr-FR"/>
        </w:rPr>
        <w:t>.</w:t>
      </w:r>
      <w:r w:rsidRPr="0014400B">
        <w:rPr>
          <w:lang w:val="fr-FR"/>
        </w:rPr>
        <w:t xml:space="preserve"> Tout membre du Comité qui en fait la demande peut obtenir le texte intégral de toute demande dans la langue originale</w:t>
      </w:r>
      <w:r w:rsidRPr="00DC385F">
        <w:rPr>
          <w:lang w:val="fr-FR"/>
        </w:rPr>
        <w:t>.</w:t>
      </w:r>
      <w:r w:rsidRPr="0014400B">
        <w:rPr>
          <w:lang w:val="fr-FR"/>
        </w:rPr>
        <w:t xml:space="preserve"> Le présent rapport résume les principales questions traitées concernant les demandes d</w:t>
      </w:r>
      <w:r>
        <w:rPr>
          <w:lang w:val="fr-FR"/>
        </w:rPr>
        <w:t>’</w:t>
      </w:r>
      <w:r w:rsidRPr="0014400B">
        <w:rPr>
          <w:lang w:val="fr-FR"/>
        </w:rPr>
        <w:t>action en urgence reçues par le Comité et les décisions prises depuis la vingtième session du Comité au titre de l</w:t>
      </w:r>
      <w:r>
        <w:rPr>
          <w:lang w:val="fr-FR"/>
        </w:rPr>
        <w:t>’</w:t>
      </w:r>
      <w:r w:rsidRPr="0014400B">
        <w:rPr>
          <w:lang w:val="fr-FR"/>
        </w:rPr>
        <w:t>article 30 de la Convention</w:t>
      </w:r>
      <w:r w:rsidRPr="00DC385F">
        <w:rPr>
          <w:lang w:val="fr-FR"/>
        </w:rPr>
        <w:t>.</w:t>
      </w:r>
    </w:p>
    <w:p w14:paraId="6D8F0145" w14:textId="77777777" w:rsidR="001D2AE9" w:rsidRPr="0014400B" w:rsidRDefault="001D2AE9" w:rsidP="001D2AE9">
      <w:pPr>
        <w:pStyle w:val="H1G"/>
        <w:rPr>
          <w:lang w:val="fr-FR"/>
        </w:rPr>
      </w:pPr>
      <w:r>
        <w:rPr>
          <w:lang w:val="fr-FR"/>
        </w:rPr>
        <w:tab/>
      </w:r>
      <w:r w:rsidRPr="0014400B">
        <w:rPr>
          <w:lang w:val="fr-FR"/>
        </w:rPr>
        <w:t>B</w:t>
      </w:r>
      <w:r w:rsidRPr="00DC385F">
        <w:rPr>
          <w:lang w:val="fr-FR"/>
        </w:rPr>
        <w:t>.</w:t>
      </w:r>
      <w:r w:rsidRPr="0014400B">
        <w:rPr>
          <w:lang w:val="fr-FR"/>
        </w:rPr>
        <w:tab/>
      </w:r>
      <w:r w:rsidRPr="0014400B">
        <w:rPr>
          <w:bCs/>
          <w:lang w:val="fr-FR"/>
        </w:rPr>
        <w:t>Demandes d</w:t>
      </w:r>
      <w:r>
        <w:rPr>
          <w:bCs/>
          <w:lang w:val="fr-FR"/>
        </w:rPr>
        <w:t>’</w:t>
      </w:r>
      <w:r w:rsidRPr="0014400B">
        <w:rPr>
          <w:bCs/>
          <w:lang w:val="fr-FR"/>
        </w:rPr>
        <w:t xml:space="preserve">action en urgence reçues depuis la vingtième session </w:t>
      </w:r>
      <w:r>
        <w:rPr>
          <w:bCs/>
          <w:lang w:val="fr-FR"/>
        </w:rPr>
        <w:br/>
      </w:r>
      <w:r w:rsidRPr="0014400B">
        <w:rPr>
          <w:bCs/>
          <w:lang w:val="fr-FR"/>
        </w:rPr>
        <w:t>du Comité</w:t>
      </w:r>
    </w:p>
    <w:p w14:paraId="2230A0F1" w14:textId="77777777" w:rsidR="001D2AE9" w:rsidRPr="0014400B" w:rsidRDefault="001D2AE9" w:rsidP="001D2AE9">
      <w:pPr>
        <w:pStyle w:val="SingleTxtG"/>
        <w:rPr>
          <w:lang w:val="fr-FR"/>
        </w:rPr>
      </w:pPr>
      <w:r w:rsidRPr="0014400B">
        <w:rPr>
          <w:lang w:val="fr-FR"/>
        </w:rPr>
        <w:t>2</w:t>
      </w:r>
      <w:r w:rsidRPr="00DC385F">
        <w:rPr>
          <w:lang w:val="fr-FR"/>
        </w:rPr>
        <w:t>.</w:t>
      </w:r>
      <w:r w:rsidRPr="0014400B">
        <w:rPr>
          <w:lang w:val="fr-FR"/>
        </w:rPr>
        <w:tab/>
        <w:t>Dans le rapport sur les demandes d</w:t>
      </w:r>
      <w:r>
        <w:rPr>
          <w:lang w:val="fr-FR"/>
        </w:rPr>
        <w:t>’</w:t>
      </w:r>
      <w:r w:rsidRPr="0014400B">
        <w:rPr>
          <w:lang w:val="fr-FR"/>
        </w:rPr>
        <w:t>action en urgence adopté à sa vingtième session</w:t>
      </w:r>
      <w:r w:rsidRPr="0083613F">
        <w:rPr>
          <w:rStyle w:val="Appelnotedebasdep"/>
        </w:rPr>
        <w:footnoteReference w:id="3"/>
      </w:r>
      <w:r w:rsidRPr="0014400B">
        <w:rPr>
          <w:lang w:val="fr-FR"/>
        </w:rPr>
        <w:t>, le Comité rendait compte des décisions prises au sujet des 1</w:t>
      </w:r>
      <w:r>
        <w:rPr>
          <w:lang w:val="fr-FR"/>
        </w:rPr>
        <w:t> </w:t>
      </w:r>
      <w:r w:rsidRPr="0014400B">
        <w:rPr>
          <w:lang w:val="fr-FR"/>
        </w:rPr>
        <w:t>013 demandes d</w:t>
      </w:r>
      <w:r>
        <w:rPr>
          <w:lang w:val="fr-FR"/>
        </w:rPr>
        <w:t>’</w:t>
      </w:r>
      <w:r w:rsidRPr="0014400B">
        <w:rPr>
          <w:lang w:val="fr-FR"/>
        </w:rPr>
        <w:t>action en urgence enregistrées au 1</w:t>
      </w:r>
      <w:r w:rsidRPr="0014400B">
        <w:rPr>
          <w:vertAlign w:val="superscript"/>
          <w:lang w:val="fr-FR"/>
        </w:rPr>
        <w:t>er</w:t>
      </w:r>
      <w:r w:rsidRPr="0014400B">
        <w:rPr>
          <w:lang w:val="fr-FR"/>
        </w:rPr>
        <w:t xml:space="preserve"> avril 2021</w:t>
      </w:r>
      <w:r w:rsidRPr="00DC385F">
        <w:rPr>
          <w:lang w:val="fr-FR"/>
        </w:rPr>
        <w:t>.</w:t>
      </w:r>
      <w:r w:rsidRPr="0014400B">
        <w:rPr>
          <w:lang w:val="fr-FR"/>
        </w:rPr>
        <w:t xml:space="preserve"> Entre cette date et le </w:t>
      </w:r>
      <w:r>
        <w:rPr>
          <w:lang w:val="fr-FR"/>
        </w:rPr>
        <w:t>15 septembre</w:t>
      </w:r>
      <w:r w:rsidRPr="0014400B">
        <w:rPr>
          <w:lang w:val="fr-FR"/>
        </w:rPr>
        <w:t xml:space="preserve"> 2021, le Comité a reçu </w:t>
      </w:r>
      <w:r>
        <w:rPr>
          <w:lang w:val="fr-FR"/>
        </w:rPr>
        <w:t>400 </w:t>
      </w:r>
      <w:r w:rsidRPr="0014400B">
        <w:rPr>
          <w:lang w:val="fr-FR"/>
        </w:rPr>
        <w:t>nouvelles demandes d</w:t>
      </w:r>
      <w:r>
        <w:rPr>
          <w:lang w:val="fr-FR"/>
        </w:rPr>
        <w:t>’</w:t>
      </w:r>
      <w:r w:rsidRPr="0014400B">
        <w:rPr>
          <w:lang w:val="fr-FR"/>
        </w:rPr>
        <w:t xml:space="preserve">action en urgence, dont </w:t>
      </w:r>
      <w:r>
        <w:rPr>
          <w:lang w:val="fr-FR"/>
        </w:rPr>
        <w:t>397</w:t>
      </w:r>
      <w:r w:rsidRPr="0014400B">
        <w:rPr>
          <w:lang w:val="fr-FR"/>
        </w:rPr>
        <w:t xml:space="preserve"> ont été enregistrées</w:t>
      </w:r>
      <w:r w:rsidRPr="00DC385F">
        <w:rPr>
          <w:lang w:val="fr-FR"/>
        </w:rPr>
        <w:t>.</w:t>
      </w:r>
      <w:r w:rsidRPr="0014400B">
        <w:rPr>
          <w:lang w:val="fr-FR"/>
        </w:rPr>
        <w:t xml:space="preserve"> Une demande n</w:t>
      </w:r>
      <w:r>
        <w:rPr>
          <w:lang w:val="fr-FR"/>
        </w:rPr>
        <w:t>’</w:t>
      </w:r>
      <w:r w:rsidRPr="0014400B">
        <w:rPr>
          <w:lang w:val="fr-FR"/>
        </w:rPr>
        <w:t>a pas été enregistrée car elle concernait un cas de disparition présumée dans un État qui n</w:t>
      </w:r>
      <w:r>
        <w:rPr>
          <w:lang w:val="fr-FR"/>
        </w:rPr>
        <w:t>’</w:t>
      </w:r>
      <w:r w:rsidRPr="0014400B">
        <w:rPr>
          <w:lang w:val="fr-FR"/>
        </w:rPr>
        <w:t>avait pas ratifié la Convention</w:t>
      </w:r>
      <w:r>
        <w:rPr>
          <w:lang w:val="fr-FR"/>
        </w:rPr>
        <w:t> </w:t>
      </w:r>
      <w:r w:rsidRPr="0014400B">
        <w:rPr>
          <w:lang w:val="fr-FR"/>
        </w:rPr>
        <w:t>: conformément à la pratique établie, cette demande a été transmise au Groupe de travail sur les disparitions forcées ou involontaires</w:t>
      </w:r>
      <w:r w:rsidRPr="00DC385F">
        <w:rPr>
          <w:lang w:val="fr-FR"/>
        </w:rPr>
        <w:t>.</w:t>
      </w:r>
      <w:r w:rsidRPr="0014400B">
        <w:rPr>
          <w:lang w:val="fr-FR"/>
        </w:rPr>
        <w:t xml:space="preserve"> </w:t>
      </w:r>
      <w:r>
        <w:rPr>
          <w:lang w:val="fr-FR"/>
        </w:rPr>
        <w:t>Une deuxième demande faisait état de faits qui n’étaient pas constitutifs d’une disparition telle qu’elle est définie par la Convention</w:t>
      </w:r>
      <w:r w:rsidRPr="00DC385F">
        <w:rPr>
          <w:lang w:val="fr-FR"/>
        </w:rPr>
        <w:t>.</w:t>
      </w:r>
      <w:r>
        <w:rPr>
          <w:lang w:val="fr-FR"/>
        </w:rPr>
        <w:t xml:space="preserve"> Une troisième demande ne comportait pas suffisamment de renseignements pour établir les faits</w:t>
      </w:r>
      <w:r w:rsidRPr="00DC385F">
        <w:rPr>
          <w:lang w:val="fr-FR"/>
        </w:rPr>
        <w:t>.</w:t>
      </w:r>
      <w:r>
        <w:rPr>
          <w:lang w:val="fr-FR"/>
        </w:rPr>
        <w:t xml:space="preserve"> </w:t>
      </w:r>
      <w:r w:rsidRPr="0014400B">
        <w:rPr>
          <w:lang w:val="fr-FR"/>
        </w:rPr>
        <w:t xml:space="preserve">Les </w:t>
      </w:r>
      <w:r>
        <w:rPr>
          <w:lang w:val="fr-FR"/>
        </w:rPr>
        <w:t>397 </w:t>
      </w:r>
      <w:r w:rsidRPr="0014400B">
        <w:rPr>
          <w:lang w:val="fr-FR"/>
        </w:rPr>
        <w:t>nouvelles demandes enregistrées concernent des disparitions en Colombie, à Cuba, au Honduras, en Iraq</w:t>
      </w:r>
      <w:r>
        <w:rPr>
          <w:lang w:val="fr-FR"/>
        </w:rPr>
        <w:t>, au Mali, au Maroc</w:t>
      </w:r>
      <w:r w:rsidRPr="0014400B">
        <w:rPr>
          <w:lang w:val="fr-FR"/>
        </w:rPr>
        <w:t xml:space="preserve"> et au Mexique</w:t>
      </w:r>
      <w:r w:rsidRPr="00DC385F">
        <w:rPr>
          <w:lang w:val="fr-FR"/>
        </w:rPr>
        <w:t>.</w:t>
      </w:r>
    </w:p>
    <w:p w14:paraId="01D758CF" w14:textId="15239561" w:rsidR="00446FE5" w:rsidRDefault="001D2AE9" w:rsidP="001D2AE9">
      <w:pPr>
        <w:pStyle w:val="SingleTxtG"/>
        <w:rPr>
          <w:lang w:val="fr-FR"/>
        </w:rPr>
      </w:pPr>
      <w:r w:rsidRPr="0014400B">
        <w:rPr>
          <w:lang w:val="fr-FR"/>
        </w:rPr>
        <w:t>3</w:t>
      </w:r>
      <w:r w:rsidRPr="00DC385F">
        <w:rPr>
          <w:lang w:val="fr-FR"/>
        </w:rPr>
        <w:t>.</w:t>
      </w:r>
      <w:r w:rsidRPr="0014400B">
        <w:rPr>
          <w:lang w:val="fr-FR"/>
        </w:rPr>
        <w:tab/>
        <w:t xml:space="preserve">Au </w:t>
      </w:r>
      <w:r>
        <w:rPr>
          <w:lang w:val="fr-FR"/>
        </w:rPr>
        <w:t>15 septembre</w:t>
      </w:r>
      <w:r w:rsidRPr="0014400B">
        <w:rPr>
          <w:lang w:val="fr-FR"/>
        </w:rPr>
        <w:t xml:space="preserve"> 2021, le Comité avait enregistré 1</w:t>
      </w:r>
      <w:r>
        <w:rPr>
          <w:lang w:val="fr-FR"/>
        </w:rPr>
        <w:t> 410</w:t>
      </w:r>
      <w:r w:rsidRPr="0014400B">
        <w:rPr>
          <w:lang w:val="fr-FR"/>
        </w:rPr>
        <w:t xml:space="preserve"> demandes d</w:t>
      </w:r>
      <w:r>
        <w:rPr>
          <w:lang w:val="fr-FR"/>
        </w:rPr>
        <w:t>’</w:t>
      </w:r>
      <w:r w:rsidRPr="0014400B">
        <w:rPr>
          <w:lang w:val="fr-FR"/>
        </w:rPr>
        <w:t>action en urgence, comme indiqué dans le tableau ci-après</w:t>
      </w:r>
      <w:r w:rsidRPr="00DC385F">
        <w:rPr>
          <w:lang w:val="fr-FR"/>
        </w:rPr>
        <w:t>.</w:t>
      </w:r>
      <w:r>
        <w:rPr>
          <w:lang w:val="fr-FR"/>
        </w:rPr>
        <w:t xml:space="preserve"> </w:t>
      </w:r>
    </w:p>
    <w:p w14:paraId="3855EF38" w14:textId="77777777" w:rsidR="003674C1" w:rsidRDefault="003674C1" w:rsidP="001D2AE9">
      <w:pPr>
        <w:pStyle w:val="SingleTxtG"/>
        <w:sectPr w:rsidR="003674C1" w:rsidSect="001D2AE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39DD7F62" w14:textId="77777777" w:rsidR="003674C1" w:rsidRPr="0014400B" w:rsidRDefault="003674C1" w:rsidP="003674C1">
      <w:pPr>
        <w:pStyle w:val="H23G"/>
        <w:rPr>
          <w:lang w:val="fr-FR"/>
        </w:rPr>
      </w:pPr>
      <w:r>
        <w:rPr>
          <w:lang w:val="fr-FR"/>
        </w:rPr>
        <w:lastRenderedPageBreak/>
        <w:tab/>
      </w:r>
      <w:r>
        <w:rPr>
          <w:lang w:val="fr-FR"/>
        </w:rPr>
        <w:tab/>
      </w:r>
      <w:r w:rsidRPr="0014400B">
        <w:rPr>
          <w:lang w:val="fr-FR"/>
        </w:rPr>
        <w:t>Demandes d</w:t>
      </w:r>
      <w:r>
        <w:rPr>
          <w:lang w:val="fr-FR"/>
        </w:rPr>
        <w:t>’</w:t>
      </w:r>
      <w:r w:rsidRPr="0014400B">
        <w:rPr>
          <w:lang w:val="fr-FR"/>
        </w:rPr>
        <w:t xml:space="preserve">action en urgence enregistrées au </w:t>
      </w:r>
      <w:r>
        <w:rPr>
          <w:lang w:val="fr-FR"/>
        </w:rPr>
        <w:t>15 septembre</w:t>
      </w:r>
      <w:r w:rsidRPr="0014400B">
        <w:rPr>
          <w:lang w:val="fr-FR"/>
        </w:rPr>
        <w:t xml:space="preserve"> 2021, par année et par État partie</w:t>
      </w:r>
    </w:p>
    <w:tbl>
      <w:tblPr>
        <w:tblW w:w="13776" w:type="dxa"/>
        <w:tblInd w:w="283" w:type="dxa"/>
        <w:tblLayout w:type="fixed"/>
        <w:tblCellMar>
          <w:left w:w="0" w:type="dxa"/>
          <w:right w:w="0" w:type="dxa"/>
        </w:tblCellMar>
        <w:tblLook w:val="04A0" w:firstRow="1" w:lastRow="0" w:firstColumn="1" w:lastColumn="0" w:noHBand="0" w:noVBand="1"/>
      </w:tblPr>
      <w:tblGrid>
        <w:gridCol w:w="1298"/>
        <w:gridCol w:w="487"/>
        <w:gridCol w:w="487"/>
        <w:gridCol w:w="487"/>
        <w:gridCol w:w="487"/>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1296"/>
      </w:tblGrid>
      <w:tr w:rsidR="003674C1" w:rsidRPr="000A0BBA" w14:paraId="131A912C" w14:textId="77777777" w:rsidTr="004F4B2F">
        <w:trPr>
          <w:cantSplit/>
          <w:trHeight w:val="2207"/>
          <w:tblHeader/>
        </w:trPr>
        <w:tc>
          <w:tcPr>
            <w:tcW w:w="908" w:type="dxa"/>
            <w:tcBorders>
              <w:top w:val="single" w:sz="4" w:space="0" w:color="auto"/>
              <w:bottom w:val="single" w:sz="12" w:space="0" w:color="auto"/>
            </w:tcBorders>
            <w:shd w:val="clear" w:color="auto" w:fill="auto"/>
            <w:vAlign w:val="bottom"/>
          </w:tcPr>
          <w:p w14:paraId="016CAACC" w14:textId="77777777" w:rsidR="003674C1" w:rsidRPr="000A0BBA" w:rsidRDefault="003674C1" w:rsidP="004F4B2F">
            <w:pPr>
              <w:suppressAutoHyphens w:val="0"/>
              <w:spacing w:before="80" w:after="80" w:line="200" w:lineRule="exact"/>
              <w:rPr>
                <w:i/>
                <w:sz w:val="16"/>
              </w:rPr>
            </w:pPr>
            <w:r w:rsidRPr="000A0BBA">
              <w:rPr>
                <w:i/>
                <w:sz w:val="16"/>
                <w:lang w:val="fr-FR"/>
              </w:rPr>
              <w:t>Année</w:t>
            </w:r>
          </w:p>
        </w:tc>
        <w:tc>
          <w:tcPr>
            <w:tcW w:w="341" w:type="dxa"/>
            <w:tcBorders>
              <w:top w:val="single" w:sz="4" w:space="0" w:color="auto"/>
              <w:bottom w:val="single" w:sz="12" w:space="0" w:color="auto"/>
            </w:tcBorders>
            <w:shd w:val="clear" w:color="auto" w:fill="auto"/>
            <w:textDirection w:val="btLr"/>
            <w:vAlign w:val="bottom"/>
          </w:tcPr>
          <w:p w14:paraId="40E0FF91" w14:textId="77777777" w:rsidR="003674C1" w:rsidRPr="000A0BBA" w:rsidRDefault="003674C1" w:rsidP="004F4B2F">
            <w:pPr>
              <w:suppressAutoHyphens w:val="0"/>
              <w:spacing w:before="80" w:after="80" w:line="200" w:lineRule="exact"/>
              <w:ind w:left="113"/>
              <w:rPr>
                <w:i/>
                <w:sz w:val="16"/>
              </w:rPr>
            </w:pPr>
            <w:r w:rsidRPr="000A0BBA">
              <w:rPr>
                <w:i/>
                <w:sz w:val="16"/>
                <w:lang w:val="fr-FR"/>
              </w:rPr>
              <w:t>Argentine</w:t>
            </w:r>
          </w:p>
        </w:tc>
        <w:tc>
          <w:tcPr>
            <w:tcW w:w="341" w:type="dxa"/>
            <w:tcBorders>
              <w:top w:val="single" w:sz="4" w:space="0" w:color="auto"/>
              <w:bottom w:val="single" w:sz="12" w:space="0" w:color="auto"/>
            </w:tcBorders>
            <w:shd w:val="clear" w:color="auto" w:fill="auto"/>
            <w:textDirection w:val="btLr"/>
            <w:vAlign w:val="bottom"/>
          </w:tcPr>
          <w:p w14:paraId="12B94502" w14:textId="77777777" w:rsidR="003674C1" w:rsidRPr="000A0BBA" w:rsidRDefault="003674C1" w:rsidP="004F4B2F">
            <w:pPr>
              <w:suppressAutoHyphens w:val="0"/>
              <w:spacing w:before="80" w:after="80" w:line="200" w:lineRule="exact"/>
              <w:ind w:left="113"/>
              <w:rPr>
                <w:i/>
                <w:sz w:val="16"/>
              </w:rPr>
            </w:pPr>
            <w:r w:rsidRPr="000A0BBA">
              <w:rPr>
                <w:i/>
                <w:sz w:val="16"/>
                <w:lang w:val="fr-FR"/>
              </w:rPr>
              <w:t>Arménie</w:t>
            </w:r>
          </w:p>
        </w:tc>
        <w:tc>
          <w:tcPr>
            <w:tcW w:w="341" w:type="dxa"/>
            <w:tcBorders>
              <w:top w:val="single" w:sz="4" w:space="0" w:color="auto"/>
              <w:bottom w:val="single" w:sz="12" w:space="0" w:color="auto"/>
            </w:tcBorders>
            <w:shd w:val="clear" w:color="auto" w:fill="auto"/>
            <w:textDirection w:val="btLr"/>
            <w:vAlign w:val="bottom"/>
          </w:tcPr>
          <w:p w14:paraId="689908CF" w14:textId="77777777" w:rsidR="003674C1" w:rsidRPr="000A0BBA" w:rsidRDefault="003674C1" w:rsidP="004F4B2F">
            <w:pPr>
              <w:suppressAutoHyphens w:val="0"/>
              <w:spacing w:before="80" w:after="80" w:line="200" w:lineRule="exact"/>
              <w:ind w:left="113"/>
              <w:rPr>
                <w:i/>
                <w:sz w:val="16"/>
              </w:rPr>
            </w:pPr>
            <w:r w:rsidRPr="000A0BBA">
              <w:rPr>
                <w:i/>
                <w:sz w:val="16"/>
                <w:lang w:val="fr-FR"/>
              </w:rPr>
              <w:t>Bolivie (État plurinational de)</w:t>
            </w:r>
          </w:p>
        </w:tc>
        <w:tc>
          <w:tcPr>
            <w:tcW w:w="341" w:type="dxa"/>
            <w:tcBorders>
              <w:top w:val="single" w:sz="4" w:space="0" w:color="auto"/>
              <w:bottom w:val="single" w:sz="12" w:space="0" w:color="auto"/>
            </w:tcBorders>
            <w:shd w:val="clear" w:color="auto" w:fill="auto"/>
            <w:textDirection w:val="btLr"/>
            <w:vAlign w:val="bottom"/>
          </w:tcPr>
          <w:p w14:paraId="51F3D80C" w14:textId="77777777" w:rsidR="003674C1" w:rsidRPr="000A0BBA" w:rsidRDefault="003674C1" w:rsidP="004F4B2F">
            <w:pPr>
              <w:suppressAutoHyphens w:val="0"/>
              <w:spacing w:before="80" w:after="80" w:line="200" w:lineRule="exact"/>
              <w:ind w:left="113"/>
              <w:rPr>
                <w:i/>
                <w:sz w:val="16"/>
              </w:rPr>
            </w:pPr>
            <w:r w:rsidRPr="000A0BBA">
              <w:rPr>
                <w:i/>
                <w:sz w:val="16"/>
                <w:lang w:val="fr-FR"/>
              </w:rPr>
              <w:t>Brésil</w:t>
            </w:r>
          </w:p>
        </w:tc>
        <w:tc>
          <w:tcPr>
            <w:tcW w:w="340" w:type="dxa"/>
            <w:tcBorders>
              <w:top w:val="single" w:sz="4" w:space="0" w:color="auto"/>
              <w:bottom w:val="single" w:sz="12" w:space="0" w:color="auto"/>
            </w:tcBorders>
            <w:shd w:val="clear" w:color="auto" w:fill="auto"/>
            <w:textDirection w:val="btLr"/>
            <w:vAlign w:val="bottom"/>
          </w:tcPr>
          <w:p w14:paraId="12B41EF3" w14:textId="77777777" w:rsidR="003674C1" w:rsidRPr="000A0BBA" w:rsidRDefault="003674C1" w:rsidP="004F4B2F">
            <w:pPr>
              <w:suppressAutoHyphens w:val="0"/>
              <w:spacing w:before="80" w:after="80" w:line="200" w:lineRule="exact"/>
              <w:ind w:left="113"/>
              <w:rPr>
                <w:i/>
                <w:sz w:val="16"/>
              </w:rPr>
            </w:pPr>
            <w:r w:rsidRPr="000A0BBA">
              <w:rPr>
                <w:i/>
                <w:sz w:val="16"/>
                <w:lang w:val="fr-FR"/>
              </w:rPr>
              <w:t>Burkina Faso</w:t>
            </w:r>
          </w:p>
        </w:tc>
        <w:tc>
          <w:tcPr>
            <w:tcW w:w="340" w:type="dxa"/>
            <w:tcBorders>
              <w:top w:val="single" w:sz="4" w:space="0" w:color="auto"/>
              <w:bottom w:val="single" w:sz="12" w:space="0" w:color="auto"/>
            </w:tcBorders>
            <w:shd w:val="clear" w:color="auto" w:fill="auto"/>
            <w:textDirection w:val="btLr"/>
            <w:vAlign w:val="bottom"/>
          </w:tcPr>
          <w:p w14:paraId="23141AE8" w14:textId="77777777" w:rsidR="003674C1" w:rsidRPr="000A0BBA" w:rsidRDefault="003674C1" w:rsidP="004F4B2F">
            <w:pPr>
              <w:suppressAutoHyphens w:val="0"/>
              <w:spacing w:before="80" w:after="80" w:line="200" w:lineRule="exact"/>
              <w:ind w:left="113"/>
              <w:rPr>
                <w:i/>
                <w:sz w:val="16"/>
              </w:rPr>
            </w:pPr>
            <w:r w:rsidRPr="000A0BBA">
              <w:rPr>
                <w:i/>
                <w:sz w:val="16"/>
                <w:lang w:val="fr-FR"/>
              </w:rPr>
              <w:t>Cambodge</w:t>
            </w:r>
          </w:p>
        </w:tc>
        <w:tc>
          <w:tcPr>
            <w:tcW w:w="340" w:type="dxa"/>
            <w:tcBorders>
              <w:top w:val="single" w:sz="4" w:space="0" w:color="auto"/>
              <w:bottom w:val="single" w:sz="12" w:space="0" w:color="auto"/>
            </w:tcBorders>
            <w:shd w:val="clear" w:color="auto" w:fill="auto"/>
            <w:textDirection w:val="btLr"/>
            <w:vAlign w:val="bottom"/>
          </w:tcPr>
          <w:p w14:paraId="55590CD3" w14:textId="77777777" w:rsidR="003674C1" w:rsidRPr="000A0BBA" w:rsidRDefault="003674C1" w:rsidP="004F4B2F">
            <w:pPr>
              <w:suppressAutoHyphens w:val="0"/>
              <w:spacing w:before="80" w:after="80" w:line="200" w:lineRule="exact"/>
              <w:ind w:left="113"/>
              <w:rPr>
                <w:i/>
                <w:sz w:val="16"/>
              </w:rPr>
            </w:pPr>
            <w:r w:rsidRPr="000A0BBA">
              <w:rPr>
                <w:i/>
                <w:sz w:val="16"/>
                <w:lang w:val="fr-FR"/>
              </w:rPr>
              <w:t>Colombie</w:t>
            </w:r>
          </w:p>
        </w:tc>
        <w:tc>
          <w:tcPr>
            <w:tcW w:w="340" w:type="dxa"/>
            <w:tcBorders>
              <w:top w:val="single" w:sz="4" w:space="0" w:color="auto"/>
              <w:bottom w:val="single" w:sz="12" w:space="0" w:color="auto"/>
            </w:tcBorders>
            <w:shd w:val="clear" w:color="auto" w:fill="auto"/>
            <w:textDirection w:val="btLr"/>
            <w:vAlign w:val="bottom"/>
          </w:tcPr>
          <w:p w14:paraId="544DCC9F" w14:textId="77777777" w:rsidR="003674C1" w:rsidRPr="000A0BBA" w:rsidRDefault="003674C1" w:rsidP="004F4B2F">
            <w:pPr>
              <w:suppressAutoHyphens w:val="0"/>
              <w:spacing w:before="80" w:after="80" w:line="200" w:lineRule="exact"/>
              <w:ind w:left="113"/>
              <w:rPr>
                <w:i/>
                <w:sz w:val="16"/>
              </w:rPr>
            </w:pPr>
            <w:r w:rsidRPr="000A0BBA">
              <w:rPr>
                <w:i/>
                <w:sz w:val="16"/>
                <w:lang w:val="fr-FR"/>
              </w:rPr>
              <w:t>Cuba</w:t>
            </w:r>
          </w:p>
        </w:tc>
        <w:tc>
          <w:tcPr>
            <w:tcW w:w="340" w:type="dxa"/>
            <w:tcBorders>
              <w:top w:val="single" w:sz="4" w:space="0" w:color="auto"/>
              <w:bottom w:val="single" w:sz="12" w:space="0" w:color="auto"/>
            </w:tcBorders>
            <w:shd w:val="clear" w:color="auto" w:fill="auto"/>
            <w:textDirection w:val="btLr"/>
            <w:vAlign w:val="bottom"/>
          </w:tcPr>
          <w:p w14:paraId="47AFE506" w14:textId="77777777" w:rsidR="003674C1" w:rsidRPr="000A0BBA" w:rsidRDefault="003674C1" w:rsidP="004F4B2F">
            <w:pPr>
              <w:suppressAutoHyphens w:val="0"/>
              <w:spacing w:before="80" w:after="80" w:line="200" w:lineRule="exact"/>
              <w:ind w:left="113"/>
              <w:rPr>
                <w:i/>
                <w:sz w:val="16"/>
              </w:rPr>
            </w:pPr>
            <w:r w:rsidRPr="000A0BBA">
              <w:rPr>
                <w:i/>
                <w:sz w:val="16"/>
                <w:lang w:val="fr-FR"/>
              </w:rPr>
              <w:t>Honduras</w:t>
            </w:r>
          </w:p>
        </w:tc>
        <w:tc>
          <w:tcPr>
            <w:tcW w:w="340" w:type="dxa"/>
            <w:tcBorders>
              <w:top w:val="single" w:sz="4" w:space="0" w:color="auto"/>
              <w:bottom w:val="single" w:sz="12" w:space="0" w:color="auto"/>
            </w:tcBorders>
            <w:shd w:val="clear" w:color="auto" w:fill="auto"/>
            <w:textDirection w:val="btLr"/>
            <w:vAlign w:val="bottom"/>
          </w:tcPr>
          <w:p w14:paraId="41F1FB49" w14:textId="77777777" w:rsidR="003674C1" w:rsidRPr="000A0BBA" w:rsidRDefault="003674C1" w:rsidP="004F4B2F">
            <w:pPr>
              <w:suppressAutoHyphens w:val="0"/>
              <w:spacing w:before="80" w:after="80" w:line="200" w:lineRule="exact"/>
              <w:ind w:left="113"/>
              <w:rPr>
                <w:i/>
                <w:sz w:val="16"/>
              </w:rPr>
            </w:pPr>
            <w:r w:rsidRPr="000A0BBA">
              <w:rPr>
                <w:i/>
                <w:sz w:val="16"/>
                <w:lang w:val="fr-FR"/>
              </w:rPr>
              <w:t>Iraq</w:t>
            </w:r>
          </w:p>
        </w:tc>
        <w:tc>
          <w:tcPr>
            <w:tcW w:w="340" w:type="dxa"/>
            <w:tcBorders>
              <w:top w:val="single" w:sz="4" w:space="0" w:color="auto"/>
              <w:bottom w:val="single" w:sz="12" w:space="0" w:color="auto"/>
            </w:tcBorders>
            <w:shd w:val="clear" w:color="auto" w:fill="auto"/>
            <w:textDirection w:val="btLr"/>
            <w:vAlign w:val="bottom"/>
          </w:tcPr>
          <w:p w14:paraId="7B41ECC4" w14:textId="77777777" w:rsidR="003674C1" w:rsidRPr="000A0BBA" w:rsidRDefault="003674C1" w:rsidP="004F4B2F">
            <w:pPr>
              <w:suppressAutoHyphens w:val="0"/>
              <w:spacing w:before="80" w:after="80" w:line="200" w:lineRule="exact"/>
              <w:ind w:left="113"/>
              <w:rPr>
                <w:i/>
                <w:sz w:val="16"/>
              </w:rPr>
            </w:pPr>
            <w:r w:rsidRPr="000A0BBA">
              <w:rPr>
                <w:i/>
                <w:sz w:val="16"/>
                <w:lang w:val="fr-FR"/>
              </w:rPr>
              <w:t>Kazakhstan</w:t>
            </w:r>
          </w:p>
        </w:tc>
        <w:tc>
          <w:tcPr>
            <w:tcW w:w="340" w:type="dxa"/>
            <w:tcBorders>
              <w:top w:val="single" w:sz="4" w:space="0" w:color="auto"/>
              <w:bottom w:val="single" w:sz="12" w:space="0" w:color="auto"/>
            </w:tcBorders>
            <w:shd w:val="clear" w:color="auto" w:fill="auto"/>
            <w:textDirection w:val="btLr"/>
            <w:vAlign w:val="bottom"/>
          </w:tcPr>
          <w:p w14:paraId="2B2525D2" w14:textId="77777777" w:rsidR="003674C1" w:rsidRPr="000A0BBA" w:rsidRDefault="003674C1" w:rsidP="004F4B2F">
            <w:pPr>
              <w:suppressAutoHyphens w:val="0"/>
              <w:spacing w:before="80" w:after="80" w:line="200" w:lineRule="exact"/>
              <w:ind w:left="113"/>
              <w:rPr>
                <w:i/>
                <w:sz w:val="16"/>
              </w:rPr>
            </w:pPr>
            <w:r w:rsidRPr="000A0BBA">
              <w:rPr>
                <w:i/>
                <w:sz w:val="16"/>
                <w:lang w:val="fr-FR"/>
              </w:rPr>
              <w:t>Lituanie</w:t>
            </w:r>
          </w:p>
        </w:tc>
        <w:tc>
          <w:tcPr>
            <w:tcW w:w="340" w:type="dxa"/>
            <w:tcBorders>
              <w:top w:val="single" w:sz="4" w:space="0" w:color="auto"/>
              <w:bottom w:val="single" w:sz="12" w:space="0" w:color="auto"/>
            </w:tcBorders>
            <w:shd w:val="clear" w:color="auto" w:fill="auto"/>
            <w:textDirection w:val="btLr"/>
            <w:vAlign w:val="bottom"/>
          </w:tcPr>
          <w:p w14:paraId="4B28C4A0" w14:textId="77777777" w:rsidR="003674C1" w:rsidRPr="000A0BBA" w:rsidRDefault="003674C1" w:rsidP="004F4B2F">
            <w:pPr>
              <w:suppressAutoHyphens w:val="0"/>
              <w:spacing w:before="80" w:after="80" w:line="200" w:lineRule="exact"/>
              <w:ind w:left="113"/>
              <w:rPr>
                <w:i/>
                <w:sz w:val="16"/>
              </w:rPr>
            </w:pPr>
            <w:r w:rsidRPr="000A0BBA">
              <w:rPr>
                <w:i/>
                <w:sz w:val="16"/>
                <w:lang w:val="fr-FR"/>
              </w:rPr>
              <w:t>Mali</w:t>
            </w:r>
          </w:p>
        </w:tc>
        <w:tc>
          <w:tcPr>
            <w:tcW w:w="340" w:type="dxa"/>
            <w:tcBorders>
              <w:top w:val="single" w:sz="4" w:space="0" w:color="auto"/>
              <w:bottom w:val="single" w:sz="12" w:space="0" w:color="auto"/>
            </w:tcBorders>
            <w:shd w:val="clear" w:color="auto" w:fill="auto"/>
            <w:textDirection w:val="btLr"/>
            <w:vAlign w:val="bottom"/>
          </w:tcPr>
          <w:p w14:paraId="760C1812" w14:textId="77777777" w:rsidR="003674C1" w:rsidRPr="000A0BBA" w:rsidRDefault="003674C1" w:rsidP="004F4B2F">
            <w:pPr>
              <w:suppressAutoHyphens w:val="0"/>
              <w:spacing w:before="80" w:after="80" w:line="200" w:lineRule="exact"/>
              <w:ind w:left="113"/>
              <w:rPr>
                <w:i/>
                <w:sz w:val="16"/>
              </w:rPr>
            </w:pPr>
            <w:r w:rsidRPr="000A0BBA">
              <w:rPr>
                <w:i/>
                <w:sz w:val="16"/>
                <w:lang w:val="fr-FR"/>
              </w:rPr>
              <w:t>Mauritanie</w:t>
            </w:r>
          </w:p>
        </w:tc>
        <w:tc>
          <w:tcPr>
            <w:tcW w:w="340" w:type="dxa"/>
            <w:tcBorders>
              <w:top w:val="single" w:sz="4" w:space="0" w:color="auto"/>
              <w:bottom w:val="single" w:sz="12" w:space="0" w:color="auto"/>
            </w:tcBorders>
            <w:shd w:val="clear" w:color="auto" w:fill="auto"/>
            <w:textDirection w:val="btLr"/>
            <w:vAlign w:val="bottom"/>
          </w:tcPr>
          <w:p w14:paraId="49046499" w14:textId="77777777" w:rsidR="003674C1" w:rsidRPr="000A0BBA" w:rsidRDefault="003674C1" w:rsidP="004F4B2F">
            <w:pPr>
              <w:suppressAutoHyphens w:val="0"/>
              <w:spacing w:before="80" w:after="80" w:line="200" w:lineRule="exact"/>
              <w:ind w:left="113"/>
              <w:rPr>
                <w:i/>
                <w:sz w:val="16"/>
              </w:rPr>
            </w:pPr>
            <w:r w:rsidRPr="000A0BBA">
              <w:rPr>
                <w:i/>
                <w:sz w:val="16"/>
                <w:lang w:val="fr-FR"/>
              </w:rPr>
              <w:t>Mexique</w:t>
            </w:r>
          </w:p>
        </w:tc>
        <w:tc>
          <w:tcPr>
            <w:tcW w:w="340" w:type="dxa"/>
            <w:tcBorders>
              <w:top w:val="single" w:sz="4" w:space="0" w:color="auto"/>
              <w:bottom w:val="single" w:sz="12" w:space="0" w:color="auto"/>
            </w:tcBorders>
            <w:shd w:val="clear" w:color="auto" w:fill="auto"/>
            <w:textDirection w:val="btLr"/>
            <w:vAlign w:val="bottom"/>
          </w:tcPr>
          <w:p w14:paraId="48941760" w14:textId="77777777" w:rsidR="003674C1" w:rsidRPr="000A0BBA" w:rsidRDefault="003674C1" w:rsidP="004F4B2F">
            <w:pPr>
              <w:suppressAutoHyphens w:val="0"/>
              <w:spacing w:before="80" w:after="80" w:line="200" w:lineRule="exact"/>
              <w:ind w:left="113"/>
              <w:rPr>
                <w:i/>
                <w:sz w:val="16"/>
              </w:rPr>
            </w:pPr>
            <w:r w:rsidRPr="000A0BBA">
              <w:rPr>
                <w:i/>
                <w:sz w:val="16"/>
                <w:lang w:val="fr-FR"/>
              </w:rPr>
              <w:t>Maroc</w:t>
            </w:r>
          </w:p>
        </w:tc>
        <w:tc>
          <w:tcPr>
            <w:tcW w:w="340" w:type="dxa"/>
            <w:tcBorders>
              <w:top w:val="single" w:sz="4" w:space="0" w:color="auto"/>
              <w:bottom w:val="single" w:sz="12" w:space="0" w:color="auto"/>
            </w:tcBorders>
            <w:shd w:val="clear" w:color="auto" w:fill="auto"/>
            <w:textDirection w:val="btLr"/>
            <w:vAlign w:val="bottom"/>
          </w:tcPr>
          <w:p w14:paraId="745196E3" w14:textId="77777777" w:rsidR="003674C1" w:rsidRPr="000A0BBA" w:rsidRDefault="003674C1" w:rsidP="004F4B2F">
            <w:pPr>
              <w:suppressAutoHyphens w:val="0"/>
              <w:spacing w:before="80" w:after="80" w:line="200" w:lineRule="exact"/>
              <w:ind w:left="113"/>
              <w:rPr>
                <w:i/>
                <w:sz w:val="16"/>
              </w:rPr>
            </w:pPr>
            <w:r w:rsidRPr="000A0BBA">
              <w:rPr>
                <w:i/>
                <w:sz w:val="16"/>
                <w:lang w:val="fr-FR"/>
              </w:rPr>
              <w:t>Niger</w:t>
            </w:r>
          </w:p>
        </w:tc>
        <w:tc>
          <w:tcPr>
            <w:tcW w:w="340" w:type="dxa"/>
            <w:tcBorders>
              <w:top w:val="single" w:sz="4" w:space="0" w:color="auto"/>
              <w:bottom w:val="single" w:sz="12" w:space="0" w:color="auto"/>
            </w:tcBorders>
            <w:shd w:val="clear" w:color="auto" w:fill="auto"/>
            <w:textDirection w:val="btLr"/>
            <w:vAlign w:val="bottom"/>
          </w:tcPr>
          <w:p w14:paraId="79167A92" w14:textId="77777777" w:rsidR="003674C1" w:rsidRPr="000A0BBA" w:rsidRDefault="003674C1" w:rsidP="004F4B2F">
            <w:pPr>
              <w:suppressAutoHyphens w:val="0"/>
              <w:spacing w:before="80" w:after="80" w:line="200" w:lineRule="exact"/>
              <w:ind w:left="113"/>
              <w:rPr>
                <w:i/>
                <w:sz w:val="16"/>
              </w:rPr>
            </w:pPr>
            <w:r w:rsidRPr="000A0BBA">
              <w:rPr>
                <w:i/>
                <w:sz w:val="16"/>
                <w:lang w:val="fr-FR"/>
              </w:rPr>
              <w:t>Paraguay</w:t>
            </w:r>
          </w:p>
        </w:tc>
        <w:tc>
          <w:tcPr>
            <w:tcW w:w="340" w:type="dxa"/>
            <w:tcBorders>
              <w:top w:val="single" w:sz="4" w:space="0" w:color="auto"/>
              <w:bottom w:val="single" w:sz="12" w:space="0" w:color="auto"/>
            </w:tcBorders>
            <w:shd w:val="clear" w:color="auto" w:fill="auto"/>
            <w:textDirection w:val="btLr"/>
            <w:vAlign w:val="bottom"/>
          </w:tcPr>
          <w:p w14:paraId="6E6939D5" w14:textId="77777777" w:rsidR="003674C1" w:rsidRPr="000A0BBA" w:rsidRDefault="003674C1" w:rsidP="004F4B2F">
            <w:pPr>
              <w:suppressAutoHyphens w:val="0"/>
              <w:spacing w:before="80" w:after="80" w:line="200" w:lineRule="exact"/>
              <w:ind w:left="113"/>
              <w:rPr>
                <w:i/>
                <w:sz w:val="16"/>
              </w:rPr>
            </w:pPr>
            <w:r w:rsidRPr="000A0BBA">
              <w:rPr>
                <w:i/>
                <w:sz w:val="16"/>
                <w:lang w:val="fr-FR"/>
              </w:rPr>
              <w:t>Pérou</w:t>
            </w:r>
          </w:p>
        </w:tc>
        <w:tc>
          <w:tcPr>
            <w:tcW w:w="340" w:type="dxa"/>
            <w:tcBorders>
              <w:top w:val="single" w:sz="4" w:space="0" w:color="auto"/>
              <w:bottom w:val="single" w:sz="12" w:space="0" w:color="auto"/>
            </w:tcBorders>
            <w:shd w:val="clear" w:color="auto" w:fill="auto"/>
            <w:textDirection w:val="btLr"/>
            <w:vAlign w:val="bottom"/>
          </w:tcPr>
          <w:p w14:paraId="55DC97E3" w14:textId="77777777" w:rsidR="003674C1" w:rsidRPr="000A0BBA" w:rsidRDefault="003674C1" w:rsidP="004F4B2F">
            <w:pPr>
              <w:suppressAutoHyphens w:val="0"/>
              <w:spacing w:before="80" w:after="80" w:line="200" w:lineRule="exact"/>
              <w:ind w:left="113"/>
              <w:rPr>
                <w:i/>
                <w:sz w:val="16"/>
              </w:rPr>
            </w:pPr>
            <w:r w:rsidRPr="000A0BBA">
              <w:rPr>
                <w:i/>
                <w:sz w:val="16"/>
                <w:lang w:val="fr-FR"/>
              </w:rPr>
              <w:t>Sri Lanka</w:t>
            </w:r>
          </w:p>
        </w:tc>
        <w:tc>
          <w:tcPr>
            <w:tcW w:w="340" w:type="dxa"/>
            <w:tcBorders>
              <w:top w:val="single" w:sz="4" w:space="0" w:color="auto"/>
              <w:bottom w:val="single" w:sz="12" w:space="0" w:color="auto"/>
            </w:tcBorders>
            <w:shd w:val="clear" w:color="auto" w:fill="auto"/>
            <w:textDirection w:val="btLr"/>
            <w:vAlign w:val="bottom"/>
          </w:tcPr>
          <w:p w14:paraId="0ABBD4E2" w14:textId="77777777" w:rsidR="003674C1" w:rsidRPr="000A0BBA" w:rsidRDefault="003674C1" w:rsidP="004F4B2F">
            <w:pPr>
              <w:suppressAutoHyphens w:val="0"/>
              <w:spacing w:before="80" w:after="80" w:line="200" w:lineRule="exact"/>
              <w:ind w:left="113"/>
              <w:rPr>
                <w:i/>
                <w:sz w:val="16"/>
              </w:rPr>
            </w:pPr>
            <w:r w:rsidRPr="000A0BBA">
              <w:rPr>
                <w:i/>
                <w:sz w:val="16"/>
                <w:lang w:val="fr-FR"/>
              </w:rPr>
              <w:t>Slovaquie</w:t>
            </w:r>
          </w:p>
        </w:tc>
        <w:tc>
          <w:tcPr>
            <w:tcW w:w="340" w:type="dxa"/>
            <w:tcBorders>
              <w:top w:val="single" w:sz="4" w:space="0" w:color="auto"/>
              <w:bottom w:val="single" w:sz="12" w:space="0" w:color="auto"/>
            </w:tcBorders>
            <w:shd w:val="clear" w:color="auto" w:fill="auto"/>
            <w:textDirection w:val="btLr"/>
            <w:vAlign w:val="bottom"/>
          </w:tcPr>
          <w:p w14:paraId="62E2876A" w14:textId="77777777" w:rsidR="003674C1" w:rsidRPr="000A0BBA" w:rsidRDefault="003674C1" w:rsidP="004F4B2F">
            <w:pPr>
              <w:suppressAutoHyphens w:val="0"/>
              <w:spacing w:before="80" w:after="80" w:line="200" w:lineRule="exact"/>
              <w:ind w:left="113"/>
              <w:rPr>
                <w:i/>
                <w:sz w:val="16"/>
              </w:rPr>
            </w:pPr>
            <w:r w:rsidRPr="000A0BBA">
              <w:rPr>
                <w:i/>
                <w:sz w:val="16"/>
                <w:lang w:val="fr-FR"/>
              </w:rPr>
              <w:t>Togo</w:t>
            </w:r>
          </w:p>
        </w:tc>
        <w:tc>
          <w:tcPr>
            <w:tcW w:w="340" w:type="dxa"/>
            <w:tcBorders>
              <w:top w:val="single" w:sz="4" w:space="0" w:color="auto"/>
              <w:bottom w:val="single" w:sz="12" w:space="0" w:color="auto"/>
            </w:tcBorders>
            <w:shd w:val="clear" w:color="auto" w:fill="auto"/>
            <w:textDirection w:val="btLr"/>
            <w:vAlign w:val="bottom"/>
          </w:tcPr>
          <w:p w14:paraId="2771D8E2" w14:textId="77777777" w:rsidR="003674C1" w:rsidRPr="000A0BBA" w:rsidRDefault="003674C1" w:rsidP="004F4B2F">
            <w:pPr>
              <w:suppressAutoHyphens w:val="0"/>
              <w:spacing w:before="80" w:after="80" w:line="200" w:lineRule="exact"/>
              <w:ind w:left="113"/>
              <w:rPr>
                <w:i/>
                <w:sz w:val="16"/>
              </w:rPr>
            </w:pPr>
            <w:r w:rsidRPr="000A0BBA">
              <w:rPr>
                <w:i/>
                <w:sz w:val="16"/>
                <w:lang w:val="fr-FR"/>
              </w:rPr>
              <w:t>Tunisie</w:t>
            </w:r>
          </w:p>
        </w:tc>
        <w:tc>
          <w:tcPr>
            <w:tcW w:w="907" w:type="dxa"/>
            <w:tcBorders>
              <w:top w:val="single" w:sz="4" w:space="0" w:color="auto"/>
              <w:bottom w:val="single" w:sz="12" w:space="0" w:color="auto"/>
            </w:tcBorders>
            <w:shd w:val="clear" w:color="auto" w:fill="auto"/>
            <w:tcMar>
              <w:right w:w="28" w:type="dxa"/>
            </w:tcMar>
            <w:vAlign w:val="bottom"/>
          </w:tcPr>
          <w:p w14:paraId="559A14BE" w14:textId="77777777" w:rsidR="003674C1" w:rsidRPr="000A0BBA" w:rsidRDefault="003674C1" w:rsidP="004F4B2F">
            <w:pPr>
              <w:suppressAutoHyphens w:val="0"/>
              <w:spacing w:before="80" w:after="80" w:line="200" w:lineRule="exact"/>
              <w:jc w:val="right"/>
              <w:rPr>
                <w:i/>
                <w:sz w:val="16"/>
              </w:rPr>
            </w:pPr>
            <w:r w:rsidRPr="000A0BBA">
              <w:rPr>
                <w:i/>
                <w:sz w:val="16"/>
                <w:lang w:val="fr-FR"/>
              </w:rPr>
              <w:t>Total</w:t>
            </w:r>
          </w:p>
        </w:tc>
      </w:tr>
      <w:tr w:rsidR="003674C1" w:rsidRPr="000A0BBA" w14:paraId="1DDD6F3C" w14:textId="77777777" w:rsidTr="004F4B2F">
        <w:tc>
          <w:tcPr>
            <w:tcW w:w="908" w:type="dxa"/>
            <w:tcBorders>
              <w:top w:val="single" w:sz="12" w:space="0" w:color="auto"/>
            </w:tcBorders>
            <w:shd w:val="clear" w:color="auto" w:fill="auto"/>
          </w:tcPr>
          <w:p w14:paraId="7D3FF7C8" w14:textId="77777777" w:rsidR="003674C1" w:rsidRPr="000A0BBA" w:rsidRDefault="003674C1" w:rsidP="004F4B2F">
            <w:pPr>
              <w:suppressAutoHyphens w:val="0"/>
              <w:spacing w:before="40" w:after="40" w:line="220" w:lineRule="exact"/>
              <w:rPr>
                <w:sz w:val="18"/>
              </w:rPr>
            </w:pPr>
            <w:r w:rsidRPr="000A0BBA">
              <w:rPr>
                <w:sz w:val="18"/>
                <w:lang w:val="fr-FR"/>
              </w:rPr>
              <w:t>2012</w:t>
            </w:r>
          </w:p>
        </w:tc>
        <w:tc>
          <w:tcPr>
            <w:tcW w:w="341" w:type="dxa"/>
            <w:tcBorders>
              <w:top w:val="single" w:sz="12" w:space="0" w:color="auto"/>
            </w:tcBorders>
            <w:shd w:val="clear" w:color="auto" w:fill="auto"/>
            <w:tcMar>
              <w:right w:w="28" w:type="dxa"/>
            </w:tcMar>
            <w:vAlign w:val="bottom"/>
          </w:tcPr>
          <w:p w14:paraId="1A11B9B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tcBorders>
              <w:top w:val="single" w:sz="12" w:space="0" w:color="auto"/>
            </w:tcBorders>
            <w:shd w:val="clear" w:color="auto" w:fill="auto"/>
            <w:tcMar>
              <w:right w:w="28" w:type="dxa"/>
            </w:tcMar>
            <w:vAlign w:val="bottom"/>
          </w:tcPr>
          <w:p w14:paraId="350E069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tcBorders>
              <w:top w:val="single" w:sz="12" w:space="0" w:color="auto"/>
            </w:tcBorders>
            <w:shd w:val="clear" w:color="auto" w:fill="auto"/>
            <w:vAlign w:val="bottom"/>
          </w:tcPr>
          <w:p w14:paraId="761F53F3"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tcBorders>
              <w:top w:val="single" w:sz="12" w:space="0" w:color="auto"/>
            </w:tcBorders>
            <w:shd w:val="clear" w:color="auto" w:fill="auto"/>
            <w:tcMar>
              <w:right w:w="28" w:type="dxa"/>
            </w:tcMar>
            <w:vAlign w:val="bottom"/>
          </w:tcPr>
          <w:p w14:paraId="2AE4789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vAlign w:val="bottom"/>
          </w:tcPr>
          <w:p w14:paraId="19F3985F"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tcMar>
              <w:right w:w="28" w:type="dxa"/>
            </w:tcMar>
            <w:vAlign w:val="bottom"/>
          </w:tcPr>
          <w:p w14:paraId="3129219F"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tcMar>
              <w:right w:w="28" w:type="dxa"/>
            </w:tcMar>
            <w:vAlign w:val="bottom"/>
          </w:tcPr>
          <w:p w14:paraId="11FB9194"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tcMar>
              <w:right w:w="28" w:type="dxa"/>
            </w:tcMar>
            <w:vAlign w:val="bottom"/>
          </w:tcPr>
          <w:p w14:paraId="7B0C92CF"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tcMar>
              <w:right w:w="28" w:type="dxa"/>
            </w:tcMar>
            <w:vAlign w:val="bottom"/>
          </w:tcPr>
          <w:p w14:paraId="2C690A4F"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tcMar>
              <w:right w:w="28" w:type="dxa"/>
            </w:tcMar>
            <w:vAlign w:val="bottom"/>
          </w:tcPr>
          <w:p w14:paraId="54BD3CF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tcMar>
              <w:right w:w="28" w:type="dxa"/>
            </w:tcMar>
            <w:vAlign w:val="bottom"/>
          </w:tcPr>
          <w:p w14:paraId="7AD86F0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tcMar>
              <w:right w:w="28" w:type="dxa"/>
            </w:tcMar>
            <w:vAlign w:val="bottom"/>
          </w:tcPr>
          <w:p w14:paraId="5C291CB7"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vAlign w:val="bottom"/>
          </w:tcPr>
          <w:p w14:paraId="303F6DFA"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tcMar>
              <w:right w:w="28" w:type="dxa"/>
            </w:tcMar>
            <w:vAlign w:val="bottom"/>
          </w:tcPr>
          <w:p w14:paraId="0C6ACCF7"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tcMar>
              <w:right w:w="28" w:type="dxa"/>
            </w:tcMar>
            <w:vAlign w:val="bottom"/>
          </w:tcPr>
          <w:p w14:paraId="7845DB98" w14:textId="77777777" w:rsidR="003674C1" w:rsidRPr="000A0BBA" w:rsidRDefault="003674C1" w:rsidP="004F4B2F">
            <w:pPr>
              <w:suppressAutoHyphens w:val="0"/>
              <w:spacing w:before="40" w:after="40" w:line="220" w:lineRule="exact"/>
              <w:jc w:val="right"/>
              <w:rPr>
                <w:sz w:val="18"/>
              </w:rPr>
            </w:pPr>
            <w:r w:rsidRPr="000A0BBA">
              <w:rPr>
                <w:sz w:val="18"/>
                <w:lang w:val="fr-FR"/>
              </w:rPr>
              <w:t>5</w:t>
            </w:r>
          </w:p>
        </w:tc>
        <w:tc>
          <w:tcPr>
            <w:tcW w:w="340" w:type="dxa"/>
            <w:tcBorders>
              <w:top w:val="single" w:sz="12" w:space="0" w:color="auto"/>
            </w:tcBorders>
            <w:shd w:val="clear" w:color="auto" w:fill="auto"/>
            <w:tcMar>
              <w:right w:w="28" w:type="dxa"/>
            </w:tcMar>
            <w:vAlign w:val="bottom"/>
          </w:tcPr>
          <w:p w14:paraId="2B065B71"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vAlign w:val="bottom"/>
          </w:tcPr>
          <w:p w14:paraId="2DEED66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vAlign w:val="bottom"/>
          </w:tcPr>
          <w:p w14:paraId="3EA39A16"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vAlign w:val="bottom"/>
          </w:tcPr>
          <w:p w14:paraId="255B1D14"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tcMar>
              <w:right w:w="28" w:type="dxa"/>
            </w:tcMar>
            <w:vAlign w:val="bottom"/>
          </w:tcPr>
          <w:p w14:paraId="33774F00"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vAlign w:val="bottom"/>
          </w:tcPr>
          <w:p w14:paraId="031E7876"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tcMar>
              <w:right w:w="28" w:type="dxa"/>
            </w:tcMar>
            <w:vAlign w:val="bottom"/>
          </w:tcPr>
          <w:p w14:paraId="430008F4"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top w:val="single" w:sz="12" w:space="0" w:color="auto"/>
            </w:tcBorders>
            <w:shd w:val="clear" w:color="auto" w:fill="auto"/>
            <w:tcMar>
              <w:right w:w="28" w:type="dxa"/>
            </w:tcMar>
            <w:vAlign w:val="bottom"/>
          </w:tcPr>
          <w:p w14:paraId="73645A6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907" w:type="dxa"/>
            <w:tcBorders>
              <w:top w:val="single" w:sz="12" w:space="0" w:color="auto"/>
            </w:tcBorders>
            <w:shd w:val="clear" w:color="auto" w:fill="auto"/>
            <w:tcMar>
              <w:right w:w="28" w:type="dxa"/>
            </w:tcMar>
            <w:vAlign w:val="bottom"/>
          </w:tcPr>
          <w:p w14:paraId="6BEDD3A6" w14:textId="77777777" w:rsidR="003674C1" w:rsidRPr="000A0BBA" w:rsidRDefault="003674C1" w:rsidP="004F4B2F">
            <w:pPr>
              <w:suppressAutoHyphens w:val="0"/>
              <w:spacing w:before="40" w:after="40" w:line="220" w:lineRule="exact"/>
              <w:jc w:val="right"/>
              <w:rPr>
                <w:sz w:val="18"/>
              </w:rPr>
            </w:pPr>
            <w:r w:rsidRPr="000A0BBA">
              <w:rPr>
                <w:sz w:val="18"/>
                <w:lang w:val="fr-FR"/>
              </w:rPr>
              <w:t>5</w:t>
            </w:r>
          </w:p>
        </w:tc>
      </w:tr>
      <w:tr w:rsidR="003674C1" w:rsidRPr="000A0BBA" w14:paraId="67644DD8" w14:textId="77777777" w:rsidTr="004F4B2F">
        <w:tc>
          <w:tcPr>
            <w:tcW w:w="908" w:type="dxa"/>
            <w:shd w:val="clear" w:color="auto" w:fill="auto"/>
          </w:tcPr>
          <w:p w14:paraId="530101E0" w14:textId="77777777" w:rsidR="003674C1" w:rsidRPr="000A0BBA" w:rsidRDefault="003674C1" w:rsidP="004F4B2F">
            <w:pPr>
              <w:suppressAutoHyphens w:val="0"/>
              <w:spacing w:before="40" w:after="40" w:line="220" w:lineRule="exact"/>
              <w:rPr>
                <w:sz w:val="18"/>
              </w:rPr>
            </w:pPr>
            <w:r w:rsidRPr="000A0BBA">
              <w:rPr>
                <w:sz w:val="18"/>
                <w:lang w:val="fr-FR"/>
              </w:rPr>
              <w:t>2013</w:t>
            </w:r>
          </w:p>
        </w:tc>
        <w:tc>
          <w:tcPr>
            <w:tcW w:w="341" w:type="dxa"/>
            <w:shd w:val="clear" w:color="auto" w:fill="auto"/>
            <w:tcMar>
              <w:right w:w="28" w:type="dxa"/>
            </w:tcMar>
            <w:vAlign w:val="bottom"/>
          </w:tcPr>
          <w:p w14:paraId="68B1C73D"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07355956"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vAlign w:val="bottom"/>
          </w:tcPr>
          <w:p w14:paraId="24B0FA7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34860A0A"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153BF4C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382B4E24"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7061839B"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tcMar>
              <w:right w:w="28" w:type="dxa"/>
            </w:tcMar>
            <w:vAlign w:val="bottom"/>
          </w:tcPr>
          <w:p w14:paraId="6802CAEA"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4E2F6BB7"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0C443D3A"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30ED833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22CF5761"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0757F6E3"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54A7235A"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2B041913" w14:textId="77777777" w:rsidR="003674C1" w:rsidRPr="000A0BBA" w:rsidRDefault="003674C1" w:rsidP="004F4B2F">
            <w:pPr>
              <w:suppressAutoHyphens w:val="0"/>
              <w:spacing w:before="40" w:after="40" w:line="220" w:lineRule="exact"/>
              <w:jc w:val="right"/>
              <w:rPr>
                <w:sz w:val="18"/>
              </w:rPr>
            </w:pPr>
            <w:r w:rsidRPr="000A0BBA">
              <w:rPr>
                <w:sz w:val="18"/>
                <w:lang w:val="fr-FR"/>
              </w:rPr>
              <w:t>4</w:t>
            </w:r>
          </w:p>
        </w:tc>
        <w:tc>
          <w:tcPr>
            <w:tcW w:w="340" w:type="dxa"/>
            <w:shd w:val="clear" w:color="auto" w:fill="auto"/>
            <w:tcMar>
              <w:right w:w="28" w:type="dxa"/>
            </w:tcMar>
            <w:vAlign w:val="bottom"/>
          </w:tcPr>
          <w:p w14:paraId="5742BE86"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3694059A"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67A7C680"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2A77095F"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33AF586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68E04269"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7E6096C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5A861C73"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907" w:type="dxa"/>
            <w:shd w:val="clear" w:color="auto" w:fill="auto"/>
            <w:tcMar>
              <w:right w:w="28" w:type="dxa"/>
            </w:tcMar>
            <w:vAlign w:val="bottom"/>
          </w:tcPr>
          <w:p w14:paraId="65FE49DB" w14:textId="77777777" w:rsidR="003674C1" w:rsidRPr="000A0BBA" w:rsidRDefault="003674C1" w:rsidP="004F4B2F">
            <w:pPr>
              <w:suppressAutoHyphens w:val="0"/>
              <w:spacing w:before="40" w:after="40" w:line="220" w:lineRule="exact"/>
              <w:jc w:val="right"/>
              <w:rPr>
                <w:sz w:val="18"/>
              </w:rPr>
            </w:pPr>
            <w:r w:rsidRPr="000A0BBA">
              <w:rPr>
                <w:sz w:val="18"/>
                <w:lang w:val="fr-FR"/>
              </w:rPr>
              <w:t>5</w:t>
            </w:r>
          </w:p>
        </w:tc>
      </w:tr>
      <w:tr w:rsidR="003674C1" w:rsidRPr="000A0BBA" w14:paraId="5B4EB96F" w14:textId="77777777" w:rsidTr="004F4B2F">
        <w:tc>
          <w:tcPr>
            <w:tcW w:w="908" w:type="dxa"/>
            <w:shd w:val="clear" w:color="auto" w:fill="auto"/>
          </w:tcPr>
          <w:p w14:paraId="0E0B37E8" w14:textId="77777777" w:rsidR="003674C1" w:rsidRPr="000A0BBA" w:rsidRDefault="003674C1" w:rsidP="004F4B2F">
            <w:pPr>
              <w:suppressAutoHyphens w:val="0"/>
              <w:spacing w:before="40" w:after="40" w:line="220" w:lineRule="exact"/>
              <w:rPr>
                <w:sz w:val="18"/>
              </w:rPr>
            </w:pPr>
            <w:r w:rsidRPr="000A0BBA">
              <w:rPr>
                <w:sz w:val="18"/>
                <w:lang w:val="fr-FR"/>
              </w:rPr>
              <w:t>2014</w:t>
            </w:r>
          </w:p>
        </w:tc>
        <w:tc>
          <w:tcPr>
            <w:tcW w:w="341" w:type="dxa"/>
            <w:shd w:val="clear" w:color="auto" w:fill="auto"/>
            <w:tcMar>
              <w:right w:w="28" w:type="dxa"/>
            </w:tcMar>
            <w:vAlign w:val="bottom"/>
          </w:tcPr>
          <w:p w14:paraId="5F6C69FD"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5D2AFD47"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vAlign w:val="bottom"/>
          </w:tcPr>
          <w:p w14:paraId="55437BF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18F861AB"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vAlign w:val="bottom"/>
          </w:tcPr>
          <w:p w14:paraId="0BC79EE9"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0428168E"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tcMar>
              <w:right w:w="28" w:type="dxa"/>
            </w:tcMar>
            <w:vAlign w:val="bottom"/>
          </w:tcPr>
          <w:p w14:paraId="10F60B1F"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tcMar>
              <w:right w:w="28" w:type="dxa"/>
            </w:tcMar>
            <w:vAlign w:val="bottom"/>
          </w:tcPr>
          <w:p w14:paraId="4A156D51"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330F9A16"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789719C7" w14:textId="77777777" w:rsidR="003674C1" w:rsidRPr="000A0BBA" w:rsidRDefault="003674C1" w:rsidP="004F4B2F">
            <w:pPr>
              <w:suppressAutoHyphens w:val="0"/>
              <w:spacing w:before="40" w:after="40" w:line="220" w:lineRule="exact"/>
              <w:jc w:val="right"/>
              <w:rPr>
                <w:sz w:val="18"/>
              </w:rPr>
            </w:pPr>
            <w:r w:rsidRPr="000A0BBA">
              <w:rPr>
                <w:sz w:val="18"/>
                <w:lang w:val="fr-FR"/>
              </w:rPr>
              <w:t>5</w:t>
            </w:r>
          </w:p>
        </w:tc>
        <w:tc>
          <w:tcPr>
            <w:tcW w:w="340" w:type="dxa"/>
            <w:shd w:val="clear" w:color="auto" w:fill="auto"/>
            <w:tcMar>
              <w:right w:w="28" w:type="dxa"/>
            </w:tcMar>
            <w:vAlign w:val="bottom"/>
          </w:tcPr>
          <w:p w14:paraId="57C4D4B0"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3520454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320E4009"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67BB562F"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18E63CC4" w14:textId="77777777" w:rsidR="003674C1" w:rsidRPr="000A0BBA" w:rsidRDefault="003674C1" w:rsidP="004F4B2F">
            <w:pPr>
              <w:suppressAutoHyphens w:val="0"/>
              <w:spacing w:before="40" w:after="40" w:line="220" w:lineRule="exact"/>
              <w:jc w:val="right"/>
              <w:rPr>
                <w:sz w:val="18"/>
              </w:rPr>
            </w:pPr>
            <w:r w:rsidRPr="000A0BBA">
              <w:rPr>
                <w:sz w:val="18"/>
                <w:lang w:val="fr-FR"/>
              </w:rPr>
              <w:t>43</w:t>
            </w:r>
          </w:p>
        </w:tc>
        <w:tc>
          <w:tcPr>
            <w:tcW w:w="340" w:type="dxa"/>
            <w:shd w:val="clear" w:color="auto" w:fill="auto"/>
            <w:tcMar>
              <w:right w:w="28" w:type="dxa"/>
            </w:tcMar>
            <w:vAlign w:val="bottom"/>
          </w:tcPr>
          <w:p w14:paraId="53B5F010"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05C76CE2"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4EA8D020"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3D45340A"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22EA4A5D"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11338663"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00B74B13"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12C7D9D8"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907" w:type="dxa"/>
            <w:shd w:val="clear" w:color="auto" w:fill="auto"/>
            <w:tcMar>
              <w:right w:w="28" w:type="dxa"/>
            </w:tcMar>
            <w:vAlign w:val="bottom"/>
          </w:tcPr>
          <w:p w14:paraId="17FCE0F4" w14:textId="77777777" w:rsidR="003674C1" w:rsidRPr="000A0BBA" w:rsidRDefault="003674C1" w:rsidP="004F4B2F">
            <w:pPr>
              <w:suppressAutoHyphens w:val="0"/>
              <w:spacing w:before="40" w:after="40" w:line="220" w:lineRule="exact"/>
              <w:jc w:val="right"/>
              <w:rPr>
                <w:sz w:val="18"/>
              </w:rPr>
            </w:pPr>
            <w:r w:rsidRPr="000A0BBA">
              <w:rPr>
                <w:sz w:val="18"/>
                <w:lang w:val="fr-FR"/>
              </w:rPr>
              <w:t>51</w:t>
            </w:r>
          </w:p>
        </w:tc>
      </w:tr>
      <w:tr w:rsidR="003674C1" w:rsidRPr="000A0BBA" w14:paraId="1041F9E2" w14:textId="77777777" w:rsidTr="004F4B2F">
        <w:tc>
          <w:tcPr>
            <w:tcW w:w="908" w:type="dxa"/>
            <w:shd w:val="clear" w:color="auto" w:fill="auto"/>
          </w:tcPr>
          <w:p w14:paraId="762CAFC6" w14:textId="77777777" w:rsidR="003674C1" w:rsidRPr="000A0BBA" w:rsidRDefault="003674C1" w:rsidP="004F4B2F">
            <w:pPr>
              <w:suppressAutoHyphens w:val="0"/>
              <w:spacing w:before="40" w:after="40" w:line="220" w:lineRule="exact"/>
              <w:rPr>
                <w:sz w:val="18"/>
              </w:rPr>
            </w:pPr>
            <w:r w:rsidRPr="000A0BBA">
              <w:rPr>
                <w:sz w:val="18"/>
                <w:lang w:val="fr-FR"/>
              </w:rPr>
              <w:t>2015</w:t>
            </w:r>
          </w:p>
        </w:tc>
        <w:tc>
          <w:tcPr>
            <w:tcW w:w="341" w:type="dxa"/>
            <w:shd w:val="clear" w:color="auto" w:fill="auto"/>
            <w:tcMar>
              <w:right w:w="28" w:type="dxa"/>
            </w:tcMar>
            <w:vAlign w:val="bottom"/>
          </w:tcPr>
          <w:p w14:paraId="2B603C5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25F871F6"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vAlign w:val="bottom"/>
          </w:tcPr>
          <w:p w14:paraId="4738AA5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63EC438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79E8073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556962A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46FB92BD" w14:textId="77777777" w:rsidR="003674C1" w:rsidRPr="000A0BBA" w:rsidRDefault="003674C1" w:rsidP="004F4B2F">
            <w:pPr>
              <w:suppressAutoHyphens w:val="0"/>
              <w:spacing w:before="40" w:after="40" w:line="220" w:lineRule="exact"/>
              <w:jc w:val="right"/>
              <w:rPr>
                <w:sz w:val="18"/>
              </w:rPr>
            </w:pPr>
            <w:r w:rsidRPr="000A0BBA">
              <w:rPr>
                <w:sz w:val="18"/>
                <w:lang w:val="fr-FR"/>
              </w:rPr>
              <w:t>3</w:t>
            </w:r>
          </w:p>
        </w:tc>
        <w:tc>
          <w:tcPr>
            <w:tcW w:w="340" w:type="dxa"/>
            <w:shd w:val="clear" w:color="auto" w:fill="auto"/>
            <w:tcMar>
              <w:right w:w="28" w:type="dxa"/>
            </w:tcMar>
            <w:vAlign w:val="bottom"/>
          </w:tcPr>
          <w:p w14:paraId="3C393B38"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7AA1B60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28D0E67D" w14:textId="77777777" w:rsidR="003674C1" w:rsidRPr="000A0BBA" w:rsidRDefault="003674C1" w:rsidP="004F4B2F">
            <w:pPr>
              <w:suppressAutoHyphens w:val="0"/>
              <w:spacing w:before="40" w:after="40" w:line="220" w:lineRule="exact"/>
              <w:jc w:val="right"/>
              <w:rPr>
                <w:sz w:val="18"/>
              </w:rPr>
            </w:pPr>
            <w:r w:rsidRPr="000A0BBA">
              <w:rPr>
                <w:sz w:val="18"/>
                <w:lang w:val="fr-FR"/>
              </w:rPr>
              <w:t>42</w:t>
            </w:r>
          </w:p>
        </w:tc>
        <w:tc>
          <w:tcPr>
            <w:tcW w:w="340" w:type="dxa"/>
            <w:shd w:val="clear" w:color="auto" w:fill="auto"/>
            <w:tcMar>
              <w:right w:w="28" w:type="dxa"/>
            </w:tcMar>
            <w:vAlign w:val="bottom"/>
          </w:tcPr>
          <w:p w14:paraId="712708DF"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018C4D73"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7E83E0C2"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24526439"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07DB9363" w14:textId="77777777" w:rsidR="003674C1" w:rsidRPr="000A0BBA" w:rsidRDefault="003674C1" w:rsidP="004F4B2F">
            <w:pPr>
              <w:suppressAutoHyphens w:val="0"/>
              <w:spacing w:before="40" w:after="40" w:line="220" w:lineRule="exact"/>
              <w:jc w:val="right"/>
              <w:rPr>
                <w:sz w:val="18"/>
              </w:rPr>
            </w:pPr>
            <w:r w:rsidRPr="000A0BBA">
              <w:rPr>
                <w:sz w:val="18"/>
                <w:lang w:val="fr-FR"/>
              </w:rPr>
              <w:t>166</w:t>
            </w:r>
          </w:p>
        </w:tc>
        <w:tc>
          <w:tcPr>
            <w:tcW w:w="340" w:type="dxa"/>
            <w:shd w:val="clear" w:color="auto" w:fill="auto"/>
            <w:tcMar>
              <w:right w:w="28" w:type="dxa"/>
            </w:tcMar>
            <w:vAlign w:val="bottom"/>
          </w:tcPr>
          <w:p w14:paraId="0DB1E4A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7C9EA506"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6D2DD1C3"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11D505FA"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3452FD18"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6EC4612D"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7ED0E4E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2EEB0907"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907" w:type="dxa"/>
            <w:shd w:val="clear" w:color="auto" w:fill="auto"/>
            <w:tcMar>
              <w:right w:w="28" w:type="dxa"/>
            </w:tcMar>
            <w:vAlign w:val="bottom"/>
          </w:tcPr>
          <w:p w14:paraId="09C61C8D" w14:textId="77777777" w:rsidR="003674C1" w:rsidRPr="000A0BBA" w:rsidRDefault="003674C1" w:rsidP="004F4B2F">
            <w:pPr>
              <w:suppressAutoHyphens w:val="0"/>
              <w:spacing w:before="40" w:after="40" w:line="220" w:lineRule="exact"/>
              <w:jc w:val="right"/>
              <w:rPr>
                <w:sz w:val="18"/>
              </w:rPr>
            </w:pPr>
            <w:r w:rsidRPr="000A0BBA">
              <w:rPr>
                <w:sz w:val="18"/>
                <w:lang w:val="fr-FR"/>
              </w:rPr>
              <w:t>211</w:t>
            </w:r>
          </w:p>
        </w:tc>
      </w:tr>
      <w:tr w:rsidR="003674C1" w:rsidRPr="000A0BBA" w14:paraId="50BA1855" w14:textId="77777777" w:rsidTr="004F4B2F">
        <w:tc>
          <w:tcPr>
            <w:tcW w:w="908" w:type="dxa"/>
            <w:shd w:val="clear" w:color="auto" w:fill="auto"/>
          </w:tcPr>
          <w:p w14:paraId="4E1C1078" w14:textId="77777777" w:rsidR="003674C1" w:rsidRPr="000A0BBA" w:rsidRDefault="003674C1" w:rsidP="004F4B2F">
            <w:pPr>
              <w:suppressAutoHyphens w:val="0"/>
              <w:spacing w:before="40" w:after="40" w:line="220" w:lineRule="exact"/>
              <w:rPr>
                <w:sz w:val="18"/>
              </w:rPr>
            </w:pPr>
            <w:r w:rsidRPr="000A0BBA">
              <w:rPr>
                <w:sz w:val="18"/>
                <w:lang w:val="fr-FR"/>
              </w:rPr>
              <w:t>2016</w:t>
            </w:r>
          </w:p>
        </w:tc>
        <w:tc>
          <w:tcPr>
            <w:tcW w:w="341" w:type="dxa"/>
            <w:shd w:val="clear" w:color="auto" w:fill="auto"/>
            <w:tcMar>
              <w:right w:w="28" w:type="dxa"/>
            </w:tcMar>
            <w:vAlign w:val="bottom"/>
          </w:tcPr>
          <w:p w14:paraId="25B09C5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036B94A6"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vAlign w:val="bottom"/>
          </w:tcPr>
          <w:p w14:paraId="51325741"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134A463D"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23753BA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637F0116"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1A598D66" w14:textId="77777777" w:rsidR="003674C1" w:rsidRPr="000A0BBA" w:rsidRDefault="003674C1" w:rsidP="004F4B2F">
            <w:pPr>
              <w:suppressAutoHyphens w:val="0"/>
              <w:spacing w:before="40" w:after="40" w:line="220" w:lineRule="exact"/>
              <w:jc w:val="right"/>
              <w:rPr>
                <w:sz w:val="18"/>
              </w:rPr>
            </w:pPr>
            <w:r w:rsidRPr="000A0BBA">
              <w:rPr>
                <w:sz w:val="18"/>
                <w:lang w:val="fr-FR"/>
              </w:rPr>
              <w:t>4</w:t>
            </w:r>
          </w:p>
        </w:tc>
        <w:tc>
          <w:tcPr>
            <w:tcW w:w="340" w:type="dxa"/>
            <w:shd w:val="clear" w:color="auto" w:fill="auto"/>
            <w:tcMar>
              <w:right w:w="28" w:type="dxa"/>
            </w:tcMar>
            <w:vAlign w:val="bottom"/>
          </w:tcPr>
          <w:p w14:paraId="789244D0"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1E66D9B3"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6ABA5E7F" w14:textId="77777777" w:rsidR="003674C1" w:rsidRPr="000A0BBA" w:rsidRDefault="003674C1" w:rsidP="004F4B2F">
            <w:pPr>
              <w:suppressAutoHyphens w:val="0"/>
              <w:spacing w:before="40" w:after="40" w:line="220" w:lineRule="exact"/>
              <w:jc w:val="right"/>
              <w:rPr>
                <w:sz w:val="18"/>
              </w:rPr>
            </w:pPr>
            <w:r w:rsidRPr="000A0BBA">
              <w:rPr>
                <w:sz w:val="18"/>
                <w:lang w:val="fr-FR"/>
              </w:rPr>
              <w:t>22</w:t>
            </w:r>
          </w:p>
        </w:tc>
        <w:tc>
          <w:tcPr>
            <w:tcW w:w="340" w:type="dxa"/>
            <w:shd w:val="clear" w:color="auto" w:fill="auto"/>
            <w:tcMar>
              <w:right w:w="28" w:type="dxa"/>
            </w:tcMar>
            <w:vAlign w:val="bottom"/>
          </w:tcPr>
          <w:p w14:paraId="0AC8305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3CF42DC9"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7E8D553A"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0F0B90C7"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49BDDBC3" w14:textId="77777777" w:rsidR="003674C1" w:rsidRPr="000A0BBA" w:rsidRDefault="003674C1" w:rsidP="004F4B2F">
            <w:pPr>
              <w:suppressAutoHyphens w:val="0"/>
              <w:spacing w:before="40" w:after="40" w:line="220" w:lineRule="exact"/>
              <w:jc w:val="right"/>
              <w:rPr>
                <w:sz w:val="18"/>
              </w:rPr>
            </w:pPr>
            <w:r w:rsidRPr="000A0BBA">
              <w:rPr>
                <w:sz w:val="18"/>
                <w:lang w:val="fr-FR"/>
              </w:rPr>
              <w:t>58</w:t>
            </w:r>
          </w:p>
        </w:tc>
        <w:tc>
          <w:tcPr>
            <w:tcW w:w="340" w:type="dxa"/>
            <w:shd w:val="clear" w:color="auto" w:fill="auto"/>
            <w:tcMar>
              <w:right w:w="28" w:type="dxa"/>
            </w:tcMar>
            <w:vAlign w:val="bottom"/>
          </w:tcPr>
          <w:p w14:paraId="13A4ADE5"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vAlign w:val="bottom"/>
          </w:tcPr>
          <w:p w14:paraId="2FAFECC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0B1C60A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5AB5650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7BF270E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1EE204D8"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5FE08B7D"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44541D04"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907" w:type="dxa"/>
            <w:shd w:val="clear" w:color="auto" w:fill="auto"/>
            <w:tcMar>
              <w:right w:w="28" w:type="dxa"/>
            </w:tcMar>
            <w:vAlign w:val="bottom"/>
          </w:tcPr>
          <w:p w14:paraId="69E9FDCA" w14:textId="77777777" w:rsidR="003674C1" w:rsidRPr="000A0BBA" w:rsidRDefault="003674C1" w:rsidP="004F4B2F">
            <w:pPr>
              <w:suppressAutoHyphens w:val="0"/>
              <w:spacing w:before="40" w:after="40" w:line="220" w:lineRule="exact"/>
              <w:jc w:val="right"/>
              <w:rPr>
                <w:sz w:val="18"/>
              </w:rPr>
            </w:pPr>
            <w:r w:rsidRPr="000A0BBA">
              <w:rPr>
                <w:sz w:val="18"/>
                <w:lang w:val="fr-FR"/>
              </w:rPr>
              <w:t>85</w:t>
            </w:r>
          </w:p>
        </w:tc>
      </w:tr>
      <w:tr w:rsidR="003674C1" w:rsidRPr="000A0BBA" w14:paraId="300DA912" w14:textId="77777777" w:rsidTr="004F4B2F">
        <w:tc>
          <w:tcPr>
            <w:tcW w:w="908" w:type="dxa"/>
            <w:shd w:val="clear" w:color="auto" w:fill="auto"/>
          </w:tcPr>
          <w:p w14:paraId="0E444894" w14:textId="77777777" w:rsidR="003674C1" w:rsidRPr="000A0BBA" w:rsidRDefault="003674C1" w:rsidP="004F4B2F">
            <w:pPr>
              <w:suppressAutoHyphens w:val="0"/>
              <w:spacing w:before="40" w:after="40" w:line="220" w:lineRule="exact"/>
              <w:rPr>
                <w:sz w:val="18"/>
              </w:rPr>
            </w:pPr>
            <w:r w:rsidRPr="000A0BBA">
              <w:rPr>
                <w:sz w:val="18"/>
                <w:lang w:val="fr-FR"/>
              </w:rPr>
              <w:t>2017</w:t>
            </w:r>
          </w:p>
        </w:tc>
        <w:tc>
          <w:tcPr>
            <w:tcW w:w="341" w:type="dxa"/>
            <w:shd w:val="clear" w:color="auto" w:fill="auto"/>
            <w:tcMar>
              <w:right w:w="28" w:type="dxa"/>
            </w:tcMar>
            <w:vAlign w:val="bottom"/>
          </w:tcPr>
          <w:p w14:paraId="6CA1051E" w14:textId="77777777" w:rsidR="003674C1" w:rsidRPr="000A0BBA" w:rsidRDefault="003674C1" w:rsidP="004F4B2F">
            <w:pPr>
              <w:suppressAutoHyphens w:val="0"/>
              <w:spacing w:before="40" w:after="40" w:line="220" w:lineRule="exact"/>
              <w:jc w:val="right"/>
              <w:rPr>
                <w:sz w:val="18"/>
              </w:rPr>
            </w:pPr>
            <w:r w:rsidRPr="000A0BBA">
              <w:rPr>
                <w:sz w:val="18"/>
                <w:lang w:val="fr-FR"/>
              </w:rPr>
              <w:t>2</w:t>
            </w:r>
          </w:p>
        </w:tc>
        <w:tc>
          <w:tcPr>
            <w:tcW w:w="341" w:type="dxa"/>
            <w:shd w:val="clear" w:color="auto" w:fill="auto"/>
            <w:tcMar>
              <w:right w:w="28" w:type="dxa"/>
            </w:tcMar>
            <w:vAlign w:val="bottom"/>
          </w:tcPr>
          <w:p w14:paraId="784E484E"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1" w:type="dxa"/>
            <w:shd w:val="clear" w:color="auto" w:fill="auto"/>
            <w:vAlign w:val="bottom"/>
          </w:tcPr>
          <w:p w14:paraId="6E38D4A4"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15427E9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32FFD0D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1AFC4584"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5B039844" w14:textId="77777777" w:rsidR="003674C1" w:rsidRPr="000A0BBA" w:rsidRDefault="003674C1" w:rsidP="004F4B2F">
            <w:pPr>
              <w:suppressAutoHyphens w:val="0"/>
              <w:spacing w:before="40" w:after="40" w:line="220" w:lineRule="exact"/>
              <w:jc w:val="right"/>
              <w:rPr>
                <w:sz w:val="18"/>
              </w:rPr>
            </w:pPr>
            <w:r w:rsidRPr="000A0BBA">
              <w:rPr>
                <w:sz w:val="18"/>
                <w:lang w:val="fr-FR"/>
              </w:rPr>
              <w:t>3</w:t>
            </w:r>
          </w:p>
        </w:tc>
        <w:tc>
          <w:tcPr>
            <w:tcW w:w="340" w:type="dxa"/>
            <w:shd w:val="clear" w:color="auto" w:fill="auto"/>
            <w:tcMar>
              <w:right w:w="28" w:type="dxa"/>
            </w:tcMar>
            <w:vAlign w:val="bottom"/>
          </w:tcPr>
          <w:p w14:paraId="33F55533"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65D25FF7"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52B869C9" w14:textId="77777777" w:rsidR="003674C1" w:rsidRPr="000A0BBA" w:rsidRDefault="003674C1" w:rsidP="004F4B2F">
            <w:pPr>
              <w:suppressAutoHyphens w:val="0"/>
              <w:spacing w:before="40" w:after="40" w:line="220" w:lineRule="exact"/>
              <w:jc w:val="right"/>
              <w:rPr>
                <w:sz w:val="18"/>
              </w:rPr>
            </w:pPr>
            <w:r w:rsidRPr="000A0BBA">
              <w:rPr>
                <w:sz w:val="18"/>
                <w:lang w:val="fr-FR"/>
              </w:rPr>
              <w:t>43</w:t>
            </w:r>
          </w:p>
        </w:tc>
        <w:tc>
          <w:tcPr>
            <w:tcW w:w="340" w:type="dxa"/>
            <w:shd w:val="clear" w:color="auto" w:fill="auto"/>
            <w:tcMar>
              <w:right w:w="28" w:type="dxa"/>
            </w:tcMar>
            <w:vAlign w:val="bottom"/>
          </w:tcPr>
          <w:p w14:paraId="07BF22CF" w14:textId="77777777" w:rsidR="003674C1" w:rsidRPr="000A0BBA" w:rsidRDefault="003674C1" w:rsidP="004F4B2F">
            <w:pPr>
              <w:suppressAutoHyphens w:val="0"/>
              <w:spacing w:before="40" w:after="40" w:line="220" w:lineRule="exact"/>
              <w:jc w:val="right"/>
              <w:rPr>
                <w:sz w:val="18"/>
              </w:rPr>
            </w:pPr>
            <w:r w:rsidRPr="000A0BBA">
              <w:rPr>
                <w:sz w:val="18"/>
                <w:lang w:val="fr-FR"/>
              </w:rPr>
              <w:t>2</w:t>
            </w:r>
          </w:p>
        </w:tc>
        <w:tc>
          <w:tcPr>
            <w:tcW w:w="340" w:type="dxa"/>
            <w:shd w:val="clear" w:color="auto" w:fill="auto"/>
            <w:tcMar>
              <w:right w:w="28" w:type="dxa"/>
            </w:tcMar>
            <w:vAlign w:val="bottom"/>
          </w:tcPr>
          <w:p w14:paraId="4AA70A0F"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0539B76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123D5E48"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tcMar>
              <w:right w:w="28" w:type="dxa"/>
            </w:tcMar>
            <w:vAlign w:val="bottom"/>
          </w:tcPr>
          <w:p w14:paraId="5756B9A9" w14:textId="77777777" w:rsidR="003674C1" w:rsidRPr="000A0BBA" w:rsidRDefault="003674C1" w:rsidP="004F4B2F">
            <w:pPr>
              <w:suppressAutoHyphens w:val="0"/>
              <w:spacing w:before="40" w:after="40" w:line="220" w:lineRule="exact"/>
              <w:jc w:val="right"/>
              <w:rPr>
                <w:sz w:val="18"/>
              </w:rPr>
            </w:pPr>
            <w:r w:rsidRPr="000A0BBA">
              <w:rPr>
                <w:sz w:val="18"/>
                <w:lang w:val="fr-FR"/>
              </w:rPr>
              <w:t>31</w:t>
            </w:r>
          </w:p>
        </w:tc>
        <w:tc>
          <w:tcPr>
            <w:tcW w:w="340" w:type="dxa"/>
            <w:shd w:val="clear" w:color="auto" w:fill="auto"/>
            <w:tcMar>
              <w:right w:w="28" w:type="dxa"/>
            </w:tcMar>
            <w:vAlign w:val="bottom"/>
          </w:tcPr>
          <w:p w14:paraId="351D6981" w14:textId="77777777" w:rsidR="003674C1" w:rsidRPr="000A0BBA" w:rsidRDefault="003674C1" w:rsidP="004F4B2F">
            <w:pPr>
              <w:suppressAutoHyphens w:val="0"/>
              <w:spacing w:before="40" w:after="40" w:line="220" w:lineRule="exact"/>
              <w:jc w:val="right"/>
              <w:rPr>
                <w:sz w:val="18"/>
              </w:rPr>
            </w:pPr>
            <w:r w:rsidRPr="000A0BBA">
              <w:rPr>
                <w:sz w:val="18"/>
                <w:lang w:val="fr-FR"/>
              </w:rPr>
              <w:t>2</w:t>
            </w:r>
          </w:p>
        </w:tc>
        <w:tc>
          <w:tcPr>
            <w:tcW w:w="340" w:type="dxa"/>
            <w:shd w:val="clear" w:color="auto" w:fill="auto"/>
            <w:vAlign w:val="bottom"/>
          </w:tcPr>
          <w:p w14:paraId="44653CED"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7ADF1960"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5BDD6A70"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5849408C"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vAlign w:val="bottom"/>
          </w:tcPr>
          <w:p w14:paraId="0D3E305A"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25D198F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74E69612"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907" w:type="dxa"/>
            <w:shd w:val="clear" w:color="auto" w:fill="auto"/>
            <w:tcMar>
              <w:right w:w="28" w:type="dxa"/>
            </w:tcMar>
            <w:vAlign w:val="bottom"/>
          </w:tcPr>
          <w:p w14:paraId="4D1815EB" w14:textId="77777777" w:rsidR="003674C1" w:rsidRPr="000A0BBA" w:rsidRDefault="003674C1" w:rsidP="004F4B2F">
            <w:pPr>
              <w:suppressAutoHyphens w:val="0"/>
              <w:spacing w:before="40" w:after="40" w:line="220" w:lineRule="exact"/>
              <w:jc w:val="right"/>
              <w:rPr>
                <w:sz w:val="18"/>
              </w:rPr>
            </w:pPr>
            <w:r w:rsidRPr="000A0BBA">
              <w:rPr>
                <w:sz w:val="18"/>
                <w:lang w:val="fr-FR"/>
              </w:rPr>
              <w:t>86</w:t>
            </w:r>
          </w:p>
        </w:tc>
      </w:tr>
      <w:tr w:rsidR="003674C1" w:rsidRPr="000A0BBA" w14:paraId="767133E0" w14:textId="77777777" w:rsidTr="004F4B2F">
        <w:tc>
          <w:tcPr>
            <w:tcW w:w="908" w:type="dxa"/>
            <w:shd w:val="clear" w:color="auto" w:fill="auto"/>
          </w:tcPr>
          <w:p w14:paraId="171BE312" w14:textId="77777777" w:rsidR="003674C1" w:rsidRPr="000A0BBA" w:rsidRDefault="003674C1" w:rsidP="004F4B2F">
            <w:pPr>
              <w:suppressAutoHyphens w:val="0"/>
              <w:spacing w:before="40" w:after="40" w:line="220" w:lineRule="exact"/>
              <w:rPr>
                <w:sz w:val="18"/>
              </w:rPr>
            </w:pPr>
            <w:r w:rsidRPr="000A0BBA">
              <w:rPr>
                <w:sz w:val="18"/>
                <w:lang w:val="fr-FR"/>
              </w:rPr>
              <w:t>2018</w:t>
            </w:r>
          </w:p>
        </w:tc>
        <w:tc>
          <w:tcPr>
            <w:tcW w:w="341" w:type="dxa"/>
            <w:shd w:val="clear" w:color="auto" w:fill="auto"/>
            <w:tcMar>
              <w:right w:w="28" w:type="dxa"/>
            </w:tcMar>
            <w:vAlign w:val="bottom"/>
          </w:tcPr>
          <w:p w14:paraId="23E2E09D"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51CFADE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vAlign w:val="bottom"/>
          </w:tcPr>
          <w:p w14:paraId="274FE3C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3EE1B669"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741FBCA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00960D39"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1785E534" w14:textId="77777777" w:rsidR="003674C1" w:rsidRPr="000A0BBA" w:rsidRDefault="003674C1" w:rsidP="004F4B2F">
            <w:pPr>
              <w:suppressAutoHyphens w:val="0"/>
              <w:spacing w:before="40" w:after="40" w:line="220" w:lineRule="exact"/>
              <w:jc w:val="right"/>
              <w:rPr>
                <w:sz w:val="18"/>
              </w:rPr>
            </w:pPr>
            <w:r w:rsidRPr="000A0BBA">
              <w:rPr>
                <w:sz w:val="18"/>
                <w:lang w:val="fr-FR"/>
              </w:rPr>
              <w:t>9</w:t>
            </w:r>
          </w:p>
        </w:tc>
        <w:tc>
          <w:tcPr>
            <w:tcW w:w="340" w:type="dxa"/>
            <w:shd w:val="clear" w:color="auto" w:fill="auto"/>
            <w:tcMar>
              <w:right w:w="28" w:type="dxa"/>
            </w:tcMar>
            <w:vAlign w:val="bottom"/>
          </w:tcPr>
          <w:p w14:paraId="06B6B6CA"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tcMar>
              <w:right w:w="28" w:type="dxa"/>
            </w:tcMar>
            <w:vAlign w:val="bottom"/>
          </w:tcPr>
          <w:p w14:paraId="2A8F1985" w14:textId="77777777" w:rsidR="003674C1" w:rsidRPr="000A0BBA" w:rsidRDefault="003674C1" w:rsidP="004F4B2F">
            <w:pPr>
              <w:suppressAutoHyphens w:val="0"/>
              <w:spacing w:before="40" w:after="40" w:line="220" w:lineRule="exact"/>
              <w:jc w:val="right"/>
              <w:rPr>
                <w:sz w:val="18"/>
              </w:rPr>
            </w:pPr>
            <w:r w:rsidRPr="000A0BBA">
              <w:rPr>
                <w:sz w:val="18"/>
                <w:lang w:val="fr-FR"/>
              </w:rPr>
              <w:t>14</w:t>
            </w:r>
          </w:p>
        </w:tc>
        <w:tc>
          <w:tcPr>
            <w:tcW w:w="340" w:type="dxa"/>
            <w:shd w:val="clear" w:color="auto" w:fill="auto"/>
            <w:tcMar>
              <w:right w:w="28" w:type="dxa"/>
            </w:tcMar>
            <w:vAlign w:val="bottom"/>
          </w:tcPr>
          <w:p w14:paraId="4ED2D301" w14:textId="77777777" w:rsidR="003674C1" w:rsidRPr="000A0BBA" w:rsidRDefault="003674C1" w:rsidP="004F4B2F">
            <w:pPr>
              <w:suppressAutoHyphens w:val="0"/>
              <w:spacing w:before="40" w:after="40" w:line="220" w:lineRule="exact"/>
              <w:jc w:val="right"/>
              <w:rPr>
                <w:sz w:val="18"/>
              </w:rPr>
            </w:pPr>
            <w:r w:rsidRPr="000A0BBA">
              <w:rPr>
                <w:sz w:val="18"/>
                <w:lang w:val="fr-FR"/>
              </w:rPr>
              <w:t>50</w:t>
            </w:r>
          </w:p>
        </w:tc>
        <w:tc>
          <w:tcPr>
            <w:tcW w:w="340" w:type="dxa"/>
            <w:shd w:val="clear" w:color="auto" w:fill="auto"/>
            <w:tcMar>
              <w:right w:w="28" w:type="dxa"/>
            </w:tcMar>
            <w:vAlign w:val="bottom"/>
          </w:tcPr>
          <w:p w14:paraId="08F59AB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513DAD22"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4627C9D8"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7F772AC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19B1D151" w14:textId="77777777" w:rsidR="003674C1" w:rsidRPr="000A0BBA" w:rsidRDefault="003674C1" w:rsidP="004F4B2F">
            <w:pPr>
              <w:suppressAutoHyphens w:val="0"/>
              <w:spacing w:before="40" w:after="40" w:line="220" w:lineRule="exact"/>
              <w:jc w:val="right"/>
              <w:rPr>
                <w:sz w:val="18"/>
              </w:rPr>
            </w:pPr>
            <w:r w:rsidRPr="000A0BBA">
              <w:rPr>
                <w:sz w:val="18"/>
                <w:lang w:val="fr-FR"/>
              </w:rPr>
              <w:t>42</w:t>
            </w:r>
          </w:p>
        </w:tc>
        <w:tc>
          <w:tcPr>
            <w:tcW w:w="340" w:type="dxa"/>
            <w:shd w:val="clear" w:color="auto" w:fill="auto"/>
            <w:tcMar>
              <w:right w:w="28" w:type="dxa"/>
            </w:tcMar>
            <w:vAlign w:val="bottom"/>
          </w:tcPr>
          <w:p w14:paraId="55B7D7F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08E5A3EF"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6CCEC2F1"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53197D74"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13EEA62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456A00C9"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0EAD0334" w14:textId="77777777" w:rsidR="003674C1" w:rsidRPr="000A0BBA" w:rsidRDefault="003674C1" w:rsidP="004F4B2F">
            <w:pPr>
              <w:suppressAutoHyphens w:val="0"/>
              <w:spacing w:before="40" w:after="40" w:line="220" w:lineRule="exact"/>
              <w:jc w:val="right"/>
              <w:rPr>
                <w:sz w:val="18"/>
              </w:rPr>
            </w:pPr>
            <w:r w:rsidRPr="000A0BBA">
              <w:rPr>
                <w:sz w:val="18"/>
                <w:lang w:val="fr-FR"/>
              </w:rPr>
              <w:t>2</w:t>
            </w:r>
          </w:p>
        </w:tc>
        <w:tc>
          <w:tcPr>
            <w:tcW w:w="340" w:type="dxa"/>
            <w:shd w:val="clear" w:color="auto" w:fill="auto"/>
            <w:tcMar>
              <w:right w:w="28" w:type="dxa"/>
            </w:tcMar>
            <w:vAlign w:val="bottom"/>
          </w:tcPr>
          <w:p w14:paraId="1E608FC0"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907" w:type="dxa"/>
            <w:shd w:val="clear" w:color="auto" w:fill="auto"/>
            <w:tcMar>
              <w:right w:w="28" w:type="dxa"/>
            </w:tcMar>
            <w:vAlign w:val="bottom"/>
          </w:tcPr>
          <w:p w14:paraId="79777284" w14:textId="77777777" w:rsidR="003674C1" w:rsidRPr="000A0BBA" w:rsidRDefault="003674C1" w:rsidP="004F4B2F">
            <w:pPr>
              <w:suppressAutoHyphens w:val="0"/>
              <w:spacing w:before="40" w:after="40" w:line="220" w:lineRule="exact"/>
              <w:jc w:val="right"/>
              <w:rPr>
                <w:sz w:val="18"/>
              </w:rPr>
            </w:pPr>
            <w:r w:rsidRPr="000A0BBA">
              <w:rPr>
                <w:sz w:val="18"/>
                <w:lang w:val="fr-FR"/>
              </w:rPr>
              <w:t>118</w:t>
            </w:r>
          </w:p>
        </w:tc>
      </w:tr>
      <w:tr w:rsidR="003674C1" w:rsidRPr="000A0BBA" w14:paraId="2D756DB8" w14:textId="77777777" w:rsidTr="004F4B2F">
        <w:tc>
          <w:tcPr>
            <w:tcW w:w="908" w:type="dxa"/>
            <w:shd w:val="clear" w:color="auto" w:fill="auto"/>
          </w:tcPr>
          <w:p w14:paraId="6FE01760" w14:textId="77777777" w:rsidR="003674C1" w:rsidRPr="000A0BBA" w:rsidRDefault="003674C1" w:rsidP="004F4B2F">
            <w:pPr>
              <w:suppressAutoHyphens w:val="0"/>
              <w:spacing w:before="40" w:after="40" w:line="220" w:lineRule="exact"/>
              <w:rPr>
                <w:sz w:val="18"/>
              </w:rPr>
            </w:pPr>
            <w:r w:rsidRPr="000A0BBA">
              <w:rPr>
                <w:sz w:val="18"/>
                <w:lang w:val="fr-FR"/>
              </w:rPr>
              <w:t>2019</w:t>
            </w:r>
          </w:p>
        </w:tc>
        <w:tc>
          <w:tcPr>
            <w:tcW w:w="341" w:type="dxa"/>
            <w:shd w:val="clear" w:color="auto" w:fill="auto"/>
            <w:tcMar>
              <w:right w:w="28" w:type="dxa"/>
            </w:tcMar>
            <w:vAlign w:val="bottom"/>
          </w:tcPr>
          <w:p w14:paraId="02EDB996"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74F55EC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vAlign w:val="bottom"/>
          </w:tcPr>
          <w:p w14:paraId="04419D04"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1" w:type="dxa"/>
            <w:shd w:val="clear" w:color="auto" w:fill="auto"/>
            <w:tcMar>
              <w:right w:w="28" w:type="dxa"/>
            </w:tcMar>
            <w:vAlign w:val="bottom"/>
          </w:tcPr>
          <w:p w14:paraId="643146C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5175B742"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2C042CD4" w14:textId="77777777" w:rsidR="003674C1" w:rsidRPr="000A0BBA" w:rsidRDefault="003674C1" w:rsidP="004F4B2F">
            <w:pPr>
              <w:suppressAutoHyphens w:val="0"/>
              <w:spacing w:before="40" w:after="40" w:line="220" w:lineRule="exact"/>
              <w:jc w:val="right"/>
              <w:rPr>
                <w:sz w:val="18"/>
              </w:rPr>
            </w:pPr>
            <w:r w:rsidRPr="000A0BBA">
              <w:rPr>
                <w:sz w:val="18"/>
                <w:lang w:val="fr-FR"/>
              </w:rPr>
              <w:t>2</w:t>
            </w:r>
          </w:p>
        </w:tc>
        <w:tc>
          <w:tcPr>
            <w:tcW w:w="340" w:type="dxa"/>
            <w:shd w:val="clear" w:color="auto" w:fill="auto"/>
            <w:tcMar>
              <w:right w:w="28" w:type="dxa"/>
            </w:tcMar>
            <w:vAlign w:val="bottom"/>
          </w:tcPr>
          <w:p w14:paraId="3738904A" w14:textId="77777777" w:rsidR="003674C1" w:rsidRPr="000A0BBA" w:rsidRDefault="003674C1" w:rsidP="004F4B2F">
            <w:pPr>
              <w:suppressAutoHyphens w:val="0"/>
              <w:spacing w:before="40" w:after="40" w:line="220" w:lineRule="exact"/>
              <w:jc w:val="right"/>
              <w:rPr>
                <w:sz w:val="18"/>
              </w:rPr>
            </w:pPr>
            <w:r w:rsidRPr="000A0BBA">
              <w:rPr>
                <w:sz w:val="18"/>
                <w:lang w:val="fr-FR"/>
              </w:rPr>
              <w:t>3</w:t>
            </w:r>
          </w:p>
        </w:tc>
        <w:tc>
          <w:tcPr>
            <w:tcW w:w="340" w:type="dxa"/>
            <w:shd w:val="clear" w:color="auto" w:fill="auto"/>
            <w:tcMar>
              <w:right w:w="28" w:type="dxa"/>
            </w:tcMar>
            <w:vAlign w:val="bottom"/>
          </w:tcPr>
          <w:p w14:paraId="10044778" w14:textId="77777777" w:rsidR="003674C1" w:rsidRPr="000A0BBA" w:rsidRDefault="003674C1" w:rsidP="004F4B2F">
            <w:pPr>
              <w:suppressAutoHyphens w:val="0"/>
              <w:spacing w:before="40" w:after="40" w:line="220" w:lineRule="exact"/>
              <w:jc w:val="right"/>
              <w:rPr>
                <w:sz w:val="18"/>
              </w:rPr>
            </w:pPr>
            <w:r w:rsidRPr="000A0BBA">
              <w:rPr>
                <w:sz w:val="18"/>
                <w:lang w:val="fr-FR"/>
              </w:rPr>
              <w:t>3</w:t>
            </w:r>
          </w:p>
        </w:tc>
        <w:tc>
          <w:tcPr>
            <w:tcW w:w="340" w:type="dxa"/>
            <w:shd w:val="clear" w:color="auto" w:fill="auto"/>
            <w:tcMar>
              <w:right w:w="28" w:type="dxa"/>
            </w:tcMar>
            <w:vAlign w:val="bottom"/>
          </w:tcPr>
          <w:p w14:paraId="0F367F3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38BC2D4A" w14:textId="77777777" w:rsidR="003674C1" w:rsidRPr="000A0BBA" w:rsidRDefault="003674C1" w:rsidP="004F4B2F">
            <w:pPr>
              <w:suppressAutoHyphens w:val="0"/>
              <w:spacing w:before="40" w:after="40" w:line="220" w:lineRule="exact"/>
              <w:jc w:val="right"/>
              <w:rPr>
                <w:sz w:val="18"/>
              </w:rPr>
            </w:pPr>
            <w:r w:rsidRPr="000A0BBA">
              <w:rPr>
                <w:sz w:val="18"/>
                <w:lang w:val="fr-FR"/>
              </w:rPr>
              <w:t>226</w:t>
            </w:r>
          </w:p>
        </w:tc>
        <w:tc>
          <w:tcPr>
            <w:tcW w:w="340" w:type="dxa"/>
            <w:shd w:val="clear" w:color="auto" w:fill="auto"/>
            <w:tcMar>
              <w:right w:w="28" w:type="dxa"/>
            </w:tcMar>
            <w:vAlign w:val="bottom"/>
          </w:tcPr>
          <w:p w14:paraId="26223977"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0A034BF2" w14:textId="77777777" w:rsidR="003674C1" w:rsidRPr="000A0BBA" w:rsidRDefault="003674C1" w:rsidP="004F4B2F">
            <w:pPr>
              <w:suppressAutoHyphens w:val="0"/>
              <w:spacing w:before="40" w:after="40" w:line="220" w:lineRule="exact"/>
              <w:jc w:val="right"/>
              <w:rPr>
                <w:sz w:val="18"/>
              </w:rPr>
            </w:pPr>
            <w:r w:rsidRPr="000A0BBA">
              <w:rPr>
                <w:sz w:val="18"/>
                <w:lang w:val="fr-FR"/>
              </w:rPr>
              <w:t>2</w:t>
            </w:r>
          </w:p>
        </w:tc>
        <w:tc>
          <w:tcPr>
            <w:tcW w:w="340" w:type="dxa"/>
            <w:shd w:val="clear" w:color="auto" w:fill="auto"/>
            <w:vAlign w:val="bottom"/>
          </w:tcPr>
          <w:p w14:paraId="3B8541D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023C3838"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5B455EA9" w14:textId="77777777" w:rsidR="003674C1" w:rsidRPr="000A0BBA" w:rsidRDefault="003674C1" w:rsidP="004F4B2F">
            <w:pPr>
              <w:suppressAutoHyphens w:val="0"/>
              <w:spacing w:before="40" w:after="40" w:line="220" w:lineRule="exact"/>
              <w:jc w:val="right"/>
              <w:rPr>
                <w:sz w:val="18"/>
              </w:rPr>
            </w:pPr>
            <w:r w:rsidRPr="000A0BBA">
              <w:rPr>
                <w:sz w:val="18"/>
                <w:lang w:val="fr-FR"/>
              </w:rPr>
              <w:t>10</w:t>
            </w:r>
          </w:p>
        </w:tc>
        <w:tc>
          <w:tcPr>
            <w:tcW w:w="340" w:type="dxa"/>
            <w:shd w:val="clear" w:color="auto" w:fill="auto"/>
            <w:tcMar>
              <w:right w:w="28" w:type="dxa"/>
            </w:tcMar>
            <w:vAlign w:val="bottom"/>
          </w:tcPr>
          <w:p w14:paraId="0F4D5A9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2598C0CD"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70293490"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77D26C13"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5E89072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49E4D69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6B09FE47"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796CE14D"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907" w:type="dxa"/>
            <w:shd w:val="clear" w:color="auto" w:fill="auto"/>
            <w:tcMar>
              <w:right w:w="28" w:type="dxa"/>
            </w:tcMar>
            <w:vAlign w:val="bottom"/>
          </w:tcPr>
          <w:p w14:paraId="610C3C62" w14:textId="77777777" w:rsidR="003674C1" w:rsidRPr="000A0BBA" w:rsidRDefault="003674C1" w:rsidP="004F4B2F">
            <w:pPr>
              <w:suppressAutoHyphens w:val="0"/>
              <w:spacing w:before="40" w:after="40" w:line="220" w:lineRule="exact"/>
              <w:jc w:val="right"/>
              <w:rPr>
                <w:sz w:val="18"/>
              </w:rPr>
            </w:pPr>
            <w:r w:rsidRPr="000A0BBA">
              <w:rPr>
                <w:sz w:val="18"/>
                <w:lang w:val="fr-FR"/>
              </w:rPr>
              <w:t>248</w:t>
            </w:r>
          </w:p>
        </w:tc>
      </w:tr>
      <w:tr w:rsidR="003674C1" w:rsidRPr="000A0BBA" w14:paraId="66C65C53" w14:textId="77777777" w:rsidTr="004F4B2F">
        <w:tc>
          <w:tcPr>
            <w:tcW w:w="908" w:type="dxa"/>
            <w:shd w:val="clear" w:color="auto" w:fill="auto"/>
          </w:tcPr>
          <w:p w14:paraId="0CFEF7D3" w14:textId="77777777" w:rsidR="003674C1" w:rsidRPr="000A0BBA" w:rsidRDefault="003674C1" w:rsidP="004F4B2F">
            <w:pPr>
              <w:suppressAutoHyphens w:val="0"/>
              <w:spacing w:before="40" w:after="40" w:line="220" w:lineRule="exact"/>
              <w:rPr>
                <w:sz w:val="18"/>
              </w:rPr>
            </w:pPr>
            <w:r w:rsidRPr="000A0BBA">
              <w:rPr>
                <w:sz w:val="18"/>
                <w:lang w:val="fr-FR"/>
              </w:rPr>
              <w:t>2020</w:t>
            </w:r>
          </w:p>
        </w:tc>
        <w:tc>
          <w:tcPr>
            <w:tcW w:w="341" w:type="dxa"/>
            <w:shd w:val="clear" w:color="auto" w:fill="auto"/>
            <w:tcMar>
              <w:right w:w="28" w:type="dxa"/>
            </w:tcMar>
            <w:vAlign w:val="bottom"/>
          </w:tcPr>
          <w:p w14:paraId="2C76142C"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1" w:type="dxa"/>
            <w:shd w:val="clear" w:color="auto" w:fill="auto"/>
            <w:tcMar>
              <w:right w:w="28" w:type="dxa"/>
            </w:tcMar>
            <w:vAlign w:val="bottom"/>
          </w:tcPr>
          <w:p w14:paraId="48F0B081"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vAlign w:val="bottom"/>
          </w:tcPr>
          <w:p w14:paraId="54B01A81"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shd w:val="clear" w:color="auto" w:fill="auto"/>
            <w:tcMar>
              <w:right w:w="28" w:type="dxa"/>
            </w:tcMar>
            <w:vAlign w:val="bottom"/>
          </w:tcPr>
          <w:p w14:paraId="02F5B84F"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27AC6254"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tcMar>
              <w:right w:w="28" w:type="dxa"/>
            </w:tcMar>
            <w:vAlign w:val="bottom"/>
          </w:tcPr>
          <w:p w14:paraId="1B44E9C4"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tcMar>
              <w:right w:w="28" w:type="dxa"/>
            </w:tcMar>
            <w:vAlign w:val="bottom"/>
          </w:tcPr>
          <w:p w14:paraId="3DC8C5FE" w14:textId="77777777" w:rsidR="003674C1" w:rsidRPr="000A0BBA" w:rsidRDefault="003674C1" w:rsidP="004F4B2F">
            <w:pPr>
              <w:suppressAutoHyphens w:val="0"/>
              <w:spacing w:before="40" w:after="40" w:line="220" w:lineRule="exact"/>
              <w:jc w:val="right"/>
              <w:rPr>
                <w:sz w:val="18"/>
              </w:rPr>
            </w:pPr>
            <w:r w:rsidRPr="000A0BBA">
              <w:rPr>
                <w:sz w:val="18"/>
                <w:lang w:val="fr-FR"/>
              </w:rPr>
              <w:t>2</w:t>
            </w:r>
          </w:p>
        </w:tc>
        <w:tc>
          <w:tcPr>
            <w:tcW w:w="340" w:type="dxa"/>
            <w:shd w:val="clear" w:color="auto" w:fill="auto"/>
            <w:tcMar>
              <w:right w:w="28" w:type="dxa"/>
            </w:tcMar>
            <w:vAlign w:val="bottom"/>
          </w:tcPr>
          <w:p w14:paraId="5A60672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3F633B9C" w14:textId="77777777" w:rsidR="003674C1" w:rsidRPr="000A0BBA" w:rsidRDefault="003674C1" w:rsidP="004F4B2F">
            <w:pPr>
              <w:suppressAutoHyphens w:val="0"/>
              <w:spacing w:before="40" w:after="40" w:line="220" w:lineRule="exact"/>
              <w:jc w:val="right"/>
              <w:rPr>
                <w:sz w:val="18"/>
              </w:rPr>
            </w:pPr>
            <w:r w:rsidRPr="000A0BBA">
              <w:rPr>
                <w:sz w:val="18"/>
                <w:lang w:val="fr-FR"/>
              </w:rPr>
              <w:t>9</w:t>
            </w:r>
          </w:p>
        </w:tc>
        <w:tc>
          <w:tcPr>
            <w:tcW w:w="340" w:type="dxa"/>
            <w:shd w:val="clear" w:color="auto" w:fill="auto"/>
            <w:tcMar>
              <w:right w:w="28" w:type="dxa"/>
            </w:tcMar>
            <w:vAlign w:val="bottom"/>
          </w:tcPr>
          <w:p w14:paraId="5CF298BA" w14:textId="77777777" w:rsidR="003674C1" w:rsidRPr="000A0BBA" w:rsidRDefault="003674C1" w:rsidP="004F4B2F">
            <w:pPr>
              <w:suppressAutoHyphens w:val="0"/>
              <w:spacing w:before="40" w:after="40" w:line="220" w:lineRule="exact"/>
              <w:jc w:val="right"/>
              <w:rPr>
                <w:sz w:val="18"/>
              </w:rPr>
            </w:pPr>
            <w:r w:rsidRPr="000A0BBA">
              <w:rPr>
                <w:sz w:val="18"/>
                <w:lang w:val="fr-FR"/>
              </w:rPr>
              <w:t>103</w:t>
            </w:r>
          </w:p>
        </w:tc>
        <w:tc>
          <w:tcPr>
            <w:tcW w:w="340" w:type="dxa"/>
            <w:shd w:val="clear" w:color="auto" w:fill="auto"/>
            <w:tcMar>
              <w:right w:w="28" w:type="dxa"/>
            </w:tcMar>
            <w:vAlign w:val="bottom"/>
          </w:tcPr>
          <w:p w14:paraId="61D9F53B"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01A1B43A"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338BB5BD"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tcMar>
              <w:right w:w="28" w:type="dxa"/>
            </w:tcMar>
            <w:vAlign w:val="bottom"/>
          </w:tcPr>
          <w:p w14:paraId="11C7F4FF"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tcMar>
              <w:right w:w="28" w:type="dxa"/>
            </w:tcMar>
            <w:vAlign w:val="bottom"/>
          </w:tcPr>
          <w:p w14:paraId="3F0E97BE" w14:textId="77777777" w:rsidR="003674C1" w:rsidRPr="000A0BBA" w:rsidRDefault="003674C1" w:rsidP="004F4B2F">
            <w:pPr>
              <w:suppressAutoHyphens w:val="0"/>
              <w:spacing w:before="40" w:after="40" w:line="220" w:lineRule="exact"/>
              <w:jc w:val="right"/>
              <w:rPr>
                <w:sz w:val="18"/>
              </w:rPr>
            </w:pPr>
            <w:r w:rsidRPr="000A0BBA">
              <w:rPr>
                <w:sz w:val="18"/>
                <w:lang w:val="fr-FR"/>
              </w:rPr>
              <w:t>57</w:t>
            </w:r>
          </w:p>
        </w:tc>
        <w:tc>
          <w:tcPr>
            <w:tcW w:w="340" w:type="dxa"/>
            <w:shd w:val="clear" w:color="auto" w:fill="auto"/>
            <w:tcMar>
              <w:right w:w="28" w:type="dxa"/>
            </w:tcMar>
            <w:vAlign w:val="bottom"/>
          </w:tcPr>
          <w:p w14:paraId="2DE01F97"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0A28B1A2"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vAlign w:val="bottom"/>
          </w:tcPr>
          <w:p w14:paraId="56335C28"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0B634F3D" w14:textId="77777777" w:rsidR="003674C1" w:rsidRPr="000A0BBA" w:rsidRDefault="003674C1" w:rsidP="004F4B2F">
            <w:pPr>
              <w:suppressAutoHyphens w:val="0"/>
              <w:spacing w:before="40" w:after="40" w:line="220" w:lineRule="exact"/>
              <w:jc w:val="right"/>
              <w:rPr>
                <w:sz w:val="18"/>
              </w:rPr>
            </w:pPr>
            <w:r w:rsidRPr="000A0BBA">
              <w:rPr>
                <w:sz w:val="18"/>
                <w:lang w:val="fr-FR"/>
              </w:rPr>
              <w:t>14</w:t>
            </w:r>
          </w:p>
        </w:tc>
        <w:tc>
          <w:tcPr>
            <w:tcW w:w="340" w:type="dxa"/>
            <w:shd w:val="clear" w:color="auto" w:fill="auto"/>
            <w:tcMar>
              <w:right w:w="28" w:type="dxa"/>
            </w:tcMar>
            <w:vAlign w:val="bottom"/>
          </w:tcPr>
          <w:p w14:paraId="7BE38F6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shd w:val="clear" w:color="auto" w:fill="auto"/>
            <w:vAlign w:val="bottom"/>
          </w:tcPr>
          <w:p w14:paraId="6402589C"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tcMar>
              <w:right w:w="28" w:type="dxa"/>
            </w:tcMar>
            <w:vAlign w:val="bottom"/>
          </w:tcPr>
          <w:p w14:paraId="490E3702"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shd w:val="clear" w:color="auto" w:fill="auto"/>
            <w:tcMar>
              <w:right w:w="28" w:type="dxa"/>
            </w:tcMar>
            <w:vAlign w:val="bottom"/>
          </w:tcPr>
          <w:p w14:paraId="41611581"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907" w:type="dxa"/>
            <w:shd w:val="clear" w:color="auto" w:fill="auto"/>
            <w:tcMar>
              <w:right w:w="28" w:type="dxa"/>
            </w:tcMar>
            <w:vAlign w:val="bottom"/>
          </w:tcPr>
          <w:p w14:paraId="4482BE2B" w14:textId="77777777" w:rsidR="003674C1" w:rsidRPr="000A0BBA" w:rsidRDefault="003674C1" w:rsidP="004F4B2F">
            <w:pPr>
              <w:suppressAutoHyphens w:val="0"/>
              <w:spacing w:before="40" w:after="40" w:line="220" w:lineRule="exact"/>
              <w:jc w:val="right"/>
              <w:rPr>
                <w:sz w:val="18"/>
              </w:rPr>
            </w:pPr>
            <w:r w:rsidRPr="000A0BBA">
              <w:rPr>
                <w:sz w:val="18"/>
                <w:lang w:val="fr-FR"/>
              </w:rPr>
              <w:t>192</w:t>
            </w:r>
          </w:p>
        </w:tc>
      </w:tr>
      <w:tr w:rsidR="003674C1" w:rsidRPr="000A0BBA" w14:paraId="67735C5E" w14:textId="77777777" w:rsidTr="004F4B2F">
        <w:tc>
          <w:tcPr>
            <w:tcW w:w="908" w:type="dxa"/>
            <w:tcBorders>
              <w:bottom w:val="single" w:sz="4" w:space="0" w:color="auto"/>
            </w:tcBorders>
            <w:shd w:val="clear" w:color="auto" w:fill="auto"/>
          </w:tcPr>
          <w:p w14:paraId="62D0BAC9" w14:textId="77777777" w:rsidR="003674C1" w:rsidRPr="000A0BBA" w:rsidRDefault="003674C1" w:rsidP="004F4B2F">
            <w:pPr>
              <w:suppressAutoHyphens w:val="0"/>
              <w:spacing w:before="40" w:after="40" w:line="220" w:lineRule="exact"/>
              <w:rPr>
                <w:sz w:val="18"/>
              </w:rPr>
            </w:pPr>
            <w:r w:rsidRPr="000A0BBA">
              <w:rPr>
                <w:sz w:val="18"/>
                <w:lang w:val="fr-FR"/>
              </w:rPr>
              <w:t>2021</w:t>
            </w:r>
            <w:r w:rsidRPr="004E4164">
              <w:rPr>
                <w:i/>
                <w:sz w:val="18"/>
                <w:vertAlign w:val="superscript"/>
                <w:lang w:val="fr-FR"/>
              </w:rPr>
              <w:t>a</w:t>
            </w:r>
          </w:p>
        </w:tc>
        <w:tc>
          <w:tcPr>
            <w:tcW w:w="341" w:type="dxa"/>
            <w:tcBorders>
              <w:bottom w:val="single" w:sz="4" w:space="0" w:color="auto"/>
            </w:tcBorders>
            <w:shd w:val="clear" w:color="auto" w:fill="auto"/>
            <w:tcMar>
              <w:right w:w="28" w:type="dxa"/>
            </w:tcMar>
            <w:vAlign w:val="bottom"/>
          </w:tcPr>
          <w:p w14:paraId="7C9A9AAA"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tcBorders>
              <w:bottom w:val="single" w:sz="4" w:space="0" w:color="auto"/>
            </w:tcBorders>
            <w:shd w:val="clear" w:color="auto" w:fill="auto"/>
            <w:tcMar>
              <w:right w:w="28" w:type="dxa"/>
            </w:tcMar>
            <w:vAlign w:val="bottom"/>
          </w:tcPr>
          <w:p w14:paraId="522C704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tcBorders>
              <w:bottom w:val="single" w:sz="4" w:space="0" w:color="auto"/>
            </w:tcBorders>
            <w:shd w:val="clear" w:color="auto" w:fill="auto"/>
            <w:vAlign w:val="bottom"/>
          </w:tcPr>
          <w:p w14:paraId="0DDD469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1" w:type="dxa"/>
            <w:tcBorders>
              <w:bottom w:val="single" w:sz="4" w:space="0" w:color="auto"/>
            </w:tcBorders>
            <w:shd w:val="clear" w:color="auto" w:fill="auto"/>
            <w:tcMar>
              <w:right w:w="28" w:type="dxa"/>
            </w:tcMar>
            <w:vAlign w:val="bottom"/>
          </w:tcPr>
          <w:p w14:paraId="7CEACC8C"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bottom w:val="single" w:sz="4" w:space="0" w:color="auto"/>
            </w:tcBorders>
            <w:shd w:val="clear" w:color="auto" w:fill="auto"/>
            <w:vAlign w:val="bottom"/>
          </w:tcPr>
          <w:p w14:paraId="56B61D0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bottom w:val="single" w:sz="4" w:space="0" w:color="auto"/>
            </w:tcBorders>
            <w:shd w:val="clear" w:color="auto" w:fill="auto"/>
            <w:tcMar>
              <w:right w:w="28" w:type="dxa"/>
            </w:tcMar>
            <w:vAlign w:val="bottom"/>
          </w:tcPr>
          <w:p w14:paraId="23858837"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bottom w:val="single" w:sz="4" w:space="0" w:color="auto"/>
            </w:tcBorders>
            <w:shd w:val="clear" w:color="auto" w:fill="auto"/>
            <w:tcMar>
              <w:right w:w="28" w:type="dxa"/>
            </w:tcMar>
            <w:vAlign w:val="bottom"/>
          </w:tcPr>
          <w:p w14:paraId="54C76F8F" w14:textId="77777777" w:rsidR="003674C1" w:rsidRPr="000A0BBA" w:rsidRDefault="003674C1" w:rsidP="004F4B2F">
            <w:pPr>
              <w:suppressAutoHyphens w:val="0"/>
              <w:spacing w:before="40" w:after="40" w:line="220" w:lineRule="exact"/>
              <w:jc w:val="right"/>
              <w:rPr>
                <w:sz w:val="18"/>
              </w:rPr>
            </w:pPr>
            <w:r w:rsidRPr="000A0BBA">
              <w:rPr>
                <w:sz w:val="18"/>
                <w:lang w:val="fr-FR"/>
              </w:rPr>
              <w:t>153</w:t>
            </w:r>
          </w:p>
        </w:tc>
        <w:tc>
          <w:tcPr>
            <w:tcW w:w="340" w:type="dxa"/>
            <w:tcBorders>
              <w:bottom w:val="single" w:sz="4" w:space="0" w:color="auto"/>
            </w:tcBorders>
            <w:shd w:val="clear" w:color="auto" w:fill="auto"/>
            <w:tcMar>
              <w:right w:w="28" w:type="dxa"/>
            </w:tcMar>
            <w:vAlign w:val="bottom"/>
          </w:tcPr>
          <w:p w14:paraId="020FA907" w14:textId="77777777" w:rsidR="003674C1" w:rsidRPr="000A0BBA" w:rsidRDefault="003674C1" w:rsidP="004F4B2F">
            <w:pPr>
              <w:suppressAutoHyphens w:val="0"/>
              <w:spacing w:before="40" w:after="40" w:line="220" w:lineRule="exact"/>
              <w:jc w:val="right"/>
              <w:rPr>
                <w:sz w:val="18"/>
              </w:rPr>
            </w:pPr>
            <w:r w:rsidRPr="000A0BBA">
              <w:rPr>
                <w:sz w:val="18"/>
                <w:lang w:val="fr-FR"/>
              </w:rPr>
              <w:t>188</w:t>
            </w:r>
          </w:p>
        </w:tc>
        <w:tc>
          <w:tcPr>
            <w:tcW w:w="340" w:type="dxa"/>
            <w:tcBorders>
              <w:bottom w:val="single" w:sz="4" w:space="0" w:color="auto"/>
            </w:tcBorders>
            <w:shd w:val="clear" w:color="auto" w:fill="auto"/>
            <w:tcMar>
              <w:right w:w="28" w:type="dxa"/>
            </w:tcMar>
            <w:vAlign w:val="bottom"/>
          </w:tcPr>
          <w:p w14:paraId="2DD4307C" w14:textId="77777777" w:rsidR="003674C1" w:rsidRPr="000A0BBA" w:rsidRDefault="003674C1" w:rsidP="004F4B2F">
            <w:pPr>
              <w:suppressAutoHyphens w:val="0"/>
              <w:spacing w:before="40" w:after="40" w:line="220" w:lineRule="exact"/>
              <w:jc w:val="right"/>
              <w:rPr>
                <w:sz w:val="18"/>
              </w:rPr>
            </w:pPr>
            <w:r w:rsidRPr="000A0BBA">
              <w:rPr>
                <w:sz w:val="18"/>
                <w:lang w:val="fr-FR"/>
              </w:rPr>
              <w:t>2</w:t>
            </w:r>
          </w:p>
        </w:tc>
        <w:tc>
          <w:tcPr>
            <w:tcW w:w="340" w:type="dxa"/>
            <w:tcBorders>
              <w:bottom w:val="single" w:sz="4" w:space="0" w:color="auto"/>
            </w:tcBorders>
            <w:shd w:val="clear" w:color="auto" w:fill="auto"/>
            <w:tcMar>
              <w:right w:w="28" w:type="dxa"/>
            </w:tcMar>
            <w:vAlign w:val="bottom"/>
          </w:tcPr>
          <w:p w14:paraId="4054CEB4" w14:textId="77777777" w:rsidR="003674C1" w:rsidRPr="000A0BBA" w:rsidRDefault="003674C1" w:rsidP="004F4B2F">
            <w:pPr>
              <w:suppressAutoHyphens w:val="0"/>
              <w:spacing w:before="40" w:after="40" w:line="220" w:lineRule="exact"/>
              <w:jc w:val="right"/>
              <w:rPr>
                <w:sz w:val="18"/>
              </w:rPr>
            </w:pPr>
            <w:r w:rsidRPr="000A0BBA">
              <w:rPr>
                <w:sz w:val="18"/>
                <w:lang w:val="fr-FR"/>
              </w:rPr>
              <w:t>31</w:t>
            </w:r>
          </w:p>
        </w:tc>
        <w:tc>
          <w:tcPr>
            <w:tcW w:w="340" w:type="dxa"/>
            <w:tcBorders>
              <w:bottom w:val="single" w:sz="4" w:space="0" w:color="auto"/>
            </w:tcBorders>
            <w:shd w:val="clear" w:color="auto" w:fill="auto"/>
            <w:tcMar>
              <w:right w:w="28" w:type="dxa"/>
            </w:tcMar>
            <w:vAlign w:val="bottom"/>
          </w:tcPr>
          <w:p w14:paraId="108AAF14"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bottom w:val="single" w:sz="4" w:space="0" w:color="auto"/>
            </w:tcBorders>
            <w:shd w:val="clear" w:color="auto" w:fill="auto"/>
            <w:tcMar>
              <w:right w:w="28" w:type="dxa"/>
            </w:tcMar>
            <w:vAlign w:val="bottom"/>
          </w:tcPr>
          <w:p w14:paraId="336B4405"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bottom w:val="single" w:sz="4" w:space="0" w:color="auto"/>
            </w:tcBorders>
            <w:shd w:val="clear" w:color="auto" w:fill="auto"/>
            <w:vAlign w:val="bottom"/>
          </w:tcPr>
          <w:p w14:paraId="351D3EAC" w14:textId="77777777" w:rsidR="003674C1" w:rsidRPr="000A0BBA" w:rsidRDefault="003674C1" w:rsidP="004F4B2F">
            <w:pPr>
              <w:suppressAutoHyphens w:val="0"/>
              <w:spacing w:before="40" w:after="40" w:line="220" w:lineRule="exact"/>
              <w:jc w:val="right"/>
              <w:rPr>
                <w:sz w:val="18"/>
              </w:rPr>
            </w:pPr>
            <w:r w:rsidRPr="000A0BBA">
              <w:rPr>
                <w:sz w:val="18"/>
              </w:rPr>
              <w:t>11</w:t>
            </w:r>
          </w:p>
        </w:tc>
        <w:tc>
          <w:tcPr>
            <w:tcW w:w="340" w:type="dxa"/>
            <w:tcBorders>
              <w:bottom w:val="single" w:sz="4" w:space="0" w:color="auto"/>
            </w:tcBorders>
            <w:shd w:val="clear" w:color="auto" w:fill="auto"/>
            <w:tcMar>
              <w:right w:w="28" w:type="dxa"/>
            </w:tcMar>
            <w:vAlign w:val="bottom"/>
          </w:tcPr>
          <w:p w14:paraId="3DFA1192"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bottom w:val="single" w:sz="4" w:space="0" w:color="auto"/>
            </w:tcBorders>
            <w:shd w:val="clear" w:color="auto" w:fill="auto"/>
            <w:tcMar>
              <w:right w:w="28" w:type="dxa"/>
            </w:tcMar>
            <w:vAlign w:val="bottom"/>
          </w:tcPr>
          <w:p w14:paraId="3D80D3A6" w14:textId="77777777" w:rsidR="003674C1" w:rsidRPr="000A0BBA" w:rsidRDefault="003674C1" w:rsidP="004F4B2F">
            <w:pPr>
              <w:suppressAutoHyphens w:val="0"/>
              <w:spacing w:before="40" w:after="40" w:line="220" w:lineRule="exact"/>
              <w:jc w:val="right"/>
              <w:rPr>
                <w:sz w:val="18"/>
              </w:rPr>
            </w:pPr>
            <w:r w:rsidRPr="000A0BBA">
              <w:rPr>
                <w:sz w:val="18"/>
                <w:lang w:val="fr-FR"/>
              </w:rPr>
              <w:t>21</w:t>
            </w:r>
          </w:p>
        </w:tc>
        <w:tc>
          <w:tcPr>
            <w:tcW w:w="340" w:type="dxa"/>
            <w:tcBorders>
              <w:bottom w:val="single" w:sz="4" w:space="0" w:color="auto"/>
            </w:tcBorders>
            <w:shd w:val="clear" w:color="auto" w:fill="auto"/>
            <w:tcMar>
              <w:right w:w="28" w:type="dxa"/>
            </w:tcMar>
            <w:vAlign w:val="bottom"/>
          </w:tcPr>
          <w:p w14:paraId="12445755" w14:textId="77777777" w:rsidR="003674C1" w:rsidRPr="000A0BBA" w:rsidRDefault="003674C1" w:rsidP="004F4B2F">
            <w:pPr>
              <w:suppressAutoHyphens w:val="0"/>
              <w:spacing w:before="40" w:after="40" w:line="220" w:lineRule="exact"/>
              <w:jc w:val="right"/>
              <w:rPr>
                <w:sz w:val="18"/>
              </w:rPr>
            </w:pPr>
            <w:r w:rsidRPr="000A0BBA">
              <w:rPr>
                <w:sz w:val="18"/>
                <w:lang w:val="fr-FR"/>
              </w:rPr>
              <w:t>2</w:t>
            </w:r>
          </w:p>
        </w:tc>
        <w:tc>
          <w:tcPr>
            <w:tcW w:w="340" w:type="dxa"/>
            <w:tcBorders>
              <w:bottom w:val="single" w:sz="4" w:space="0" w:color="auto"/>
            </w:tcBorders>
            <w:shd w:val="clear" w:color="auto" w:fill="auto"/>
            <w:vAlign w:val="bottom"/>
          </w:tcPr>
          <w:p w14:paraId="62D70B0E"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bottom w:val="single" w:sz="4" w:space="0" w:color="auto"/>
            </w:tcBorders>
            <w:shd w:val="clear" w:color="auto" w:fill="auto"/>
            <w:vAlign w:val="bottom"/>
          </w:tcPr>
          <w:p w14:paraId="6ECFF43F" w14:textId="77777777" w:rsidR="003674C1" w:rsidRPr="000A0BBA" w:rsidRDefault="003674C1" w:rsidP="004F4B2F">
            <w:pPr>
              <w:suppressAutoHyphens w:val="0"/>
              <w:spacing w:before="40" w:after="40" w:line="220" w:lineRule="exact"/>
              <w:jc w:val="right"/>
              <w:rPr>
                <w:sz w:val="18"/>
              </w:rPr>
            </w:pPr>
            <w:r w:rsidRPr="000A0BBA">
              <w:rPr>
                <w:sz w:val="18"/>
                <w:lang w:val="fr-FR"/>
              </w:rPr>
              <w:t>1</w:t>
            </w:r>
          </w:p>
        </w:tc>
        <w:tc>
          <w:tcPr>
            <w:tcW w:w="340" w:type="dxa"/>
            <w:tcBorders>
              <w:bottom w:val="single" w:sz="4" w:space="0" w:color="auto"/>
            </w:tcBorders>
            <w:shd w:val="clear" w:color="auto" w:fill="auto"/>
            <w:vAlign w:val="bottom"/>
          </w:tcPr>
          <w:p w14:paraId="3AD9FEC3"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bottom w:val="single" w:sz="4" w:space="0" w:color="auto"/>
            </w:tcBorders>
            <w:shd w:val="clear" w:color="auto" w:fill="auto"/>
            <w:tcMar>
              <w:right w:w="28" w:type="dxa"/>
            </w:tcMar>
            <w:vAlign w:val="bottom"/>
          </w:tcPr>
          <w:p w14:paraId="580F4BA4"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bottom w:val="single" w:sz="4" w:space="0" w:color="auto"/>
            </w:tcBorders>
            <w:shd w:val="clear" w:color="auto" w:fill="auto"/>
            <w:vAlign w:val="bottom"/>
          </w:tcPr>
          <w:p w14:paraId="5DD5B362"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bottom w:val="single" w:sz="4" w:space="0" w:color="auto"/>
            </w:tcBorders>
            <w:shd w:val="clear" w:color="auto" w:fill="auto"/>
            <w:tcMar>
              <w:right w:w="28" w:type="dxa"/>
            </w:tcMar>
            <w:vAlign w:val="bottom"/>
          </w:tcPr>
          <w:p w14:paraId="6A4FAA83"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340" w:type="dxa"/>
            <w:tcBorders>
              <w:bottom w:val="single" w:sz="4" w:space="0" w:color="auto"/>
            </w:tcBorders>
            <w:shd w:val="clear" w:color="auto" w:fill="auto"/>
            <w:tcMar>
              <w:right w:w="28" w:type="dxa"/>
            </w:tcMar>
            <w:vAlign w:val="bottom"/>
          </w:tcPr>
          <w:p w14:paraId="0D4D63B8" w14:textId="77777777" w:rsidR="003674C1" w:rsidRPr="000A0BBA" w:rsidRDefault="003674C1" w:rsidP="004F4B2F">
            <w:pPr>
              <w:suppressAutoHyphens w:val="0"/>
              <w:spacing w:before="40" w:after="40" w:line="220" w:lineRule="exact"/>
              <w:jc w:val="right"/>
              <w:rPr>
                <w:sz w:val="18"/>
              </w:rPr>
            </w:pPr>
            <w:r w:rsidRPr="000A0BBA">
              <w:rPr>
                <w:sz w:val="18"/>
              </w:rPr>
              <w:t>-</w:t>
            </w:r>
          </w:p>
        </w:tc>
        <w:tc>
          <w:tcPr>
            <w:tcW w:w="907" w:type="dxa"/>
            <w:tcBorders>
              <w:bottom w:val="single" w:sz="4" w:space="0" w:color="auto"/>
            </w:tcBorders>
            <w:shd w:val="clear" w:color="auto" w:fill="auto"/>
            <w:tcMar>
              <w:right w:w="28" w:type="dxa"/>
            </w:tcMar>
            <w:vAlign w:val="bottom"/>
          </w:tcPr>
          <w:p w14:paraId="6CF7548B" w14:textId="77777777" w:rsidR="003674C1" w:rsidRPr="000A0BBA" w:rsidRDefault="003674C1" w:rsidP="004F4B2F">
            <w:pPr>
              <w:suppressAutoHyphens w:val="0"/>
              <w:spacing w:before="40" w:after="40" w:line="220" w:lineRule="exact"/>
              <w:jc w:val="right"/>
              <w:rPr>
                <w:sz w:val="18"/>
              </w:rPr>
            </w:pPr>
            <w:r w:rsidRPr="000A0BBA">
              <w:rPr>
                <w:sz w:val="18"/>
                <w:lang w:val="fr-FR"/>
              </w:rPr>
              <w:t>409</w:t>
            </w:r>
          </w:p>
        </w:tc>
      </w:tr>
      <w:tr w:rsidR="003674C1" w:rsidRPr="000C2D3C" w14:paraId="3382D9FF" w14:textId="77777777" w:rsidTr="004F4B2F">
        <w:tc>
          <w:tcPr>
            <w:tcW w:w="908" w:type="dxa"/>
            <w:tcBorders>
              <w:top w:val="single" w:sz="4" w:space="0" w:color="auto"/>
              <w:bottom w:val="single" w:sz="12" w:space="0" w:color="auto"/>
            </w:tcBorders>
            <w:shd w:val="clear" w:color="auto" w:fill="auto"/>
          </w:tcPr>
          <w:p w14:paraId="4FAB765D" w14:textId="77777777" w:rsidR="003674C1" w:rsidRPr="000C2D3C" w:rsidRDefault="003674C1" w:rsidP="004F4B2F">
            <w:pPr>
              <w:suppressAutoHyphens w:val="0"/>
              <w:spacing w:before="80" w:after="80" w:line="220" w:lineRule="exact"/>
              <w:ind w:left="283"/>
              <w:rPr>
                <w:b/>
                <w:sz w:val="18"/>
              </w:rPr>
            </w:pPr>
            <w:r w:rsidRPr="000C2D3C">
              <w:rPr>
                <w:b/>
                <w:sz w:val="18"/>
                <w:lang w:val="fr-FR"/>
              </w:rPr>
              <w:t>Total</w:t>
            </w:r>
          </w:p>
        </w:tc>
        <w:tc>
          <w:tcPr>
            <w:tcW w:w="341" w:type="dxa"/>
            <w:tcBorders>
              <w:top w:val="single" w:sz="4" w:space="0" w:color="auto"/>
              <w:bottom w:val="single" w:sz="12" w:space="0" w:color="auto"/>
            </w:tcBorders>
            <w:shd w:val="clear" w:color="auto" w:fill="auto"/>
            <w:tcMar>
              <w:right w:w="28" w:type="dxa"/>
            </w:tcMar>
            <w:vAlign w:val="bottom"/>
          </w:tcPr>
          <w:p w14:paraId="7FE89D0E" w14:textId="77777777" w:rsidR="003674C1" w:rsidRPr="000C2D3C" w:rsidRDefault="003674C1" w:rsidP="004F4B2F">
            <w:pPr>
              <w:suppressAutoHyphens w:val="0"/>
              <w:spacing w:before="80" w:after="80" w:line="220" w:lineRule="exact"/>
              <w:jc w:val="right"/>
              <w:rPr>
                <w:b/>
                <w:sz w:val="18"/>
              </w:rPr>
            </w:pPr>
            <w:r w:rsidRPr="000C2D3C">
              <w:rPr>
                <w:b/>
                <w:sz w:val="18"/>
                <w:lang w:val="fr-FR"/>
              </w:rPr>
              <w:t>3</w:t>
            </w:r>
          </w:p>
        </w:tc>
        <w:tc>
          <w:tcPr>
            <w:tcW w:w="341" w:type="dxa"/>
            <w:tcBorders>
              <w:top w:val="single" w:sz="4" w:space="0" w:color="auto"/>
              <w:bottom w:val="single" w:sz="12" w:space="0" w:color="auto"/>
            </w:tcBorders>
            <w:shd w:val="clear" w:color="auto" w:fill="auto"/>
            <w:tcMar>
              <w:right w:w="28" w:type="dxa"/>
            </w:tcMar>
            <w:vAlign w:val="bottom"/>
          </w:tcPr>
          <w:p w14:paraId="19DE2909" w14:textId="77777777" w:rsidR="003674C1" w:rsidRPr="000C2D3C" w:rsidRDefault="003674C1" w:rsidP="004F4B2F">
            <w:pPr>
              <w:suppressAutoHyphens w:val="0"/>
              <w:spacing w:before="80" w:after="80" w:line="220" w:lineRule="exact"/>
              <w:jc w:val="right"/>
              <w:rPr>
                <w:b/>
                <w:sz w:val="18"/>
              </w:rPr>
            </w:pPr>
            <w:r w:rsidRPr="000C2D3C">
              <w:rPr>
                <w:b/>
                <w:sz w:val="18"/>
                <w:lang w:val="fr-FR"/>
              </w:rPr>
              <w:t>1</w:t>
            </w:r>
          </w:p>
        </w:tc>
        <w:tc>
          <w:tcPr>
            <w:tcW w:w="341" w:type="dxa"/>
            <w:tcBorders>
              <w:top w:val="single" w:sz="4" w:space="0" w:color="auto"/>
              <w:bottom w:val="single" w:sz="12" w:space="0" w:color="auto"/>
            </w:tcBorders>
            <w:shd w:val="clear" w:color="auto" w:fill="auto"/>
            <w:vAlign w:val="bottom"/>
          </w:tcPr>
          <w:p w14:paraId="7AD8F6FD" w14:textId="77777777" w:rsidR="003674C1" w:rsidRPr="000C2D3C" w:rsidRDefault="003674C1" w:rsidP="004F4B2F">
            <w:pPr>
              <w:suppressAutoHyphens w:val="0"/>
              <w:spacing w:before="80" w:after="80" w:line="220" w:lineRule="exact"/>
              <w:jc w:val="right"/>
              <w:rPr>
                <w:b/>
                <w:sz w:val="18"/>
              </w:rPr>
            </w:pPr>
            <w:r w:rsidRPr="000C2D3C">
              <w:rPr>
                <w:b/>
                <w:sz w:val="18"/>
                <w:lang w:val="fr-FR"/>
              </w:rPr>
              <w:t>1</w:t>
            </w:r>
          </w:p>
        </w:tc>
        <w:tc>
          <w:tcPr>
            <w:tcW w:w="341" w:type="dxa"/>
            <w:tcBorders>
              <w:top w:val="single" w:sz="4" w:space="0" w:color="auto"/>
              <w:bottom w:val="single" w:sz="12" w:space="0" w:color="auto"/>
            </w:tcBorders>
            <w:shd w:val="clear" w:color="auto" w:fill="auto"/>
            <w:tcMar>
              <w:right w:w="28" w:type="dxa"/>
            </w:tcMar>
            <w:vAlign w:val="bottom"/>
          </w:tcPr>
          <w:p w14:paraId="70883501" w14:textId="77777777" w:rsidR="003674C1" w:rsidRPr="000C2D3C" w:rsidRDefault="003674C1" w:rsidP="004F4B2F">
            <w:pPr>
              <w:suppressAutoHyphens w:val="0"/>
              <w:spacing w:before="80" w:after="80" w:line="220" w:lineRule="exact"/>
              <w:jc w:val="right"/>
              <w:rPr>
                <w:b/>
                <w:sz w:val="18"/>
              </w:rPr>
            </w:pPr>
            <w:r w:rsidRPr="000C2D3C">
              <w:rPr>
                <w:b/>
                <w:sz w:val="18"/>
                <w:lang w:val="fr-FR"/>
              </w:rPr>
              <w:t>1</w:t>
            </w:r>
          </w:p>
        </w:tc>
        <w:tc>
          <w:tcPr>
            <w:tcW w:w="340" w:type="dxa"/>
            <w:tcBorders>
              <w:top w:val="single" w:sz="4" w:space="0" w:color="auto"/>
              <w:bottom w:val="single" w:sz="12" w:space="0" w:color="auto"/>
            </w:tcBorders>
            <w:shd w:val="clear" w:color="auto" w:fill="auto"/>
            <w:vAlign w:val="bottom"/>
          </w:tcPr>
          <w:p w14:paraId="34665330" w14:textId="77777777" w:rsidR="003674C1" w:rsidRPr="000C2D3C" w:rsidRDefault="003674C1" w:rsidP="004F4B2F">
            <w:pPr>
              <w:suppressAutoHyphens w:val="0"/>
              <w:spacing w:before="80" w:after="80" w:line="220" w:lineRule="exact"/>
              <w:jc w:val="right"/>
              <w:rPr>
                <w:b/>
                <w:sz w:val="18"/>
              </w:rPr>
            </w:pPr>
            <w:r w:rsidRPr="000C2D3C">
              <w:rPr>
                <w:b/>
                <w:sz w:val="18"/>
                <w:lang w:val="fr-FR"/>
              </w:rPr>
              <w:t>1</w:t>
            </w:r>
          </w:p>
        </w:tc>
        <w:tc>
          <w:tcPr>
            <w:tcW w:w="340" w:type="dxa"/>
            <w:tcBorders>
              <w:top w:val="single" w:sz="4" w:space="0" w:color="auto"/>
              <w:bottom w:val="single" w:sz="12" w:space="0" w:color="auto"/>
            </w:tcBorders>
            <w:shd w:val="clear" w:color="auto" w:fill="auto"/>
            <w:tcMar>
              <w:right w:w="28" w:type="dxa"/>
            </w:tcMar>
            <w:vAlign w:val="bottom"/>
          </w:tcPr>
          <w:p w14:paraId="54921A99" w14:textId="77777777" w:rsidR="003674C1" w:rsidRPr="000C2D3C" w:rsidRDefault="003674C1" w:rsidP="004F4B2F">
            <w:pPr>
              <w:suppressAutoHyphens w:val="0"/>
              <w:spacing w:before="80" w:after="80" w:line="220" w:lineRule="exact"/>
              <w:jc w:val="right"/>
              <w:rPr>
                <w:b/>
                <w:sz w:val="18"/>
              </w:rPr>
            </w:pPr>
            <w:r w:rsidRPr="000C2D3C">
              <w:rPr>
                <w:b/>
                <w:sz w:val="18"/>
                <w:lang w:val="fr-FR"/>
              </w:rPr>
              <w:t>4</w:t>
            </w:r>
          </w:p>
        </w:tc>
        <w:tc>
          <w:tcPr>
            <w:tcW w:w="340" w:type="dxa"/>
            <w:tcBorders>
              <w:top w:val="single" w:sz="4" w:space="0" w:color="auto"/>
              <w:bottom w:val="single" w:sz="12" w:space="0" w:color="auto"/>
            </w:tcBorders>
            <w:shd w:val="clear" w:color="auto" w:fill="auto"/>
            <w:tcMar>
              <w:right w:w="28" w:type="dxa"/>
            </w:tcMar>
            <w:vAlign w:val="bottom"/>
          </w:tcPr>
          <w:p w14:paraId="04134856" w14:textId="77777777" w:rsidR="003674C1" w:rsidRPr="000C2D3C" w:rsidRDefault="003674C1" w:rsidP="004F4B2F">
            <w:pPr>
              <w:suppressAutoHyphens w:val="0"/>
              <w:spacing w:before="80" w:after="80" w:line="220" w:lineRule="exact"/>
              <w:jc w:val="right"/>
              <w:rPr>
                <w:b/>
                <w:sz w:val="18"/>
              </w:rPr>
            </w:pPr>
            <w:r w:rsidRPr="000C2D3C">
              <w:rPr>
                <w:b/>
                <w:sz w:val="18"/>
                <w:lang w:val="fr-FR"/>
              </w:rPr>
              <w:t>179</w:t>
            </w:r>
          </w:p>
        </w:tc>
        <w:tc>
          <w:tcPr>
            <w:tcW w:w="340" w:type="dxa"/>
            <w:tcBorders>
              <w:top w:val="single" w:sz="4" w:space="0" w:color="auto"/>
              <w:bottom w:val="single" w:sz="12" w:space="0" w:color="auto"/>
            </w:tcBorders>
            <w:shd w:val="clear" w:color="auto" w:fill="auto"/>
            <w:tcMar>
              <w:right w:w="28" w:type="dxa"/>
            </w:tcMar>
            <w:vAlign w:val="bottom"/>
          </w:tcPr>
          <w:p w14:paraId="72CABC2B" w14:textId="77777777" w:rsidR="003674C1" w:rsidRPr="000C2D3C" w:rsidRDefault="003674C1" w:rsidP="004F4B2F">
            <w:pPr>
              <w:suppressAutoHyphens w:val="0"/>
              <w:spacing w:before="80" w:after="80" w:line="220" w:lineRule="exact"/>
              <w:jc w:val="right"/>
              <w:rPr>
                <w:b/>
                <w:sz w:val="18"/>
              </w:rPr>
            </w:pPr>
            <w:r w:rsidRPr="000C2D3C">
              <w:rPr>
                <w:b/>
                <w:sz w:val="18"/>
                <w:lang w:val="fr-FR"/>
              </w:rPr>
              <w:t>192</w:t>
            </w:r>
          </w:p>
        </w:tc>
        <w:tc>
          <w:tcPr>
            <w:tcW w:w="340" w:type="dxa"/>
            <w:tcBorders>
              <w:top w:val="single" w:sz="4" w:space="0" w:color="auto"/>
              <w:bottom w:val="single" w:sz="12" w:space="0" w:color="auto"/>
            </w:tcBorders>
            <w:shd w:val="clear" w:color="auto" w:fill="auto"/>
            <w:tcMar>
              <w:right w:w="28" w:type="dxa"/>
            </w:tcMar>
            <w:vAlign w:val="bottom"/>
          </w:tcPr>
          <w:p w14:paraId="66A1AEE9" w14:textId="77777777" w:rsidR="003674C1" w:rsidRPr="000C2D3C" w:rsidRDefault="003674C1" w:rsidP="004F4B2F">
            <w:pPr>
              <w:suppressAutoHyphens w:val="0"/>
              <w:spacing w:before="80" w:after="80" w:line="220" w:lineRule="exact"/>
              <w:jc w:val="right"/>
              <w:rPr>
                <w:b/>
                <w:sz w:val="18"/>
              </w:rPr>
            </w:pPr>
            <w:r w:rsidRPr="000C2D3C">
              <w:rPr>
                <w:b/>
                <w:sz w:val="18"/>
                <w:lang w:val="fr-FR"/>
              </w:rPr>
              <w:t>25</w:t>
            </w:r>
          </w:p>
        </w:tc>
        <w:tc>
          <w:tcPr>
            <w:tcW w:w="340" w:type="dxa"/>
            <w:tcBorders>
              <w:top w:val="single" w:sz="4" w:space="0" w:color="auto"/>
              <w:bottom w:val="single" w:sz="12" w:space="0" w:color="auto"/>
            </w:tcBorders>
            <w:shd w:val="clear" w:color="auto" w:fill="auto"/>
            <w:tcMar>
              <w:right w:w="28" w:type="dxa"/>
            </w:tcMar>
            <w:vAlign w:val="bottom"/>
          </w:tcPr>
          <w:p w14:paraId="63C0130F" w14:textId="77777777" w:rsidR="003674C1" w:rsidRPr="000C2D3C" w:rsidRDefault="003674C1" w:rsidP="004F4B2F">
            <w:pPr>
              <w:suppressAutoHyphens w:val="0"/>
              <w:spacing w:before="80" w:after="80" w:line="220" w:lineRule="exact"/>
              <w:jc w:val="right"/>
              <w:rPr>
                <w:b/>
                <w:sz w:val="18"/>
              </w:rPr>
            </w:pPr>
            <w:r w:rsidRPr="000C2D3C">
              <w:rPr>
                <w:b/>
                <w:sz w:val="18"/>
                <w:lang w:val="fr-FR"/>
              </w:rPr>
              <w:t>522</w:t>
            </w:r>
          </w:p>
        </w:tc>
        <w:tc>
          <w:tcPr>
            <w:tcW w:w="340" w:type="dxa"/>
            <w:tcBorders>
              <w:top w:val="single" w:sz="4" w:space="0" w:color="auto"/>
              <w:bottom w:val="single" w:sz="12" w:space="0" w:color="auto"/>
            </w:tcBorders>
            <w:shd w:val="clear" w:color="auto" w:fill="auto"/>
            <w:tcMar>
              <w:right w:w="28" w:type="dxa"/>
            </w:tcMar>
            <w:vAlign w:val="bottom"/>
          </w:tcPr>
          <w:p w14:paraId="5AA80E4C" w14:textId="77777777" w:rsidR="003674C1" w:rsidRPr="000C2D3C" w:rsidRDefault="003674C1" w:rsidP="004F4B2F">
            <w:pPr>
              <w:suppressAutoHyphens w:val="0"/>
              <w:spacing w:before="80" w:after="80" w:line="220" w:lineRule="exact"/>
              <w:jc w:val="right"/>
              <w:rPr>
                <w:b/>
                <w:sz w:val="18"/>
              </w:rPr>
            </w:pPr>
            <w:r w:rsidRPr="000C2D3C">
              <w:rPr>
                <w:b/>
                <w:sz w:val="18"/>
                <w:lang w:val="fr-FR"/>
              </w:rPr>
              <w:t>2</w:t>
            </w:r>
          </w:p>
        </w:tc>
        <w:tc>
          <w:tcPr>
            <w:tcW w:w="340" w:type="dxa"/>
            <w:tcBorders>
              <w:top w:val="single" w:sz="4" w:space="0" w:color="auto"/>
              <w:bottom w:val="single" w:sz="12" w:space="0" w:color="auto"/>
            </w:tcBorders>
            <w:shd w:val="clear" w:color="auto" w:fill="auto"/>
            <w:tcMar>
              <w:right w:w="28" w:type="dxa"/>
            </w:tcMar>
            <w:vAlign w:val="bottom"/>
          </w:tcPr>
          <w:p w14:paraId="7C39705E" w14:textId="77777777" w:rsidR="003674C1" w:rsidRPr="000C2D3C" w:rsidRDefault="003674C1" w:rsidP="004F4B2F">
            <w:pPr>
              <w:suppressAutoHyphens w:val="0"/>
              <w:spacing w:before="80" w:after="80" w:line="220" w:lineRule="exact"/>
              <w:jc w:val="right"/>
              <w:rPr>
                <w:b/>
                <w:sz w:val="18"/>
              </w:rPr>
            </w:pPr>
            <w:r w:rsidRPr="000C2D3C">
              <w:rPr>
                <w:b/>
                <w:sz w:val="18"/>
                <w:lang w:val="fr-FR"/>
              </w:rPr>
              <w:t>2</w:t>
            </w:r>
          </w:p>
        </w:tc>
        <w:tc>
          <w:tcPr>
            <w:tcW w:w="340" w:type="dxa"/>
            <w:tcBorders>
              <w:top w:val="single" w:sz="4" w:space="0" w:color="auto"/>
              <w:bottom w:val="single" w:sz="12" w:space="0" w:color="auto"/>
            </w:tcBorders>
            <w:shd w:val="clear" w:color="auto" w:fill="auto"/>
            <w:vAlign w:val="bottom"/>
          </w:tcPr>
          <w:p w14:paraId="4298C288" w14:textId="77777777" w:rsidR="003674C1" w:rsidRPr="000C2D3C" w:rsidRDefault="003674C1" w:rsidP="004F4B2F">
            <w:pPr>
              <w:suppressAutoHyphens w:val="0"/>
              <w:spacing w:before="80" w:after="80" w:line="220" w:lineRule="exact"/>
              <w:jc w:val="right"/>
              <w:rPr>
                <w:b/>
                <w:sz w:val="18"/>
              </w:rPr>
            </w:pPr>
            <w:r w:rsidRPr="000C2D3C">
              <w:rPr>
                <w:b/>
                <w:sz w:val="18"/>
                <w:lang w:val="fr-FR"/>
              </w:rPr>
              <w:t>12</w:t>
            </w:r>
          </w:p>
        </w:tc>
        <w:tc>
          <w:tcPr>
            <w:tcW w:w="340" w:type="dxa"/>
            <w:tcBorders>
              <w:top w:val="single" w:sz="4" w:space="0" w:color="auto"/>
              <w:bottom w:val="single" w:sz="12" w:space="0" w:color="auto"/>
            </w:tcBorders>
            <w:shd w:val="clear" w:color="auto" w:fill="auto"/>
            <w:tcMar>
              <w:right w:w="28" w:type="dxa"/>
            </w:tcMar>
            <w:vAlign w:val="bottom"/>
          </w:tcPr>
          <w:p w14:paraId="796BA2F6" w14:textId="77777777" w:rsidR="003674C1" w:rsidRPr="000C2D3C" w:rsidRDefault="003674C1" w:rsidP="004F4B2F">
            <w:pPr>
              <w:suppressAutoHyphens w:val="0"/>
              <w:spacing w:before="80" w:after="80" w:line="220" w:lineRule="exact"/>
              <w:jc w:val="right"/>
              <w:rPr>
                <w:b/>
                <w:sz w:val="18"/>
              </w:rPr>
            </w:pPr>
            <w:r w:rsidRPr="000C2D3C">
              <w:rPr>
                <w:b/>
                <w:sz w:val="18"/>
                <w:lang w:val="fr-FR"/>
              </w:rPr>
              <w:t>1</w:t>
            </w:r>
          </w:p>
        </w:tc>
        <w:tc>
          <w:tcPr>
            <w:tcW w:w="340" w:type="dxa"/>
            <w:tcBorders>
              <w:top w:val="single" w:sz="4" w:space="0" w:color="auto"/>
              <w:bottom w:val="single" w:sz="12" w:space="0" w:color="auto"/>
            </w:tcBorders>
            <w:shd w:val="clear" w:color="auto" w:fill="auto"/>
            <w:tcMar>
              <w:right w:w="28" w:type="dxa"/>
            </w:tcMar>
            <w:vAlign w:val="bottom"/>
          </w:tcPr>
          <w:p w14:paraId="3157A31E" w14:textId="77777777" w:rsidR="003674C1" w:rsidRPr="000C2D3C" w:rsidRDefault="003674C1" w:rsidP="004F4B2F">
            <w:pPr>
              <w:suppressAutoHyphens w:val="0"/>
              <w:spacing w:before="80" w:after="80" w:line="220" w:lineRule="exact"/>
              <w:jc w:val="right"/>
              <w:rPr>
                <w:b/>
                <w:sz w:val="18"/>
              </w:rPr>
            </w:pPr>
            <w:r w:rsidRPr="000C2D3C">
              <w:rPr>
                <w:b/>
                <w:sz w:val="18"/>
                <w:lang w:val="fr-FR"/>
              </w:rPr>
              <w:t>437</w:t>
            </w:r>
          </w:p>
        </w:tc>
        <w:tc>
          <w:tcPr>
            <w:tcW w:w="340" w:type="dxa"/>
            <w:tcBorders>
              <w:top w:val="single" w:sz="4" w:space="0" w:color="auto"/>
              <w:bottom w:val="single" w:sz="12" w:space="0" w:color="auto"/>
            </w:tcBorders>
            <w:shd w:val="clear" w:color="auto" w:fill="auto"/>
            <w:tcMar>
              <w:right w:w="28" w:type="dxa"/>
            </w:tcMar>
            <w:vAlign w:val="bottom"/>
          </w:tcPr>
          <w:p w14:paraId="0A19712C" w14:textId="77777777" w:rsidR="003674C1" w:rsidRPr="000C2D3C" w:rsidRDefault="003674C1" w:rsidP="004F4B2F">
            <w:pPr>
              <w:suppressAutoHyphens w:val="0"/>
              <w:spacing w:before="80" w:after="80" w:line="220" w:lineRule="exact"/>
              <w:jc w:val="right"/>
              <w:rPr>
                <w:b/>
                <w:sz w:val="18"/>
              </w:rPr>
            </w:pPr>
            <w:r w:rsidRPr="000C2D3C">
              <w:rPr>
                <w:b/>
                <w:sz w:val="18"/>
                <w:lang w:val="fr-FR"/>
              </w:rPr>
              <w:t>5</w:t>
            </w:r>
          </w:p>
        </w:tc>
        <w:tc>
          <w:tcPr>
            <w:tcW w:w="340" w:type="dxa"/>
            <w:tcBorders>
              <w:top w:val="single" w:sz="4" w:space="0" w:color="auto"/>
              <w:bottom w:val="single" w:sz="12" w:space="0" w:color="auto"/>
            </w:tcBorders>
            <w:shd w:val="clear" w:color="auto" w:fill="auto"/>
            <w:vAlign w:val="bottom"/>
          </w:tcPr>
          <w:p w14:paraId="0D174C1A" w14:textId="77777777" w:rsidR="003674C1" w:rsidRPr="000C2D3C" w:rsidRDefault="003674C1" w:rsidP="004F4B2F">
            <w:pPr>
              <w:suppressAutoHyphens w:val="0"/>
              <w:spacing w:before="80" w:after="80" w:line="220" w:lineRule="exact"/>
              <w:jc w:val="right"/>
              <w:rPr>
                <w:b/>
                <w:sz w:val="18"/>
              </w:rPr>
            </w:pPr>
            <w:r w:rsidRPr="000C2D3C">
              <w:rPr>
                <w:b/>
                <w:sz w:val="18"/>
                <w:lang w:val="fr-FR"/>
              </w:rPr>
              <w:t>1</w:t>
            </w:r>
          </w:p>
        </w:tc>
        <w:tc>
          <w:tcPr>
            <w:tcW w:w="340" w:type="dxa"/>
            <w:tcBorders>
              <w:top w:val="single" w:sz="4" w:space="0" w:color="auto"/>
              <w:bottom w:val="single" w:sz="12" w:space="0" w:color="auto"/>
            </w:tcBorders>
            <w:shd w:val="clear" w:color="auto" w:fill="auto"/>
            <w:vAlign w:val="bottom"/>
          </w:tcPr>
          <w:p w14:paraId="51CF2DE1" w14:textId="77777777" w:rsidR="003674C1" w:rsidRPr="000C2D3C" w:rsidRDefault="003674C1" w:rsidP="004F4B2F">
            <w:pPr>
              <w:suppressAutoHyphens w:val="0"/>
              <w:spacing w:before="80" w:after="80" w:line="220" w:lineRule="exact"/>
              <w:jc w:val="right"/>
              <w:rPr>
                <w:b/>
                <w:sz w:val="18"/>
              </w:rPr>
            </w:pPr>
            <w:r w:rsidRPr="000C2D3C">
              <w:rPr>
                <w:b/>
                <w:sz w:val="18"/>
                <w:lang w:val="fr-FR"/>
              </w:rPr>
              <w:t>1</w:t>
            </w:r>
          </w:p>
        </w:tc>
        <w:tc>
          <w:tcPr>
            <w:tcW w:w="340" w:type="dxa"/>
            <w:tcBorders>
              <w:top w:val="single" w:sz="4" w:space="0" w:color="auto"/>
              <w:bottom w:val="single" w:sz="12" w:space="0" w:color="auto"/>
            </w:tcBorders>
            <w:shd w:val="clear" w:color="auto" w:fill="auto"/>
            <w:vAlign w:val="bottom"/>
          </w:tcPr>
          <w:p w14:paraId="141FDF91" w14:textId="77777777" w:rsidR="003674C1" w:rsidRPr="000C2D3C" w:rsidRDefault="003674C1" w:rsidP="004F4B2F">
            <w:pPr>
              <w:suppressAutoHyphens w:val="0"/>
              <w:spacing w:before="80" w:after="80" w:line="220" w:lineRule="exact"/>
              <w:jc w:val="right"/>
              <w:rPr>
                <w:b/>
                <w:sz w:val="18"/>
              </w:rPr>
            </w:pPr>
            <w:r w:rsidRPr="000C2D3C">
              <w:rPr>
                <w:b/>
                <w:sz w:val="18"/>
                <w:lang w:val="fr-FR"/>
              </w:rPr>
              <w:t>14</w:t>
            </w:r>
          </w:p>
        </w:tc>
        <w:tc>
          <w:tcPr>
            <w:tcW w:w="340" w:type="dxa"/>
            <w:tcBorders>
              <w:top w:val="single" w:sz="4" w:space="0" w:color="auto"/>
              <w:bottom w:val="single" w:sz="12" w:space="0" w:color="auto"/>
            </w:tcBorders>
            <w:shd w:val="clear" w:color="auto" w:fill="auto"/>
            <w:tcMar>
              <w:right w:w="28" w:type="dxa"/>
            </w:tcMar>
            <w:vAlign w:val="bottom"/>
          </w:tcPr>
          <w:p w14:paraId="25D07473" w14:textId="77777777" w:rsidR="003674C1" w:rsidRPr="000C2D3C" w:rsidRDefault="003674C1" w:rsidP="004F4B2F">
            <w:pPr>
              <w:suppressAutoHyphens w:val="0"/>
              <w:spacing w:before="80" w:after="80" w:line="220" w:lineRule="exact"/>
              <w:jc w:val="right"/>
              <w:rPr>
                <w:b/>
                <w:sz w:val="18"/>
              </w:rPr>
            </w:pPr>
            <w:r w:rsidRPr="000C2D3C">
              <w:rPr>
                <w:b/>
                <w:sz w:val="18"/>
                <w:lang w:val="fr-FR"/>
              </w:rPr>
              <w:t>1</w:t>
            </w:r>
          </w:p>
        </w:tc>
        <w:tc>
          <w:tcPr>
            <w:tcW w:w="340" w:type="dxa"/>
            <w:tcBorders>
              <w:top w:val="single" w:sz="4" w:space="0" w:color="auto"/>
              <w:bottom w:val="single" w:sz="12" w:space="0" w:color="auto"/>
            </w:tcBorders>
            <w:shd w:val="clear" w:color="auto" w:fill="auto"/>
            <w:vAlign w:val="bottom"/>
          </w:tcPr>
          <w:p w14:paraId="49103126" w14:textId="77777777" w:rsidR="003674C1" w:rsidRPr="000C2D3C" w:rsidRDefault="003674C1" w:rsidP="004F4B2F">
            <w:pPr>
              <w:suppressAutoHyphens w:val="0"/>
              <w:spacing w:before="80" w:after="80" w:line="220" w:lineRule="exact"/>
              <w:jc w:val="right"/>
              <w:rPr>
                <w:b/>
                <w:sz w:val="18"/>
              </w:rPr>
            </w:pPr>
            <w:r w:rsidRPr="000C2D3C">
              <w:rPr>
                <w:b/>
                <w:sz w:val="18"/>
                <w:lang w:val="fr-FR"/>
              </w:rPr>
              <w:t>1</w:t>
            </w:r>
          </w:p>
        </w:tc>
        <w:tc>
          <w:tcPr>
            <w:tcW w:w="340" w:type="dxa"/>
            <w:tcBorders>
              <w:top w:val="single" w:sz="4" w:space="0" w:color="auto"/>
              <w:bottom w:val="single" w:sz="12" w:space="0" w:color="auto"/>
            </w:tcBorders>
            <w:shd w:val="clear" w:color="auto" w:fill="auto"/>
            <w:tcMar>
              <w:right w:w="28" w:type="dxa"/>
            </w:tcMar>
            <w:vAlign w:val="bottom"/>
          </w:tcPr>
          <w:p w14:paraId="0D3A62B0" w14:textId="77777777" w:rsidR="003674C1" w:rsidRPr="000C2D3C" w:rsidRDefault="003674C1" w:rsidP="004F4B2F">
            <w:pPr>
              <w:suppressAutoHyphens w:val="0"/>
              <w:spacing w:before="80" w:after="80" w:line="220" w:lineRule="exact"/>
              <w:jc w:val="right"/>
              <w:rPr>
                <w:b/>
                <w:sz w:val="18"/>
              </w:rPr>
            </w:pPr>
            <w:r w:rsidRPr="000C2D3C">
              <w:rPr>
                <w:b/>
                <w:sz w:val="18"/>
                <w:lang w:val="fr-FR"/>
              </w:rPr>
              <w:t>3</w:t>
            </w:r>
          </w:p>
        </w:tc>
        <w:tc>
          <w:tcPr>
            <w:tcW w:w="340" w:type="dxa"/>
            <w:tcBorders>
              <w:top w:val="single" w:sz="4" w:space="0" w:color="auto"/>
              <w:bottom w:val="single" w:sz="12" w:space="0" w:color="auto"/>
            </w:tcBorders>
            <w:shd w:val="clear" w:color="auto" w:fill="auto"/>
            <w:tcMar>
              <w:right w:w="28" w:type="dxa"/>
            </w:tcMar>
            <w:vAlign w:val="bottom"/>
          </w:tcPr>
          <w:p w14:paraId="13E8B249" w14:textId="77777777" w:rsidR="003674C1" w:rsidRPr="000C2D3C" w:rsidRDefault="003674C1" w:rsidP="004F4B2F">
            <w:pPr>
              <w:suppressAutoHyphens w:val="0"/>
              <w:spacing w:before="80" w:after="80" w:line="220" w:lineRule="exact"/>
              <w:jc w:val="right"/>
              <w:rPr>
                <w:b/>
                <w:sz w:val="18"/>
              </w:rPr>
            </w:pPr>
            <w:r w:rsidRPr="000C2D3C">
              <w:rPr>
                <w:b/>
                <w:sz w:val="18"/>
                <w:lang w:val="fr-FR"/>
              </w:rPr>
              <w:t>1</w:t>
            </w:r>
          </w:p>
        </w:tc>
        <w:tc>
          <w:tcPr>
            <w:tcW w:w="907" w:type="dxa"/>
            <w:tcBorders>
              <w:top w:val="single" w:sz="4" w:space="0" w:color="auto"/>
              <w:bottom w:val="single" w:sz="12" w:space="0" w:color="auto"/>
            </w:tcBorders>
            <w:shd w:val="clear" w:color="auto" w:fill="auto"/>
            <w:tcMar>
              <w:right w:w="28" w:type="dxa"/>
            </w:tcMar>
            <w:vAlign w:val="bottom"/>
          </w:tcPr>
          <w:p w14:paraId="610C64C6" w14:textId="77777777" w:rsidR="003674C1" w:rsidRPr="000C2D3C" w:rsidRDefault="003674C1" w:rsidP="004F4B2F">
            <w:pPr>
              <w:suppressAutoHyphens w:val="0"/>
              <w:spacing w:before="80" w:after="80" w:line="220" w:lineRule="exact"/>
              <w:jc w:val="right"/>
              <w:rPr>
                <w:b/>
                <w:sz w:val="18"/>
              </w:rPr>
            </w:pPr>
            <w:r w:rsidRPr="000C2D3C">
              <w:rPr>
                <w:b/>
                <w:sz w:val="18"/>
                <w:lang w:val="fr-FR"/>
              </w:rPr>
              <w:t>1 410</w:t>
            </w:r>
          </w:p>
        </w:tc>
      </w:tr>
    </w:tbl>
    <w:p w14:paraId="2A1695EA" w14:textId="10E6A652" w:rsidR="001D2AE9" w:rsidRDefault="003674C1" w:rsidP="001A7C21">
      <w:pPr>
        <w:spacing w:before="120"/>
        <w:ind w:left="284" w:firstLine="170"/>
        <w:rPr>
          <w:lang w:val="fr-FR"/>
        </w:rPr>
      </w:pPr>
      <w:r w:rsidRPr="0014400B">
        <w:rPr>
          <w:i/>
          <w:iCs/>
          <w:vertAlign w:val="superscript"/>
          <w:lang w:val="fr-FR"/>
        </w:rPr>
        <w:t>a</w:t>
      </w:r>
      <w:r>
        <w:rPr>
          <w:i/>
          <w:iCs/>
          <w:vertAlign w:val="superscript"/>
          <w:lang w:val="fr-FR"/>
        </w:rPr>
        <w:t xml:space="preserve">  </w:t>
      </w:r>
      <w:r w:rsidRPr="0014400B">
        <w:rPr>
          <w:lang w:val="fr-FR"/>
        </w:rPr>
        <w:t xml:space="preserve">Au </w:t>
      </w:r>
      <w:r>
        <w:rPr>
          <w:lang w:val="fr-FR"/>
        </w:rPr>
        <w:t>15 septembre</w:t>
      </w:r>
      <w:r w:rsidRPr="0014400B">
        <w:rPr>
          <w:lang w:val="fr-FR"/>
        </w:rPr>
        <w:t xml:space="preserve"> 2021</w:t>
      </w:r>
      <w:r w:rsidRPr="00DC385F">
        <w:rPr>
          <w:lang w:val="fr-FR"/>
        </w:rPr>
        <w:t>.</w:t>
      </w:r>
      <w:r w:rsidR="001A7C21">
        <w:rPr>
          <w:lang w:val="fr-FR"/>
        </w:rPr>
        <w:t xml:space="preserve"> </w:t>
      </w:r>
    </w:p>
    <w:p w14:paraId="7B874890" w14:textId="77777777" w:rsidR="001A7C21" w:rsidRDefault="001A7C21" w:rsidP="003674C1">
      <w:pPr>
        <w:rPr>
          <w:lang w:val="fr-FR"/>
        </w:rPr>
      </w:pPr>
    </w:p>
    <w:p w14:paraId="1346B293" w14:textId="77777777" w:rsidR="001A7C21" w:rsidRDefault="001A7C21" w:rsidP="003674C1">
      <w:pPr>
        <w:sectPr w:rsidR="001A7C21" w:rsidSect="003674C1">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6B487842" w14:textId="77777777" w:rsidR="001A7C21" w:rsidRPr="0014400B" w:rsidRDefault="001A7C21" w:rsidP="001B238E">
      <w:pPr>
        <w:pStyle w:val="H1G"/>
        <w:rPr>
          <w:lang w:val="fr-FR"/>
        </w:rPr>
      </w:pPr>
      <w:r>
        <w:rPr>
          <w:lang w:val="fr-FR"/>
        </w:rPr>
        <w:lastRenderedPageBreak/>
        <w:tab/>
      </w:r>
      <w:r w:rsidRPr="0014400B">
        <w:rPr>
          <w:lang w:val="fr-FR"/>
        </w:rPr>
        <w:t>C</w:t>
      </w:r>
      <w:r w:rsidRPr="00DC385F">
        <w:rPr>
          <w:lang w:val="fr-FR"/>
        </w:rPr>
        <w:t>.</w:t>
      </w:r>
      <w:r w:rsidRPr="0014400B">
        <w:rPr>
          <w:lang w:val="fr-FR"/>
        </w:rPr>
        <w:tab/>
        <w:t xml:space="preserve">Point sur la situation depuis la vingtième session </w:t>
      </w:r>
      <w:r>
        <w:rPr>
          <w:lang w:val="fr-FR"/>
        </w:rPr>
        <w:br/>
      </w:r>
      <w:r w:rsidRPr="0014400B">
        <w:rPr>
          <w:lang w:val="fr-FR"/>
        </w:rPr>
        <w:t>(jusqu</w:t>
      </w:r>
      <w:r>
        <w:rPr>
          <w:lang w:val="fr-FR"/>
        </w:rPr>
        <w:t>’</w:t>
      </w:r>
      <w:r w:rsidRPr="0014400B">
        <w:rPr>
          <w:lang w:val="fr-FR"/>
        </w:rPr>
        <w:t xml:space="preserve">au </w:t>
      </w:r>
      <w:r>
        <w:rPr>
          <w:lang w:val="fr-FR"/>
        </w:rPr>
        <w:t>15 septembre</w:t>
      </w:r>
      <w:r w:rsidRPr="0014400B">
        <w:rPr>
          <w:lang w:val="fr-FR"/>
        </w:rPr>
        <w:t xml:space="preserve"> 2021)</w:t>
      </w:r>
    </w:p>
    <w:p w14:paraId="563A7549" w14:textId="77777777" w:rsidR="001A7C21" w:rsidRPr="0014400B" w:rsidRDefault="001A7C21" w:rsidP="001A7C21">
      <w:pPr>
        <w:pStyle w:val="SingleTxtG"/>
        <w:rPr>
          <w:lang w:val="fr-FR"/>
        </w:rPr>
      </w:pPr>
      <w:r w:rsidRPr="0014400B">
        <w:rPr>
          <w:lang w:val="fr-FR"/>
        </w:rPr>
        <w:t>4</w:t>
      </w:r>
      <w:r w:rsidRPr="00DC385F">
        <w:rPr>
          <w:lang w:val="fr-FR"/>
        </w:rPr>
        <w:t>.</w:t>
      </w:r>
      <w:r w:rsidRPr="0014400B">
        <w:rPr>
          <w:lang w:val="fr-FR"/>
        </w:rPr>
        <w:tab/>
        <w:t>En 2020, le Comité a enregistré 192 nouvelles demandes d</w:t>
      </w:r>
      <w:r>
        <w:rPr>
          <w:lang w:val="fr-FR"/>
        </w:rPr>
        <w:t>’</w:t>
      </w:r>
      <w:r w:rsidRPr="0014400B">
        <w:rPr>
          <w:lang w:val="fr-FR"/>
        </w:rPr>
        <w:t>action en urgence et envoyé 102 notes de suivi dans lesquelles il formulait à l</w:t>
      </w:r>
      <w:r>
        <w:rPr>
          <w:lang w:val="fr-FR"/>
        </w:rPr>
        <w:t>’</w:t>
      </w:r>
      <w:r w:rsidRPr="0014400B">
        <w:rPr>
          <w:lang w:val="fr-FR"/>
        </w:rPr>
        <w:t>intention des États parties concernés des recommandations ciblées relatives aux procédures de recherche et d</w:t>
      </w:r>
      <w:r>
        <w:rPr>
          <w:lang w:val="fr-FR"/>
        </w:rPr>
        <w:t>’</w:t>
      </w:r>
      <w:r w:rsidRPr="0014400B">
        <w:rPr>
          <w:lang w:val="fr-FR"/>
        </w:rPr>
        <w:t>enquête concernant la disparition forcée signalée</w:t>
      </w:r>
      <w:r w:rsidRPr="00DC385F">
        <w:rPr>
          <w:lang w:val="fr-FR"/>
        </w:rPr>
        <w:t>.</w:t>
      </w:r>
      <w:r w:rsidRPr="0014400B">
        <w:rPr>
          <w:lang w:val="fr-FR"/>
        </w:rPr>
        <w:t xml:space="preserve"> Entre le 1</w:t>
      </w:r>
      <w:r w:rsidRPr="0014400B">
        <w:rPr>
          <w:vertAlign w:val="superscript"/>
          <w:lang w:val="fr-FR"/>
        </w:rPr>
        <w:t>er</w:t>
      </w:r>
      <w:r w:rsidRPr="0014400B">
        <w:rPr>
          <w:lang w:val="fr-FR"/>
        </w:rPr>
        <w:t xml:space="preserve"> janvier et le </w:t>
      </w:r>
      <w:r>
        <w:rPr>
          <w:lang w:val="fr-FR"/>
        </w:rPr>
        <w:t>15 septembre</w:t>
      </w:r>
      <w:r w:rsidRPr="0014400B">
        <w:rPr>
          <w:lang w:val="fr-FR"/>
        </w:rPr>
        <w:t xml:space="preserve"> 2021, le Comité a enregistré </w:t>
      </w:r>
      <w:r>
        <w:rPr>
          <w:lang w:val="fr-FR"/>
        </w:rPr>
        <w:t>409 </w:t>
      </w:r>
      <w:r w:rsidRPr="0014400B">
        <w:rPr>
          <w:lang w:val="fr-FR"/>
        </w:rPr>
        <w:t>nouvelles demandes d</w:t>
      </w:r>
      <w:r>
        <w:rPr>
          <w:lang w:val="fr-FR"/>
        </w:rPr>
        <w:t>’</w:t>
      </w:r>
      <w:r w:rsidRPr="0014400B">
        <w:rPr>
          <w:lang w:val="fr-FR"/>
        </w:rPr>
        <w:t xml:space="preserve">action en </w:t>
      </w:r>
      <w:r w:rsidRPr="004E4164">
        <w:rPr>
          <w:lang w:val="fr-FR"/>
        </w:rPr>
        <w:t>urgence et adressé 38 notes</w:t>
      </w:r>
      <w:r w:rsidRPr="0014400B">
        <w:rPr>
          <w:lang w:val="fr-FR"/>
        </w:rPr>
        <w:t xml:space="preserve"> de suivi</w:t>
      </w:r>
      <w:r w:rsidRPr="00DC385F">
        <w:rPr>
          <w:lang w:val="fr-FR"/>
        </w:rPr>
        <w:t>.</w:t>
      </w:r>
    </w:p>
    <w:p w14:paraId="1BB24E5C" w14:textId="77777777" w:rsidR="001A7C21" w:rsidRPr="0014400B" w:rsidRDefault="001A7C21" w:rsidP="001A7C21">
      <w:pPr>
        <w:pStyle w:val="SingleTxtG"/>
        <w:rPr>
          <w:lang w:val="fr-FR"/>
        </w:rPr>
      </w:pPr>
      <w:r w:rsidRPr="0014400B">
        <w:rPr>
          <w:lang w:val="fr-FR"/>
        </w:rPr>
        <w:t>5</w:t>
      </w:r>
      <w:r w:rsidRPr="00DC385F">
        <w:rPr>
          <w:lang w:val="fr-FR"/>
        </w:rPr>
        <w:t>.</w:t>
      </w:r>
      <w:r w:rsidRPr="0014400B">
        <w:rPr>
          <w:lang w:val="fr-FR"/>
        </w:rPr>
        <w:tab/>
        <w:t>Tout au long de la procédure, le Comité entretient des contacts permanents avec les États parties, par l</w:t>
      </w:r>
      <w:r>
        <w:rPr>
          <w:lang w:val="fr-FR"/>
        </w:rPr>
        <w:t>’</w:t>
      </w:r>
      <w:r w:rsidRPr="0014400B">
        <w:rPr>
          <w:lang w:val="fr-FR"/>
        </w:rPr>
        <w:t>intermédiaire de leur mission permanente, et avec les auteurs des demandes d</w:t>
      </w:r>
      <w:r>
        <w:rPr>
          <w:lang w:val="fr-FR"/>
        </w:rPr>
        <w:t>’</w:t>
      </w:r>
      <w:r w:rsidRPr="0014400B">
        <w:rPr>
          <w:lang w:val="fr-FR"/>
        </w:rPr>
        <w:t>action en urgence, au moyen de notes et de lettres, ainsi que dans le cadre de réunions et par téléphone</w:t>
      </w:r>
      <w:r w:rsidRPr="00DC385F">
        <w:rPr>
          <w:lang w:val="fr-FR"/>
        </w:rPr>
        <w:t>.</w:t>
      </w:r>
      <w:r w:rsidRPr="0014400B">
        <w:rPr>
          <w:lang w:val="fr-FR"/>
        </w:rPr>
        <w:t xml:space="preserve"> Le Comité compte aussi beaucoup sur la collaboration du Haut</w:t>
      </w:r>
      <w:r>
        <w:rPr>
          <w:lang w:val="fr-FR"/>
        </w:rPr>
        <w:noBreakHyphen/>
      </w:r>
      <w:r w:rsidRPr="0014400B">
        <w:rPr>
          <w:lang w:val="fr-FR"/>
        </w:rPr>
        <w:t>Commissariat des Nations Unies aux droits de l</w:t>
      </w:r>
      <w:r>
        <w:rPr>
          <w:lang w:val="fr-FR"/>
        </w:rPr>
        <w:t>’</w:t>
      </w:r>
      <w:r w:rsidRPr="0014400B">
        <w:rPr>
          <w:lang w:val="fr-FR"/>
        </w:rPr>
        <w:t>homme et des présences des Nations</w:t>
      </w:r>
      <w:r>
        <w:rPr>
          <w:lang w:val="fr-FR"/>
        </w:rPr>
        <w:t> </w:t>
      </w:r>
      <w:r w:rsidRPr="0014400B">
        <w:rPr>
          <w:lang w:val="fr-FR"/>
        </w:rPr>
        <w:t>Unies sur le terrain, qui souvent relaient les informations entre les auteurs des demandes d</w:t>
      </w:r>
      <w:r>
        <w:rPr>
          <w:lang w:val="fr-FR"/>
        </w:rPr>
        <w:t>’</w:t>
      </w:r>
      <w:r w:rsidRPr="0014400B">
        <w:rPr>
          <w:lang w:val="fr-FR"/>
        </w:rPr>
        <w:t>action en urgence (principalement les parents des personnes disparues) et le</w:t>
      </w:r>
      <w:r>
        <w:rPr>
          <w:lang w:val="fr-FR"/>
        </w:rPr>
        <w:t> </w:t>
      </w:r>
      <w:r w:rsidRPr="0014400B">
        <w:rPr>
          <w:lang w:val="fr-FR"/>
        </w:rPr>
        <w:t>Comité</w:t>
      </w:r>
      <w:r w:rsidRPr="00DC385F">
        <w:rPr>
          <w:lang w:val="fr-FR"/>
        </w:rPr>
        <w:t>.</w:t>
      </w:r>
    </w:p>
    <w:p w14:paraId="2274D4EC" w14:textId="77777777" w:rsidR="001A7C21" w:rsidRPr="0014400B" w:rsidRDefault="001A7C21" w:rsidP="001A7C21">
      <w:pPr>
        <w:pStyle w:val="SingleTxtG"/>
        <w:rPr>
          <w:lang w:val="fr-FR"/>
        </w:rPr>
      </w:pPr>
      <w:r w:rsidRPr="0014400B">
        <w:rPr>
          <w:lang w:val="fr-FR"/>
        </w:rPr>
        <w:t>6</w:t>
      </w:r>
      <w:r w:rsidRPr="00DC385F">
        <w:rPr>
          <w:lang w:val="fr-FR"/>
        </w:rPr>
        <w:t>.</w:t>
      </w:r>
      <w:r w:rsidRPr="0014400B">
        <w:rPr>
          <w:lang w:val="fr-FR"/>
        </w:rPr>
        <w:tab/>
        <w:t>Sans prétendre à une analyse exhaustive de toutes les informations reçues au titre de la procédure d</w:t>
      </w:r>
      <w:r>
        <w:rPr>
          <w:lang w:val="fr-FR"/>
        </w:rPr>
        <w:t>’</w:t>
      </w:r>
      <w:r w:rsidRPr="0014400B">
        <w:rPr>
          <w:lang w:val="fr-FR"/>
        </w:rPr>
        <w:t>action en urgence, les paragraphes ci-après comportent une description des problèmes généraux et particulier</w:t>
      </w:r>
      <w:r>
        <w:rPr>
          <w:lang w:val="fr-FR"/>
        </w:rPr>
        <w:t>s</w:t>
      </w:r>
      <w:r w:rsidRPr="0014400B">
        <w:rPr>
          <w:lang w:val="fr-FR"/>
        </w:rPr>
        <w:t xml:space="preserve"> constatés et des tendances observées dans certains des États parties au cours de la période considérée</w:t>
      </w:r>
      <w:r>
        <w:rPr>
          <w:lang w:val="fr-FR"/>
        </w:rPr>
        <w:t>, ainsi que de faits nouveaux survenus en matière de contestation sociale</w:t>
      </w:r>
      <w:r w:rsidRPr="00DC385F">
        <w:rPr>
          <w:lang w:val="fr-FR"/>
        </w:rPr>
        <w:t>.</w:t>
      </w:r>
    </w:p>
    <w:p w14:paraId="77192FBB" w14:textId="77777777" w:rsidR="001A7C21" w:rsidRPr="0014400B" w:rsidRDefault="001A7C21" w:rsidP="001A7C21">
      <w:pPr>
        <w:pStyle w:val="H23G"/>
        <w:rPr>
          <w:lang w:val="fr-FR"/>
        </w:rPr>
      </w:pPr>
      <w:r>
        <w:rPr>
          <w:lang w:val="fr-FR"/>
        </w:rPr>
        <w:tab/>
      </w:r>
      <w:r w:rsidRPr="0014400B">
        <w:rPr>
          <w:lang w:val="fr-FR"/>
        </w:rPr>
        <w:t>1</w:t>
      </w:r>
      <w:r w:rsidRPr="00DC385F">
        <w:rPr>
          <w:lang w:val="fr-FR"/>
        </w:rPr>
        <w:t>.</w:t>
      </w:r>
      <w:r w:rsidRPr="0014400B">
        <w:rPr>
          <w:lang w:val="fr-FR"/>
        </w:rPr>
        <w:tab/>
        <w:t>Tendances générales observées au cours de la période considérée</w:t>
      </w:r>
    </w:p>
    <w:p w14:paraId="1C491C83" w14:textId="77777777" w:rsidR="001A7C21" w:rsidRPr="00170067" w:rsidRDefault="001A7C21" w:rsidP="001A7C21">
      <w:pPr>
        <w:pStyle w:val="SingleTxtG"/>
      </w:pPr>
      <w:r w:rsidRPr="0014400B">
        <w:rPr>
          <w:lang w:val="fr-FR"/>
        </w:rPr>
        <w:t>7</w:t>
      </w:r>
      <w:r w:rsidRPr="00DC385F">
        <w:rPr>
          <w:lang w:val="fr-FR"/>
        </w:rPr>
        <w:t>.</w:t>
      </w:r>
      <w:r w:rsidRPr="0014400B">
        <w:rPr>
          <w:lang w:val="fr-FR"/>
        </w:rPr>
        <w:tab/>
        <w:t>Les informations reçues dans le cadre de la procédure d</w:t>
      </w:r>
      <w:r>
        <w:rPr>
          <w:lang w:val="fr-FR"/>
        </w:rPr>
        <w:t>’</w:t>
      </w:r>
      <w:r w:rsidRPr="0014400B">
        <w:rPr>
          <w:lang w:val="fr-FR"/>
        </w:rPr>
        <w:t>action en urgence confirment un certain nombre de tendances dont il a précédemment été fait état dans les rapports adoptés par le Comité à ses onzième à vingtième sessions</w:t>
      </w:r>
      <w:r w:rsidRPr="0083613F">
        <w:rPr>
          <w:rStyle w:val="Appelnotedebasdep"/>
        </w:rPr>
        <w:footnoteReference w:id="4"/>
      </w:r>
      <w:r w:rsidRPr="0014400B">
        <w:rPr>
          <w:lang w:val="fr-FR"/>
        </w:rPr>
        <w:t>, notamment les tendances décrites dans les paragraphes suivants</w:t>
      </w:r>
      <w:r w:rsidRPr="00DC385F">
        <w:t>.</w:t>
      </w:r>
    </w:p>
    <w:p w14:paraId="3BD77F91" w14:textId="77777777" w:rsidR="001A7C21" w:rsidRPr="0014400B" w:rsidRDefault="001A7C21" w:rsidP="001A7C21">
      <w:pPr>
        <w:pStyle w:val="H23G"/>
        <w:rPr>
          <w:lang w:val="fr-FR"/>
        </w:rPr>
      </w:pPr>
      <w:r>
        <w:rPr>
          <w:lang w:val="fr-FR"/>
        </w:rPr>
        <w:tab/>
      </w:r>
      <w:r w:rsidRPr="0014400B">
        <w:rPr>
          <w:lang w:val="fr-FR"/>
        </w:rPr>
        <w:t>a)</w:t>
      </w:r>
      <w:r w:rsidRPr="0014400B">
        <w:rPr>
          <w:lang w:val="fr-FR"/>
        </w:rPr>
        <w:tab/>
        <w:t>Défaut de coopération avec le Comité</w:t>
      </w:r>
    </w:p>
    <w:p w14:paraId="5545BD6F" w14:textId="77777777" w:rsidR="001A7C21" w:rsidRPr="0014400B" w:rsidRDefault="001A7C21" w:rsidP="001A7C21">
      <w:pPr>
        <w:pStyle w:val="SingleTxtG"/>
        <w:rPr>
          <w:lang w:val="fr-FR"/>
        </w:rPr>
      </w:pPr>
      <w:r w:rsidRPr="0014400B">
        <w:rPr>
          <w:lang w:val="fr-FR"/>
        </w:rPr>
        <w:t>8</w:t>
      </w:r>
      <w:r w:rsidRPr="00DC385F">
        <w:rPr>
          <w:lang w:val="fr-FR"/>
        </w:rPr>
        <w:t>.</w:t>
      </w:r>
      <w:r w:rsidRPr="0014400B">
        <w:rPr>
          <w:lang w:val="fr-FR"/>
        </w:rPr>
        <w:tab/>
        <w:t>Chaque fois que l</w:t>
      </w:r>
      <w:r>
        <w:rPr>
          <w:lang w:val="fr-FR"/>
        </w:rPr>
        <w:t>’</w:t>
      </w:r>
      <w:r w:rsidRPr="0014400B">
        <w:rPr>
          <w:lang w:val="fr-FR"/>
        </w:rPr>
        <w:t>État partie concerné ou l</w:t>
      </w:r>
      <w:r>
        <w:rPr>
          <w:lang w:val="fr-FR"/>
        </w:rPr>
        <w:t>’</w:t>
      </w:r>
      <w:r w:rsidRPr="0014400B">
        <w:rPr>
          <w:lang w:val="fr-FR"/>
        </w:rPr>
        <w:t>auteur de la demande d</w:t>
      </w:r>
      <w:r>
        <w:rPr>
          <w:lang w:val="fr-FR"/>
        </w:rPr>
        <w:t>’</w:t>
      </w:r>
      <w:r w:rsidRPr="0014400B">
        <w:rPr>
          <w:lang w:val="fr-FR"/>
        </w:rPr>
        <w:t>action en urgence ne fournit pas d</w:t>
      </w:r>
      <w:r>
        <w:rPr>
          <w:lang w:val="fr-FR"/>
        </w:rPr>
        <w:t>’</w:t>
      </w:r>
      <w:r w:rsidRPr="0014400B">
        <w:rPr>
          <w:lang w:val="fr-FR"/>
        </w:rPr>
        <w:t>informations de suivi dans le délai fixé par le Comité, celui-ci lui adresse jusqu</w:t>
      </w:r>
      <w:r>
        <w:rPr>
          <w:lang w:val="fr-FR"/>
        </w:rPr>
        <w:t>’</w:t>
      </w:r>
      <w:r w:rsidRPr="0014400B">
        <w:rPr>
          <w:lang w:val="fr-FR"/>
        </w:rPr>
        <w:t>à trois rappels</w:t>
      </w:r>
      <w:r w:rsidRPr="00DC385F">
        <w:rPr>
          <w:lang w:val="fr-FR"/>
        </w:rPr>
        <w:t>.</w:t>
      </w:r>
      <w:r w:rsidRPr="0014400B">
        <w:rPr>
          <w:lang w:val="fr-FR"/>
        </w:rPr>
        <w:t xml:space="preserve"> Lorsqu</w:t>
      </w:r>
      <w:r>
        <w:rPr>
          <w:lang w:val="fr-FR"/>
        </w:rPr>
        <w:t>’</w:t>
      </w:r>
      <w:r w:rsidRPr="0014400B">
        <w:rPr>
          <w:lang w:val="fr-FR"/>
        </w:rPr>
        <w:t>un État partie ne répond pas après le troisième rappel, le Comité envoie un dernier rappel, dans lequel il indique qu</w:t>
      </w:r>
      <w:r>
        <w:rPr>
          <w:lang w:val="fr-FR"/>
        </w:rPr>
        <w:t>’</w:t>
      </w:r>
      <w:r w:rsidRPr="0014400B">
        <w:rPr>
          <w:lang w:val="fr-FR"/>
        </w:rPr>
        <w:t xml:space="preserve">il pourrait décider de rendre cette situation publique à sa prochaine session, en en faisant état dans son rapport sur les </w:t>
      </w:r>
      <w:r>
        <w:rPr>
          <w:lang w:val="fr-FR"/>
        </w:rPr>
        <w:t>demandes d’</w:t>
      </w:r>
      <w:r w:rsidRPr="0014400B">
        <w:rPr>
          <w:lang w:val="fr-FR"/>
        </w:rPr>
        <w:t>action en urgence, puis dans son prochain rapport à l</w:t>
      </w:r>
      <w:r>
        <w:rPr>
          <w:lang w:val="fr-FR"/>
        </w:rPr>
        <w:t>’</w:t>
      </w:r>
      <w:r w:rsidRPr="0014400B">
        <w:rPr>
          <w:lang w:val="fr-FR"/>
        </w:rPr>
        <w:t>Assemblée générale</w:t>
      </w:r>
      <w:r w:rsidRPr="00DC385F">
        <w:rPr>
          <w:lang w:val="fr-FR"/>
        </w:rPr>
        <w:t>.</w:t>
      </w:r>
      <w:r w:rsidRPr="0014400B">
        <w:rPr>
          <w:lang w:val="fr-FR"/>
        </w:rPr>
        <w:t xml:space="preserve"> Au </w:t>
      </w:r>
      <w:r>
        <w:rPr>
          <w:lang w:val="fr-FR"/>
        </w:rPr>
        <w:t>15 septembre</w:t>
      </w:r>
      <w:r w:rsidRPr="0014400B">
        <w:rPr>
          <w:lang w:val="fr-FR"/>
        </w:rPr>
        <w:t xml:space="preserve"> 2021, le Comité avait envoyé un dernier rappel à des États parties concernant 2</w:t>
      </w:r>
      <w:r>
        <w:rPr>
          <w:lang w:val="fr-FR"/>
        </w:rPr>
        <w:t>90</w:t>
      </w:r>
      <w:r w:rsidRPr="0014400B">
        <w:rPr>
          <w:lang w:val="fr-FR"/>
        </w:rPr>
        <w:t xml:space="preserve"> demandes d</w:t>
      </w:r>
      <w:r>
        <w:rPr>
          <w:lang w:val="fr-FR"/>
        </w:rPr>
        <w:t>’</w:t>
      </w:r>
      <w:r w:rsidRPr="0014400B">
        <w:rPr>
          <w:lang w:val="fr-FR"/>
        </w:rPr>
        <w:t>action en urgence et n</w:t>
      </w:r>
      <w:r>
        <w:rPr>
          <w:lang w:val="fr-FR"/>
        </w:rPr>
        <w:t>’</w:t>
      </w:r>
      <w:r w:rsidRPr="0014400B">
        <w:rPr>
          <w:lang w:val="fr-FR"/>
        </w:rPr>
        <w:t>avait reçu aucune réponse de ces États parties</w:t>
      </w:r>
      <w:r>
        <w:rPr>
          <w:lang w:val="fr-FR"/>
        </w:rPr>
        <w:t> </w:t>
      </w:r>
      <w:r w:rsidRPr="0014400B">
        <w:rPr>
          <w:lang w:val="fr-FR"/>
        </w:rPr>
        <w:t xml:space="preserve">: </w:t>
      </w:r>
      <w:r>
        <w:rPr>
          <w:lang w:val="fr-FR"/>
        </w:rPr>
        <w:t>1</w:t>
      </w:r>
      <w:r w:rsidRPr="0014400B">
        <w:rPr>
          <w:lang w:val="fr-FR"/>
        </w:rPr>
        <w:t xml:space="preserve"> demande concernant le Mali, </w:t>
      </w:r>
      <w:r>
        <w:rPr>
          <w:lang w:val="fr-FR"/>
        </w:rPr>
        <w:t>9 </w:t>
      </w:r>
      <w:r w:rsidRPr="0014400B">
        <w:rPr>
          <w:lang w:val="fr-FR"/>
        </w:rPr>
        <w:t>demandes concernant le Mexique et 280 demandes concernant l</w:t>
      </w:r>
      <w:r>
        <w:rPr>
          <w:lang w:val="fr-FR"/>
        </w:rPr>
        <w:t>’</w:t>
      </w:r>
      <w:r w:rsidRPr="0014400B">
        <w:rPr>
          <w:lang w:val="fr-FR"/>
        </w:rPr>
        <w:t>Iraq</w:t>
      </w:r>
      <w:r w:rsidRPr="00DC385F">
        <w:rPr>
          <w:lang w:val="fr-FR"/>
        </w:rPr>
        <w:t>.</w:t>
      </w:r>
      <w:r w:rsidRPr="0014400B">
        <w:rPr>
          <w:lang w:val="fr-FR"/>
        </w:rPr>
        <w:t xml:space="preserve"> Le Comité considère que le fait pour un État partie de ne pas répondre à une demande d</w:t>
      </w:r>
      <w:r>
        <w:rPr>
          <w:lang w:val="fr-FR"/>
        </w:rPr>
        <w:t>’</w:t>
      </w:r>
      <w:r w:rsidRPr="0014400B">
        <w:rPr>
          <w:lang w:val="fr-FR"/>
        </w:rPr>
        <w:t>action en urgence n</w:t>
      </w:r>
      <w:r>
        <w:rPr>
          <w:lang w:val="fr-FR"/>
        </w:rPr>
        <w:t>’</w:t>
      </w:r>
      <w:r w:rsidRPr="0014400B">
        <w:rPr>
          <w:lang w:val="fr-FR"/>
        </w:rPr>
        <w:t>est pas conforme à l</w:t>
      </w:r>
      <w:r>
        <w:rPr>
          <w:lang w:val="fr-FR"/>
        </w:rPr>
        <w:t>’</w:t>
      </w:r>
      <w:r w:rsidRPr="0014400B">
        <w:rPr>
          <w:lang w:val="fr-FR"/>
        </w:rPr>
        <w:t>obligation internationale qui lui incombe de coopérer de bonne foi avec le Comité et, en particulier, à l</w:t>
      </w:r>
      <w:r>
        <w:rPr>
          <w:lang w:val="fr-FR"/>
        </w:rPr>
        <w:t>’</w:t>
      </w:r>
      <w:r w:rsidRPr="0014400B">
        <w:rPr>
          <w:lang w:val="fr-FR"/>
        </w:rPr>
        <w:t>obligation que lui fait l</w:t>
      </w:r>
      <w:r>
        <w:rPr>
          <w:lang w:val="fr-FR"/>
        </w:rPr>
        <w:t>’</w:t>
      </w:r>
      <w:r w:rsidRPr="0014400B">
        <w:rPr>
          <w:lang w:val="fr-FR"/>
        </w:rPr>
        <w:t>article 30 (par</w:t>
      </w:r>
      <w:r w:rsidRPr="00DC385F">
        <w:rPr>
          <w:lang w:val="fr-FR"/>
        </w:rPr>
        <w:t>.</w:t>
      </w:r>
      <w:r>
        <w:rPr>
          <w:lang w:val="fr-FR"/>
        </w:rPr>
        <w:t> </w:t>
      </w:r>
      <w:r w:rsidRPr="0014400B">
        <w:rPr>
          <w:lang w:val="fr-FR"/>
        </w:rPr>
        <w:t>3) de la Convention d</w:t>
      </w:r>
      <w:r>
        <w:rPr>
          <w:lang w:val="fr-FR"/>
        </w:rPr>
        <w:t>’</w:t>
      </w:r>
      <w:r w:rsidRPr="0014400B">
        <w:rPr>
          <w:lang w:val="fr-FR"/>
        </w:rPr>
        <w:t>informer le Comité des mesures prises pour localiser la personne disparue et la protéger</w:t>
      </w:r>
      <w:r w:rsidRPr="00DC385F">
        <w:rPr>
          <w:lang w:val="fr-FR"/>
        </w:rPr>
        <w:t>.</w:t>
      </w:r>
    </w:p>
    <w:p w14:paraId="6F812A68" w14:textId="77777777" w:rsidR="001A7C21" w:rsidRPr="0014400B" w:rsidRDefault="001A7C21" w:rsidP="001A7C21">
      <w:pPr>
        <w:pStyle w:val="SingleTxtG"/>
        <w:rPr>
          <w:lang w:val="fr-FR"/>
        </w:rPr>
      </w:pPr>
      <w:r w:rsidRPr="0014400B">
        <w:rPr>
          <w:lang w:val="fr-FR"/>
        </w:rPr>
        <w:t>9</w:t>
      </w:r>
      <w:r w:rsidRPr="00DC385F">
        <w:rPr>
          <w:lang w:val="fr-FR"/>
        </w:rPr>
        <w:t>.</w:t>
      </w:r>
      <w:r w:rsidRPr="0014400B">
        <w:rPr>
          <w:lang w:val="fr-FR"/>
        </w:rPr>
        <w:tab/>
        <w:t>Le Comité est également préoccupé par le fait que l</w:t>
      </w:r>
      <w:r>
        <w:rPr>
          <w:lang w:val="fr-FR"/>
        </w:rPr>
        <w:t>’</w:t>
      </w:r>
      <w:r w:rsidRPr="0014400B">
        <w:rPr>
          <w:lang w:val="fr-FR"/>
        </w:rPr>
        <w:t>Iraq n</w:t>
      </w:r>
      <w:r>
        <w:rPr>
          <w:lang w:val="fr-FR"/>
        </w:rPr>
        <w:t>’</w:t>
      </w:r>
      <w:r w:rsidRPr="0014400B">
        <w:rPr>
          <w:lang w:val="fr-FR"/>
        </w:rPr>
        <w:t>a toujours pas répondu à la majorité des demandes d</w:t>
      </w:r>
      <w:r>
        <w:rPr>
          <w:lang w:val="fr-FR"/>
        </w:rPr>
        <w:t>’</w:t>
      </w:r>
      <w:r w:rsidRPr="0014400B">
        <w:rPr>
          <w:lang w:val="fr-FR"/>
        </w:rPr>
        <w:t>action en urgence enregistrées concernant des disparitions survenues sur son territoire</w:t>
      </w:r>
      <w:r w:rsidRPr="00DC385F">
        <w:rPr>
          <w:lang w:val="fr-FR"/>
        </w:rPr>
        <w:t>.</w:t>
      </w:r>
      <w:r w:rsidRPr="0014400B">
        <w:rPr>
          <w:lang w:val="fr-FR"/>
        </w:rPr>
        <w:t xml:space="preserve"> Le Comité a déjà indiqué, dans ses quatre précédents rapports à l</w:t>
      </w:r>
      <w:r>
        <w:rPr>
          <w:lang w:val="fr-FR"/>
        </w:rPr>
        <w:t>’</w:t>
      </w:r>
      <w:r w:rsidRPr="0014400B">
        <w:rPr>
          <w:lang w:val="fr-FR"/>
        </w:rPr>
        <w:t>Assemblée générale, que l</w:t>
      </w:r>
      <w:r>
        <w:rPr>
          <w:lang w:val="fr-FR"/>
        </w:rPr>
        <w:t>’</w:t>
      </w:r>
      <w:r w:rsidRPr="0014400B">
        <w:rPr>
          <w:lang w:val="fr-FR"/>
        </w:rPr>
        <w:t>Iraq ne respectait pas les obligations qui lui incombaient en vertu de l</w:t>
      </w:r>
      <w:r>
        <w:rPr>
          <w:lang w:val="fr-FR"/>
        </w:rPr>
        <w:t>’</w:t>
      </w:r>
      <w:r w:rsidRPr="0014400B">
        <w:rPr>
          <w:lang w:val="fr-FR"/>
        </w:rPr>
        <w:t>article 30 de la Convention</w:t>
      </w:r>
      <w:r w:rsidRPr="0083613F">
        <w:rPr>
          <w:rStyle w:val="Appelnotedebasdep"/>
        </w:rPr>
        <w:footnoteReference w:id="5"/>
      </w:r>
      <w:r w:rsidRPr="00DC385F">
        <w:rPr>
          <w:lang w:val="fr-FR"/>
        </w:rPr>
        <w:t>.</w:t>
      </w:r>
    </w:p>
    <w:p w14:paraId="4944C4E0" w14:textId="77777777" w:rsidR="001A7C21" w:rsidRPr="0014400B" w:rsidRDefault="001A7C21" w:rsidP="001A7C21">
      <w:pPr>
        <w:pStyle w:val="SingleTxtG"/>
        <w:keepNext/>
        <w:keepLines/>
        <w:rPr>
          <w:lang w:val="fr-FR"/>
        </w:rPr>
      </w:pPr>
      <w:r w:rsidRPr="0014400B">
        <w:rPr>
          <w:lang w:val="fr-FR"/>
        </w:rPr>
        <w:lastRenderedPageBreak/>
        <w:t>10</w:t>
      </w:r>
      <w:r w:rsidRPr="00DC385F">
        <w:rPr>
          <w:lang w:val="fr-FR"/>
        </w:rPr>
        <w:t>.</w:t>
      </w:r>
      <w:r w:rsidRPr="0014400B">
        <w:rPr>
          <w:lang w:val="fr-FR"/>
        </w:rPr>
        <w:tab/>
        <w:t>Le Comité est également préoccupé par l</w:t>
      </w:r>
      <w:r>
        <w:rPr>
          <w:lang w:val="fr-FR"/>
        </w:rPr>
        <w:t>’</w:t>
      </w:r>
      <w:r w:rsidRPr="0014400B">
        <w:rPr>
          <w:lang w:val="fr-FR"/>
        </w:rPr>
        <w:t>absence, dans certains cas, de réponse de l</w:t>
      </w:r>
      <w:r>
        <w:rPr>
          <w:lang w:val="fr-FR"/>
        </w:rPr>
        <w:t>’</w:t>
      </w:r>
      <w:r w:rsidRPr="0014400B">
        <w:rPr>
          <w:lang w:val="fr-FR"/>
        </w:rPr>
        <w:t>auteur d</w:t>
      </w:r>
      <w:r>
        <w:rPr>
          <w:lang w:val="fr-FR"/>
        </w:rPr>
        <w:t>’</w:t>
      </w:r>
      <w:r w:rsidRPr="0014400B">
        <w:rPr>
          <w:lang w:val="fr-FR"/>
        </w:rPr>
        <w:t>une demande d</w:t>
      </w:r>
      <w:r>
        <w:rPr>
          <w:lang w:val="fr-FR"/>
        </w:rPr>
        <w:t>’</w:t>
      </w:r>
      <w:r w:rsidRPr="0014400B">
        <w:rPr>
          <w:lang w:val="fr-FR"/>
        </w:rPr>
        <w:t>action en urgence</w:t>
      </w:r>
      <w:r w:rsidRPr="00DC385F">
        <w:rPr>
          <w:lang w:val="fr-FR"/>
        </w:rPr>
        <w:t>.</w:t>
      </w:r>
      <w:r w:rsidRPr="0014400B">
        <w:rPr>
          <w:lang w:val="fr-FR"/>
        </w:rPr>
        <w:t xml:space="preserve"> Lorsqu</w:t>
      </w:r>
      <w:r>
        <w:rPr>
          <w:lang w:val="fr-FR"/>
        </w:rPr>
        <w:t>’</w:t>
      </w:r>
      <w:r w:rsidRPr="0014400B">
        <w:rPr>
          <w:lang w:val="fr-FR"/>
        </w:rPr>
        <w:t>un auteur ne répond pas après que l</w:t>
      </w:r>
      <w:r>
        <w:rPr>
          <w:lang w:val="fr-FR"/>
        </w:rPr>
        <w:t>’</w:t>
      </w:r>
      <w:r w:rsidRPr="0014400B">
        <w:rPr>
          <w:lang w:val="fr-FR"/>
        </w:rPr>
        <w:t>État partie a soumis des observations qui lui ont ensuite été transmises pour commentaires, le Comité lui adresse jusqu</w:t>
      </w:r>
      <w:r>
        <w:rPr>
          <w:lang w:val="fr-FR"/>
        </w:rPr>
        <w:t>’</w:t>
      </w:r>
      <w:r w:rsidRPr="0014400B">
        <w:rPr>
          <w:lang w:val="fr-FR"/>
        </w:rPr>
        <w:t>à trois rappels</w:t>
      </w:r>
      <w:r w:rsidRPr="00DC385F">
        <w:rPr>
          <w:lang w:val="fr-FR"/>
        </w:rPr>
        <w:t>.</w:t>
      </w:r>
      <w:r w:rsidRPr="0014400B">
        <w:rPr>
          <w:lang w:val="fr-FR"/>
        </w:rPr>
        <w:t xml:space="preserve"> Lorsque l</w:t>
      </w:r>
      <w:r>
        <w:rPr>
          <w:lang w:val="fr-FR"/>
        </w:rPr>
        <w:t>’</w:t>
      </w:r>
      <w:r w:rsidRPr="0014400B">
        <w:rPr>
          <w:lang w:val="fr-FR"/>
        </w:rPr>
        <w:t>auteur ne répond pas après le troisième rappel, le Comité lui envoie un dernier rappel</w:t>
      </w:r>
      <w:r w:rsidRPr="00DC385F">
        <w:rPr>
          <w:lang w:val="fr-FR"/>
        </w:rPr>
        <w:t>.</w:t>
      </w:r>
      <w:r w:rsidRPr="0014400B">
        <w:rPr>
          <w:lang w:val="fr-FR"/>
        </w:rPr>
        <w:t xml:space="preserve"> Au </w:t>
      </w:r>
      <w:r>
        <w:rPr>
          <w:lang w:val="fr-FR"/>
        </w:rPr>
        <w:t>15 septembre</w:t>
      </w:r>
      <w:r w:rsidRPr="0014400B">
        <w:rPr>
          <w:lang w:val="fr-FR"/>
        </w:rPr>
        <w:t xml:space="preserve"> 2021, le Comité avait envoyé un dernier rappel à des auteurs de demandes d</w:t>
      </w:r>
      <w:r>
        <w:rPr>
          <w:lang w:val="fr-FR"/>
        </w:rPr>
        <w:t>’</w:t>
      </w:r>
      <w:r w:rsidRPr="0014400B">
        <w:rPr>
          <w:lang w:val="fr-FR"/>
        </w:rPr>
        <w:t>action en urgence</w:t>
      </w:r>
      <w:r>
        <w:rPr>
          <w:lang w:val="fr-FR"/>
        </w:rPr>
        <w:t xml:space="preserve"> et n’avait reçu aucune réponse dans 49 cas :</w:t>
      </w:r>
      <w:r w:rsidRPr="0014400B">
        <w:rPr>
          <w:lang w:val="fr-FR"/>
        </w:rPr>
        <w:t xml:space="preserve"> </w:t>
      </w:r>
      <w:r>
        <w:rPr>
          <w:lang w:val="fr-FR"/>
        </w:rPr>
        <w:t>40 </w:t>
      </w:r>
      <w:r w:rsidRPr="0014400B">
        <w:rPr>
          <w:lang w:val="fr-FR"/>
        </w:rPr>
        <w:t xml:space="preserve">cas concernant le Mexique, </w:t>
      </w:r>
      <w:r>
        <w:rPr>
          <w:lang w:val="fr-FR"/>
        </w:rPr>
        <w:t>5 cas concernant le Honduras, 2</w:t>
      </w:r>
      <w:r w:rsidRPr="0014400B">
        <w:rPr>
          <w:lang w:val="fr-FR"/>
        </w:rPr>
        <w:t xml:space="preserve"> cas concernant la Colombie, </w:t>
      </w:r>
      <w:r>
        <w:rPr>
          <w:lang w:val="fr-FR"/>
        </w:rPr>
        <w:t>1</w:t>
      </w:r>
      <w:r w:rsidRPr="0014400B">
        <w:rPr>
          <w:lang w:val="fr-FR"/>
        </w:rPr>
        <w:t xml:space="preserve"> cas concernant le Pérou et </w:t>
      </w:r>
      <w:r>
        <w:rPr>
          <w:lang w:val="fr-FR"/>
        </w:rPr>
        <w:t>1 </w:t>
      </w:r>
      <w:r w:rsidRPr="0014400B">
        <w:rPr>
          <w:lang w:val="fr-FR"/>
        </w:rPr>
        <w:t>cas concernant l</w:t>
      </w:r>
      <w:r>
        <w:rPr>
          <w:lang w:val="fr-FR"/>
        </w:rPr>
        <w:t>’</w:t>
      </w:r>
      <w:r w:rsidRPr="0014400B">
        <w:rPr>
          <w:lang w:val="fr-FR"/>
        </w:rPr>
        <w:t>Iraq</w:t>
      </w:r>
      <w:r w:rsidRPr="00DC385F">
        <w:rPr>
          <w:lang w:val="fr-FR"/>
        </w:rPr>
        <w:t>.</w:t>
      </w:r>
      <w:r w:rsidRPr="0014400B">
        <w:rPr>
          <w:lang w:val="fr-FR"/>
        </w:rPr>
        <w:t xml:space="preserve"> Le fait que l</w:t>
      </w:r>
      <w:r>
        <w:rPr>
          <w:lang w:val="fr-FR"/>
        </w:rPr>
        <w:t>’</w:t>
      </w:r>
      <w:r w:rsidRPr="0014400B">
        <w:rPr>
          <w:lang w:val="fr-FR"/>
        </w:rPr>
        <w:t>auteur d</w:t>
      </w:r>
      <w:r>
        <w:rPr>
          <w:lang w:val="fr-FR"/>
        </w:rPr>
        <w:t>’</w:t>
      </w:r>
      <w:r w:rsidRPr="0014400B">
        <w:rPr>
          <w:lang w:val="fr-FR"/>
        </w:rPr>
        <w:t>une demande d</w:t>
      </w:r>
      <w:r>
        <w:rPr>
          <w:lang w:val="fr-FR"/>
        </w:rPr>
        <w:t>’</w:t>
      </w:r>
      <w:r w:rsidRPr="0014400B">
        <w:rPr>
          <w:lang w:val="fr-FR"/>
        </w:rPr>
        <w:t>action en urgence ne réponde pas a pour conséquence que le Comité ne peut pas assurer le suivi de ses recommandations</w:t>
      </w:r>
      <w:r w:rsidRPr="00DC385F">
        <w:rPr>
          <w:lang w:val="fr-FR"/>
        </w:rPr>
        <w:t>.</w:t>
      </w:r>
      <w:r w:rsidRPr="0014400B">
        <w:rPr>
          <w:lang w:val="fr-FR"/>
        </w:rPr>
        <w:t xml:space="preserve"> Si l</w:t>
      </w:r>
      <w:r>
        <w:rPr>
          <w:lang w:val="fr-FR"/>
        </w:rPr>
        <w:t>’</w:t>
      </w:r>
      <w:r w:rsidRPr="0014400B">
        <w:rPr>
          <w:lang w:val="fr-FR"/>
        </w:rPr>
        <w:t>absence de réponse est due à la perte de contact avec la famille de la personne disparue, l</w:t>
      </w:r>
      <w:r>
        <w:rPr>
          <w:lang w:val="fr-FR"/>
        </w:rPr>
        <w:t>’</w:t>
      </w:r>
      <w:r w:rsidRPr="0014400B">
        <w:rPr>
          <w:lang w:val="fr-FR"/>
        </w:rPr>
        <w:t>auteur doit en informer le Comité, qui suspendra son suivi de l</w:t>
      </w:r>
      <w:r>
        <w:rPr>
          <w:lang w:val="fr-FR"/>
        </w:rPr>
        <w:t>’</w:t>
      </w:r>
      <w:r w:rsidRPr="0014400B">
        <w:rPr>
          <w:lang w:val="fr-FR"/>
        </w:rPr>
        <w:t>affaire</w:t>
      </w:r>
      <w:r w:rsidRPr="00DC385F">
        <w:rPr>
          <w:lang w:val="fr-FR"/>
        </w:rPr>
        <w:t>.</w:t>
      </w:r>
    </w:p>
    <w:p w14:paraId="6E41B132" w14:textId="77777777" w:rsidR="001A7C21" w:rsidRPr="0014400B" w:rsidRDefault="001A7C21" w:rsidP="001A7C21">
      <w:pPr>
        <w:pStyle w:val="H23G"/>
        <w:rPr>
          <w:lang w:val="fr-FR"/>
        </w:rPr>
      </w:pPr>
      <w:r>
        <w:rPr>
          <w:lang w:val="fr-FR"/>
        </w:rPr>
        <w:tab/>
      </w:r>
      <w:r w:rsidRPr="0014400B">
        <w:rPr>
          <w:lang w:val="fr-FR"/>
        </w:rPr>
        <w:t>b)</w:t>
      </w:r>
      <w:r w:rsidRPr="0014400B">
        <w:rPr>
          <w:lang w:val="fr-FR"/>
        </w:rPr>
        <w:tab/>
        <w:t xml:space="preserve">Absence de stratégie adaptée à chaque cas, manque de coordination des procédures </w:t>
      </w:r>
      <w:r>
        <w:rPr>
          <w:lang w:val="fr-FR"/>
        </w:rPr>
        <w:br/>
      </w:r>
      <w:r w:rsidRPr="0014400B">
        <w:rPr>
          <w:lang w:val="fr-FR"/>
        </w:rPr>
        <w:t>de recherche et d</w:t>
      </w:r>
      <w:r>
        <w:rPr>
          <w:lang w:val="fr-FR"/>
        </w:rPr>
        <w:t>’</w:t>
      </w:r>
      <w:r w:rsidRPr="0014400B">
        <w:rPr>
          <w:lang w:val="fr-FR"/>
        </w:rPr>
        <w:t xml:space="preserve">enquête et obstacles à la participation effective des proches </w:t>
      </w:r>
      <w:r>
        <w:rPr>
          <w:lang w:val="fr-FR"/>
        </w:rPr>
        <w:br/>
      </w:r>
      <w:r w:rsidRPr="0014400B">
        <w:rPr>
          <w:lang w:val="fr-FR"/>
        </w:rPr>
        <w:t>aux recherches et à l</w:t>
      </w:r>
      <w:r>
        <w:rPr>
          <w:lang w:val="fr-FR"/>
        </w:rPr>
        <w:t>’</w:t>
      </w:r>
      <w:r w:rsidRPr="0014400B">
        <w:rPr>
          <w:lang w:val="fr-FR"/>
        </w:rPr>
        <w:t>enquête</w:t>
      </w:r>
    </w:p>
    <w:p w14:paraId="6937B39D" w14:textId="77777777" w:rsidR="001A7C21" w:rsidRPr="0014400B" w:rsidRDefault="001A7C21" w:rsidP="001A7C21">
      <w:pPr>
        <w:pStyle w:val="SingleTxtG"/>
        <w:rPr>
          <w:lang w:val="fr-FR"/>
        </w:rPr>
      </w:pPr>
      <w:r w:rsidRPr="0014400B">
        <w:rPr>
          <w:lang w:val="fr-FR"/>
        </w:rPr>
        <w:t>11</w:t>
      </w:r>
      <w:r w:rsidRPr="00DC385F">
        <w:rPr>
          <w:lang w:val="fr-FR"/>
        </w:rPr>
        <w:t>.</w:t>
      </w:r>
      <w:r w:rsidRPr="0014400B">
        <w:rPr>
          <w:lang w:val="fr-FR"/>
        </w:rPr>
        <w:tab/>
        <w:t>Dans le cadre de son suivi des demandes d</w:t>
      </w:r>
      <w:r>
        <w:rPr>
          <w:lang w:val="fr-FR"/>
        </w:rPr>
        <w:t>’</w:t>
      </w:r>
      <w:r w:rsidRPr="0014400B">
        <w:rPr>
          <w:lang w:val="fr-FR"/>
        </w:rPr>
        <w:t>action en urgence, le Comité a continué de faire part de sa préoccupation quant au fait que des États parties n</w:t>
      </w:r>
      <w:r>
        <w:rPr>
          <w:lang w:val="fr-FR"/>
        </w:rPr>
        <w:t>’</w:t>
      </w:r>
      <w:r w:rsidRPr="0014400B">
        <w:rPr>
          <w:lang w:val="fr-FR"/>
        </w:rPr>
        <w:t>avaient pas défini et mis en œuvre une stratégie d</w:t>
      </w:r>
      <w:r>
        <w:rPr>
          <w:lang w:val="fr-FR"/>
        </w:rPr>
        <w:t>’</w:t>
      </w:r>
      <w:r w:rsidRPr="0014400B">
        <w:rPr>
          <w:lang w:val="fr-FR"/>
        </w:rPr>
        <w:t>ensemble pour la recherche des personnes disparues et les enquêtes sur leur disparition, conformément aux articles 12 et 24 de la Convention</w:t>
      </w:r>
      <w:r w:rsidRPr="00DC385F">
        <w:rPr>
          <w:lang w:val="fr-FR"/>
        </w:rPr>
        <w:t>.</w:t>
      </w:r>
      <w:r w:rsidRPr="0014400B">
        <w:rPr>
          <w:lang w:val="fr-FR"/>
        </w:rPr>
        <w:t xml:space="preserve"> En pareils cas, le Comité avait précédemment demandé à l</w:t>
      </w:r>
      <w:r>
        <w:rPr>
          <w:lang w:val="fr-FR"/>
        </w:rPr>
        <w:t>’</w:t>
      </w:r>
      <w:r w:rsidRPr="0014400B">
        <w:rPr>
          <w:lang w:val="fr-FR"/>
        </w:rPr>
        <w:t>État partie concerné de concevoir et de mettre en œuvre une stratégie de recherche et d</w:t>
      </w:r>
      <w:r>
        <w:rPr>
          <w:lang w:val="fr-FR"/>
        </w:rPr>
        <w:t>’</w:t>
      </w:r>
      <w:r w:rsidRPr="0014400B">
        <w:rPr>
          <w:lang w:val="fr-FR"/>
        </w:rPr>
        <w:t>enquête, qui devait être assortie d</w:t>
      </w:r>
      <w:r>
        <w:rPr>
          <w:lang w:val="fr-FR"/>
        </w:rPr>
        <w:t>’</w:t>
      </w:r>
      <w:r w:rsidRPr="0014400B">
        <w:rPr>
          <w:lang w:val="fr-FR"/>
        </w:rPr>
        <w:t>un plan d</w:t>
      </w:r>
      <w:r>
        <w:rPr>
          <w:lang w:val="fr-FR"/>
        </w:rPr>
        <w:t>’</w:t>
      </w:r>
      <w:r w:rsidRPr="0014400B">
        <w:rPr>
          <w:lang w:val="fr-FR"/>
        </w:rPr>
        <w:t>action et d</w:t>
      </w:r>
      <w:r>
        <w:rPr>
          <w:lang w:val="fr-FR"/>
        </w:rPr>
        <w:t>’</w:t>
      </w:r>
      <w:r w:rsidRPr="0014400B">
        <w:rPr>
          <w:lang w:val="fr-FR"/>
        </w:rPr>
        <w:t>un calendrier et faire l</w:t>
      </w:r>
      <w:r>
        <w:rPr>
          <w:lang w:val="fr-FR"/>
        </w:rPr>
        <w:t>’</w:t>
      </w:r>
      <w:r w:rsidRPr="0014400B">
        <w:rPr>
          <w:lang w:val="fr-FR"/>
        </w:rPr>
        <w:t>objet d</w:t>
      </w:r>
      <w:r>
        <w:rPr>
          <w:lang w:val="fr-FR"/>
        </w:rPr>
        <w:t>’</w:t>
      </w:r>
      <w:r w:rsidRPr="0014400B">
        <w:rPr>
          <w:lang w:val="fr-FR"/>
        </w:rPr>
        <w:t>une évaluation périodique, conformément au principe</w:t>
      </w:r>
      <w:r>
        <w:rPr>
          <w:lang w:val="fr-FR"/>
        </w:rPr>
        <w:t> </w:t>
      </w:r>
      <w:r w:rsidRPr="0014400B">
        <w:rPr>
          <w:lang w:val="fr-FR"/>
        </w:rPr>
        <w:t>8 des Principes directeurs concernant la recherche des personnes disparues</w:t>
      </w:r>
      <w:r w:rsidRPr="0083613F">
        <w:rPr>
          <w:rStyle w:val="Appelnotedebasdep"/>
        </w:rPr>
        <w:footnoteReference w:id="6"/>
      </w:r>
      <w:r w:rsidRPr="00DC385F">
        <w:rPr>
          <w:lang w:val="fr-FR"/>
        </w:rPr>
        <w:t>.</w:t>
      </w:r>
      <w:r w:rsidRPr="0014400B">
        <w:rPr>
          <w:lang w:val="fr-FR"/>
        </w:rPr>
        <w:t xml:space="preserve"> Cependant, dans la majorité de ces cas, les États parties ont continué de faire état de mesures de recherche et d</w:t>
      </w:r>
      <w:r>
        <w:rPr>
          <w:lang w:val="fr-FR"/>
        </w:rPr>
        <w:t>’</w:t>
      </w:r>
      <w:r w:rsidRPr="0014400B">
        <w:rPr>
          <w:lang w:val="fr-FR"/>
        </w:rPr>
        <w:t>enquête isolées et non coordonnées, qui dénotaient l</w:t>
      </w:r>
      <w:r>
        <w:rPr>
          <w:lang w:val="fr-FR"/>
        </w:rPr>
        <w:t>’</w:t>
      </w:r>
      <w:r w:rsidRPr="0014400B">
        <w:rPr>
          <w:lang w:val="fr-FR"/>
        </w:rPr>
        <w:t>absence d</w:t>
      </w:r>
      <w:r>
        <w:rPr>
          <w:lang w:val="fr-FR"/>
        </w:rPr>
        <w:t>’</w:t>
      </w:r>
      <w:r w:rsidRPr="0014400B">
        <w:rPr>
          <w:lang w:val="fr-FR"/>
        </w:rPr>
        <w:t>une telle stratégie et qui empêchaient d</w:t>
      </w:r>
      <w:r>
        <w:rPr>
          <w:lang w:val="fr-FR"/>
        </w:rPr>
        <w:t>’</w:t>
      </w:r>
      <w:r w:rsidRPr="0014400B">
        <w:rPr>
          <w:lang w:val="fr-FR"/>
        </w:rPr>
        <w:t>accomplir tout progrès véritable dans la localisation de la personne disparue ou qui y faisaient obstacle</w:t>
      </w:r>
      <w:r w:rsidRPr="00DC385F">
        <w:rPr>
          <w:lang w:val="fr-FR"/>
        </w:rPr>
        <w:t>.</w:t>
      </w:r>
    </w:p>
    <w:p w14:paraId="18F26FF8" w14:textId="77777777" w:rsidR="001A7C21" w:rsidRPr="0014400B" w:rsidRDefault="001A7C21" w:rsidP="001A7C21">
      <w:pPr>
        <w:pStyle w:val="SingleTxtG"/>
        <w:rPr>
          <w:lang w:val="fr-FR"/>
        </w:rPr>
      </w:pPr>
      <w:r w:rsidRPr="0014400B">
        <w:rPr>
          <w:lang w:val="fr-FR"/>
        </w:rPr>
        <w:t>12</w:t>
      </w:r>
      <w:r w:rsidRPr="00DC385F">
        <w:rPr>
          <w:lang w:val="fr-FR"/>
        </w:rPr>
        <w:t>.</w:t>
      </w:r>
      <w:r w:rsidRPr="0014400B">
        <w:rPr>
          <w:lang w:val="fr-FR"/>
        </w:rPr>
        <w:tab/>
        <w:t>Pendant la période considérée, le Comité a continué de constater un manque apparent de coordination des procédures de recherche et d</w:t>
      </w:r>
      <w:r>
        <w:rPr>
          <w:lang w:val="fr-FR"/>
        </w:rPr>
        <w:t>’</w:t>
      </w:r>
      <w:r w:rsidRPr="0014400B">
        <w:rPr>
          <w:lang w:val="fr-FR"/>
        </w:rPr>
        <w:t>enquête dans la majorité des cas ayant donné lieu à l</w:t>
      </w:r>
      <w:r>
        <w:rPr>
          <w:lang w:val="fr-FR"/>
        </w:rPr>
        <w:t>’</w:t>
      </w:r>
      <w:r w:rsidRPr="0014400B">
        <w:rPr>
          <w:lang w:val="fr-FR"/>
        </w:rPr>
        <w:t>enregistrement d</w:t>
      </w:r>
      <w:r>
        <w:rPr>
          <w:lang w:val="fr-FR"/>
        </w:rPr>
        <w:t>’</w:t>
      </w:r>
      <w:r w:rsidRPr="0014400B">
        <w:rPr>
          <w:lang w:val="fr-FR"/>
        </w:rPr>
        <w:t>une demande d</w:t>
      </w:r>
      <w:r>
        <w:rPr>
          <w:lang w:val="fr-FR"/>
        </w:rPr>
        <w:t>’</w:t>
      </w:r>
      <w:r w:rsidRPr="0014400B">
        <w:rPr>
          <w:lang w:val="fr-FR"/>
        </w:rPr>
        <w:t>action en urgence</w:t>
      </w:r>
      <w:r w:rsidRPr="00DC385F">
        <w:rPr>
          <w:lang w:val="fr-FR"/>
        </w:rPr>
        <w:t>.</w:t>
      </w:r>
      <w:r w:rsidRPr="0014400B">
        <w:rPr>
          <w:lang w:val="fr-FR"/>
        </w:rPr>
        <w:t xml:space="preserve"> Ce manque de coordination est généralement dû au fait que les autorités compétentes de l</w:t>
      </w:r>
      <w:r>
        <w:rPr>
          <w:lang w:val="fr-FR"/>
        </w:rPr>
        <w:t>’</w:t>
      </w:r>
      <w:r w:rsidRPr="0014400B">
        <w:rPr>
          <w:lang w:val="fr-FR"/>
        </w:rPr>
        <w:t>État ne partagent pas les informations et les éléments qu</w:t>
      </w:r>
      <w:r>
        <w:rPr>
          <w:lang w:val="fr-FR"/>
        </w:rPr>
        <w:t>’</w:t>
      </w:r>
      <w:r w:rsidRPr="0014400B">
        <w:rPr>
          <w:lang w:val="fr-FR"/>
        </w:rPr>
        <w:t>elles ont recueillis dans l</w:t>
      </w:r>
      <w:r>
        <w:rPr>
          <w:lang w:val="fr-FR"/>
        </w:rPr>
        <w:t>’</w:t>
      </w:r>
      <w:r w:rsidRPr="0014400B">
        <w:rPr>
          <w:lang w:val="fr-FR"/>
        </w:rPr>
        <w:t>exercice de leurs mandats respectifs, ce qui entraîne dans certains cas un chevauchement des activités et dans d</w:t>
      </w:r>
      <w:r>
        <w:rPr>
          <w:lang w:val="fr-FR"/>
        </w:rPr>
        <w:t>’</w:t>
      </w:r>
      <w:r w:rsidRPr="0014400B">
        <w:rPr>
          <w:lang w:val="fr-FR"/>
        </w:rPr>
        <w:t>autres des lacunes dans l</w:t>
      </w:r>
      <w:r>
        <w:rPr>
          <w:lang w:val="fr-FR"/>
        </w:rPr>
        <w:t>’</w:t>
      </w:r>
      <w:r w:rsidRPr="0014400B">
        <w:rPr>
          <w:lang w:val="fr-FR"/>
        </w:rPr>
        <w:t>information, de sorte que les procédures de recherche et d</w:t>
      </w:r>
      <w:r>
        <w:rPr>
          <w:lang w:val="fr-FR"/>
        </w:rPr>
        <w:t>’</w:t>
      </w:r>
      <w:r w:rsidRPr="0014400B">
        <w:rPr>
          <w:lang w:val="fr-FR"/>
        </w:rPr>
        <w:t>enquête continuent de stagner et que la localisation des personnes disparues et l</w:t>
      </w:r>
      <w:r>
        <w:rPr>
          <w:lang w:val="fr-FR"/>
        </w:rPr>
        <w:t>’</w:t>
      </w:r>
      <w:r w:rsidRPr="0014400B">
        <w:rPr>
          <w:lang w:val="fr-FR"/>
        </w:rPr>
        <w:t>identification des auteurs des faits souffrent de retards inutiles</w:t>
      </w:r>
      <w:r w:rsidRPr="00DC385F">
        <w:rPr>
          <w:lang w:val="fr-FR"/>
        </w:rPr>
        <w:t>.</w:t>
      </w:r>
      <w:r w:rsidRPr="0014400B">
        <w:rPr>
          <w:lang w:val="fr-FR"/>
        </w:rPr>
        <w:t xml:space="preserve"> Dans de tels cas, le Comité continue de souligner l</w:t>
      </w:r>
      <w:r>
        <w:rPr>
          <w:lang w:val="fr-FR"/>
        </w:rPr>
        <w:t>’</w:t>
      </w:r>
      <w:r w:rsidRPr="0014400B">
        <w:rPr>
          <w:lang w:val="fr-FR"/>
        </w:rPr>
        <w:t>importance de la coordination entre les autorités chargées des recherches et celles chargées de l</w:t>
      </w:r>
      <w:r>
        <w:rPr>
          <w:lang w:val="fr-FR"/>
        </w:rPr>
        <w:t>’</w:t>
      </w:r>
      <w:r w:rsidRPr="0014400B">
        <w:rPr>
          <w:lang w:val="fr-FR"/>
        </w:rPr>
        <w:t>enquête, afin que toute information obtenue par l</w:t>
      </w:r>
      <w:r>
        <w:rPr>
          <w:lang w:val="fr-FR"/>
        </w:rPr>
        <w:t>’</w:t>
      </w:r>
      <w:r w:rsidRPr="0014400B">
        <w:rPr>
          <w:lang w:val="fr-FR"/>
        </w:rPr>
        <w:t>une de ces autorités puisse être utilisée efficacement et rapidement par l</w:t>
      </w:r>
      <w:r>
        <w:rPr>
          <w:lang w:val="fr-FR"/>
        </w:rPr>
        <w:t>’</w:t>
      </w:r>
      <w:r w:rsidRPr="0014400B">
        <w:rPr>
          <w:lang w:val="fr-FR"/>
        </w:rPr>
        <w:t>autre, conformément au principe</w:t>
      </w:r>
      <w:r>
        <w:rPr>
          <w:lang w:val="fr-FR"/>
        </w:rPr>
        <w:t> </w:t>
      </w:r>
      <w:r w:rsidRPr="0014400B">
        <w:rPr>
          <w:lang w:val="fr-FR"/>
        </w:rPr>
        <w:t>13 des Principes directeurs concernant la recherche des personnes disparues</w:t>
      </w:r>
      <w:r w:rsidRPr="00DC385F">
        <w:rPr>
          <w:lang w:val="fr-FR"/>
        </w:rPr>
        <w:t>.</w:t>
      </w:r>
    </w:p>
    <w:p w14:paraId="27BE4015" w14:textId="77777777" w:rsidR="001A7C21" w:rsidRPr="0014400B" w:rsidRDefault="001A7C21" w:rsidP="001A7C21">
      <w:pPr>
        <w:pStyle w:val="SingleTxtG"/>
        <w:rPr>
          <w:lang w:val="fr-FR"/>
        </w:rPr>
      </w:pPr>
      <w:r w:rsidRPr="0014400B">
        <w:rPr>
          <w:lang w:val="fr-FR"/>
        </w:rPr>
        <w:t>13</w:t>
      </w:r>
      <w:r w:rsidRPr="00DC385F">
        <w:rPr>
          <w:lang w:val="fr-FR"/>
        </w:rPr>
        <w:t>.</w:t>
      </w:r>
      <w:r w:rsidRPr="0014400B">
        <w:rPr>
          <w:lang w:val="fr-FR"/>
        </w:rPr>
        <w:tab/>
        <w:t>Le Comité a été informé d</w:t>
      </w:r>
      <w:r>
        <w:rPr>
          <w:lang w:val="fr-FR"/>
        </w:rPr>
        <w:t>’</w:t>
      </w:r>
      <w:r w:rsidRPr="0014400B">
        <w:rPr>
          <w:lang w:val="fr-FR"/>
        </w:rPr>
        <w:t>obstacles auxquels se heurtent les proches de personnes disparues qui souhaitent participer effectivement aux recherches et à l</w:t>
      </w:r>
      <w:r>
        <w:rPr>
          <w:lang w:val="fr-FR"/>
        </w:rPr>
        <w:t>’</w:t>
      </w:r>
      <w:r w:rsidRPr="0014400B">
        <w:rPr>
          <w:lang w:val="fr-FR"/>
        </w:rPr>
        <w:t>enquête, notamment le manque d</w:t>
      </w:r>
      <w:r>
        <w:rPr>
          <w:lang w:val="fr-FR"/>
        </w:rPr>
        <w:t>’</w:t>
      </w:r>
      <w:r w:rsidRPr="0014400B">
        <w:rPr>
          <w:lang w:val="fr-FR"/>
        </w:rPr>
        <w:t>informations sur les mesures prises par les autorités compétentes dans le cadre des recherches et de l</w:t>
      </w:r>
      <w:r>
        <w:rPr>
          <w:lang w:val="fr-FR"/>
        </w:rPr>
        <w:t>’</w:t>
      </w:r>
      <w:r w:rsidRPr="0014400B">
        <w:rPr>
          <w:lang w:val="fr-FR"/>
        </w:rPr>
        <w:t>enquête et sur les résultats obtenus</w:t>
      </w:r>
      <w:r w:rsidRPr="00DC385F">
        <w:rPr>
          <w:lang w:val="fr-FR"/>
        </w:rPr>
        <w:t>.</w:t>
      </w:r>
      <w:r w:rsidRPr="0014400B">
        <w:rPr>
          <w:lang w:val="fr-FR"/>
        </w:rPr>
        <w:t xml:space="preserve"> À cet égard, le Comité continue de recommander aux États parties concernés de mettre en place des mécanismes officiels clairs et bien définis pour informer périodiquement les proches et les représentants des personnes disparues de l</w:t>
      </w:r>
      <w:r>
        <w:rPr>
          <w:lang w:val="fr-FR"/>
        </w:rPr>
        <w:t>’</w:t>
      </w:r>
      <w:r w:rsidRPr="0014400B">
        <w:rPr>
          <w:lang w:val="fr-FR"/>
        </w:rPr>
        <w:t>état d</w:t>
      </w:r>
      <w:r>
        <w:rPr>
          <w:lang w:val="fr-FR"/>
        </w:rPr>
        <w:t>’</w:t>
      </w:r>
      <w:r w:rsidRPr="0014400B">
        <w:rPr>
          <w:lang w:val="fr-FR"/>
        </w:rPr>
        <w:t>avancement des recherches et de l</w:t>
      </w:r>
      <w:r>
        <w:rPr>
          <w:lang w:val="fr-FR"/>
        </w:rPr>
        <w:t>’</w:t>
      </w:r>
      <w:r w:rsidRPr="0014400B">
        <w:rPr>
          <w:lang w:val="fr-FR"/>
        </w:rPr>
        <w:t>enquête et pour leur permettre d</w:t>
      </w:r>
      <w:r>
        <w:rPr>
          <w:lang w:val="fr-FR"/>
        </w:rPr>
        <w:t>’</w:t>
      </w:r>
      <w:r w:rsidRPr="0014400B">
        <w:rPr>
          <w:lang w:val="fr-FR"/>
        </w:rPr>
        <w:t>y</w:t>
      </w:r>
      <w:r>
        <w:rPr>
          <w:lang w:val="fr-FR"/>
        </w:rPr>
        <w:t> </w:t>
      </w:r>
      <w:r w:rsidRPr="0014400B">
        <w:rPr>
          <w:lang w:val="fr-FR"/>
        </w:rPr>
        <w:t>participer pleinement, en leur donnant accès à toute information utile sur leur déroulement et leurs résultats, conformément à l</w:t>
      </w:r>
      <w:r>
        <w:rPr>
          <w:lang w:val="fr-FR"/>
        </w:rPr>
        <w:t>’</w:t>
      </w:r>
      <w:r w:rsidRPr="0014400B">
        <w:rPr>
          <w:lang w:val="fr-FR"/>
        </w:rPr>
        <w:t>article 24 de la Convention et au principe</w:t>
      </w:r>
      <w:r>
        <w:rPr>
          <w:lang w:val="fr-FR"/>
        </w:rPr>
        <w:t> </w:t>
      </w:r>
      <w:r w:rsidRPr="0014400B">
        <w:rPr>
          <w:lang w:val="fr-FR"/>
        </w:rPr>
        <w:t>5 des Principes directeurs concernant la recherche des personnes disparues</w:t>
      </w:r>
      <w:r w:rsidRPr="00DC385F">
        <w:rPr>
          <w:lang w:val="fr-FR"/>
        </w:rPr>
        <w:t>.</w:t>
      </w:r>
    </w:p>
    <w:p w14:paraId="48AD27F1" w14:textId="77777777" w:rsidR="001A7C21" w:rsidRPr="0014400B" w:rsidRDefault="001A7C21" w:rsidP="001A7C21">
      <w:pPr>
        <w:pStyle w:val="H23G"/>
        <w:rPr>
          <w:lang w:val="fr-FR"/>
        </w:rPr>
      </w:pPr>
      <w:r>
        <w:rPr>
          <w:lang w:val="fr-FR"/>
        </w:rPr>
        <w:lastRenderedPageBreak/>
        <w:tab/>
      </w:r>
      <w:r w:rsidRPr="0014400B">
        <w:rPr>
          <w:lang w:val="fr-FR"/>
        </w:rPr>
        <w:t>c)</w:t>
      </w:r>
      <w:r w:rsidRPr="0014400B">
        <w:rPr>
          <w:lang w:val="fr-FR"/>
        </w:rPr>
        <w:tab/>
        <w:t>Absence d</w:t>
      </w:r>
      <w:r>
        <w:rPr>
          <w:lang w:val="fr-FR"/>
        </w:rPr>
        <w:t>’</w:t>
      </w:r>
      <w:r w:rsidRPr="0014400B">
        <w:rPr>
          <w:lang w:val="fr-FR"/>
        </w:rPr>
        <w:t>approche différenciée</w:t>
      </w:r>
    </w:p>
    <w:p w14:paraId="35E218E0" w14:textId="77777777" w:rsidR="001A7C21" w:rsidRPr="0014400B" w:rsidRDefault="001A7C21" w:rsidP="001A7C21">
      <w:pPr>
        <w:pStyle w:val="SingleTxtG"/>
        <w:keepNext/>
        <w:keepLines/>
        <w:rPr>
          <w:lang w:val="fr-FR"/>
        </w:rPr>
      </w:pPr>
      <w:r w:rsidRPr="0014400B">
        <w:rPr>
          <w:lang w:val="fr-FR"/>
        </w:rPr>
        <w:t>14</w:t>
      </w:r>
      <w:r w:rsidRPr="00DC385F">
        <w:rPr>
          <w:lang w:val="fr-FR"/>
        </w:rPr>
        <w:t>.</w:t>
      </w:r>
      <w:r w:rsidRPr="0014400B">
        <w:rPr>
          <w:lang w:val="fr-FR"/>
        </w:rPr>
        <w:tab/>
        <w:t>Le Comité rappelle que la recherche de personnes en situation de vulnérabilité nécessite des procédures, une expérience et des compétences particulières,</w:t>
      </w:r>
      <w:r>
        <w:rPr>
          <w:lang w:val="fr-FR"/>
        </w:rPr>
        <w:t xml:space="preserve"> </w:t>
      </w:r>
      <w:r w:rsidRPr="0014400B">
        <w:rPr>
          <w:lang w:val="fr-FR"/>
        </w:rPr>
        <w:t>qui permettent de répondre aux besoins particuliers des intéressés</w:t>
      </w:r>
      <w:r w:rsidRPr="00DC385F">
        <w:rPr>
          <w:lang w:val="fr-FR"/>
        </w:rPr>
        <w:t>.</w:t>
      </w:r>
      <w:r w:rsidRPr="0014400B">
        <w:rPr>
          <w:lang w:val="fr-FR"/>
        </w:rPr>
        <w:t xml:space="preserve"> Dans les demandes d</w:t>
      </w:r>
      <w:r>
        <w:rPr>
          <w:lang w:val="fr-FR"/>
        </w:rPr>
        <w:t>’</w:t>
      </w:r>
      <w:r w:rsidRPr="0014400B">
        <w:rPr>
          <w:lang w:val="fr-FR"/>
        </w:rPr>
        <w:t>action en urgence concernant des femmes, le Comité a systématiquement demandé qu</w:t>
      </w:r>
      <w:r>
        <w:rPr>
          <w:lang w:val="fr-FR"/>
        </w:rPr>
        <w:t>’</w:t>
      </w:r>
      <w:r w:rsidRPr="0014400B">
        <w:rPr>
          <w:lang w:val="fr-FR"/>
        </w:rPr>
        <w:t>à toutes les étapes, les procédures de recherche soient conduites en tenant compte des besoins particuliers des femmes, par du personnel spécialisé, y compris du personnel féminin</w:t>
      </w:r>
      <w:r w:rsidRPr="00DC385F">
        <w:rPr>
          <w:lang w:val="fr-FR"/>
        </w:rPr>
        <w:t>.</w:t>
      </w:r>
      <w:r w:rsidRPr="0014400B">
        <w:rPr>
          <w:lang w:val="fr-FR"/>
        </w:rPr>
        <w:t xml:space="preserve"> De même, le Comité a demandé qu</w:t>
      </w:r>
      <w:r>
        <w:rPr>
          <w:lang w:val="fr-FR"/>
        </w:rPr>
        <w:t>’</w:t>
      </w:r>
      <w:r w:rsidRPr="0014400B">
        <w:rPr>
          <w:lang w:val="fr-FR"/>
        </w:rPr>
        <w:t>une approche différenciée soit adoptée dans les cas de disparition d</w:t>
      </w:r>
      <w:r>
        <w:rPr>
          <w:lang w:val="fr-FR"/>
        </w:rPr>
        <w:t>’</w:t>
      </w:r>
      <w:r w:rsidRPr="0014400B">
        <w:rPr>
          <w:lang w:val="fr-FR"/>
        </w:rPr>
        <w:t>enfant, notamment que soit respecté le principe de l</w:t>
      </w:r>
      <w:r>
        <w:rPr>
          <w:lang w:val="fr-FR"/>
        </w:rPr>
        <w:t>’</w:t>
      </w:r>
      <w:r w:rsidRPr="0014400B">
        <w:rPr>
          <w:lang w:val="fr-FR"/>
        </w:rPr>
        <w:t>intérêt supérieur de l</w:t>
      </w:r>
      <w:r>
        <w:rPr>
          <w:lang w:val="fr-FR"/>
        </w:rPr>
        <w:t>’</w:t>
      </w:r>
      <w:r w:rsidRPr="0014400B">
        <w:rPr>
          <w:lang w:val="fr-FR"/>
        </w:rPr>
        <w:t>enfant à tous les stades de la procédure de recherche</w:t>
      </w:r>
      <w:r w:rsidRPr="00DC385F">
        <w:rPr>
          <w:lang w:val="fr-FR"/>
        </w:rPr>
        <w:t>.</w:t>
      </w:r>
      <w:r w:rsidRPr="0014400B">
        <w:rPr>
          <w:lang w:val="fr-FR"/>
        </w:rPr>
        <w:t xml:space="preserve"> Cependant, à ce jour le Comité n</w:t>
      </w:r>
      <w:r>
        <w:rPr>
          <w:lang w:val="fr-FR"/>
        </w:rPr>
        <w:t>’</w:t>
      </w:r>
      <w:r w:rsidRPr="0014400B">
        <w:rPr>
          <w:lang w:val="fr-FR"/>
        </w:rPr>
        <w:t>a reçu aucune information des États parties concernés sur la manière dont ces recommandations ont été mises en œuvre dans la pratique</w:t>
      </w:r>
      <w:r w:rsidRPr="00DC385F">
        <w:rPr>
          <w:lang w:val="fr-FR"/>
        </w:rPr>
        <w:t>.</w:t>
      </w:r>
    </w:p>
    <w:p w14:paraId="3DE1186D" w14:textId="77777777" w:rsidR="001A7C21" w:rsidRPr="0014400B" w:rsidRDefault="001A7C21" w:rsidP="001A7C21">
      <w:pPr>
        <w:pStyle w:val="H23G"/>
        <w:rPr>
          <w:lang w:val="fr-FR"/>
        </w:rPr>
      </w:pPr>
      <w:r>
        <w:rPr>
          <w:lang w:val="fr-FR"/>
        </w:rPr>
        <w:tab/>
      </w:r>
      <w:r w:rsidRPr="0014400B">
        <w:rPr>
          <w:lang w:val="fr-FR"/>
        </w:rPr>
        <w:t>2</w:t>
      </w:r>
      <w:r w:rsidRPr="00DC385F">
        <w:rPr>
          <w:lang w:val="fr-FR"/>
        </w:rPr>
        <w:t>.</w:t>
      </w:r>
      <w:r w:rsidRPr="0014400B">
        <w:rPr>
          <w:lang w:val="fr-FR"/>
        </w:rPr>
        <w:tab/>
        <w:t>Tendances observées en Iraq et au Mexique</w:t>
      </w:r>
    </w:p>
    <w:p w14:paraId="7F72D946" w14:textId="77777777" w:rsidR="001A7C21" w:rsidRPr="0014400B" w:rsidRDefault="001A7C21" w:rsidP="001A7C21">
      <w:pPr>
        <w:pStyle w:val="SingleTxtG"/>
        <w:rPr>
          <w:lang w:val="fr-FR"/>
        </w:rPr>
      </w:pPr>
      <w:r w:rsidRPr="0014400B">
        <w:rPr>
          <w:lang w:val="fr-FR"/>
        </w:rPr>
        <w:t>15</w:t>
      </w:r>
      <w:r w:rsidRPr="00DC385F">
        <w:rPr>
          <w:lang w:val="fr-FR"/>
        </w:rPr>
        <w:t>.</w:t>
      </w:r>
      <w:r w:rsidRPr="0014400B">
        <w:rPr>
          <w:lang w:val="fr-FR"/>
        </w:rPr>
        <w:tab/>
        <w:t>Pendant la période considérée, l</w:t>
      </w:r>
      <w:r>
        <w:rPr>
          <w:lang w:val="fr-FR"/>
        </w:rPr>
        <w:t>’</w:t>
      </w:r>
      <w:r w:rsidRPr="0014400B">
        <w:rPr>
          <w:lang w:val="fr-FR"/>
        </w:rPr>
        <w:t>Iraq et le Mexique sont restés les deux États parties ayant fait l</w:t>
      </w:r>
      <w:r>
        <w:rPr>
          <w:lang w:val="fr-FR"/>
        </w:rPr>
        <w:t>’</w:t>
      </w:r>
      <w:r w:rsidRPr="0014400B">
        <w:rPr>
          <w:lang w:val="fr-FR"/>
        </w:rPr>
        <w:t>objet du plus grand nombre de demandes d</w:t>
      </w:r>
      <w:r>
        <w:rPr>
          <w:lang w:val="fr-FR"/>
        </w:rPr>
        <w:t>’</w:t>
      </w:r>
      <w:r w:rsidRPr="0014400B">
        <w:rPr>
          <w:lang w:val="fr-FR"/>
        </w:rPr>
        <w:t>action en urgence enregistrées</w:t>
      </w:r>
      <w:r>
        <w:rPr>
          <w:lang w:val="fr-FR"/>
        </w:rPr>
        <w:t> </w:t>
      </w:r>
      <w:r w:rsidRPr="0014400B">
        <w:rPr>
          <w:lang w:val="fr-FR"/>
        </w:rPr>
        <w:t>; à ce jour, 79</w:t>
      </w:r>
      <w:r>
        <w:rPr>
          <w:lang w:val="fr-FR"/>
        </w:rPr>
        <w:t> </w:t>
      </w:r>
      <w:r w:rsidRPr="0014400B">
        <w:rPr>
          <w:lang w:val="fr-FR"/>
        </w:rPr>
        <w:t>% de l</w:t>
      </w:r>
      <w:r>
        <w:rPr>
          <w:lang w:val="fr-FR"/>
        </w:rPr>
        <w:t>’</w:t>
      </w:r>
      <w:r w:rsidRPr="0014400B">
        <w:rPr>
          <w:lang w:val="fr-FR"/>
        </w:rPr>
        <w:t>ensemble des demandes d</w:t>
      </w:r>
      <w:r>
        <w:rPr>
          <w:lang w:val="fr-FR"/>
        </w:rPr>
        <w:t>’</w:t>
      </w:r>
      <w:r w:rsidRPr="0014400B">
        <w:rPr>
          <w:lang w:val="fr-FR"/>
        </w:rPr>
        <w:t>action en urgence enregistrées concernaient ces deux pays</w:t>
      </w:r>
      <w:r w:rsidRPr="00DC385F">
        <w:rPr>
          <w:lang w:val="fr-FR"/>
        </w:rPr>
        <w:t>.</w:t>
      </w:r>
      <w:r w:rsidRPr="0014400B">
        <w:rPr>
          <w:lang w:val="fr-FR"/>
        </w:rPr>
        <w:t xml:space="preserve"> Toutefois, le Comité a également reçu un nombre croissant de demandes concernant d</w:t>
      </w:r>
      <w:r>
        <w:rPr>
          <w:lang w:val="fr-FR"/>
        </w:rPr>
        <w:t>’</w:t>
      </w:r>
      <w:r w:rsidRPr="0014400B">
        <w:rPr>
          <w:lang w:val="fr-FR"/>
        </w:rPr>
        <w:t>autres États parties, en particulier la Colombie</w:t>
      </w:r>
      <w:r>
        <w:rPr>
          <w:lang w:val="fr-FR"/>
        </w:rPr>
        <w:t xml:space="preserve"> et Cuba</w:t>
      </w:r>
      <w:r w:rsidRPr="00DC385F">
        <w:rPr>
          <w:lang w:val="fr-FR"/>
        </w:rPr>
        <w:t>.</w:t>
      </w:r>
    </w:p>
    <w:p w14:paraId="74063DCD" w14:textId="77777777" w:rsidR="001A7C21" w:rsidRPr="0014400B" w:rsidRDefault="001A7C21" w:rsidP="001A7C21">
      <w:pPr>
        <w:pStyle w:val="H23G"/>
        <w:rPr>
          <w:lang w:val="fr-FR"/>
        </w:rPr>
      </w:pPr>
      <w:r>
        <w:rPr>
          <w:lang w:val="fr-FR"/>
        </w:rPr>
        <w:tab/>
      </w:r>
      <w:r w:rsidRPr="0014400B">
        <w:rPr>
          <w:lang w:val="fr-FR"/>
        </w:rPr>
        <w:t>a)</w:t>
      </w:r>
      <w:r w:rsidRPr="0014400B">
        <w:rPr>
          <w:lang w:val="fr-FR"/>
        </w:rPr>
        <w:tab/>
        <w:t>Iraq</w:t>
      </w:r>
    </w:p>
    <w:p w14:paraId="2E7DC68D" w14:textId="77777777" w:rsidR="001A7C21" w:rsidRPr="0014400B" w:rsidRDefault="001A7C21" w:rsidP="001A7C21">
      <w:pPr>
        <w:pStyle w:val="SingleTxtG"/>
        <w:rPr>
          <w:lang w:val="fr-FR"/>
        </w:rPr>
      </w:pPr>
      <w:r w:rsidRPr="0014400B">
        <w:rPr>
          <w:lang w:val="fr-FR"/>
        </w:rPr>
        <w:t>16</w:t>
      </w:r>
      <w:r w:rsidRPr="00DC385F">
        <w:rPr>
          <w:lang w:val="fr-FR"/>
        </w:rPr>
        <w:t>.</w:t>
      </w:r>
      <w:r w:rsidRPr="0014400B">
        <w:rPr>
          <w:lang w:val="fr-FR"/>
        </w:rPr>
        <w:tab/>
        <w:t xml:space="preserve">Au </w:t>
      </w:r>
      <w:r>
        <w:rPr>
          <w:lang w:val="fr-FR"/>
        </w:rPr>
        <w:t>15 septembre</w:t>
      </w:r>
      <w:r w:rsidRPr="0014400B">
        <w:rPr>
          <w:lang w:val="fr-FR"/>
        </w:rPr>
        <w:t xml:space="preserve"> 2021, le Comité avait enregistré un total de 5</w:t>
      </w:r>
      <w:r>
        <w:rPr>
          <w:lang w:val="fr-FR"/>
        </w:rPr>
        <w:t>22</w:t>
      </w:r>
      <w:r w:rsidRPr="0014400B">
        <w:rPr>
          <w:lang w:val="fr-FR"/>
        </w:rPr>
        <w:t xml:space="preserve"> demandes d</w:t>
      </w:r>
      <w:r>
        <w:rPr>
          <w:lang w:val="fr-FR"/>
        </w:rPr>
        <w:t>’</w:t>
      </w:r>
      <w:r w:rsidRPr="0014400B">
        <w:rPr>
          <w:lang w:val="fr-FR"/>
        </w:rPr>
        <w:t xml:space="preserve">action en urgence liées à des faits survenus en Iraq, ce qui représente </w:t>
      </w:r>
      <w:r>
        <w:rPr>
          <w:lang w:val="fr-FR"/>
        </w:rPr>
        <w:t>37 </w:t>
      </w:r>
      <w:r w:rsidRPr="0014400B">
        <w:rPr>
          <w:lang w:val="fr-FR"/>
        </w:rPr>
        <w:t>% de toutes les demandes d</w:t>
      </w:r>
      <w:r>
        <w:rPr>
          <w:lang w:val="fr-FR"/>
        </w:rPr>
        <w:t>’</w:t>
      </w:r>
      <w:r w:rsidRPr="0014400B">
        <w:rPr>
          <w:lang w:val="fr-FR"/>
        </w:rPr>
        <w:t>action en urgence enregistrées à ce jour</w:t>
      </w:r>
      <w:r w:rsidRPr="00DC385F">
        <w:rPr>
          <w:lang w:val="fr-FR"/>
        </w:rPr>
        <w:t>.</w:t>
      </w:r>
      <w:r w:rsidRPr="0014400B">
        <w:rPr>
          <w:lang w:val="fr-FR"/>
        </w:rPr>
        <w:t xml:space="preserve"> Le Comité est très préoccupé par le fait que, selon les informations reçues, les personnes disparues n</w:t>
      </w:r>
      <w:r>
        <w:rPr>
          <w:lang w:val="fr-FR"/>
        </w:rPr>
        <w:t>’</w:t>
      </w:r>
      <w:r w:rsidRPr="0014400B">
        <w:rPr>
          <w:lang w:val="fr-FR"/>
        </w:rPr>
        <w:t>ont été retrouvées que dans 27</w:t>
      </w:r>
      <w:r>
        <w:rPr>
          <w:lang w:val="fr-FR"/>
        </w:rPr>
        <w:t> </w:t>
      </w:r>
      <w:r w:rsidRPr="0014400B">
        <w:rPr>
          <w:lang w:val="fr-FR"/>
        </w:rPr>
        <w:t>de ces cas, soit 5</w:t>
      </w:r>
      <w:r>
        <w:rPr>
          <w:lang w:val="fr-FR"/>
        </w:rPr>
        <w:t> </w:t>
      </w:r>
      <w:r w:rsidRPr="0014400B">
        <w:rPr>
          <w:lang w:val="fr-FR"/>
        </w:rPr>
        <w:t>% de toutes les demandes d</w:t>
      </w:r>
      <w:r>
        <w:rPr>
          <w:lang w:val="fr-FR"/>
        </w:rPr>
        <w:t>’</w:t>
      </w:r>
      <w:r w:rsidRPr="0014400B">
        <w:rPr>
          <w:lang w:val="fr-FR"/>
        </w:rPr>
        <w:t>action en urgence liées à des faits survenus en Iraq</w:t>
      </w:r>
      <w:r w:rsidRPr="00DC385F">
        <w:rPr>
          <w:lang w:val="fr-FR"/>
        </w:rPr>
        <w:t>.</w:t>
      </w:r>
      <w:r w:rsidRPr="0014400B">
        <w:rPr>
          <w:lang w:val="fr-FR"/>
        </w:rPr>
        <w:t xml:space="preserve"> Au cours de la période examinée, une seule personne disparue au nom de laquelle une demande d</w:t>
      </w:r>
      <w:r>
        <w:rPr>
          <w:lang w:val="fr-FR"/>
        </w:rPr>
        <w:t>’</w:t>
      </w:r>
      <w:r w:rsidRPr="0014400B">
        <w:rPr>
          <w:lang w:val="fr-FR"/>
        </w:rPr>
        <w:t>action en urgence avait été déposée a été retrouvée, ce qui accroît l</w:t>
      </w:r>
      <w:r>
        <w:rPr>
          <w:lang w:val="fr-FR"/>
        </w:rPr>
        <w:t>’</w:t>
      </w:r>
      <w:r w:rsidRPr="0014400B">
        <w:rPr>
          <w:lang w:val="fr-FR"/>
        </w:rPr>
        <w:t>écart entre le nombre d</w:t>
      </w:r>
      <w:r>
        <w:rPr>
          <w:lang w:val="fr-FR"/>
        </w:rPr>
        <w:t>’</w:t>
      </w:r>
      <w:r w:rsidRPr="0014400B">
        <w:rPr>
          <w:lang w:val="fr-FR"/>
        </w:rPr>
        <w:t>actions en urgence ouvertes et celles qui ont été clôturées ou classées</w:t>
      </w:r>
      <w:r w:rsidRPr="00DC385F">
        <w:rPr>
          <w:lang w:val="fr-FR"/>
        </w:rPr>
        <w:t>.</w:t>
      </w:r>
    </w:p>
    <w:p w14:paraId="2A36EA69" w14:textId="77777777" w:rsidR="001A7C21" w:rsidRPr="0014400B" w:rsidRDefault="001A7C21" w:rsidP="001A7C21">
      <w:pPr>
        <w:pStyle w:val="SingleTxtG"/>
        <w:rPr>
          <w:lang w:val="fr-FR"/>
        </w:rPr>
      </w:pPr>
      <w:r w:rsidRPr="0014400B">
        <w:rPr>
          <w:lang w:val="fr-FR"/>
        </w:rPr>
        <w:t>17</w:t>
      </w:r>
      <w:r w:rsidRPr="00DC385F">
        <w:rPr>
          <w:lang w:val="fr-FR"/>
        </w:rPr>
        <w:t>.</w:t>
      </w:r>
      <w:r w:rsidRPr="0014400B">
        <w:rPr>
          <w:lang w:val="fr-FR"/>
        </w:rPr>
        <w:tab/>
        <w:t>Le Comité constate avec préoccupation qu</w:t>
      </w:r>
      <w:r>
        <w:rPr>
          <w:lang w:val="fr-FR"/>
        </w:rPr>
        <w:t>’</w:t>
      </w:r>
      <w:r w:rsidRPr="0014400B">
        <w:rPr>
          <w:lang w:val="fr-FR"/>
        </w:rPr>
        <w:t>il y a une corrélation directe entre le manque de coopération de l</w:t>
      </w:r>
      <w:r>
        <w:rPr>
          <w:lang w:val="fr-FR"/>
        </w:rPr>
        <w:t>’</w:t>
      </w:r>
      <w:r w:rsidRPr="0014400B">
        <w:rPr>
          <w:lang w:val="fr-FR"/>
        </w:rPr>
        <w:t>Iraq avec la procédure d</w:t>
      </w:r>
      <w:r>
        <w:rPr>
          <w:lang w:val="fr-FR"/>
        </w:rPr>
        <w:t>’</w:t>
      </w:r>
      <w:r w:rsidRPr="0014400B">
        <w:rPr>
          <w:lang w:val="fr-FR"/>
        </w:rPr>
        <w:t>action en urgence prévue par l</w:t>
      </w:r>
      <w:r>
        <w:rPr>
          <w:lang w:val="fr-FR"/>
        </w:rPr>
        <w:t>’</w:t>
      </w:r>
      <w:r w:rsidRPr="0014400B">
        <w:rPr>
          <w:lang w:val="fr-FR"/>
        </w:rPr>
        <w:t>article</w:t>
      </w:r>
      <w:r>
        <w:rPr>
          <w:lang w:val="fr-FR"/>
        </w:rPr>
        <w:t> </w:t>
      </w:r>
      <w:r w:rsidRPr="0014400B">
        <w:rPr>
          <w:lang w:val="fr-FR"/>
        </w:rPr>
        <w:t>30 de la Convention, dont il est fait état au paragraphe 9 ci-dessus, et la faiblesse alarmante du nombre de personnes disparues qui ont été retrouvées à ce jour</w:t>
      </w:r>
      <w:r w:rsidRPr="00DC385F">
        <w:rPr>
          <w:lang w:val="fr-FR"/>
        </w:rPr>
        <w:t>.</w:t>
      </w:r>
      <w:r w:rsidRPr="0014400B">
        <w:rPr>
          <w:lang w:val="fr-FR"/>
        </w:rPr>
        <w:t xml:space="preserve"> Le Comité est préoccupé par le fait que, dans certains cas, l</w:t>
      </w:r>
      <w:r>
        <w:rPr>
          <w:lang w:val="fr-FR"/>
        </w:rPr>
        <w:t>’</w:t>
      </w:r>
      <w:r w:rsidRPr="0014400B">
        <w:rPr>
          <w:lang w:val="fr-FR"/>
        </w:rPr>
        <w:t>État partie a répondu à un dernier rappel par une demande de renseignements personnels sur les victimes, lesquels avaient déjà été fournis dans la note d</w:t>
      </w:r>
      <w:r>
        <w:rPr>
          <w:lang w:val="fr-FR"/>
        </w:rPr>
        <w:t>’</w:t>
      </w:r>
      <w:r w:rsidRPr="0014400B">
        <w:rPr>
          <w:lang w:val="fr-FR"/>
        </w:rPr>
        <w:t>enregistrement initiale</w:t>
      </w:r>
      <w:r w:rsidRPr="00DC385F">
        <w:rPr>
          <w:lang w:val="fr-FR"/>
        </w:rPr>
        <w:t>.</w:t>
      </w:r>
    </w:p>
    <w:p w14:paraId="17CB9A29" w14:textId="77777777" w:rsidR="001A7C21" w:rsidRPr="0014400B" w:rsidRDefault="001A7C21" w:rsidP="001A7C21">
      <w:pPr>
        <w:pStyle w:val="SingleTxtG"/>
        <w:rPr>
          <w:lang w:val="fr-FR"/>
        </w:rPr>
      </w:pPr>
      <w:r w:rsidRPr="0014400B">
        <w:rPr>
          <w:lang w:val="fr-FR"/>
        </w:rPr>
        <w:t>18</w:t>
      </w:r>
      <w:r w:rsidRPr="00DC385F">
        <w:rPr>
          <w:lang w:val="fr-FR"/>
        </w:rPr>
        <w:t>.</w:t>
      </w:r>
      <w:r w:rsidRPr="0014400B">
        <w:rPr>
          <w:lang w:val="fr-FR"/>
        </w:rPr>
        <w:tab/>
        <w:t>Lorsque l</w:t>
      </w:r>
      <w:r>
        <w:rPr>
          <w:lang w:val="fr-FR"/>
        </w:rPr>
        <w:t>’</w:t>
      </w:r>
      <w:r w:rsidRPr="0014400B">
        <w:rPr>
          <w:lang w:val="fr-FR"/>
        </w:rPr>
        <w:t xml:space="preserve">État partie a envoyé des réponses au Comité </w:t>
      </w:r>
      <w:r>
        <w:rPr>
          <w:lang w:val="fr-FR"/>
        </w:rPr>
        <w:t>− </w:t>
      </w:r>
      <w:r w:rsidRPr="0014400B">
        <w:rPr>
          <w:lang w:val="fr-FR"/>
        </w:rPr>
        <w:t>ce qu</w:t>
      </w:r>
      <w:r>
        <w:rPr>
          <w:lang w:val="fr-FR"/>
        </w:rPr>
        <w:t>’</w:t>
      </w:r>
      <w:r w:rsidRPr="0014400B">
        <w:rPr>
          <w:lang w:val="fr-FR"/>
        </w:rPr>
        <w:t>il a fait dans moins de la moitié des cas enregistrés</w:t>
      </w:r>
      <w:r>
        <w:rPr>
          <w:lang w:val="fr-FR"/>
        </w:rPr>
        <w:t> −</w:t>
      </w:r>
      <w:r w:rsidRPr="0014400B">
        <w:rPr>
          <w:lang w:val="fr-FR"/>
        </w:rPr>
        <w:t>, celles-ci suivaient la même tendance que celle décrite par le Comité dans ses précédents rapports, à savoir que l</w:t>
      </w:r>
      <w:r>
        <w:rPr>
          <w:lang w:val="fr-FR"/>
        </w:rPr>
        <w:t>’</w:t>
      </w:r>
      <w:r w:rsidRPr="0014400B">
        <w:rPr>
          <w:lang w:val="fr-FR"/>
        </w:rPr>
        <w:t>État partie n</w:t>
      </w:r>
      <w:r>
        <w:rPr>
          <w:lang w:val="fr-FR"/>
        </w:rPr>
        <w:t>’</w:t>
      </w:r>
      <w:r w:rsidRPr="0014400B">
        <w:rPr>
          <w:lang w:val="fr-FR"/>
        </w:rPr>
        <w:t>a communiqué aucune information sur les mesures prises pour rechercher les personnes disparues ou pour mener une enquête sur leur disparition forcée présumée</w:t>
      </w:r>
      <w:r w:rsidRPr="00DC385F">
        <w:rPr>
          <w:lang w:val="fr-FR"/>
        </w:rPr>
        <w:t>.</w:t>
      </w:r>
      <w:r w:rsidRPr="0014400B">
        <w:rPr>
          <w:lang w:val="fr-FR"/>
        </w:rPr>
        <w:t xml:space="preserve"> Comme précédemment, l</w:t>
      </w:r>
      <w:r>
        <w:rPr>
          <w:lang w:val="fr-FR"/>
        </w:rPr>
        <w:t>’</w:t>
      </w:r>
      <w:r w:rsidRPr="0014400B">
        <w:rPr>
          <w:lang w:val="fr-FR"/>
        </w:rPr>
        <w:t>État partie a généralement affirmé que les personnes disparues étaient affiliées à des groupes terroristes, sans fournir d</w:t>
      </w:r>
      <w:r>
        <w:rPr>
          <w:lang w:val="fr-FR"/>
        </w:rPr>
        <w:t>’</w:t>
      </w:r>
      <w:r w:rsidRPr="0014400B">
        <w:rPr>
          <w:lang w:val="fr-FR"/>
        </w:rPr>
        <w:t>autres renseignements ou éléments sur les accusations précises portées contre elles, les procédures engagées ou les mandats d</w:t>
      </w:r>
      <w:r>
        <w:rPr>
          <w:lang w:val="fr-FR"/>
        </w:rPr>
        <w:t>’</w:t>
      </w:r>
      <w:r w:rsidRPr="0014400B">
        <w:rPr>
          <w:lang w:val="fr-FR"/>
        </w:rPr>
        <w:t>arrêt délivrés contre elles</w:t>
      </w:r>
      <w:r w:rsidRPr="00DC385F">
        <w:rPr>
          <w:lang w:val="fr-FR"/>
        </w:rPr>
        <w:t>.</w:t>
      </w:r>
      <w:r w:rsidRPr="0014400B">
        <w:rPr>
          <w:lang w:val="fr-FR"/>
        </w:rPr>
        <w:t xml:space="preserve"> Dans ces cas, le Comité a rappelé à l</w:t>
      </w:r>
      <w:r>
        <w:rPr>
          <w:lang w:val="fr-FR"/>
        </w:rPr>
        <w:t>’</w:t>
      </w:r>
      <w:r w:rsidRPr="0014400B">
        <w:rPr>
          <w:lang w:val="fr-FR"/>
        </w:rPr>
        <w:t>État partie que la Convention ne prévoyait aucune exception à</w:t>
      </w:r>
      <w:r>
        <w:rPr>
          <w:lang w:val="fr-FR"/>
        </w:rPr>
        <w:t xml:space="preserve"> </w:t>
      </w:r>
      <w:r w:rsidRPr="0014400B">
        <w:rPr>
          <w:lang w:val="fr-FR"/>
        </w:rPr>
        <w:t>l</w:t>
      </w:r>
      <w:r>
        <w:rPr>
          <w:lang w:val="fr-FR"/>
        </w:rPr>
        <w:t>’</w:t>
      </w:r>
      <w:r w:rsidRPr="0014400B">
        <w:rPr>
          <w:lang w:val="fr-FR"/>
        </w:rPr>
        <w:t>obligation de rechercher toute personne disparue et d</w:t>
      </w:r>
      <w:r>
        <w:rPr>
          <w:lang w:val="fr-FR"/>
        </w:rPr>
        <w:t>’</w:t>
      </w:r>
      <w:r w:rsidRPr="0014400B">
        <w:rPr>
          <w:lang w:val="fr-FR"/>
        </w:rPr>
        <w:t>enquêter sur sa disparition, indépendamment de son profil ou de son appartenance politique</w:t>
      </w:r>
      <w:r w:rsidRPr="00DC385F">
        <w:rPr>
          <w:lang w:val="fr-FR"/>
        </w:rPr>
        <w:t>.</w:t>
      </w:r>
      <w:r w:rsidRPr="0014400B">
        <w:rPr>
          <w:lang w:val="fr-FR"/>
        </w:rPr>
        <w:t xml:space="preserve"> Le Comité souligne en outre que chacun doit avoir accès à la justice et à des recours, y compris les personnes touchées par les régimes de sanctions contre le terrorisme</w:t>
      </w:r>
      <w:r w:rsidRPr="0083613F">
        <w:rPr>
          <w:rStyle w:val="Appelnotedebasdep"/>
        </w:rPr>
        <w:footnoteReference w:id="7"/>
      </w:r>
      <w:r w:rsidRPr="00DC385F">
        <w:rPr>
          <w:lang w:val="fr-FR"/>
        </w:rPr>
        <w:t>.</w:t>
      </w:r>
      <w:r w:rsidRPr="0014400B">
        <w:rPr>
          <w:lang w:val="fr-FR"/>
        </w:rPr>
        <w:t xml:space="preserve"> Le Comité a également demandé à l</w:t>
      </w:r>
      <w:r>
        <w:rPr>
          <w:lang w:val="fr-FR"/>
        </w:rPr>
        <w:t>’</w:t>
      </w:r>
      <w:r w:rsidRPr="0014400B">
        <w:rPr>
          <w:lang w:val="fr-FR"/>
        </w:rPr>
        <w:t>État partie de fournir des copies des mandats d</w:t>
      </w:r>
      <w:r>
        <w:rPr>
          <w:lang w:val="fr-FR"/>
        </w:rPr>
        <w:t>’</w:t>
      </w:r>
      <w:r w:rsidRPr="0014400B">
        <w:rPr>
          <w:lang w:val="fr-FR"/>
        </w:rPr>
        <w:t>arrêt ou de tout document officiel indiquant que les personnes disparues sont recherchées par les autorité</w:t>
      </w:r>
      <w:r w:rsidRPr="0090615A">
        <w:rPr>
          <w:lang w:val="fr-FR"/>
        </w:rPr>
        <w:t>s iraquiennes</w:t>
      </w:r>
      <w:r w:rsidRPr="0014400B">
        <w:rPr>
          <w:lang w:val="fr-FR"/>
        </w:rPr>
        <w:t xml:space="preserve"> et, si des accusations précises ont été portées contre elles et si des procédures ont été engagées à leur encontre, d</w:t>
      </w:r>
      <w:r>
        <w:rPr>
          <w:lang w:val="fr-FR"/>
        </w:rPr>
        <w:t>’</w:t>
      </w:r>
      <w:r w:rsidRPr="0014400B">
        <w:rPr>
          <w:lang w:val="fr-FR"/>
        </w:rPr>
        <w:t xml:space="preserve">en informer officiellement leurs proches et leurs représentants et de les placer </w:t>
      </w:r>
      <w:r w:rsidRPr="0014400B">
        <w:rPr>
          <w:lang w:val="fr-FR"/>
        </w:rPr>
        <w:lastRenderedPageBreak/>
        <w:t>immédiatement sous la protection de la loi afin de permettre la préparation de leur défense et de protéger et promouvoir leur droit à une procédure régulière</w:t>
      </w:r>
      <w:r w:rsidRPr="00DC385F">
        <w:rPr>
          <w:lang w:val="fr-FR"/>
        </w:rPr>
        <w:t>.</w:t>
      </w:r>
    </w:p>
    <w:p w14:paraId="78E5CC77" w14:textId="77777777" w:rsidR="001A7C21" w:rsidRPr="0014400B" w:rsidRDefault="001A7C21" w:rsidP="001A7C21">
      <w:pPr>
        <w:pStyle w:val="SingleTxtG"/>
        <w:rPr>
          <w:lang w:val="fr-FR"/>
        </w:rPr>
      </w:pPr>
      <w:r w:rsidRPr="0014400B">
        <w:rPr>
          <w:lang w:val="fr-FR"/>
        </w:rPr>
        <w:t>19</w:t>
      </w:r>
      <w:r w:rsidRPr="00DC385F">
        <w:rPr>
          <w:lang w:val="fr-FR"/>
        </w:rPr>
        <w:t>.</w:t>
      </w:r>
      <w:r w:rsidRPr="0014400B">
        <w:rPr>
          <w:lang w:val="fr-FR"/>
        </w:rPr>
        <w:tab/>
        <w:t>Dans de tels cas, le Comité a rappelé à l</w:t>
      </w:r>
      <w:r>
        <w:rPr>
          <w:lang w:val="fr-FR"/>
        </w:rPr>
        <w:t>’</w:t>
      </w:r>
      <w:r w:rsidRPr="0014400B">
        <w:rPr>
          <w:lang w:val="fr-FR"/>
        </w:rPr>
        <w:t>État partie que le fait qu</w:t>
      </w:r>
      <w:r>
        <w:rPr>
          <w:lang w:val="fr-FR"/>
        </w:rPr>
        <w:t>’</w:t>
      </w:r>
      <w:r w:rsidRPr="0014400B">
        <w:rPr>
          <w:lang w:val="fr-FR"/>
        </w:rPr>
        <w:t>il n</w:t>
      </w:r>
      <w:r>
        <w:rPr>
          <w:lang w:val="fr-FR"/>
        </w:rPr>
        <w:t>’</w:t>
      </w:r>
      <w:r w:rsidRPr="0014400B">
        <w:rPr>
          <w:lang w:val="fr-FR"/>
        </w:rPr>
        <w:t>ait pas apporté de réponse précise, d</w:t>
      </w:r>
      <w:r>
        <w:rPr>
          <w:lang w:val="fr-FR"/>
        </w:rPr>
        <w:t>’</w:t>
      </w:r>
      <w:r w:rsidRPr="0014400B">
        <w:rPr>
          <w:lang w:val="fr-FR"/>
        </w:rPr>
        <w:t>informations ou d</w:t>
      </w:r>
      <w:r>
        <w:rPr>
          <w:lang w:val="fr-FR"/>
        </w:rPr>
        <w:t>’</w:t>
      </w:r>
      <w:r w:rsidRPr="0014400B">
        <w:rPr>
          <w:lang w:val="fr-FR"/>
        </w:rPr>
        <w:t>éclaircissements n</w:t>
      </w:r>
      <w:r>
        <w:rPr>
          <w:lang w:val="fr-FR"/>
        </w:rPr>
        <w:t>’</w:t>
      </w:r>
      <w:r w:rsidRPr="0014400B">
        <w:rPr>
          <w:lang w:val="fr-FR"/>
        </w:rPr>
        <w:t>était pas conforme aux obligations que lui fait la Convention, à savoir</w:t>
      </w:r>
      <w:r>
        <w:rPr>
          <w:lang w:val="fr-FR"/>
        </w:rPr>
        <w:t> </w:t>
      </w:r>
      <w:r w:rsidRPr="0014400B">
        <w:rPr>
          <w:lang w:val="fr-FR"/>
        </w:rPr>
        <w:t>: en vertu de l</w:t>
      </w:r>
      <w:r>
        <w:rPr>
          <w:lang w:val="fr-FR"/>
        </w:rPr>
        <w:t>’</w:t>
      </w:r>
      <w:r w:rsidRPr="0014400B">
        <w:rPr>
          <w:lang w:val="fr-FR"/>
        </w:rPr>
        <w:t>article 12, enquêter sans délai et de manière impartiale sur tout cas allégué de disparition forcée, et prendre les mesures nécessaires pour prévenir et sanctionner les actes qui entravent la conduite de l</w:t>
      </w:r>
      <w:r>
        <w:rPr>
          <w:lang w:val="fr-FR"/>
        </w:rPr>
        <w:t>’</w:t>
      </w:r>
      <w:r w:rsidRPr="0014400B">
        <w:rPr>
          <w:lang w:val="fr-FR"/>
        </w:rPr>
        <w:t>enquête</w:t>
      </w:r>
      <w:r>
        <w:rPr>
          <w:lang w:val="fr-FR"/>
        </w:rPr>
        <w:t> </w:t>
      </w:r>
      <w:r w:rsidRPr="0014400B">
        <w:rPr>
          <w:lang w:val="fr-FR"/>
        </w:rPr>
        <w:t>; en vertu de l</w:t>
      </w:r>
      <w:r>
        <w:rPr>
          <w:lang w:val="fr-FR"/>
        </w:rPr>
        <w:t>’</w:t>
      </w:r>
      <w:r w:rsidRPr="0014400B">
        <w:rPr>
          <w:lang w:val="fr-FR"/>
        </w:rPr>
        <w:t>article 26 (par</w:t>
      </w:r>
      <w:r w:rsidRPr="00DC385F">
        <w:rPr>
          <w:lang w:val="fr-FR"/>
        </w:rPr>
        <w:t>.</w:t>
      </w:r>
      <w:r>
        <w:rPr>
          <w:lang w:val="fr-FR"/>
        </w:rPr>
        <w:t> </w:t>
      </w:r>
      <w:r w:rsidRPr="0014400B">
        <w:rPr>
          <w:lang w:val="fr-FR"/>
        </w:rPr>
        <w:t>9), coopérer avec le Comité et assister ses membres dans l</w:t>
      </w:r>
      <w:r>
        <w:rPr>
          <w:lang w:val="fr-FR"/>
        </w:rPr>
        <w:t>’</w:t>
      </w:r>
      <w:r w:rsidRPr="0014400B">
        <w:rPr>
          <w:lang w:val="fr-FR"/>
        </w:rPr>
        <w:t>exercice de leur mandat</w:t>
      </w:r>
      <w:r>
        <w:rPr>
          <w:lang w:val="fr-FR"/>
        </w:rPr>
        <w:t> </w:t>
      </w:r>
      <w:r w:rsidRPr="0014400B">
        <w:rPr>
          <w:lang w:val="fr-FR"/>
        </w:rPr>
        <w:t>; en vertu de l</w:t>
      </w:r>
      <w:r>
        <w:rPr>
          <w:lang w:val="fr-FR"/>
        </w:rPr>
        <w:t>’</w:t>
      </w:r>
      <w:r w:rsidRPr="0014400B">
        <w:rPr>
          <w:lang w:val="fr-FR"/>
        </w:rPr>
        <w:t>article 30 (par</w:t>
      </w:r>
      <w:r w:rsidRPr="00DC385F">
        <w:rPr>
          <w:lang w:val="fr-FR"/>
        </w:rPr>
        <w:t>.</w:t>
      </w:r>
      <w:r>
        <w:rPr>
          <w:lang w:val="fr-FR"/>
        </w:rPr>
        <w:t> </w:t>
      </w:r>
      <w:r w:rsidRPr="0014400B">
        <w:rPr>
          <w:lang w:val="fr-FR"/>
        </w:rPr>
        <w:t>3), informer le Comité, dans un délai déterminé, des mesures prises pour localiser la personne concernée et la protéger conformément à la Convention</w:t>
      </w:r>
      <w:r w:rsidRPr="00DC385F">
        <w:rPr>
          <w:lang w:val="fr-FR"/>
        </w:rPr>
        <w:t>.</w:t>
      </w:r>
    </w:p>
    <w:p w14:paraId="22E1EC91" w14:textId="77777777" w:rsidR="001A7C21" w:rsidRPr="0014400B" w:rsidRDefault="001A7C21" w:rsidP="001A7C21">
      <w:pPr>
        <w:pStyle w:val="SingleTxtG"/>
        <w:rPr>
          <w:lang w:val="fr-FR"/>
        </w:rPr>
      </w:pPr>
      <w:r w:rsidRPr="0014400B">
        <w:rPr>
          <w:lang w:val="fr-FR"/>
        </w:rPr>
        <w:t>20</w:t>
      </w:r>
      <w:r w:rsidRPr="00DC385F">
        <w:rPr>
          <w:lang w:val="fr-FR"/>
        </w:rPr>
        <w:t>.</w:t>
      </w:r>
      <w:r w:rsidRPr="0014400B">
        <w:rPr>
          <w:lang w:val="fr-FR"/>
        </w:rPr>
        <w:tab/>
        <w:t>Dans certains cas, l</w:t>
      </w:r>
      <w:r>
        <w:rPr>
          <w:lang w:val="fr-FR"/>
        </w:rPr>
        <w:t>’</w:t>
      </w:r>
      <w:r w:rsidRPr="0014400B">
        <w:rPr>
          <w:lang w:val="fr-FR"/>
        </w:rPr>
        <w:t>État partie a répondu que les proches de la personne disparue n</w:t>
      </w:r>
      <w:r>
        <w:rPr>
          <w:lang w:val="fr-FR"/>
        </w:rPr>
        <w:t>’</w:t>
      </w:r>
      <w:r w:rsidRPr="0014400B">
        <w:rPr>
          <w:lang w:val="fr-FR"/>
        </w:rPr>
        <w:t>avaient pas déposé de plainte auprès des autorités compétentes, alors qu</w:t>
      </w:r>
      <w:r>
        <w:rPr>
          <w:lang w:val="fr-FR"/>
        </w:rPr>
        <w:t>’</w:t>
      </w:r>
      <w:r w:rsidRPr="0014400B">
        <w:rPr>
          <w:lang w:val="fr-FR"/>
        </w:rPr>
        <w:t>en fait ils l</w:t>
      </w:r>
      <w:r>
        <w:rPr>
          <w:lang w:val="fr-FR"/>
        </w:rPr>
        <w:t>’</w:t>
      </w:r>
      <w:r w:rsidRPr="0014400B">
        <w:rPr>
          <w:lang w:val="fr-FR"/>
        </w:rPr>
        <w:t>avaient bien fait auprès de plusieurs autorités administratives et judiciaires au niveau national</w:t>
      </w:r>
      <w:r w:rsidRPr="00DC385F">
        <w:rPr>
          <w:lang w:val="fr-FR"/>
        </w:rPr>
        <w:t>.</w:t>
      </w:r>
      <w:r w:rsidRPr="0014400B">
        <w:rPr>
          <w:lang w:val="fr-FR"/>
        </w:rPr>
        <w:t xml:space="preserve"> En pareils cas, le Comité a rappelé le principe 6 des Principes directeurs concernant la recherche des personnes disparues, selon lequel dès qu</w:t>
      </w:r>
      <w:r>
        <w:rPr>
          <w:lang w:val="fr-FR"/>
        </w:rPr>
        <w:t>’</w:t>
      </w:r>
      <w:r w:rsidRPr="0014400B">
        <w:rPr>
          <w:lang w:val="fr-FR"/>
        </w:rPr>
        <w:t>elles ont connaissance, par quelque moyen que ce soit, d</w:t>
      </w:r>
      <w:r>
        <w:rPr>
          <w:lang w:val="fr-FR"/>
        </w:rPr>
        <w:t>’</w:t>
      </w:r>
      <w:r w:rsidRPr="0014400B">
        <w:rPr>
          <w:lang w:val="fr-FR"/>
        </w:rPr>
        <w:t>une disparition, ou qu</w:t>
      </w:r>
      <w:r>
        <w:rPr>
          <w:lang w:val="fr-FR"/>
        </w:rPr>
        <w:t>’</w:t>
      </w:r>
      <w:r w:rsidRPr="0014400B">
        <w:rPr>
          <w:lang w:val="fr-FR"/>
        </w:rPr>
        <w:t>elles disposent d</w:t>
      </w:r>
      <w:r>
        <w:rPr>
          <w:lang w:val="fr-FR"/>
        </w:rPr>
        <w:t>’</w:t>
      </w:r>
      <w:r w:rsidRPr="0014400B">
        <w:rPr>
          <w:lang w:val="fr-FR"/>
        </w:rPr>
        <w:t>indices donnant à penser qu</w:t>
      </w:r>
      <w:r>
        <w:rPr>
          <w:lang w:val="fr-FR"/>
        </w:rPr>
        <w:t>’</w:t>
      </w:r>
      <w:r w:rsidRPr="0014400B">
        <w:rPr>
          <w:lang w:val="fr-FR"/>
        </w:rPr>
        <w:t>une personne a été soumise à une disparition forcée, les autorités chargées des recherches ont l</w:t>
      </w:r>
      <w:r>
        <w:rPr>
          <w:lang w:val="fr-FR"/>
        </w:rPr>
        <w:t>’</w:t>
      </w:r>
      <w:r w:rsidRPr="0014400B">
        <w:rPr>
          <w:lang w:val="fr-FR"/>
        </w:rPr>
        <w:t>obligation de rechercher et de localiser cette personne</w:t>
      </w:r>
      <w:r>
        <w:rPr>
          <w:lang w:val="fr-FR"/>
        </w:rPr>
        <w:t> </w:t>
      </w:r>
      <w:r w:rsidRPr="0014400B">
        <w:rPr>
          <w:lang w:val="fr-FR"/>
        </w:rPr>
        <w:t>; les autorités compétentes doivent engager d</w:t>
      </w:r>
      <w:r>
        <w:rPr>
          <w:lang w:val="fr-FR"/>
        </w:rPr>
        <w:t>’</w:t>
      </w:r>
      <w:r w:rsidRPr="0014400B">
        <w:rPr>
          <w:lang w:val="fr-FR"/>
        </w:rPr>
        <w:t>office, immédiatement et avec diligence les recherches, même si aucune plainte ni aucune demande n</w:t>
      </w:r>
      <w:r>
        <w:rPr>
          <w:lang w:val="fr-FR"/>
        </w:rPr>
        <w:t>’</w:t>
      </w:r>
      <w:r w:rsidRPr="0014400B">
        <w:rPr>
          <w:lang w:val="fr-FR"/>
        </w:rPr>
        <w:t>a été officiellement déposée</w:t>
      </w:r>
      <w:r>
        <w:rPr>
          <w:lang w:val="fr-FR"/>
        </w:rPr>
        <w:t> </w:t>
      </w:r>
      <w:r w:rsidRPr="0014400B">
        <w:rPr>
          <w:lang w:val="fr-FR"/>
        </w:rPr>
        <w:t>; le fait que les proches ou les plaignants n</w:t>
      </w:r>
      <w:r>
        <w:rPr>
          <w:lang w:val="fr-FR"/>
        </w:rPr>
        <w:t>’</w:t>
      </w:r>
      <w:r w:rsidRPr="0014400B">
        <w:rPr>
          <w:lang w:val="fr-FR"/>
        </w:rPr>
        <w:t>aient pas donné d</w:t>
      </w:r>
      <w:r>
        <w:rPr>
          <w:lang w:val="fr-FR"/>
        </w:rPr>
        <w:t>’</w:t>
      </w:r>
      <w:r w:rsidRPr="0014400B">
        <w:rPr>
          <w:lang w:val="fr-FR"/>
        </w:rPr>
        <w:t>informations ne saurait être invoqué pour justifier le fait que des activités de recherche visant à localiser la personne disparue n</w:t>
      </w:r>
      <w:r>
        <w:rPr>
          <w:lang w:val="fr-FR"/>
        </w:rPr>
        <w:t>’</w:t>
      </w:r>
      <w:r w:rsidRPr="0014400B">
        <w:rPr>
          <w:lang w:val="fr-FR"/>
        </w:rPr>
        <w:t>ont pas été engagées immédiatement</w:t>
      </w:r>
      <w:r>
        <w:rPr>
          <w:lang w:val="fr-FR"/>
        </w:rPr>
        <w:t> </w:t>
      </w:r>
      <w:r w:rsidRPr="0014400B">
        <w:rPr>
          <w:lang w:val="fr-FR"/>
        </w:rPr>
        <w:t>; même en cas de doute quant à la réalité d</w:t>
      </w:r>
      <w:r>
        <w:rPr>
          <w:lang w:val="fr-FR"/>
        </w:rPr>
        <w:t>’</w:t>
      </w:r>
      <w:r w:rsidRPr="0014400B">
        <w:rPr>
          <w:lang w:val="fr-FR"/>
        </w:rPr>
        <w:t>une disparition involontaire, les recherches doivent être engagées immédiatement</w:t>
      </w:r>
      <w:r w:rsidRPr="00DC385F">
        <w:rPr>
          <w:lang w:val="fr-FR"/>
        </w:rPr>
        <w:t>.</w:t>
      </w:r>
    </w:p>
    <w:p w14:paraId="503D298D" w14:textId="77777777" w:rsidR="001A7C21" w:rsidRPr="0014400B" w:rsidRDefault="001A7C21" w:rsidP="001A7C21">
      <w:pPr>
        <w:pStyle w:val="SingleTxtG"/>
        <w:rPr>
          <w:lang w:val="fr-FR"/>
        </w:rPr>
      </w:pPr>
      <w:r w:rsidRPr="0014400B">
        <w:rPr>
          <w:lang w:val="fr-FR"/>
        </w:rPr>
        <w:t>21</w:t>
      </w:r>
      <w:r w:rsidRPr="00DC385F">
        <w:rPr>
          <w:lang w:val="fr-FR"/>
        </w:rPr>
        <w:t>.</w:t>
      </w:r>
      <w:r w:rsidRPr="0014400B">
        <w:rPr>
          <w:lang w:val="fr-FR"/>
        </w:rPr>
        <w:tab/>
        <w:t>Dans certains des cas enregistrés par le Comité, l</w:t>
      </w:r>
      <w:r>
        <w:rPr>
          <w:lang w:val="fr-FR"/>
        </w:rPr>
        <w:t>’</w:t>
      </w:r>
      <w:r w:rsidRPr="0014400B">
        <w:rPr>
          <w:lang w:val="fr-FR"/>
        </w:rPr>
        <w:t>État partie a répondu en adressant, par l</w:t>
      </w:r>
      <w:r>
        <w:rPr>
          <w:lang w:val="fr-FR"/>
        </w:rPr>
        <w:t>’</w:t>
      </w:r>
      <w:r w:rsidRPr="0014400B">
        <w:rPr>
          <w:lang w:val="fr-FR"/>
        </w:rPr>
        <w:t xml:space="preserve">intermédiaire du Comité, une invitation aux proches des personnes disparues à se présenter au service de médecine légale du Ministère </w:t>
      </w:r>
      <w:r w:rsidRPr="0090615A">
        <w:rPr>
          <w:lang w:val="fr-FR"/>
        </w:rPr>
        <w:t>de la santé</w:t>
      </w:r>
      <w:r w:rsidRPr="0014400B">
        <w:rPr>
          <w:lang w:val="fr-FR"/>
        </w:rPr>
        <w:t xml:space="preserve"> pour examiner des photographies de corps non identifiés, au cas où ils pourraient y identifier la personne disparue</w:t>
      </w:r>
      <w:r w:rsidRPr="00DC385F">
        <w:rPr>
          <w:lang w:val="fr-FR"/>
        </w:rPr>
        <w:t>.</w:t>
      </w:r>
      <w:r w:rsidRPr="0014400B">
        <w:rPr>
          <w:lang w:val="fr-FR"/>
        </w:rPr>
        <w:t xml:space="preserve"> Le Comité a indiqué que ces invitations devraient être adressées directement aux proches, lesquels devraient être informés périodiquement de tout résultat des recherches et de l</w:t>
      </w:r>
      <w:r>
        <w:rPr>
          <w:lang w:val="fr-FR"/>
        </w:rPr>
        <w:t>’</w:t>
      </w:r>
      <w:r w:rsidRPr="0014400B">
        <w:rPr>
          <w:lang w:val="fr-FR"/>
        </w:rPr>
        <w:t>enquête</w:t>
      </w:r>
      <w:r w:rsidRPr="00DC385F">
        <w:rPr>
          <w:lang w:val="fr-FR"/>
        </w:rPr>
        <w:t>.</w:t>
      </w:r>
    </w:p>
    <w:p w14:paraId="556FECE0" w14:textId="77777777" w:rsidR="001A7C21" w:rsidRPr="0014400B" w:rsidRDefault="001A7C21" w:rsidP="001A7C21">
      <w:pPr>
        <w:pStyle w:val="SingleTxtG"/>
        <w:rPr>
          <w:lang w:val="fr-FR"/>
        </w:rPr>
      </w:pPr>
      <w:r w:rsidRPr="0014400B">
        <w:rPr>
          <w:lang w:val="fr-FR"/>
        </w:rPr>
        <w:t>22</w:t>
      </w:r>
      <w:r w:rsidRPr="00DC385F">
        <w:rPr>
          <w:lang w:val="fr-FR"/>
        </w:rPr>
        <w:t>.</w:t>
      </w:r>
      <w:r w:rsidRPr="0014400B">
        <w:rPr>
          <w:lang w:val="fr-FR"/>
        </w:rPr>
        <w:tab/>
        <w:t>Au cours de la période considérée, le Comité a reçu un certain nombre de nouvelles demandes d</w:t>
      </w:r>
      <w:r>
        <w:rPr>
          <w:lang w:val="fr-FR"/>
        </w:rPr>
        <w:t>’</w:t>
      </w:r>
      <w:r w:rsidRPr="0014400B">
        <w:rPr>
          <w:lang w:val="fr-FR"/>
        </w:rPr>
        <w:t>action en urgence concernant des disparitions de personnes survenues en 2017</w:t>
      </w:r>
      <w:r w:rsidRPr="00DC385F">
        <w:rPr>
          <w:lang w:val="fr-FR"/>
        </w:rPr>
        <w:t>.</w:t>
      </w:r>
      <w:r w:rsidRPr="0014400B">
        <w:rPr>
          <w:lang w:val="fr-FR"/>
        </w:rPr>
        <w:t xml:space="preserve"> Il a été signalé que lorsque les forces de sécurité iraquiennes étaient sur le point d</w:t>
      </w:r>
      <w:r>
        <w:rPr>
          <w:lang w:val="fr-FR"/>
        </w:rPr>
        <w:t>’</w:t>
      </w:r>
      <w:r w:rsidRPr="0014400B">
        <w:rPr>
          <w:lang w:val="fr-FR"/>
        </w:rPr>
        <w:t xml:space="preserve">entrer dans le district de </w:t>
      </w:r>
      <w:proofErr w:type="spellStart"/>
      <w:r w:rsidRPr="0014400B">
        <w:rPr>
          <w:lang w:val="fr-FR"/>
        </w:rPr>
        <w:t>Hadar</w:t>
      </w:r>
      <w:proofErr w:type="spellEnd"/>
      <w:r w:rsidRPr="0014400B">
        <w:rPr>
          <w:lang w:val="fr-FR"/>
        </w:rPr>
        <w:t xml:space="preserve">, dans la province de Ninive, environ 50 familles </w:t>
      </w:r>
      <w:r w:rsidRPr="0090615A">
        <w:rPr>
          <w:lang w:val="fr-FR"/>
        </w:rPr>
        <w:t>sunnites</w:t>
      </w:r>
      <w:r w:rsidRPr="0014400B">
        <w:rPr>
          <w:lang w:val="fr-FR"/>
        </w:rPr>
        <w:t xml:space="preserve"> ont fui dans leurs véhicules en direction du village d</w:t>
      </w:r>
      <w:r>
        <w:rPr>
          <w:lang w:val="fr-FR"/>
        </w:rPr>
        <w:t>’</w:t>
      </w:r>
      <w:proofErr w:type="spellStart"/>
      <w:r w:rsidRPr="0014400B">
        <w:rPr>
          <w:lang w:val="fr-FR"/>
        </w:rPr>
        <w:t>Oleba</w:t>
      </w:r>
      <w:proofErr w:type="spellEnd"/>
      <w:r w:rsidRPr="00DC385F">
        <w:rPr>
          <w:lang w:val="fr-FR"/>
        </w:rPr>
        <w:t>.</w:t>
      </w:r>
      <w:r w:rsidRPr="0014400B">
        <w:rPr>
          <w:lang w:val="fr-FR"/>
        </w:rPr>
        <w:t xml:space="preserve"> Des milices affiliées aux forces de sécurité iraquiennes auraient arrêté les hommes, qui ont été emmenés, les yeux bandés et menottés, au carrefour de </w:t>
      </w:r>
      <w:proofErr w:type="spellStart"/>
      <w:r w:rsidRPr="0014400B">
        <w:rPr>
          <w:lang w:val="fr-FR"/>
        </w:rPr>
        <w:t>Hadar</w:t>
      </w:r>
      <w:proofErr w:type="spellEnd"/>
      <w:r w:rsidRPr="00DC385F">
        <w:rPr>
          <w:lang w:val="fr-FR"/>
        </w:rPr>
        <w:t>.</w:t>
      </w:r>
      <w:r w:rsidRPr="0014400B">
        <w:rPr>
          <w:lang w:val="fr-FR"/>
        </w:rPr>
        <w:t xml:space="preserve"> Le Comité a également reçu un certain nombre de nouvelles demandes d</w:t>
      </w:r>
      <w:r>
        <w:rPr>
          <w:lang w:val="fr-FR"/>
        </w:rPr>
        <w:t>’</w:t>
      </w:r>
      <w:r w:rsidRPr="0014400B">
        <w:rPr>
          <w:lang w:val="fr-FR"/>
        </w:rPr>
        <w:t>action en urgence concernant la disparition de personnes survenues en 2015, dans le cadre d</w:t>
      </w:r>
      <w:r>
        <w:rPr>
          <w:lang w:val="fr-FR"/>
        </w:rPr>
        <w:t>’</w:t>
      </w:r>
      <w:r w:rsidRPr="0014400B">
        <w:rPr>
          <w:lang w:val="fr-FR"/>
        </w:rPr>
        <w:t>opérations militaires menées par les Forces de mobilisation populaire contre l</w:t>
      </w:r>
      <w:r>
        <w:rPr>
          <w:lang w:val="fr-FR"/>
        </w:rPr>
        <w:t>’</w:t>
      </w:r>
      <w:r w:rsidRPr="0014400B">
        <w:rPr>
          <w:lang w:val="fr-FR"/>
        </w:rPr>
        <w:t>État islamique d</w:t>
      </w:r>
      <w:r>
        <w:rPr>
          <w:lang w:val="fr-FR"/>
        </w:rPr>
        <w:t>’</w:t>
      </w:r>
      <w:r w:rsidRPr="0014400B">
        <w:rPr>
          <w:lang w:val="fr-FR"/>
        </w:rPr>
        <w:t>Iraq et du Levant, à la suite desquelles des familles ont été déplacées</w:t>
      </w:r>
      <w:r w:rsidRPr="00DC385F">
        <w:rPr>
          <w:lang w:val="fr-FR"/>
        </w:rPr>
        <w:t>.</w:t>
      </w:r>
      <w:r w:rsidRPr="0014400B">
        <w:rPr>
          <w:lang w:val="fr-FR"/>
        </w:rPr>
        <w:t xml:space="preserve"> Selon les informations dont dispose le Comité, les Forces de mobilisation populaire ont arrêté les hommes et ne les ont jamais rendus à leur famille</w:t>
      </w:r>
      <w:r w:rsidRPr="00DC385F">
        <w:rPr>
          <w:lang w:val="fr-FR"/>
        </w:rPr>
        <w:t>.</w:t>
      </w:r>
      <w:r w:rsidRPr="0014400B">
        <w:rPr>
          <w:lang w:val="fr-FR"/>
        </w:rPr>
        <w:t xml:space="preserve"> Dans ces deux types d</w:t>
      </w:r>
      <w:r>
        <w:rPr>
          <w:lang w:val="fr-FR"/>
        </w:rPr>
        <w:t>’</w:t>
      </w:r>
      <w:r w:rsidRPr="0014400B">
        <w:rPr>
          <w:lang w:val="fr-FR"/>
        </w:rPr>
        <w:t>affaires, le Comité a demandé à l</w:t>
      </w:r>
      <w:r>
        <w:rPr>
          <w:lang w:val="fr-FR"/>
        </w:rPr>
        <w:t>’</w:t>
      </w:r>
      <w:r w:rsidRPr="0014400B">
        <w:rPr>
          <w:lang w:val="fr-FR"/>
        </w:rPr>
        <w:t>État partie de confirmer si les personnes disparues étaient détenues dans un lieu de privation de liberté officiel ou non officiel et, dans l</w:t>
      </w:r>
      <w:r>
        <w:rPr>
          <w:lang w:val="fr-FR"/>
        </w:rPr>
        <w:t>’</w:t>
      </w:r>
      <w:r w:rsidRPr="0014400B">
        <w:rPr>
          <w:lang w:val="fr-FR"/>
        </w:rPr>
        <w:t>affirmative, de garantir qu</w:t>
      </w:r>
      <w:r>
        <w:rPr>
          <w:lang w:val="fr-FR"/>
        </w:rPr>
        <w:t>’</w:t>
      </w:r>
      <w:r w:rsidRPr="0014400B">
        <w:rPr>
          <w:lang w:val="fr-FR"/>
        </w:rPr>
        <w:t>elles seraient autorisées à communiquer avec leur famille, leur conseil ou toute autre personne de leur choix et à recevoir leur visite, conformément à l</w:t>
      </w:r>
      <w:r>
        <w:rPr>
          <w:lang w:val="fr-FR"/>
        </w:rPr>
        <w:t>’</w:t>
      </w:r>
      <w:r w:rsidRPr="0014400B">
        <w:rPr>
          <w:lang w:val="fr-FR"/>
        </w:rPr>
        <w:t>article 17 (par</w:t>
      </w:r>
      <w:r w:rsidRPr="00DC385F">
        <w:rPr>
          <w:lang w:val="fr-FR"/>
        </w:rPr>
        <w:t>.</w:t>
      </w:r>
      <w:r>
        <w:rPr>
          <w:lang w:val="fr-FR"/>
        </w:rPr>
        <w:t> </w:t>
      </w:r>
      <w:r w:rsidRPr="0014400B">
        <w:rPr>
          <w:lang w:val="fr-FR"/>
        </w:rPr>
        <w:t>2</w:t>
      </w:r>
      <w:r>
        <w:rPr>
          <w:lang w:val="fr-FR"/>
        </w:rPr>
        <w:t> </w:t>
      </w:r>
      <w:r w:rsidRPr="0014400B">
        <w:rPr>
          <w:lang w:val="fr-FR"/>
        </w:rPr>
        <w:t>d)) de la Convention, et d</w:t>
      </w:r>
      <w:r>
        <w:rPr>
          <w:lang w:val="fr-FR"/>
        </w:rPr>
        <w:t>’</w:t>
      </w:r>
      <w:r w:rsidRPr="0014400B">
        <w:rPr>
          <w:lang w:val="fr-FR"/>
        </w:rPr>
        <w:t>informer le Comité de toute accusation portée contre elles ou de toute procédure engagée à leur encontre</w:t>
      </w:r>
      <w:r w:rsidRPr="00DC385F">
        <w:rPr>
          <w:lang w:val="fr-FR"/>
        </w:rPr>
        <w:t>.</w:t>
      </w:r>
      <w:r w:rsidRPr="0014400B">
        <w:rPr>
          <w:lang w:val="fr-FR"/>
        </w:rPr>
        <w:t xml:space="preserve"> Le Comité attend toujours des informations de l</w:t>
      </w:r>
      <w:r>
        <w:rPr>
          <w:lang w:val="fr-FR"/>
        </w:rPr>
        <w:t>’</w:t>
      </w:r>
      <w:r w:rsidRPr="0014400B">
        <w:rPr>
          <w:lang w:val="fr-FR"/>
        </w:rPr>
        <w:t>État partie à ce sujet</w:t>
      </w:r>
      <w:r w:rsidRPr="00DC385F">
        <w:rPr>
          <w:lang w:val="fr-FR"/>
        </w:rPr>
        <w:t>.</w:t>
      </w:r>
    </w:p>
    <w:p w14:paraId="41DF215F" w14:textId="77777777" w:rsidR="001A7C21" w:rsidRPr="0014400B" w:rsidRDefault="001A7C21" w:rsidP="001A7C21">
      <w:pPr>
        <w:pStyle w:val="SingleTxtG"/>
        <w:rPr>
          <w:lang w:val="fr-FR"/>
        </w:rPr>
      </w:pPr>
      <w:r w:rsidRPr="0014400B">
        <w:rPr>
          <w:lang w:val="fr-FR"/>
        </w:rPr>
        <w:t>23</w:t>
      </w:r>
      <w:r w:rsidRPr="00DC385F">
        <w:rPr>
          <w:lang w:val="fr-FR"/>
        </w:rPr>
        <w:t>.</w:t>
      </w:r>
      <w:r w:rsidRPr="0014400B">
        <w:rPr>
          <w:lang w:val="fr-FR"/>
        </w:rPr>
        <w:tab/>
        <w:t>S</w:t>
      </w:r>
      <w:r>
        <w:rPr>
          <w:lang w:val="fr-FR"/>
        </w:rPr>
        <w:t>’</w:t>
      </w:r>
      <w:r w:rsidRPr="0014400B">
        <w:rPr>
          <w:lang w:val="fr-FR"/>
        </w:rPr>
        <w:t>agissant d</w:t>
      </w:r>
      <w:r>
        <w:rPr>
          <w:lang w:val="fr-FR"/>
        </w:rPr>
        <w:t>’</w:t>
      </w:r>
      <w:r w:rsidRPr="0014400B">
        <w:rPr>
          <w:lang w:val="fr-FR"/>
        </w:rPr>
        <w:t>une demande d</w:t>
      </w:r>
      <w:r>
        <w:rPr>
          <w:lang w:val="fr-FR"/>
        </w:rPr>
        <w:t>’</w:t>
      </w:r>
      <w:r w:rsidRPr="0014400B">
        <w:rPr>
          <w:lang w:val="fr-FR"/>
        </w:rPr>
        <w:t>action en urgence enregistrée en 2019, le Comité a reçu des informations selon lesquelles le père de la personne disparue, qui avait demandé à de nombreuse</w:t>
      </w:r>
      <w:r>
        <w:rPr>
          <w:lang w:val="fr-FR"/>
        </w:rPr>
        <w:t>s</w:t>
      </w:r>
      <w:r w:rsidRPr="0014400B">
        <w:rPr>
          <w:lang w:val="fr-FR"/>
        </w:rPr>
        <w:t xml:space="preserve"> reprises que son fils soit libéré et que des sanctions pénales soient imposées aux auteurs des faits, avait été abattu à Amara</w:t>
      </w:r>
      <w:r w:rsidRPr="00DC385F">
        <w:rPr>
          <w:lang w:val="fr-FR"/>
        </w:rPr>
        <w:t>.</w:t>
      </w:r>
      <w:r w:rsidRPr="0014400B">
        <w:rPr>
          <w:lang w:val="fr-FR"/>
        </w:rPr>
        <w:t xml:space="preserve"> Compte tenu de ce qui précède, le Comité a demandé à l</w:t>
      </w:r>
      <w:r>
        <w:rPr>
          <w:lang w:val="fr-FR"/>
        </w:rPr>
        <w:t>’</w:t>
      </w:r>
      <w:r w:rsidRPr="0014400B">
        <w:rPr>
          <w:lang w:val="fr-FR"/>
        </w:rPr>
        <w:t>État partie de prendre des mesures immédiates pour réinstaller les proches des victimes, qui risquent de subir des représailles, dans une région plus sûre</w:t>
      </w:r>
      <w:r w:rsidRPr="00DC385F">
        <w:rPr>
          <w:lang w:val="fr-FR"/>
        </w:rPr>
        <w:t>.</w:t>
      </w:r>
      <w:r w:rsidRPr="0014400B">
        <w:rPr>
          <w:lang w:val="fr-FR"/>
        </w:rPr>
        <w:t xml:space="preserve"> Selon les dernières informations reçues des auteurs, l</w:t>
      </w:r>
      <w:r>
        <w:rPr>
          <w:lang w:val="fr-FR"/>
        </w:rPr>
        <w:t>’</w:t>
      </w:r>
      <w:r w:rsidRPr="0014400B">
        <w:rPr>
          <w:lang w:val="fr-FR"/>
        </w:rPr>
        <w:t>État partie s</w:t>
      </w:r>
      <w:r>
        <w:rPr>
          <w:lang w:val="fr-FR"/>
        </w:rPr>
        <w:t>’</w:t>
      </w:r>
      <w:r w:rsidRPr="0014400B">
        <w:rPr>
          <w:lang w:val="fr-FR"/>
        </w:rPr>
        <w:t xml:space="preserve">est dit disposé à faciliter la réinstallation des </w:t>
      </w:r>
      <w:r w:rsidRPr="0014400B">
        <w:rPr>
          <w:lang w:val="fr-FR"/>
        </w:rPr>
        <w:lastRenderedPageBreak/>
        <w:t>personnes concernées</w:t>
      </w:r>
      <w:r w:rsidRPr="00DC385F">
        <w:rPr>
          <w:lang w:val="fr-FR"/>
        </w:rPr>
        <w:t>.</w:t>
      </w:r>
      <w:r>
        <w:rPr>
          <w:lang w:val="fr-FR"/>
        </w:rPr>
        <w:t xml:space="preserve"> Cependant, le Comité reste préoccupé par le fait que les proches n’ont pas encore été réinstallés, malgré la menace qui continue de peser sur leur vie</w:t>
      </w:r>
      <w:r w:rsidRPr="00DC385F">
        <w:rPr>
          <w:lang w:val="fr-FR"/>
        </w:rPr>
        <w:t>.</w:t>
      </w:r>
      <w:r>
        <w:rPr>
          <w:lang w:val="fr-FR"/>
        </w:rPr>
        <w:t xml:space="preserve"> </w:t>
      </w:r>
    </w:p>
    <w:p w14:paraId="281004BE" w14:textId="77777777" w:rsidR="001A7C21" w:rsidRPr="0014400B" w:rsidRDefault="001A7C21" w:rsidP="001A7C21">
      <w:pPr>
        <w:pStyle w:val="H23G"/>
        <w:rPr>
          <w:lang w:val="fr-FR"/>
        </w:rPr>
      </w:pPr>
      <w:r>
        <w:rPr>
          <w:lang w:val="fr-FR"/>
        </w:rPr>
        <w:tab/>
      </w:r>
      <w:r w:rsidRPr="0014400B">
        <w:rPr>
          <w:lang w:val="fr-FR"/>
        </w:rPr>
        <w:t>b)</w:t>
      </w:r>
      <w:r w:rsidRPr="0014400B">
        <w:rPr>
          <w:lang w:val="fr-FR"/>
        </w:rPr>
        <w:tab/>
        <w:t>Mexique</w:t>
      </w:r>
    </w:p>
    <w:p w14:paraId="0992AE97" w14:textId="77777777" w:rsidR="001A7C21" w:rsidRPr="0014400B" w:rsidRDefault="001A7C21" w:rsidP="001A7C21">
      <w:pPr>
        <w:pStyle w:val="SingleTxtG"/>
        <w:rPr>
          <w:lang w:val="fr-FR"/>
        </w:rPr>
      </w:pPr>
      <w:r w:rsidRPr="0014400B">
        <w:rPr>
          <w:lang w:val="fr-FR"/>
        </w:rPr>
        <w:t>24</w:t>
      </w:r>
      <w:r w:rsidRPr="00DC385F">
        <w:rPr>
          <w:lang w:val="fr-FR"/>
        </w:rPr>
        <w:t>.</w:t>
      </w:r>
      <w:r w:rsidRPr="0014400B">
        <w:rPr>
          <w:lang w:val="fr-FR"/>
        </w:rPr>
        <w:tab/>
        <w:t xml:space="preserve">Au </w:t>
      </w:r>
      <w:r>
        <w:rPr>
          <w:lang w:val="fr-FR"/>
        </w:rPr>
        <w:t>15 septembre</w:t>
      </w:r>
      <w:r w:rsidRPr="0014400B">
        <w:rPr>
          <w:lang w:val="fr-FR"/>
        </w:rPr>
        <w:t xml:space="preserve"> 2021, le Comité avait enregistré un total de 4</w:t>
      </w:r>
      <w:r>
        <w:rPr>
          <w:lang w:val="fr-FR"/>
        </w:rPr>
        <w:t>3</w:t>
      </w:r>
      <w:r w:rsidRPr="0014400B">
        <w:rPr>
          <w:lang w:val="fr-FR"/>
        </w:rPr>
        <w:t>7</w:t>
      </w:r>
      <w:r>
        <w:rPr>
          <w:lang w:val="fr-FR"/>
        </w:rPr>
        <w:t> </w:t>
      </w:r>
      <w:r w:rsidRPr="0014400B">
        <w:rPr>
          <w:lang w:val="fr-FR"/>
        </w:rPr>
        <w:t>demandes d</w:t>
      </w:r>
      <w:r>
        <w:rPr>
          <w:lang w:val="fr-FR"/>
        </w:rPr>
        <w:t>’</w:t>
      </w:r>
      <w:r w:rsidRPr="0014400B">
        <w:rPr>
          <w:lang w:val="fr-FR"/>
        </w:rPr>
        <w:t>action en urgence liées à des faits survenus au Mexique, ce qui représente 3</w:t>
      </w:r>
      <w:r>
        <w:rPr>
          <w:lang w:val="fr-FR"/>
        </w:rPr>
        <w:t>1 </w:t>
      </w:r>
      <w:r w:rsidRPr="0014400B">
        <w:rPr>
          <w:lang w:val="fr-FR"/>
        </w:rPr>
        <w:t>% de toutes les demandes d</w:t>
      </w:r>
      <w:r>
        <w:rPr>
          <w:lang w:val="fr-FR"/>
        </w:rPr>
        <w:t>’</w:t>
      </w:r>
      <w:r w:rsidRPr="0014400B">
        <w:rPr>
          <w:lang w:val="fr-FR"/>
        </w:rPr>
        <w:t>action en urgence enregistrées jusqu</w:t>
      </w:r>
      <w:r>
        <w:rPr>
          <w:lang w:val="fr-FR"/>
        </w:rPr>
        <w:t>’</w:t>
      </w:r>
      <w:r w:rsidRPr="0014400B">
        <w:rPr>
          <w:lang w:val="fr-FR"/>
        </w:rPr>
        <w:t>à présent</w:t>
      </w:r>
      <w:r w:rsidRPr="00DC385F">
        <w:rPr>
          <w:lang w:val="fr-FR"/>
        </w:rPr>
        <w:t>.</w:t>
      </w:r>
      <w:r w:rsidRPr="0014400B">
        <w:rPr>
          <w:lang w:val="fr-FR"/>
        </w:rPr>
        <w:t xml:space="preserve"> Sur ces 4</w:t>
      </w:r>
      <w:r>
        <w:rPr>
          <w:lang w:val="fr-FR"/>
        </w:rPr>
        <w:t>3</w:t>
      </w:r>
      <w:r w:rsidRPr="0014400B">
        <w:rPr>
          <w:lang w:val="fr-FR"/>
        </w:rPr>
        <w:t>7</w:t>
      </w:r>
      <w:r>
        <w:rPr>
          <w:lang w:val="fr-FR"/>
        </w:rPr>
        <w:t> </w:t>
      </w:r>
      <w:r w:rsidRPr="0014400B">
        <w:rPr>
          <w:lang w:val="fr-FR"/>
        </w:rPr>
        <w:t>actions en urgence, 46</w:t>
      </w:r>
      <w:r>
        <w:rPr>
          <w:lang w:val="fr-FR"/>
        </w:rPr>
        <w:t> </w:t>
      </w:r>
      <w:r w:rsidRPr="0014400B">
        <w:rPr>
          <w:lang w:val="fr-FR"/>
        </w:rPr>
        <w:t>ont été clôturées car la personne disparue avait été retrouvée</w:t>
      </w:r>
      <w:r>
        <w:rPr>
          <w:lang w:val="fr-FR"/>
        </w:rPr>
        <w:t xml:space="preserve"> libre ou retrouvée et libérée </w:t>
      </w:r>
      <w:r w:rsidRPr="0014400B">
        <w:rPr>
          <w:lang w:val="fr-FR"/>
        </w:rPr>
        <w:t xml:space="preserve">; les autres restent ouvertes ou ont été suspendues (voir le paragraphe </w:t>
      </w:r>
      <w:r>
        <w:rPr>
          <w:lang w:val="fr-FR"/>
        </w:rPr>
        <w:t>30</w:t>
      </w:r>
      <w:r w:rsidRPr="0014400B">
        <w:rPr>
          <w:lang w:val="fr-FR"/>
        </w:rPr>
        <w:t xml:space="preserve"> ci-dessous)</w:t>
      </w:r>
      <w:r w:rsidRPr="00DC385F">
        <w:rPr>
          <w:lang w:val="fr-FR"/>
        </w:rPr>
        <w:t>.</w:t>
      </w:r>
    </w:p>
    <w:p w14:paraId="5B4087DB" w14:textId="77777777" w:rsidR="001A7C21" w:rsidRPr="0014400B" w:rsidRDefault="001A7C21" w:rsidP="001A7C21">
      <w:pPr>
        <w:pStyle w:val="SingleTxtG"/>
        <w:rPr>
          <w:lang w:val="fr-FR"/>
        </w:rPr>
      </w:pPr>
      <w:r w:rsidRPr="0014400B">
        <w:rPr>
          <w:lang w:val="fr-FR"/>
        </w:rPr>
        <w:t>25</w:t>
      </w:r>
      <w:r w:rsidRPr="00DC385F">
        <w:rPr>
          <w:lang w:val="fr-FR"/>
        </w:rPr>
        <w:t>.</w:t>
      </w:r>
      <w:r w:rsidRPr="0014400B">
        <w:rPr>
          <w:lang w:val="fr-FR"/>
        </w:rPr>
        <w:tab/>
        <w:t>Comme il l</w:t>
      </w:r>
      <w:r>
        <w:rPr>
          <w:lang w:val="fr-FR"/>
        </w:rPr>
        <w:t>’</w:t>
      </w:r>
      <w:r w:rsidRPr="0014400B">
        <w:rPr>
          <w:lang w:val="fr-FR"/>
        </w:rPr>
        <w:t>avait souligné dans son précédent rapport, le Comité a continué, au cours de la période considérée, de constater un manque de coordination entre les autorités fédérales et fédérées chargées des recherches et des enquêtes, notamment en ce qui concerne la définition de leurs responsabilités respectives et le partage des informations sur les actions entreprises et les résultats obtenus, ce qui a parfois entraîné un chevauchement des activités menées au deux niveaux</w:t>
      </w:r>
      <w:r w:rsidRPr="00DC385F">
        <w:rPr>
          <w:lang w:val="fr-FR"/>
        </w:rPr>
        <w:t>.</w:t>
      </w:r>
      <w:r w:rsidRPr="0014400B">
        <w:rPr>
          <w:lang w:val="fr-FR"/>
        </w:rPr>
        <w:t xml:space="preserve"> Dans de tels cas, le Comité a systématiquement recommandé une coordination entre les autorités chargées des enquêtes aux niveaux fédéral et fédéré, et que leurs fonctions respectives soient clairement définies</w:t>
      </w:r>
      <w:r w:rsidRPr="00DC385F">
        <w:rPr>
          <w:lang w:val="fr-FR"/>
        </w:rPr>
        <w:t>.</w:t>
      </w:r>
    </w:p>
    <w:p w14:paraId="55A8D4D1" w14:textId="77777777" w:rsidR="001A7C21" w:rsidRPr="0014400B" w:rsidRDefault="001A7C21" w:rsidP="001A7C21">
      <w:pPr>
        <w:pStyle w:val="SingleTxtG"/>
        <w:rPr>
          <w:lang w:val="fr-FR"/>
        </w:rPr>
      </w:pPr>
      <w:r w:rsidRPr="0014400B">
        <w:rPr>
          <w:lang w:val="fr-FR"/>
        </w:rPr>
        <w:t>26</w:t>
      </w:r>
      <w:r w:rsidRPr="00DC385F">
        <w:rPr>
          <w:lang w:val="fr-FR"/>
        </w:rPr>
        <w:t>.</w:t>
      </w:r>
      <w:r w:rsidRPr="0014400B">
        <w:rPr>
          <w:lang w:val="fr-FR"/>
        </w:rPr>
        <w:tab/>
        <w:t>Le Comité a également continué d</w:t>
      </w:r>
      <w:r>
        <w:rPr>
          <w:lang w:val="fr-FR"/>
        </w:rPr>
        <w:t>’</w:t>
      </w:r>
      <w:r w:rsidRPr="0014400B">
        <w:rPr>
          <w:lang w:val="fr-FR"/>
        </w:rPr>
        <w:t>insister sur l</w:t>
      </w:r>
      <w:r>
        <w:rPr>
          <w:lang w:val="fr-FR"/>
        </w:rPr>
        <w:t>’</w:t>
      </w:r>
      <w:r w:rsidRPr="0014400B">
        <w:rPr>
          <w:lang w:val="fr-FR"/>
        </w:rPr>
        <w:t>obligation faite à l</w:t>
      </w:r>
      <w:r>
        <w:rPr>
          <w:lang w:val="fr-FR"/>
        </w:rPr>
        <w:t>’</w:t>
      </w:r>
      <w:r w:rsidRPr="0014400B">
        <w:rPr>
          <w:lang w:val="fr-FR"/>
        </w:rPr>
        <w:t>État partie par la Convention de veiller à ce que les victimes soient informées périodiquement des mesures prises par les autorités chargées des recherches et des enquêtes, et de les associer à ces activités</w:t>
      </w:r>
      <w:r w:rsidRPr="00DC385F">
        <w:rPr>
          <w:lang w:val="fr-FR"/>
        </w:rPr>
        <w:t>.</w:t>
      </w:r>
      <w:r w:rsidRPr="0014400B">
        <w:rPr>
          <w:lang w:val="fr-FR"/>
        </w:rPr>
        <w:t xml:space="preserve"> Des auteurs de demandes d</w:t>
      </w:r>
      <w:r>
        <w:rPr>
          <w:lang w:val="fr-FR"/>
        </w:rPr>
        <w:t>’</w:t>
      </w:r>
      <w:r w:rsidRPr="0014400B">
        <w:rPr>
          <w:lang w:val="fr-FR"/>
        </w:rPr>
        <w:t>action en urgence ont continué d</w:t>
      </w:r>
      <w:r>
        <w:rPr>
          <w:lang w:val="fr-FR"/>
        </w:rPr>
        <w:t>’</w:t>
      </w:r>
      <w:r w:rsidRPr="0014400B">
        <w:rPr>
          <w:lang w:val="fr-FR"/>
        </w:rPr>
        <w:t>alléguer que les autorités publiques étaient directement ou indirectement impliquées dans les faits entourant les disparitions forcées et que les procédures étaient au point mort</w:t>
      </w:r>
      <w:r w:rsidRPr="00DC385F">
        <w:rPr>
          <w:lang w:val="fr-FR"/>
        </w:rPr>
        <w:t>.</w:t>
      </w:r>
      <w:r w:rsidRPr="0014400B">
        <w:rPr>
          <w:lang w:val="fr-FR"/>
        </w:rPr>
        <w:t xml:space="preserve"> En pareils cas, le Comité a appelé l</w:t>
      </w:r>
      <w:r>
        <w:rPr>
          <w:lang w:val="fr-FR"/>
        </w:rPr>
        <w:t>’</w:t>
      </w:r>
      <w:r w:rsidRPr="0014400B">
        <w:rPr>
          <w:lang w:val="fr-FR"/>
        </w:rPr>
        <w:t>attention de l</w:t>
      </w:r>
      <w:r>
        <w:rPr>
          <w:lang w:val="fr-FR"/>
        </w:rPr>
        <w:t>’</w:t>
      </w:r>
      <w:r w:rsidRPr="0014400B">
        <w:rPr>
          <w:lang w:val="fr-FR"/>
        </w:rPr>
        <w:t>État partie sur l</w:t>
      </w:r>
      <w:r>
        <w:rPr>
          <w:lang w:val="fr-FR"/>
        </w:rPr>
        <w:t>’</w:t>
      </w:r>
      <w:r w:rsidRPr="0014400B">
        <w:rPr>
          <w:lang w:val="fr-FR"/>
        </w:rPr>
        <w:t>importance que revêtait la création de mécanismes permettant de demander des comptes aux fonctionnaires chargés des recherches et des enquêtes, et l</w:t>
      </w:r>
      <w:r>
        <w:rPr>
          <w:lang w:val="fr-FR"/>
        </w:rPr>
        <w:t>’</w:t>
      </w:r>
      <w:r w:rsidRPr="0014400B">
        <w:rPr>
          <w:lang w:val="fr-FR"/>
        </w:rPr>
        <w:t>a invité à ouvrir des enquêtes sur les allégations selon lesquelles certains de ces fonctionnaires avaient entravé le bon déroulement des procédures</w:t>
      </w:r>
      <w:r w:rsidRPr="00DC385F">
        <w:rPr>
          <w:lang w:val="fr-FR"/>
        </w:rPr>
        <w:t>.</w:t>
      </w:r>
      <w:r w:rsidRPr="0014400B">
        <w:rPr>
          <w:lang w:val="fr-FR"/>
        </w:rPr>
        <w:t xml:space="preserve"> Enfin, des auteurs de demandes d</w:t>
      </w:r>
      <w:r>
        <w:rPr>
          <w:lang w:val="fr-FR"/>
        </w:rPr>
        <w:t>’</w:t>
      </w:r>
      <w:r w:rsidRPr="0014400B">
        <w:rPr>
          <w:lang w:val="fr-FR"/>
        </w:rPr>
        <w:t>action en urgence ont continué de faire état des difficultés qu</w:t>
      </w:r>
      <w:r>
        <w:rPr>
          <w:lang w:val="fr-FR"/>
        </w:rPr>
        <w:t>’</w:t>
      </w:r>
      <w:r w:rsidRPr="0014400B">
        <w:rPr>
          <w:lang w:val="fr-FR"/>
        </w:rPr>
        <w:t>avaient les proches de personnes disparues à obtenir l</w:t>
      </w:r>
      <w:r>
        <w:rPr>
          <w:lang w:val="fr-FR"/>
        </w:rPr>
        <w:t>’</w:t>
      </w:r>
      <w:r w:rsidRPr="0014400B">
        <w:rPr>
          <w:lang w:val="fr-FR"/>
        </w:rPr>
        <w:t>aide à laquelle ils avaient droit en vertu de la législation nationale et de l</w:t>
      </w:r>
      <w:r>
        <w:rPr>
          <w:lang w:val="fr-FR"/>
        </w:rPr>
        <w:t>’</w:t>
      </w:r>
      <w:r w:rsidRPr="0014400B">
        <w:rPr>
          <w:lang w:val="fr-FR"/>
        </w:rPr>
        <w:t>article 24 (par</w:t>
      </w:r>
      <w:r w:rsidRPr="00DC385F">
        <w:rPr>
          <w:lang w:val="fr-FR"/>
        </w:rPr>
        <w:t>.</w:t>
      </w:r>
      <w:r>
        <w:rPr>
          <w:lang w:val="fr-FR"/>
        </w:rPr>
        <w:t> </w:t>
      </w:r>
      <w:r w:rsidRPr="0014400B">
        <w:rPr>
          <w:lang w:val="fr-FR"/>
        </w:rPr>
        <w:t>6) de la Convention</w:t>
      </w:r>
      <w:r w:rsidRPr="00DC385F">
        <w:rPr>
          <w:lang w:val="fr-FR"/>
        </w:rPr>
        <w:t>.</w:t>
      </w:r>
      <w:r w:rsidRPr="0014400B">
        <w:rPr>
          <w:lang w:val="fr-FR"/>
        </w:rPr>
        <w:t xml:space="preserve"> Dans chacun de ces cas, le Comité a indiqué à l</w:t>
      </w:r>
      <w:r>
        <w:rPr>
          <w:lang w:val="fr-FR"/>
        </w:rPr>
        <w:t>’</w:t>
      </w:r>
      <w:r w:rsidRPr="0014400B">
        <w:rPr>
          <w:lang w:val="fr-FR"/>
        </w:rPr>
        <w:t>État partie les mesures qu</w:t>
      </w:r>
      <w:r>
        <w:rPr>
          <w:lang w:val="fr-FR"/>
        </w:rPr>
        <w:t>’</w:t>
      </w:r>
      <w:r w:rsidRPr="0014400B">
        <w:rPr>
          <w:lang w:val="fr-FR"/>
        </w:rPr>
        <w:t>il était tenu de prendre en fonction des besoins particuliers des proches de la personne disparue, notamment en ce qui concernait l</w:t>
      </w:r>
      <w:r>
        <w:rPr>
          <w:lang w:val="fr-FR"/>
        </w:rPr>
        <w:t>’</w:t>
      </w:r>
      <w:r w:rsidRPr="0014400B">
        <w:rPr>
          <w:lang w:val="fr-FR"/>
        </w:rPr>
        <w:t>accès à la nourriture, à l</w:t>
      </w:r>
      <w:r>
        <w:rPr>
          <w:lang w:val="fr-FR"/>
        </w:rPr>
        <w:t>’</w:t>
      </w:r>
      <w:r w:rsidRPr="0014400B">
        <w:rPr>
          <w:lang w:val="fr-FR"/>
        </w:rPr>
        <w:t>éducation, au logement ou aux services de santé</w:t>
      </w:r>
      <w:r w:rsidRPr="00DC385F">
        <w:rPr>
          <w:lang w:val="fr-FR"/>
        </w:rPr>
        <w:t>.</w:t>
      </w:r>
      <w:r w:rsidRPr="0014400B">
        <w:rPr>
          <w:lang w:val="fr-FR"/>
        </w:rPr>
        <w:t xml:space="preserve"> Le Comité a également rappelé l</w:t>
      </w:r>
      <w:r>
        <w:rPr>
          <w:lang w:val="fr-FR"/>
        </w:rPr>
        <w:t>’</w:t>
      </w:r>
      <w:r w:rsidRPr="0014400B">
        <w:rPr>
          <w:lang w:val="fr-FR"/>
        </w:rPr>
        <w:t>obligation incombant aux autorités compétentes de l</w:t>
      </w:r>
      <w:r>
        <w:rPr>
          <w:lang w:val="fr-FR"/>
        </w:rPr>
        <w:t>’</w:t>
      </w:r>
      <w:r w:rsidRPr="0014400B">
        <w:rPr>
          <w:lang w:val="fr-FR"/>
        </w:rPr>
        <w:t>État partie d</w:t>
      </w:r>
      <w:r>
        <w:rPr>
          <w:lang w:val="fr-FR"/>
        </w:rPr>
        <w:t>’</w:t>
      </w:r>
      <w:r w:rsidRPr="0014400B">
        <w:rPr>
          <w:lang w:val="fr-FR"/>
        </w:rPr>
        <w:t>informer les proches de la personne disparue de la nature et de l</w:t>
      </w:r>
      <w:r>
        <w:rPr>
          <w:lang w:val="fr-FR"/>
        </w:rPr>
        <w:t>’</w:t>
      </w:r>
      <w:r w:rsidRPr="0014400B">
        <w:rPr>
          <w:lang w:val="fr-FR"/>
        </w:rPr>
        <w:t>étendue de l</w:t>
      </w:r>
      <w:r>
        <w:rPr>
          <w:lang w:val="fr-FR"/>
        </w:rPr>
        <w:t>’</w:t>
      </w:r>
      <w:r w:rsidRPr="0014400B">
        <w:rPr>
          <w:lang w:val="fr-FR"/>
        </w:rPr>
        <w:t>aide qu</w:t>
      </w:r>
      <w:r>
        <w:rPr>
          <w:lang w:val="fr-FR"/>
        </w:rPr>
        <w:t>’</w:t>
      </w:r>
      <w:r w:rsidRPr="0014400B">
        <w:rPr>
          <w:lang w:val="fr-FR"/>
        </w:rPr>
        <w:t>ils étaient en droit d</w:t>
      </w:r>
      <w:r>
        <w:rPr>
          <w:lang w:val="fr-FR"/>
        </w:rPr>
        <w:t>’</w:t>
      </w:r>
      <w:r w:rsidRPr="0014400B">
        <w:rPr>
          <w:lang w:val="fr-FR"/>
        </w:rPr>
        <w:t>attendre des autorités compétentes et de la durée pendant laquelle cette aide était accordée</w:t>
      </w:r>
      <w:r w:rsidRPr="00DC385F">
        <w:rPr>
          <w:lang w:val="fr-FR"/>
        </w:rPr>
        <w:t>.</w:t>
      </w:r>
      <w:r w:rsidRPr="0014400B">
        <w:rPr>
          <w:lang w:val="fr-FR"/>
        </w:rPr>
        <w:t xml:space="preserve"> Le Comité a demandé à l</w:t>
      </w:r>
      <w:r>
        <w:rPr>
          <w:lang w:val="fr-FR"/>
        </w:rPr>
        <w:t>’</w:t>
      </w:r>
      <w:r w:rsidRPr="0014400B">
        <w:rPr>
          <w:lang w:val="fr-FR"/>
        </w:rPr>
        <w:t>État partie de veiller à ce que la situation et les besoins des intéressés soient dûment pris en compte par la Commission exécutive d</w:t>
      </w:r>
      <w:r>
        <w:rPr>
          <w:lang w:val="fr-FR"/>
        </w:rPr>
        <w:t>’</w:t>
      </w:r>
      <w:r w:rsidRPr="0014400B">
        <w:rPr>
          <w:lang w:val="fr-FR"/>
        </w:rPr>
        <w:t>aide aux victimes dans le cadre de l</w:t>
      </w:r>
      <w:r>
        <w:rPr>
          <w:lang w:val="fr-FR"/>
        </w:rPr>
        <w:t>’</w:t>
      </w:r>
      <w:r w:rsidRPr="0014400B">
        <w:rPr>
          <w:lang w:val="fr-FR"/>
        </w:rPr>
        <w:t>élaboration et de la révision des plans d</w:t>
      </w:r>
      <w:r>
        <w:rPr>
          <w:lang w:val="fr-FR"/>
        </w:rPr>
        <w:t>’</w:t>
      </w:r>
      <w:r w:rsidRPr="0014400B">
        <w:rPr>
          <w:lang w:val="fr-FR"/>
        </w:rPr>
        <w:t>aide</w:t>
      </w:r>
      <w:r w:rsidRPr="00DC385F">
        <w:rPr>
          <w:lang w:val="fr-FR"/>
        </w:rPr>
        <w:t>.</w:t>
      </w:r>
    </w:p>
    <w:p w14:paraId="48F94438" w14:textId="77777777" w:rsidR="001A7C21" w:rsidRPr="0014400B" w:rsidRDefault="001A7C21" w:rsidP="001A7C21">
      <w:pPr>
        <w:pStyle w:val="H23G"/>
        <w:rPr>
          <w:lang w:val="fr-FR"/>
        </w:rPr>
      </w:pPr>
      <w:r>
        <w:rPr>
          <w:lang w:val="fr-FR"/>
        </w:rPr>
        <w:tab/>
      </w:r>
      <w:r w:rsidRPr="0014400B">
        <w:rPr>
          <w:lang w:val="fr-FR"/>
        </w:rPr>
        <w:t>3</w:t>
      </w:r>
      <w:r w:rsidRPr="00DC385F">
        <w:rPr>
          <w:lang w:val="fr-FR"/>
        </w:rPr>
        <w:t>.</w:t>
      </w:r>
      <w:r w:rsidRPr="0014400B">
        <w:rPr>
          <w:lang w:val="fr-FR"/>
        </w:rPr>
        <w:tab/>
        <w:t>Disparitions dans le cadre des manifestations en Colombie</w:t>
      </w:r>
      <w:r>
        <w:rPr>
          <w:lang w:val="fr-FR"/>
        </w:rPr>
        <w:t xml:space="preserve"> et à Cuba</w:t>
      </w:r>
    </w:p>
    <w:p w14:paraId="1DBB0092" w14:textId="77777777" w:rsidR="001A7C21" w:rsidRDefault="001A7C21" w:rsidP="001A7C21">
      <w:pPr>
        <w:pStyle w:val="SingleTxtG"/>
        <w:rPr>
          <w:lang w:val="fr-FR"/>
        </w:rPr>
      </w:pPr>
      <w:r w:rsidRPr="0014400B">
        <w:rPr>
          <w:lang w:val="fr-FR"/>
        </w:rPr>
        <w:t>27</w:t>
      </w:r>
      <w:r w:rsidRPr="00DC385F">
        <w:rPr>
          <w:lang w:val="fr-FR"/>
        </w:rPr>
        <w:t>.</w:t>
      </w:r>
      <w:r w:rsidRPr="0014400B">
        <w:rPr>
          <w:lang w:val="fr-FR"/>
        </w:rPr>
        <w:tab/>
        <w:t>Au cours de la période considérée, le Comité a enregistré 151</w:t>
      </w:r>
      <w:r>
        <w:rPr>
          <w:lang w:val="fr-FR"/>
        </w:rPr>
        <w:t> </w:t>
      </w:r>
      <w:r w:rsidRPr="0014400B">
        <w:rPr>
          <w:lang w:val="fr-FR"/>
        </w:rPr>
        <w:t>demandes d</w:t>
      </w:r>
      <w:r>
        <w:rPr>
          <w:lang w:val="fr-FR"/>
        </w:rPr>
        <w:t>’</w:t>
      </w:r>
      <w:r w:rsidRPr="0014400B">
        <w:rPr>
          <w:lang w:val="fr-FR"/>
        </w:rPr>
        <w:t xml:space="preserve">action en urgence concernant des disparitions survenues dans le cadre de mouvements de contestation sociale dans plusieurs villes </w:t>
      </w:r>
      <w:r>
        <w:rPr>
          <w:lang w:val="fr-FR"/>
        </w:rPr>
        <w:t xml:space="preserve">en Colombie </w:t>
      </w:r>
      <w:r w:rsidRPr="0014400B">
        <w:rPr>
          <w:lang w:val="fr-FR"/>
        </w:rPr>
        <w:t>depuis le 28 avril 2021</w:t>
      </w:r>
      <w:r>
        <w:rPr>
          <w:lang w:val="fr-FR"/>
        </w:rPr>
        <w:t>, et 187 cas liés au mouvement de contestation sociale qui a débuté à Cuba le 11 juillet 2021</w:t>
      </w:r>
      <w:r w:rsidRPr="00DC385F">
        <w:rPr>
          <w:lang w:val="fr-FR"/>
        </w:rPr>
        <w:t>.</w:t>
      </w:r>
      <w:r w:rsidRPr="0014400B">
        <w:rPr>
          <w:lang w:val="fr-FR"/>
        </w:rPr>
        <w:t xml:space="preserve"> Ces demandes concernaient des manifestants qui auraient été détenus par les forces de sécurité, lesquelles auraient ensuite refusé de donner aux proches de ces manifestants des informations sur le lieu où ils se trouvaient</w:t>
      </w:r>
      <w:r w:rsidRPr="00DC385F">
        <w:rPr>
          <w:lang w:val="fr-FR"/>
        </w:rPr>
        <w:t>.</w:t>
      </w:r>
      <w:r w:rsidRPr="0014400B">
        <w:rPr>
          <w:lang w:val="fr-FR"/>
        </w:rPr>
        <w:t xml:space="preserve"> Le Comité rappelle que le fait de ne pas enregistrer une détention, même de courte durée, suivi du refus de reconnaître la privation de liberté ou de divulguer des informations sur le lieu où se trouve la personne disparue, soustrait cette personne à la protection de la loi et constitue une disparition forcée au sens de l</w:t>
      </w:r>
      <w:r>
        <w:rPr>
          <w:lang w:val="fr-FR"/>
        </w:rPr>
        <w:t>’</w:t>
      </w:r>
      <w:r w:rsidRPr="0014400B">
        <w:rPr>
          <w:lang w:val="fr-FR"/>
        </w:rPr>
        <w:t>article 2 de la Convention</w:t>
      </w:r>
      <w:r w:rsidRPr="0083613F">
        <w:rPr>
          <w:rStyle w:val="Appelnotedebasdep"/>
        </w:rPr>
        <w:footnoteReference w:id="8"/>
      </w:r>
      <w:r w:rsidRPr="00DC385F">
        <w:rPr>
          <w:lang w:val="fr-FR"/>
        </w:rPr>
        <w:t>.</w:t>
      </w:r>
    </w:p>
    <w:p w14:paraId="2A11ADEB" w14:textId="77777777" w:rsidR="001A7C21" w:rsidRDefault="001A7C21" w:rsidP="001A7C21">
      <w:pPr>
        <w:pStyle w:val="SingleTxtG"/>
      </w:pPr>
      <w:r>
        <w:rPr>
          <w:lang w:val="fr-FR"/>
        </w:rPr>
        <w:lastRenderedPageBreak/>
        <w:t>28</w:t>
      </w:r>
      <w:r w:rsidRPr="00DC385F">
        <w:rPr>
          <w:lang w:val="fr-FR"/>
        </w:rPr>
        <w:t>.</w:t>
      </w:r>
      <w:r>
        <w:rPr>
          <w:lang w:val="fr-FR"/>
        </w:rPr>
        <w:tab/>
      </w:r>
      <w:r>
        <w:t>Concernant les événements en Colombie, l’État partie a informé le Comité des mesures prises pour rechercher les manifestants disparus, mais a fait part des difficultés qu’il éprouvait à identifier les 151 personnes, du fait de l’absence de numéros d’identification</w:t>
      </w:r>
      <w:r w:rsidRPr="00DC385F">
        <w:t>.</w:t>
      </w:r>
      <w:r>
        <w:t xml:space="preserve"> Le Comité a demandé aux auteurs des demandes d’action en urgence pertinentes de fournir les numéros d’identification ou d’autres renseignements personnels</w:t>
      </w:r>
      <w:r w:rsidRPr="00DC385F">
        <w:t>.</w:t>
      </w:r>
      <w:r>
        <w:t xml:space="preserve"> Cependant, aucune réponse n’a été reçue à ce jour</w:t>
      </w:r>
      <w:r w:rsidRPr="00DC385F">
        <w:t>.</w:t>
      </w:r>
    </w:p>
    <w:p w14:paraId="0349D1CA" w14:textId="77777777" w:rsidR="001A7C21" w:rsidRPr="0014400B" w:rsidRDefault="001A7C21" w:rsidP="001A7C21">
      <w:pPr>
        <w:pStyle w:val="SingleTxtG"/>
        <w:rPr>
          <w:lang w:val="fr-FR"/>
        </w:rPr>
      </w:pPr>
      <w:r>
        <w:t>29</w:t>
      </w:r>
      <w:r w:rsidRPr="00DC385F">
        <w:t>.</w:t>
      </w:r>
      <w:r>
        <w:tab/>
        <w:t>En ce qui concerne les événements survenus à Cuba, l’État partie a informé le Comité que, bien que des numéros d’identification n’aient été fournis que pour 16 des 187 personnes disparues, il avait pu déterminer où se trouvaient 180 personnes</w:t>
      </w:r>
      <w:r w:rsidRPr="00DC385F">
        <w:t>.</w:t>
      </w:r>
      <w:r>
        <w:t xml:space="preserve"> Sur ces 180 personnes, 152 faisaient ou avaient fait l’objet d’une enquête liée aux manifestations − 86 d’entre elles étaient en détention provisoire et 66 étaient en liberté ou avaient été libérées, soit en application de mesures de substitution à la détention, soit du fait de l’abandon des poursuites −, et 28 personnes n’avaient pas participé aux manifestations</w:t>
      </w:r>
      <w:r w:rsidRPr="00DC385F">
        <w:t>.</w:t>
      </w:r>
      <w:r>
        <w:t xml:space="preserve"> L’État partie a en outre informé le Comité que sept personnes n’avaient pas été identifiées</w:t>
      </w:r>
      <w:r w:rsidRPr="00DC385F">
        <w:t>.</w:t>
      </w:r>
      <w:r>
        <w:t xml:space="preserve"> Les auteurs des demandes d’action ont confirmé que l’une de ces sept personnes avait été signalée par erreur, et ils ont fourni des informations d’identification supplémentaires pour les six autres personnes</w:t>
      </w:r>
      <w:r w:rsidRPr="00DC385F">
        <w:t>.</w:t>
      </w:r>
      <w:r>
        <w:t xml:space="preserve"> </w:t>
      </w:r>
      <w:r>
        <w:rPr>
          <w:rStyle w:val="content"/>
        </w:rPr>
        <w:t>Le Comité a pris note avec satisfaction de la rapidité avec laquelle l’État partie avait réussi à localiser 180 personnes, mais a demandé des précisions sur le lieu de détention des 86 personnes qui étaient en détention provisoire, ainsi que la confirmation du fait qu’elles avaient été autorisées à prendre contact avec leurs proches, leurs représentants ou d’autres personnes de leur choix</w:t>
      </w:r>
      <w:r w:rsidRPr="00DC385F">
        <w:rPr>
          <w:rStyle w:val="content"/>
        </w:rPr>
        <w:t>.</w:t>
      </w:r>
      <w:r>
        <w:rPr>
          <w:rStyle w:val="content"/>
        </w:rPr>
        <w:t xml:space="preserve"> Le Comité a également demandé des informations supplémentaires concernant les 28 personnes qui n’auraient pas participé aux manifestations</w:t>
      </w:r>
      <w:r w:rsidRPr="00DC385F">
        <w:rPr>
          <w:rStyle w:val="content"/>
        </w:rPr>
        <w:t>.</w:t>
      </w:r>
    </w:p>
    <w:p w14:paraId="4201D573" w14:textId="77777777" w:rsidR="001A7C21" w:rsidRPr="0014400B" w:rsidRDefault="001A7C21" w:rsidP="001A7C21">
      <w:pPr>
        <w:pStyle w:val="H1G"/>
        <w:rPr>
          <w:lang w:val="fr-FR"/>
        </w:rPr>
      </w:pPr>
      <w:r>
        <w:rPr>
          <w:lang w:val="fr-FR"/>
        </w:rPr>
        <w:tab/>
      </w:r>
      <w:r w:rsidRPr="0014400B">
        <w:rPr>
          <w:lang w:val="fr-FR"/>
        </w:rPr>
        <w:t>D</w:t>
      </w:r>
      <w:r w:rsidRPr="00DC385F">
        <w:rPr>
          <w:lang w:val="fr-FR"/>
        </w:rPr>
        <w:t>.</w:t>
      </w:r>
      <w:r w:rsidRPr="0014400B">
        <w:rPr>
          <w:lang w:val="fr-FR"/>
        </w:rPr>
        <w:tab/>
        <w:t xml:space="preserve">Actions en urgence classées, clôturées, maintenues ouvertes </w:t>
      </w:r>
      <w:r>
        <w:rPr>
          <w:lang w:val="fr-FR"/>
        </w:rPr>
        <w:br/>
      </w:r>
      <w:r w:rsidRPr="0014400B">
        <w:rPr>
          <w:lang w:val="fr-FR"/>
        </w:rPr>
        <w:t>ou suspendues aux fins de la protection des personnes en faveur desquelles des mesures de protection ont été recommandées</w:t>
      </w:r>
    </w:p>
    <w:p w14:paraId="5B6676EB" w14:textId="77777777" w:rsidR="001A7C21" w:rsidRPr="0014400B" w:rsidRDefault="001A7C21" w:rsidP="001A7C21">
      <w:pPr>
        <w:pStyle w:val="SingleTxtG"/>
        <w:rPr>
          <w:lang w:val="fr-FR"/>
        </w:rPr>
      </w:pPr>
      <w:r>
        <w:rPr>
          <w:lang w:val="fr-FR"/>
        </w:rPr>
        <w:t>30</w:t>
      </w:r>
      <w:r w:rsidRPr="00DC385F">
        <w:rPr>
          <w:lang w:val="fr-FR"/>
        </w:rPr>
        <w:t>.</w:t>
      </w:r>
      <w:r w:rsidRPr="0014400B">
        <w:rPr>
          <w:lang w:val="fr-FR"/>
        </w:rPr>
        <w:tab/>
        <w:t>En application des critères adoptés par le Comité en séance plénière à ses huitième et vingtième session</w:t>
      </w:r>
      <w:r>
        <w:rPr>
          <w:lang w:val="fr-FR"/>
        </w:rPr>
        <w:t>s </w:t>
      </w:r>
      <w:r w:rsidRPr="0014400B">
        <w:rPr>
          <w:lang w:val="fr-FR"/>
        </w:rPr>
        <w:t>:</w:t>
      </w:r>
    </w:p>
    <w:p w14:paraId="04ECF38F" w14:textId="77777777" w:rsidR="001A7C21" w:rsidRPr="0014400B" w:rsidRDefault="001A7C21" w:rsidP="001A7C21">
      <w:pPr>
        <w:pStyle w:val="SingleTxtG"/>
        <w:ind w:firstLine="567"/>
        <w:rPr>
          <w:lang w:val="fr-FR"/>
        </w:rPr>
      </w:pPr>
      <w:r w:rsidRPr="0014400B">
        <w:rPr>
          <w:lang w:val="fr-FR"/>
        </w:rPr>
        <w:t>a)</w:t>
      </w:r>
      <w:r w:rsidRPr="0014400B">
        <w:rPr>
          <w:lang w:val="fr-FR"/>
        </w:rPr>
        <w:tab/>
        <w:t>Une action en urgence est classée lorsque la personne disparue a été retrouvée, mais qu</w:t>
      </w:r>
      <w:r>
        <w:rPr>
          <w:lang w:val="fr-FR"/>
        </w:rPr>
        <w:t>’</w:t>
      </w:r>
      <w:r w:rsidRPr="0014400B">
        <w:rPr>
          <w:lang w:val="fr-FR"/>
        </w:rPr>
        <w:t>elle est toujours en détention</w:t>
      </w:r>
      <w:r>
        <w:rPr>
          <w:lang w:val="fr-FR"/>
        </w:rPr>
        <w:t> </w:t>
      </w:r>
      <w:r w:rsidRPr="0014400B">
        <w:rPr>
          <w:lang w:val="fr-FR"/>
        </w:rPr>
        <w:t>; en effet, en pareil cas, la personne est particulièrement exposée au risque de disparaître à nouveau et d</w:t>
      </w:r>
      <w:r>
        <w:rPr>
          <w:lang w:val="fr-FR"/>
        </w:rPr>
        <w:t>’</w:t>
      </w:r>
      <w:r w:rsidRPr="0014400B">
        <w:rPr>
          <w:lang w:val="fr-FR"/>
        </w:rPr>
        <w:t>être soustraite à la protection de la loi</w:t>
      </w:r>
      <w:r>
        <w:rPr>
          <w:lang w:val="fr-FR"/>
        </w:rPr>
        <w:t> </w:t>
      </w:r>
      <w:r w:rsidRPr="0014400B">
        <w:rPr>
          <w:lang w:val="fr-FR"/>
        </w:rPr>
        <w:t>;</w:t>
      </w:r>
    </w:p>
    <w:p w14:paraId="114874CB" w14:textId="77777777" w:rsidR="001A7C21" w:rsidRPr="0014400B" w:rsidRDefault="001A7C21" w:rsidP="001A7C21">
      <w:pPr>
        <w:pStyle w:val="SingleTxtG"/>
        <w:ind w:firstLine="567"/>
        <w:rPr>
          <w:lang w:val="fr-FR"/>
        </w:rPr>
      </w:pPr>
      <w:r w:rsidRPr="0014400B">
        <w:rPr>
          <w:lang w:val="fr-FR"/>
        </w:rPr>
        <w:t>b)</w:t>
      </w:r>
      <w:r w:rsidRPr="0014400B">
        <w:rPr>
          <w:lang w:val="fr-FR"/>
        </w:rPr>
        <w:tab/>
        <w:t>Une action en urgence est clôturée lorsque la personne disparue a été retrouvée libre, quand elle a été retrouvée puis libérée ou quand elle a été retrouvée morte, à condition que les membres de la famille ou les auteurs ne contestent pas ces faits</w:t>
      </w:r>
      <w:r>
        <w:rPr>
          <w:lang w:val="fr-FR"/>
        </w:rPr>
        <w:t> </w:t>
      </w:r>
      <w:r w:rsidRPr="0014400B">
        <w:rPr>
          <w:lang w:val="fr-FR"/>
        </w:rPr>
        <w:t>;</w:t>
      </w:r>
    </w:p>
    <w:p w14:paraId="23B539EF" w14:textId="77777777" w:rsidR="001A7C21" w:rsidRPr="0014400B" w:rsidRDefault="001A7C21" w:rsidP="001A7C21">
      <w:pPr>
        <w:pStyle w:val="SingleTxtG"/>
        <w:ind w:firstLine="567"/>
        <w:rPr>
          <w:lang w:val="fr-FR"/>
        </w:rPr>
      </w:pPr>
      <w:r w:rsidRPr="0014400B">
        <w:rPr>
          <w:lang w:val="fr-FR"/>
        </w:rPr>
        <w:t>c)</w:t>
      </w:r>
      <w:r w:rsidRPr="0014400B">
        <w:rPr>
          <w:lang w:val="fr-FR"/>
        </w:rPr>
        <w:tab/>
        <w:t>Une action en urgence est maintenue ouverte si la personne disparue a été retrouvée, mais que les personnes auxquelles des mesures de protection ont été accordées dans le cadre de l</w:t>
      </w:r>
      <w:r>
        <w:rPr>
          <w:lang w:val="fr-FR"/>
        </w:rPr>
        <w:t>’</w:t>
      </w:r>
      <w:r w:rsidRPr="0014400B">
        <w:rPr>
          <w:lang w:val="fr-FR"/>
        </w:rPr>
        <w:t>action en urgence restent menacées</w:t>
      </w:r>
      <w:r>
        <w:rPr>
          <w:lang w:val="fr-FR"/>
        </w:rPr>
        <w:t> </w:t>
      </w:r>
      <w:r w:rsidRPr="0014400B">
        <w:rPr>
          <w:lang w:val="fr-FR"/>
        </w:rPr>
        <w:t>; en pareil cas, le Comité se borne à assurer le suivi des mesures de protection</w:t>
      </w:r>
      <w:r>
        <w:rPr>
          <w:lang w:val="fr-FR"/>
        </w:rPr>
        <w:t> ;</w:t>
      </w:r>
    </w:p>
    <w:p w14:paraId="7A7C4369" w14:textId="77777777" w:rsidR="001A7C21" w:rsidRPr="0014400B" w:rsidRDefault="001A7C21" w:rsidP="001A7C21">
      <w:pPr>
        <w:pStyle w:val="SingleTxtG"/>
        <w:ind w:firstLine="567"/>
        <w:rPr>
          <w:lang w:val="fr-FR"/>
        </w:rPr>
      </w:pPr>
      <w:r w:rsidRPr="0014400B">
        <w:rPr>
          <w:lang w:val="fr-FR"/>
        </w:rPr>
        <w:t>d)</w:t>
      </w:r>
      <w:r w:rsidRPr="0014400B">
        <w:rPr>
          <w:lang w:val="fr-FR"/>
        </w:rPr>
        <w:tab/>
        <w:t>Une action en urgence</w:t>
      </w:r>
      <w:r>
        <w:rPr>
          <w:lang w:val="fr-FR"/>
        </w:rPr>
        <w:t>,</w:t>
      </w:r>
      <w:r w:rsidRPr="0014400B">
        <w:rPr>
          <w:lang w:val="fr-FR"/>
        </w:rPr>
        <w:t xml:space="preserve"> et son suivi par le Comité, sont suspendus lorsque l</w:t>
      </w:r>
      <w:r>
        <w:rPr>
          <w:lang w:val="fr-FR"/>
        </w:rPr>
        <w:t>’</w:t>
      </w:r>
      <w:r w:rsidRPr="0014400B">
        <w:rPr>
          <w:lang w:val="fr-FR"/>
        </w:rPr>
        <w:t>auteur de la demande d</w:t>
      </w:r>
      <w:r>
        <w:rPr>
          <w:lang w:val="fr-FR"/>
        </w:rPr>
        <w:t>’</w:t>
      </w:r>
      <w:r w:rsidRPr="0014400B">
        <w:rPr>
          <w:lang w:val="fr-FR"/>
        </w:rPr>
        <w:t>action en urgence a perdu le contact avec les membres de la famille de la personne disparue et ne peut plus fournir d</w:t>
      </w:r>
      <w:r>
        <w:rPr>
          <w:lang w:val="fr-FR"/>
        </w:rPr>
        <w:t>’</w:t>
      </w:r>
      <w:r w:rsidRPr="0014400B">
        <w:rPr>
          <w:lang w:val="fr-FR"/>
        </w:rPr>
        <w:t>informations de suivi</w:t>
      </w:r>
      <w:r>
        <w:rPr>
          <w:lang w:val="fr-FR"/>
        </w:rPr>
        <w:t> </w:t>
      </w:r>
      <w:r w:rsidRPr="0014400B">
        <w:rPr>
          <w:lang w:val="fr-FR"/>
        </w:rPr>
        <w:t>; une action en urgence suspendue peut être rouverte si l</w:t>
      </w:r>
      <w:r>
        <w:rPr>
          <w:lang w:val="fr-FR"/>
        </w:rPr>
        <w:t>’</w:t>
      </w:r>
      <w:r w:rsidRPr="0014400B">
        <w:rPr>
          <w:lang w:val="fr-FR"/>
        </w:rPr>
        <w:t>auteur informe le Comité qu</w:t>
      </w:r>
      <w:r>
        <w:rPr>
          <w:lang w:val="fr-FR"/>
        </w:rPr>
        <w:t>’</w:t>
      </w:r>
      <w:r w:rsidRPr="0014400B">
        <w:rPr>
          <w:lang w:val="fr-FR"/>
        </w:rPr>
        <w:t>il a repris contact avec les membres de la famille</w:t>
      </w:r>
      <w:r w:rsidRPr="00DC385F">
        <w:rPr>
          <w:lang w:val="fr-FR"/>
        </w:rPr>
        <w:t>.</w:t>
      </w:r>
    </w:p>
    <w:p w14:paraId="0C331F30" w14:textId="77777777" w:rsidR="001A7C21" w:rsidRPr="0014400B" w:rsidRDefault="001A7C21" w:rsidP="001A7C21">
      <w:pPr>
        <w:pStyle w:val="SingleTxtG"/>
        <w:rPr>
          <w:lang w:val="fr-FR"/>
        </w:rPr>
      </w:pPr>
      <w:r w:rsidRPr="0014400B">
        <w:rPr>
          <w:lang w:val="fr-FR"/>
        </w:rPr>
        <w:t>3</w:t>
      </w:r>
      <w:r>
        <w:rPr>
          <w:lang w:val="fr-FR"/>
        </w:rPr>
        <w:t>1</w:t>
      </w:r>
      <w:r w:rsidRPr="00DC385F">
        <w:rPr>
          <w:lang w:val="fr-FR"/>
        </w:rPr>
        <w:t>.</w:t>
      </w:r>
      <w:r w:rsidRPr="0014400B">
        <w:rPr>
          <w:lang w:val="fr-FR"/>
        </w:rPr>
        <w:tab/>
        <w:t xml:space="preserve">Au </w:t>
      </w:r>
      <w:r>
        <w:rPr>
          <w:lang w:val="fr-FR"/>
        </w:rPr>
        <w:t>15 septembre</w:t>
      </w:r>
      <w:r w:rsidRPr="0014400B">
        <w:rPr>
          <w:lang w:val="fr-FR"/>
        </w:rPr>
        <w:t xml:space="preserve"> 2021, le Comité avait clôturé 89</w:t>
      </w:r>
      <w:r>
        <w:rPr>
          <w:lang w:val="fr-FR"/>
        </w:rPr>
        <w:t> </w:t>
      </w:r>
      <w:r w:rsidRPr="0014400B">
        <w:rPr>
          <w:lang w:val="fr-FR"/>
        </w:rPr>
        <w:t>actions en urgence, en avait classé 16</w:t>
      </w:r>
      <w:r>
        <w:rPr>
          <w:lang w:val="fr-FR"/>
        </w:rPr>
        <w:t> </w:t>
      </w:r>
      <w:r w:rsidRPr="0014400B">
        <w:rPr>
          <w:lang w:val="fr-FR"/>
        </w:rPr>
        <w:t>et en avait suspendu 9</w:t>
      </w:r>
      <w:r>
        <w:rPr>
          <w:lang w:val="fr-FR"/>
        </w:rPr>
        <w:t>7</w:t>
      </w:r>
      <w:r w:rsidRPr="00DC385F">
        <w:rPr>
          <w:lang w:val="fr-FR"/>
        </w:rPr>
        <w:t>.</w:t>
      </w:r>
      <w:r w:rsidRPr="0014400B">
        <w:rPr>
          <w:lang w:val="fr-FR"/>
        </w:rPr>
        <w:t xml:space="preserve"> Au total, </w:t>
      </w:r>
      <w:r>
        <w:rPr>
          <w:lang w:val="fr-FR"/>
        </w:rPr>
        <w:t>1 208</w:t>
      </w:r>
      <w:r w:rsidRPr="0014400B">
        <w:rPr>
          <w:lang w:val="fr-FR"/>
        </w:rPr>
        <w:t xml:space="preserve"> actions en urgence restaient ouvertes</w:t>
      </w:r>
      <w:r w:rsidRPr="00DC385F">
        <w:rPr>
          <w:lang w:val="fr-FR"/>
        </w:rPr>
        <w:t>.</w:t>
      </w:r>
      <w:bookmarkStart w:id="0" w:name="_Hlk45551809"/>
    </w:p>
    <w:p w14:paraId="20403AA6" w14:textId="77777777" w:rsidR="001A7C21" w:rsidRPr="0014400B" w:rsidRDefault="001A7C21" w:rsidP="001A7C21">
      <w:pPr>
        <w:pStyle w:val="SingleTxtG"/>
        <w:rPr>
          <w:lang w:val="fr-FR"/>
        </w:rPr>
      </w:pPr>
      <w:r w:rsidRPr="0014400B">
        <w:rPr>
          <w:lang w:val="fr-FR"/>
        </w:rPr>
        <w:t>3</w:t>
      </w:r>
      <w:r>
        <w:rPr>
          <w:lang w:val="fr-FR"/>
        </w:rPr>
        <w:t>2</w:t>
      </w:r>
      <w:r w:rsidRPr="00DC385F">
        <w:rPr>
          <w:lang w:val="fr-FR"/>
        </w:rPr>
        <w:t>.</w:t>
      </w:r>
      <w:r w:rsidRPr="0014400B">
        <w:rPr>
          <w:lang w:val="fr-FR"/>
        </w:rPr>
        <w:tab/>
        <w:t>Dans deux cas ayant donné lieu à une action en urgence dans lesquels la personne disparue avait été retrouvée morte (</w:t>
      </w:r>
      <w:r w:rsidRPr="001D3C5E">
        <w:rPr>
          <w:rFonts w:eastAsia="MS Mincho"/>
          <w:szCs w:val="22"/>
          <w:lang w:val="fr-FR"/>
        </w:rPr>
        <w:t>n</w:t>
      </w:r>
      <w:r w:rsidRPr="001D3C5E">
        <w:rPr>
          <w:rFonts w:eastAsia="MS Mincho"/>
          <w:szCs w:val="22"/>
          <w:vertAlign w:val="superscript"/>
          <w:lang w:val="fr-FR"/>
        </w:rPr>
        <w:t>o</w:t>
      </w:r>
      <w:r>
        <w:rPr>
          <w:lang w:val="fr-FR"/>
        </w:rPr>
        <w:t> </w:t>
      </w:r>
      <w:r w:rsidRPr="0014400B">
        <w:rPr>
          <w:lang w:val="fr-FR"/>
        </w:rPr>
        <w:t xml:space="preserve">12/2014, concernant la Colombie, et </w:t>
      </w:r>
      <w:r w:rsidRPr="001D3C5E">
        <w:rPr>
          <w:rFonts w:eastAsia="MS Mincho"/>
          <w:szCs w:val="22"/>
          <w:lang w:val="fr-FR"/>
        </w:rPr>
        <w:t>n</w:t>
      </w:r>
      <w:r w:rsidRPr="001D3C5E">
        <w:rPr>
          <w:rFonts w:eastAsia="MS Mincho"/>
          <w:szCs w:val="22"/>
          <w:vertAlign w:val="superscript"/>
          <w:lang w:val="fr-FR"/>
        </w:rPr>
        <w:t>o</w:t>
      </w:r>
      <w:r>
        <w:rPr>
          <w:lang w:val="fr-FR"/>
        </w:rPr>
        <w:t> </w:t>
      </w:r>
      <w:r w:rsidRPr="0014400B">
        <w:rPr>
          <w:lang w:val="fr-FR"/>
        </w:rPr>
        <w:t>8/2013, concernant le Mexique), l</w:t>
      </w:r>
      <w:r>
        <w:rPr>
          <w:lang w:val="fr-FR"/>
        </w:rPr>
        <w:t>’</w:t>
      </w:r>
      <w:r w:rsidRPr="0014400B">
        <w:rPr>
          <w:lang w:val="fr-FR"/>
        </w:rPr>
        <w:t>action en urgence demeurait ouverte car les personnes en faveur desquelles des mesures provisoires de protection avaient été prises continuaient de faire l</w:t>
      </w:r>
      <w:r>
        <w:rPr>
          <w:lang w:val="fr-FR"/>
        </w:rPr>
        <w:t>’</w:t>
      </w:r>
      <w:r w:rsidRPr="0014400B">
        <w:rPr>
          <w:lang w:val="fr-FR"/>
        </w:rPr>
        <w:t>objet de menaces</w:t>
      </w:r>
      <w:r w:rsidRPr="00DC385F">
        <w:rPr>
          <w:lang w:val="fr-FR"/>
        </w:rPr>
        <w:t>.</w:t>
      </w:r>
      <w:bookmarkEnd w:id="0"/>
    </w:p>
    <w:p w14:paraId="715B1846" w14:textId="77777777" w:rsidR="001A7C21" w:rsidRDefault="001A7C21" w:rsidP="001A7C21">
      <w:pPr>
        <w:pStyle w:val="SingleTxtG"/>
        <w:keepNext/>
        <w:keepLines/>
        <w:rPr>
          <w:lang w:val="fr-FR"/>
        </w:rPr>
      </w:pPr>
      <w:r w:rsidRPr="0014400B">
        <w:rPr>
          <w:lang w:val="fr-FR"/>
        </w:rPr>
        <w:lastRenderedPageBreak/>
        <w:t>3</w:t>
      </w:r>
      <w:r>
        <w:rPr>
          <w:lang w:val="fr-FR"/>
        </w:rPr>
        <w:t>3</w:t>
      </w:r>
      <w:r w:rsidRPr="00DC385F">
        <w:rPr>
          <w:lang w:val="fr-FR"/>
        </w:rPr>
        <w:t>.</w:t>
      </w:r>
      <w:r w:rsidRPr="0014400B">
        <w:rPr>
          <w:lang w:val="fr-FR"/>
        </w:rPr>
        <w:tab/>
        <w:t>Le Comité se félicite du fait qu</w:t>
      </w:r>
      <w:r>
        <w:rPr>
          <w:lang w:val="fr-FR"/>
        </w:rPr>
        <w:t>’</w:t>
      </w:r>
      <w:r w:rsidRPr="0014400B">
        <w:rPr>
          <w:lang w:val="fr-FR"/>
        </w:rPr>
        <w:t>à ce jour, 107 personnes disparues ont été retrouvées</w:t>
      </w:r>
      <w:r w:rsidRPr="00DC385F">
        <w:rPr>
          <w:lang w:val="fr-FR"/>
        </w:rPr>
        <w:t>.</w:t>
      </w:r>
      <w:r w:rsidRPr="0014400B">
        <w:rPr>
          <w:lang w:val="fr-FR"/>
        </w:rPr>
        <w:t xml:space="preserve"> Il se félicite en particulier du fait que dans 83 cas la personne concernée a été retrouvée vivante</w:t>
      </w:r>
      <w:r w:rsidRPr="00DC385F">
        <w:rPr>
          <w:lang w:val="fr-FR"/>
        </w:rPr>
        <w:t>.</w:t>
      </w:r>
      <w:r w:rsidRPr="0014400B">
        <w:rPr>
          <w:lang w:val="fr-FR"/>
        </w:rPr>
        <w:t xml:space="preserve"> À cet égard, le Comité souhaite mettre en relief l</w:t>
      </w:r>
      <w:r>
        <w:rPr>
          <w:lang w:val="fr-FR"/>
        </w:rPr>
        <w:t>’</w:t>
      </w:r>
      <w:r w:rsidRPr="0014400B">
        <w:rPr>
          <w:lang w:val="fr-FR"/>
        </w:rPr>
        <w:t>issue positive de demandes d</w:t>
      </w:r>
      <w:r>
        <w:rPr>
          <w:lang w:val="fr-FR"/>
        </w:rPr>
        <w:t>’</w:t>
      </w:r>
      <w:r w:rsidRPr="0014400B">
        <w:rPr>
          <w:lang w:val="fr-FR"/>
        </w:rPr>
        <w:t>action en urgence enregistrées au cours de la période considérée concernant des cas à Cuba et au</w:t>
      </w:r>
      <w:r>
        <w:rPr>
          <w:lang w:val="fr-FR"/>
        </w:rPr>
        <w:t> </w:t>
      </w:r>
      <w:r w:rsidRPr="0014400B">
        <w:rPr>
          <w:lang w:val="fr-FR"/>
        </w:rPr>
        <w:t>Pérou</w:t>
      </w:r>
      <w:r w:rsidRPr="00DC385F">
        <w:rPr>
          <w:lang w:val="fr-FR"/>
        </w:rPr>
        <w:t>.</w:t>
      </w:r>
    </w:p>
    <w:p w14:paraId="4145528C" w14:textId="455F66E9" w:rsidR="00B90A5D" w:rsidRPr="001A7C21" w:rsidRDefault="001A7C21" w:rsidP="001A7C21">
      <w:pPr>
        <w:pStyle w:val="SingleTxtG"/>
        <w:spacing w:before="240" w:after="0"/>
        <w:jc w:val="center"/>
        <w:rPr>
          <w:u w:val="single"/>
        </w:rPr>
      </w:pPr>
      <w:r>
        <w:rPr>
          <w:u w:val="single"/>
        </w:rPr>
        <w:tab/>
      </w:r>
      <w:r>
        <w:rPr>
          <w:u w:val="single"/>
        </w:rPr>
        <w:tab/>
      </w:r>
      <w:r>
        <w:rPr>
          <w:u w:val="single"/>
        </w:rPr>
        <w:tab/>
      </w:r>
    </w:p>
    <w:sectPr w:rsidR="00B90A5D" w:rsidRPr="001A7C21" w:rsidSect="001A7C21">
      <w:headerReference w:type="even" r:id="rId17"/>
      <w:headerReference w:type="default" r:id="rId18"/>
      <w:footerReference w:type="even" r:id="rId19"/>
      <w:footerReference w:type="default" r:id="rId20"/>
      <w:endnotePr>
        <w:numFmt w:val="decimal"/>
      </w:endnotePr>
      <w:pgSz w:w="11906" w:h="16838" w:code="9"/>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1810E" w14:textId="77777777" w:rsidR="00BA7149" w:rsidRDefault="00BA7149" w:rsidP="00F95C08">
      <w:pPr>
        <w:spacing w:line="240" w:lineRule="auto"/>
      </w:pPr>
    </w:p>
  </w:endnote>
  <w:endnote w:type="continuationSeparator" w:id="0">
    <w:p w14:paraId="3269CF20" w14:textId="77777777" w:rsidR="00BA7149" w:rsidRPr="00AC3823" w:rsidRDefault="00BA7149" w:rsidP="00AC3823">
      <w:pPr>
        <w:pStyle w:val="Pieddepage"/>
      </w:pPr>
    </w:p>
  </w:endnote>
  <w:endnote w:type="continuationNotice" w:id="1">
    <w:p w14:paraId="2FA4C4AB" w14:textId="77777777" w:rsidR="00BA7149" w:rsidRDefault="00BA71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AD68" w14:textId="688C15DE" w:rsidR="001D2AE9" w:rsidRPr="001D2AE9" w:rsidRDefault="001D2AE9" w:rsidP="001D2AE9">
    <w:pPr>
      <w:pStyle w:val="Pieddepage"/>
      <w:tabs>
        <w:tab w:val="right" w:pos="9638"/>
      </w:tabs>
    </w:pPr>
    <w:r w:rsidRPr="001D2AE9">
      <w:rPr>
        <w:b/>
        <w:sz w:val="18"/>
      </w:rPr>
      <w:fldChar w:fldCharType="begin"/>
    </w:r>
    <w:r w:rsidRPr="001D2AE9">
      <w:rPr>
        <w:b/>
        <w:sz w:val="18"/>
      </w:rPr>
      <w:instrText xml:space="preserve"> PAGE  \* MERGEFORMAT </w:instrText>
    </w:r>
    <w:r w:rsidRPr="001D2AE9">
      <w:rPr>
        <w:b/>
        <w:sz w:val="18"/>
      </w:rPr>
      <w:fldChar w:fldCharType="separate"/>
    </w:r>
    <w:r w:rsidRPr="001D2AE9">
      <w:rPr>
        <w:b/>
        <w:noProof/>
        <w:sz w:val="18"/>
      </w:rPr>
      <w:t>2</w:t>
    </w:r>
    <w:r w:rsidRPr="001D2AE9">
      <w:rPr>
        <w:b/>
        <w:sz w:val="18"/>
      </w:rPr>
      <w:fldChar w:fldCharType="end"/>
    </w:r>
    <w:r>
      <w:rPr>
        <w:b/>
        <w:sz w:val="18"/>
      </w:rPr>
      <w:tab/>
    </w:r>
    <w:r>
      <w:t>GE.21-15156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58DF" w14:textId="70489D5D" w:rsidR="001D2AE9" w:rsidRPr="001D2AE9" w:rsidRDefault="001D2AE9" w:rsidP="001D2AE9">
    <w:pPr>
      <w:pStyle w:val="Pieddepage"/>
      <w:tabs>
        <w:tab w:val="right" w:pos="9638"/>
      </w:tabs>
      <w:rPr>
        <w:b/>
        <w:sz w:val="18"/>
      </w:rPr>
    </w:pPr>
    <w:r>
      <w:t>GE.21-15156</w:t>
    </w:r>
    <w:r>
      <w:tab/>
    </w:r>
    <w:r w:rsidRPr="001D2AE9">
      <w:rPr>
        <w:b/>
        <w:sz w:val="18"/>
      </w:rPr>
      <w:fldChar w:fldCharType="begin"/>
    </w:r>
    <w:r w:rsidRPr="001D2AE9">
      <w:rPr>
        <w:b/>
        <w:sz w:val="18"/>
      </w:rPr>
      <w:instrText xml:space="preserve"> PAGE  \* MERGEFORMAT </w:instrText>
    </w:r>
    <w:r w:rsidRPr="001D2AE9">
      <w:rPr>
        <w:b/>
        <w:sz w:val="18"/>
      </w:rPr>
      <w:fldChar w:fldCharType="separate"/>
    </w:r>
    <w:r w:rsidRPr="001D2AE9">
      <w:rPr>
        <w:b/>
        <w:noProof/>
        <w:sz w:val="18"/>
      </w:rPr>
      <w:t>3</w:t>
    </w:r>
    <w:r w:rsidRPr="001D2A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F2B7" w14:textId="518281C8" w:rsidR="00133EDE" w:rsidRPr="001D2AE9" w:rsidRDefault="001D2AE9" w:rsidP="001D2AE9">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57B68EA2" wp14:editId="737FF82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21-15156  (F)</w:t>
    </w:r>
    <w:r>
      <w:rPr>
        <w:noProof/>
        <w:sz w:val="20"/>
      </w:rPr>
      <w:drawing>
        <wp:anchor distT="0" distB="0" distL="114300" distR="114300" simplePos="0" relativeHeight="251660288" behindDoc="0" locked="0" layoutInCell="1" allowOverlap="1" wp14:anchorId="48940C40" wp14:editId="5EA81F15">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221021    251021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5EE8" w14:textId="5B85716A" w:rsidR="003674C1" w:rsidRPr="003674C1" w:rsidRDefault="003674C1" w:rsidP="003674C1">
    <w:pPr>
      <w:pStyle w:val="Pieddepage"/>
    </w:pPr>
    <w:r>
      <w:rPr>
        <w:noProof/>
      </w:rPr>
      <mc:AlternateContent>
        <mc:Choice Requires="wps">
          <w:drawing>
            <wp:anchor distT="0" distB="0" distL="114300" distR="114300" simplePos="0" relativeHeight="251664384" behindDoc="0" locked="0" layoutInCell="1" allowOverlap="1" wp14:anchorId="295CCC92" wp14:editId="75D84F2C">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9D13466" w14:textId="77777777" w:rsidR="003674C1" w:rsidRPr="001D2AE9" w:rsidRDefault="003674C1" w:rsidP="003674C1">
                          <w:pPr>
                            <w:pStyle w:val="Pieddepage"/>
                            <w:tabs>
                              <w:tab w:val="right" w:pos="9638"/>
                            </w:tabs>
                          </w:pPr>
                          <w:r w:rsidRPr="001D2AE9">
                            <w:rPr>
                              <w:b/>
                              <w:sz w:val="18"/>
                            </w:rPr>
                            <w:fldChar w:fldCharType="begin"/>
                          </w:r>
                          <w:r w:rsidRPr="001D2AE9">
                            <w:rPr>
                              <w:b/>
                              <w:sz w:val="18"/>
                            </w:rPr>
                            <w:instrText xml:space="preserve"> PAGE  \* MERGEFORMAT </w:instrText>
                          </w:r>
                          <w:r w:rsidRPr="001D2AE9">
                            <w:rPr>
                              <w:b/>
                              <w:sz w:val="18"/>
                            </w:rPr>
                            <w:fldChar w:fldCharType="separate"/>
                          </w:r>
                          <w:r>
                            <w:rPr>
                              <w:b/>
                              <w:sz w:val="18"/>
                            </w:rPr>
                            <w:t>4</w:t>
                          </w:r>
                          <w:r w:rsidRPr="001D2AE9">
                            <w:rPr>
                              <w:b/>
                              <w:sz w:val="18"/>
                            </w:rPr>
                            <w:fldChar w:fldCharType="end"/>
                          </w:r>
                          <w:r>
                            <w:rPr>
                              <w:b/>
                              <w:sz w:val="18"/>
                            </w:rPr>
                            <w:tab/>
                          </w:r>
                          <w:r>
                            <w:t>GE.21-15156</w:t>
                          </w:r>
                        </w:p>
                        <w:p w14:paraId="50772B0F" w14:textId="77777777" w:rsidR="003674C1" w:rsidRDefault="003674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5CCC92"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69D13466" w14:textId="77777777" w:rsidR="003674C1" w:rsidRPr="001D2AE9" w:rsidRDefault="003674C1" w:rsidP="003674C1">
                    <w:pPr>
                      <w:pStyle w:val="Pieddepage"/>
                      <w:tabs>
                        <w:tab w:val="right" w:pos="9638"/>
                      </w:tabs>
                    </w:pPr>
                    <w:r w:rsidRPr="001D2AE9">
                      <w:rPr>
                        <w:b/>
                        <w:sz w:val="18"/>
                      </w:rPr>
                      <w:fldChar w:fldCharType="begin"/>
                    </w:r>
                    <w:r w:rsidRPr="001D2AE9">
                      <w:rPr>
                        <w:b/>
                        <w:sz w:val="18"/>
                      </w:rPr>
                      <w:instrText xml:space="preserve"> PAGE  \* MERGEFORMAT </w:instrText>
                    </w:r>
                    <w:r w:rsidRPr="001D2AE9">
                      <w:rPr>
                        <w:b/>
                        <w:sz w:val="18"/>
                      </w:rPr>
                      <w:fldChar w:fldCharType="separate"/>
                    </w:r>
                    <w:r>
                      <w:rPr>
                        <w:b/>
                        <w:sz w:val="18"/>
                      </w:rPr>
                      <w:t>4</w:t>
                    </w:r>
                    <w:r w:rsidRPr="001D2AE9">
                      <w:rPr>
                        <w:b/>
                        <w:sz w:val="18"/>
                      </w:rPr>
                      <w:fldChar w:fldCharType="end"/>
                    </w:r>
                    <w:r>
                      <w:rPr>
                        <w:b/>
                        <w:sz w:val="18"/>
                      </w:rPr>
                      <w:tab/>
                    </w:r>
                    <w:r>
                      <w:t>GE.21-15156</w:t>
                    </w:r>
                  </w:p>
                  <w:p w14:paraId="50772B0F" w14:textId="77777777" w:rsidR="003674C1" w:rsidRDefault="003674C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978A" w14:textId="4967AE0E" w:rsidR="003674C1" w:rsidRPr="003674C1" w:rsidRDefault="003674C1" w:rsidP="003674C1">
    <w:pPr>
      <w:pStyle w:val="Pieddepage"/>
    </w:pPr>
    <w:r>
      <w:rPr>
        <w:noProof/>
      </w:rPr>
      <mc:AlternateContent>
        <mc:Choice Requires="wps">
          <w:drawing>
            <wp:anchor distT="0" distB="0" distL="114300" distR="114300" simplePos="0" relativeHeight="251662336" behindDoc="0" locked="0" layoutInCell="1" allowOverlap="1" wp14:anchorId="298D23C2" wp14:editId="4AAC7FF9">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26C1028" w14:textId="77777777" w:rsidR="003674C1" w:rsidRPr="001D2AE9" w:rsidRDefault="003674C1" w:rsidP="003674C1">
                          <w:pPr>
                            <w:pStyle w:val="Pieddepage"/>
                            <w:tabs>
                              <w:tab w:val="right" w:pos="9638"/>
                            </w:tabs>
                            <w:rPr>
                              <w:b/>
                              <w:sz w:val="18"/>
                            </w:rPr>
                          </w:pPr>
                          <w:r>
                            <w:t>GE.21-15156</w:t>
                          </w:r>
                          <w:r>
                            <w:tab/>
                          </w:r>
                          <w:r w:rsidRPr="001D2AE9">
                            <w:rPr>
                              <w:b/>
                              <w:sz w:val="18"/>
                            </w:rPr>
                            <w:fldChar w:fldCharType="begin"/>
                          </w:r>
                          <w:r w:rsidRPr="001D2AE9">
                            <w:rPr>
                              <w:b/>
                              <w:sz w:val="18"/>
                            </w:rPr>
                            <w:instrText xml:space="preserve"> PAGE  \* MERGEFORMAT </w:instrText>
                          </w:r>
                          <w:r w:rsidRPr="001D2AE9">
                            <w:rPr>
                              <w:b/>
                              <w:sz w:val="18"/>
                            </w:rPr>
                            <w:fldChar w:fldCharType="separate"/>
                          </w:r>
                          <w:r>
                            <w:rPr>
                              <w:b/>
                              <w:sz w:val="18"/>
                            </w:rPr>
                            <w:t>3</w:t>
                          </w:r>
                          <w:r w:rsidRPr="001D2AE9">
                            <w:rPr>
                              <w:b/>
                              <w:sz w:val="18"/>
                            </w:rPr>
                            <w:fldChar w:fldCharType="end"/>
                          </w:r>
                        </w:p>
                        <w:p w14:paraId="61AD923D" w14:textId="77777777" w:rsidR="003674C1" w:rsidRDefault="003674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8D23C2"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026C1028" w14:textId="77777777" w:rsidR="003674C1" w:rsidRPr="001D2AE9" w:rsidRDefault="003674C1" w:rsidP="003674C1">
                    <w:pPr>
                      <w:pStyle w:val="Pieddepage"/>
                      <w:tabs>
                        <w:tab w:val="right" w:pos="9638"/>
                      </w:tabs>
                      <w:rPr>
                        <w:b/>
                        <w:sz w:val="18"/>
                      </w:rPr>
                    </w:pPr>
                    <w:r>
                      <w:t>GE.21-15156</w:t>
                    </w:r>
                    <w:r>
                      <w:tab/>
                    </w:r>
                    <w:r w:rsidRPr="001D2AE9">
                      <w:rPr>
                        <w:b/>
                        <w:sz w:val="18"/>
                      </w:rPr>
                      <w:fldChar w:fldCharType="begin"/>
                    </w:r>
                    <w:r w:rsidRPr="001D2AE9">
                      <w:rPr>
                        <w:b/>
                        <w:sz w:val="18"/>
                      </w:rPr>
                      <w:instrText xml:space="preserve"> PAGE  \* MERGEFORMAT </w:instrText>
                    </w:r>
                    <w:r w:rsidRPr="001D2AE9">
                      <w:rPr>
                        <w:b/>
                        <w:sz w:val="18"/>
                      </w:rPr>
                      <w:fldChar w:fldCharType="separate"/>
                    </w:r>
                    <w:r>
                      <w:rPr>
                        <w:b/>
                        <w:sz w:val="18"/>
                      </w:rPr>
                      <w:t>3</w:t>
                    </w:r>
                    <w:r w:rsidRPr="001D2AE9">
                      <w:rPr>
                        <w:b/>
                        <w:sz w:val="18"/>
                      </w:rPr>
                      <w:fldChar w:fldCharType="end"/>
                    </w:r>
                  </w:p>
                  <w:p w14:paraId="61AD923D" w14:textId="77777777" w:rsidR="003674C1" w:rsidRDefault="003674C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4343" w14:textId="7D767BE6" w:rsidR="001A7C21" w:rsidRPr="001A7C21" w:rsidRDefault="001A7C21" w:rsidP="001A7C21">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4</w:t>
    </w:r>
    <w:r>
      <w:rPr>
        <w:b/>
        <w:sz w:val="18"/>
      </w:rPr>
      <w:fldChar w:fldCharType="end"/>
    </w:r>
    <w:r>
      <w:rPr>
        <w:b/>
        <w:sz w:val="18"/>
      </w:rPr>
      <w:tab/>
    </w:r>
    <w:r w:rsidRPr="00C3333C">
      <w:t>GE.21-15156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1B0A" w14:textId="0EA38921" w:rsidR="001A7C21" w:rsidRPr="001A7C21" w:rsidRDefault="001A7C21" w:rsidP="001A7C21">
    <w:pPr>
      <w:pStyle w:val="Pieddepage"/>
      <w:tabs>
        <w:tab w:val="right" w:pos="9638"/>
      </w:tabs>
    </w:pPr>
    <w:r>
      <w:t>GE.</w:t>
    </w:r>
    <w:r w:rsidRPr="00C3333C">
      <w:t>21</w:t>
    </w:r>
    <w:r>
      <w:t>-</w:t>
    </w:r>
    <w:r w:rsidRPr="00C3333C">
      <w:t>15156</w:t>
    </w:r>
    <w:r>
      <w:tab/>
    </w:r>
    <w:r>
      <w:rPr>
        <w:b/>
        <w:sz w:val="18"/>
      </w:rPr>
      <w:fldChar w:fldCharType="begin"/>
    </w:r>
    <w:r>
      <w:rPr>
        <w:b/>
        <w:sz w:val="18"/>
      </w:rPr>
      <w:instrText xml:space="preserve"> PAGE  \* MERGEFORMAT </w:instrText>
    </w:r>
    <w:r>
      <w:rPr>
        <w:b/>
        <w:sz w:val="18"/>
      </w:rPr>
      <w:fldChar w:fldCharType="separate"/>
    </w:r>
    <w:r>
      <w:rPr>
        <w:b/>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EC51F" w14:textId="77777777" w:rsidR="00BA7149" w:rsidRPr="00AC3823" w:rsidRDefault="00BA7149" w:rsidP="00AC3823">
      <w:pPr>
        <w:pStyle w:val="Pieddepage"/>
        <w:tabs>
          <w:tab w:val="right" w:pos="2155"/>
        </w:tabs>
        <w:spacing w:after="80" w:line="240" w:lineRule="atLeast"/>
        <w:ind w:left="680"/>
        <w:rPr>
          <w:u w:val="single"/>
        </w:rPr>
      </w:pPr>
      <w:r>
        <w:rPr>
          <w:u w:val="single"/>
        </w:rPr>
        <w:tab/>
      </w:r>
    </w:p>
  </w:footnote>
  <w:footnote w:type="continuationSeparator" w:id="0">
    <w:p w14:paraId="38FF97AC" w14:textId="77777777" w:rsidR="00BA7149" w:rsidRPr="00AC3823" w:rsidRDefault="00BA7149" w:rsidP="00AC3823">
      <w:pPr>
        <w:pStyle w:val="Pieddepage"/>
        <w:tabs>
          <w:tab w:val="right" w:pos="2155"/>
        </w:tabs>
        <w:spacing w:after="80" w:line="240" w:lineRule="atLeast"/>
        <w:ind w:left="680"/>
        <w:rPr>
          <w:u w:val="single"/>
        </w:rPr>
      </w:pPr>
      <w:r>
        <w:rPr>
          <w:u w:val="single"/>
        </w:rPr>
        <w:tab/>
      </w:r>
    </w:p>
  </w:footnote>
  <w:footnote w:type="continuationNotice" w:id="1">
    <w:p w14:paraId="4E88C227" w14:textId="77777777" w:rsidR="00BA7149" w:rsidRPr="00AC3823" w:rsidRDefault="00BA7149">
      <w:pPr>
        <w:spacing w:line="240" w:lineRule="auto"/>
        <w:rPr>
          <w:sz w:val="2"/>
          <w:szCs w:val="2"/>
        </w:rPr>
      </w:pPr>
    </w:p>
  </w:footnote>
  <w:footnote w:id="2">
    <w:p w14:paraId="5A6ADC36" w14:textId="77777777" w:rsidR="001D2AE9" w:rsidRPr="00B94C84" w:rsidRDefault="001D2AE9" w:rsidP="001D2AE9">
      <w:pPr>
        <w:pStyle w:val="Notedebasdepage"/>
      </w:pPr>
      <w:r w:rsidRPr="008C3C1B">
        <w:rPr>
          <w:rStyle w:val="Appelnotedebasdep"/>
          <w:sz w:val="20"/>
          <w:vertAlign w:val="baseline"/>
        </w:rPr>
        <w:tab/>
        <w:t>*</w:t>
      </w:r>
      <w:r w:rsidRPr="008C3C1B">
        <w:rPr>
          <w:rStyle w:val="Appelnotedebasdep"/>
          <w:sz w:val="20"/>
          <w:vertAlign w:val="baseline"/>
        </w:rPr>
        <w:tab/>
      </w:r>
      <w:r>
        <w:t>Adopté par le Comité à sa vingt et unième session (13-24 septembre 2021)</w:t>
      </w:r>
      <w:r w:rsidRPr="00DC385F">
        <w:t>.</w:t>
      </w:r>
    </w:p>
  </w:footnote>
  <w:footnote w:id="3">
    <w:p w14:paraId="508EF1B0" w14:textId="77777777" w:rsidR="001D2AE9" w:rsidRPr="0044053B" w:rsidRDefault="001D2AE9" w:rsidP="001D2AE9">
      <w:pPr>
        <w:pStyle w:val="Notedebasdepage"/>
        <w:rPr>
          <w:lang w:val="en-US"/>
        </w:rPr>
      </w:pPr>
      <w:r>
        <w:rPr>
          <w:lang w:val="fr-FR"/>
        </w:rPr>
        <w:tab/>
      </w:r>
      <w:r w:rsidRPr="0083613F">
        <w:rPr>
          <w:rStyle w:val="Appelnotedebasdep"/>
        </w:rPr>
        <w:footnoteRef/>
      </w:r>
      <w:r w:rsidRPr="009F499B">
        <w:rPr>
          <w:lang w:val="en-CA"/>
        </w:rPr>
        <w:tab/>
        <w:t>CED/C/20/2</w:t>
      </w:r>
      <w:r w:rsidRPr="00DC385F">
        <w:rPr>
          <w:lang w:val="en-CA"/>
        </w:rPr>
        <w:t>.</w:t>
      </w:r>
    </w:p>
  </w:footnote>
  <w:footnote w:id="4">
    <w:p w14:paraId="10050E45" w14:textId="77777777" w:rsidR="001A7C21" w:rsidRPr="0044053B" w:rsidRDefault="001A7C21" w:rsidP="001A7C21">
      <w:pPr>
        <w:pStyle w:val="Notedebasdepage"/>
        <w:rPr>
          <w:lang w:val="en-US"/>
        </w:rPr>
      </w:pPr>
      <w:r w:rsidRPr="009F499B">
        <w:rPr>
          <w:lang w:val="en-CA"/>
        </w:rPr>
        <w:tab/>
      </w:r>
      <w:r w:rsidRPr="0083613F">
        <w:rPr>
          <w:rStyle w:val="Appelnotedebasdep"/>
        </w:rPr>
        <w:footnoteRef/>
      </w:r>
      <w:r w:rsidRPr="009F499B">
        <w:rPr>
          <w:lang w:val="en-CA"/>
        </w:rPr>
        <w:tab/>
        <w:t>CED/C/11/3, CED/C/12/2, CED/C/13/3, CED/C/14/2, CED/C/15/3, CED/C/16/3, CED/C/17/2, CED/C/19/2 et CED/C/20/2</w:t>
      </w:r>
      <w:r w:rsidRPr="00DC385F">
        <w:rPr>
          <w:lang w:val="en-CA"/>
        </w:rPr>
        <w:t>.</w:t>
      </w:r>
    </w:p>
  </w:footnote>
  <w:footnote w:id="5">
    <w:p w14:paraId="2D0125DD" w14:textId="77777777" w:rsidR="001A7C21" w:rsidRPr="009F499B" w:rsidRDefault="001A7C21" w:rsidP="001A7C21">
      <w:pPr>
        <w:pStyle w:val="Notedebasdepage"/>
        <w:rPr>
          <w:lang w:val="fr-FR"/>
        </w:rPr>
      </w:pPr>
      <w:r w:rsidRPr="009F499B">
        <w:rPr>
          <w:lang w:val="en-CA"/>
        </w:rPr>
        <w:tab/>
      </w:r>
      <w:r w:rsidRPr="0083613F">
        <w:rPr>
          <w:rStyle w:val="Appelnotedebasdep"/>
        </w:rPr>
        <w:footnoteRef/>
      </w:r>
      <w:r>
        <w:rPr>
          <w:lang w:val="fr-FR"/>
        </w:rPr>
        <w:tab/>
        <w:t>A/73/56, A/74/56, A/75/56 et A/76/56</w:t>
      </w:r>
      <w:r w:rsidRPr="00DC385F">
        <w:rPr>
          <w:lang w:val="fr-FR"/>
        </w:rPr>
        <w:t>.</w:t>
      </w:r>
    </w:p>
  </w:footnote>
  <w:footnote w:id="6">
    <w:p w14:paraId="20165CFD" w14:textId="77777777" w:rsidR="001A7C21" w:rsidRPr="009F499B" w:rsidRDefault="001A7C21" w:rsidP="001A7C21">
      <w:pPr>
        <w:pStyle w:val="Notedebasdepage"/>
        <w:rPr>
          <w:lang w:val="fr-FR"/>
        </w:rPr>
      </w:pPr>
      <w:r>
        <w:rPr>
          <w:lang w:val="fr-FR"/>
        </w:rPr>
        <w:tab/>
      </w:r>
      <w:r w:rsidRPr="0083613F">
        <w:rPr>
          <w:rStyle w:val="Appelnotedebasdep"/>
        </w:rPr>
        <w:footnoteRef/>
      </w:r>
      <w:r>
        <w:rPr>
          <w:lang w:val="fr-FR"/>
        </w:rPr>
        <w:tab/>
        <w:t>CED/C/7, annexe</w:t>
      </w:r>
      <w:r w:rsidRPr="00DC385F">
        <w:rPr>
          <w:lang w:val="fr-FR"/>
        </w:rPr>
        <w:t>.</w:t>
      </w:r>
    </w:p>
  </w:footnote>
  <w:footnote w:id="7">
    <w:p w14:paraId="14FA1740" w14:textId="77777777" w:rsidR="001A7C21" w:rsidRPr="009F499B" w:rsidRDefault="001A7C21" w:rsidP="001A7C21">
      <w:pPr>
        <w:pStyle w:val="Notedebasdepage"/>
        <w:rPr>
          <w:lang w:val="fr-FR"/>
        </w:rPr>
      </w:pPr>
      <w:r>
        <w:rPr>
          <w:lang w:val="fr-FR"/>
        </w:rPr>
        <w:tab/>
      </w:r>
      <w:r w:rsidRPr="0083613F">
        <w:rPr>
          <w:rStyle w:val="Appelnotedebasdep"/>
        </w:rPr>
        <w:footnoteRef/>
      </w:r>
      <w:r>
        <w:rPr>
          <w:lang w:val="fr-FR"/>
        </w:rPr>
        <w:tab/>
        <w:t>A/HRC/40/52, par</w:t>
      </w:r>
      <w:r w:rsidRPr="00DC385F">
        <w:rPr>
          <w:lang w:val="fr-FR"/>
        </w:rPr>
        <w:t>.</w:t>
      </w:r>
      <w:r>
        <w:rPr>
          <w:lang w:val="fr-FR"/>
        </w:rPr>
        <w:t xml:space="preserve"> 75 g)</w:t>
      </w:r>
      <w:r w:rsidRPr="00DC385F">
        <w:rPr>
          <w:lang w:val="fr-FR"/>
        </w:rPr>
        <w:t>.</w:t>
      </w:r>
    </w:p>
  </w:footnote>
  <w:footnote w:id="8">
    <w:p w14:paraId="595AB4B6" w14:textId="77777777" w:rsidR="001A7C21" w:rsidRPr="009F499B" w:rsidRDefault="001A7C21" w:rsidP="001A7C21">
      <w:pPr>
        <w:pStyle w:val="Notedebasdepage"/>
        <w:rPr>
          <w:spacing w:val="-4"/>
          <w:lang w:val="fr-FR"/>
        </w:rPr>
      </w:pPr>
      <w:r>
        <w:rPr>
          <w:lang w:val="fr-FR"/>
        </w:rPr>
        <w:tab/>
      </w:r>
      <w:r w:rsidRPr="0083613F">
        <w:rPr>
          <w:rStyle w:val="Appelnotedebasdep"/>
        </w:rPr>
        <w:footnoteRef/>
      </w:r>
      <w:r>
        <w:rPr>
          <w:lang w:val="fr-FR"/>
        </w:rPr>
        <w:tab/>
        <w:t>Voir la déclaration conjointe du Comité et du Groupe de travail sur les disparitions forcées ou involontaires, 26 août 2016</w:t>
      </w:r>
      <w:r w:rsidRPr="00DC385F">
        <w:rPr>
          <w:lang w:val="fr-FR"/>
        </w:rPr>
        <w:t>.</w:t>
      </w:r>
      <w:r>
        <w:rPr>
          <w:lang w:val="fr-FR"/>
        </w:rPr>
        <w:t xml:space="preserve"> Disponible à l’adresse suivante : </w:t>
      </w:r>
      <w:hyperlink r:id="rId1" w:history="1">
        <w:r w:rsidRPr="004E4164">
          <w:rPr>
            <w:rStyle w:val="Lienhypertexte"/>
            <w:lang w:val="fr-FR"/>
          </w:rPr>
          <w:t>www</w:t>
        </w:r>
        <w:r w:rsidRPr="00DC385F">
          <w:rPr>
            <w:rStyle w:val="Lienhypertexte"/>
            <w:lang w:val="fr-FR"/>
          </w:rPr>
          <w:t>.</w:t>
        </w:r>
        <w:r w:rsidRPr="004E4164">
          <w:rPr>
            <w:rStyle w:val="Lienhypertexte"/>
            <w:lang w:val="fr-FR"/>
          </w:rPr>
          <w:t>ohchr</w:t>
        </w:r>
        <w:r w:rsidRPr="00DC385F">
          <w:rPr>
            <w:rStyle w:val="Lienhypertexte"/>
            <w:lang w:val="fr-FR"/>
          </w:rPr>
          <w:t>.</w:t>
        </w:r>
        <w:r w:rsidRPr="004E4164">
          <w:rPr>
            <w:rStyle w:val="Lienhypertexte"/>
            <w:lang w:val="fr-FR"/>
          </w:rPr>
          <w:t>org/EN/</w:t>
        </w:r>
        <w:r>
          <w:rPr>
            <w:rStyle w:val="Lienhypertexte"/>
            <w:lang w:val="fr-FR"/>
          </w:rPr>
          <w:t xml:space="preserve"> </w:t>
        </w:r>
        <w:proofErr w:type="spellStart"/>
        <w:r w:rsidRPr="004E4164">
          <w:rPr>
            <w:rStyle w:val="Lienhypertexte"/>
            <w:lang w:val="fr-FR"/>
          </w:rPr>
          <w:t>NewsEvents</w:t>
        </w:r>
        <w:proofErr w:type="spellEnd"/>
        <w:r w:rsidRPr="004E4164">
          <w:rPr>
            <w:rStyle w:val="Lienhypertexte"/>
            <w:lang w:val="fr-FR"/>
          </w:rPr>
          <w:t>/Pages/</w:t>
        </w:r>
        <w:proofErr w:type="spellStart"/>
        <w:r w:rsidRPr="004E4164">
          <w:rPr>
            <w:rStyle w:val="Lienhypertexte"/>
            <w:lang w:val="fr-FR"/>
          </w:rPr>
          <w:t>DisplayNews</w:t>
        </w:r>
        <w:r w:rsidRPr="00DC385F">
          <w:rPr>
            <w:rStyle w:val="Lienhypertexte"/>
            <w:lang w:val="fr-FR"/>
          </w:rPr>
          <w:t>.</w:t>
        </w:r>
        <w:r w:rsidRPr="004E4164">
          <w:rPr>
            <w:rStyle w:val="Lienhypertexte"/>
            <w:lang w:val="fr-FR"/>
          </w:rPr>
          <w:t>aspx?NewsID</w:t>
        </w:r>
        <w:proofErr w:type="spellEnd"/>
        <w:r w:rsidRPr="004E4164">
          <w:rPr>
            <w:rStyle w:val="Lienhypertexte"/>
            <w:lang w:val="fr-FR"/>
          </w:rPr>
          <w:t>=2041 6&amp;LangID=F</w:t>
        </w:r>
      </w:hyperlink>
      <w:r w:rsidRPr="00DC385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2E9E" w14:textId="2F419358" w:rsidR="001D2AE9" w:rsidRPr="001D2AE9" w:rsidRDefault="0058201F">
    <w:pPr>
      <w:pStyle w:val="En-tte"/>
    </w:pPr>
    <w:r>
      <w:fldChar w:fldCharType="begin"/>
    </w:r>
    <w:r>
      <w:instrText xml:space="preserve"> TITLE  \* MERGEFORMAT </w:instrText>
    </w:r>
    <w:r>
      <w:fldChar w:fldCharType="separate"/>
    </w:r>
    <w:r>
      <w:t>CED/C/21/2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058C" w14:textId="02D4FD0C" w:rsidR="001D2AE9" w:rsidRPr="001D2AE9" w:rsidRDefault="0058201F" w:rsidP="001D2AE9">
    <w:pPr>
      <w:pStyle w:val="En-tte"/>
      <w:jc w:val="right"/>
    </w:pPr>
    <w:r>
      <w:fldChar w:fldCharType="begin"/>
    </w:r>
    <w:r>
      <w:instrText xml:space="preserve"> TITLE  \* MERGEFORMAT </w:instrText>
    </w:r>
    <w:r>
      <w:fldChar w:fldCharType="separate"/>
    </w:r>
    <w:r>
      <w:t>CED/C/21/2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2E5F" w14:textId="2AFBE8E3" w:rsidR="003674C1" w:rsidRPr="003674C1" w:rsidRDefault="003674C1" w:rsidP="003674C1">
    <w:r>
      <w:rPr>
        <w:noProof/>
      </w:rPr>
      <mc:AlternateContent>
        <mc:Choice Requires="wps">
          <w:drawing>
            <wp:anchor distT="0" distB="0" distL="114300" distR="114300" simplePos="0" relativeHeight="251663360" behindDoc="0" locked="0" layoutInCell="1" allowOverlap="1" wp14:anchorId="1D220B8F" wp14:editId="23159498">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FB33E42" w14:textId="24608F54" w:rsidR="003674C1" w:rsidRPr="001D2AE9" w:rsidRDefault="003674C1" w:rsidP="003674C1">
                          <w:pPr>
                            <w:pStyle w:val="En-tte"/>
                          </w:pPr>
                          <w:fldSimple w:instr=" TITLE  \* MERGEFORMAT ">
                            <w:r w:rsidR="0058201F">
                              <w:t>CED/C/21/2</w:t>
                            </w:r>
                          </w:fldSimple>
                        </w:p>
                        <w:p w14:paraId="36A312BD" w14:textId="77777777" w:rsidR="003674C1" w:rsidRDefault="003674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D220B8F"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SYVAIAAKo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" fillcolor="#4f81bd [3204]" stroked="f" strokeweight=".5pt">
              <v:fill opacity="0"/>
              <v:path arrowok="t"/>
              <v:textbox style="layout-flow:vertical" inset="0,0,0,0">
                <w:txbxContent>
                  <w:p w14:paraId="3FB33E42" w14:textId="24608F54" w:rsidR="003674C1" w:rsidRPr="001D2AE9" w:rsidRDefault="003674C1" w:rsidP="003674C1">
                    <w:pPr>
                      <w:pStyle w:val="En-tte"/>
                    </w:pPr>
                    <w:fldSimple w:instr=" TITLE  \* MERGEFORMAT ">
                      <w:r w:rsidR="0058201F">
                        <w:t>CED/C/21/2</w:t>
                      </w:r>
                    </w:fldSimple>
                  </w:p>
                  <w:p w14:paraId="36A312BD" w14:textId="77777777" w:rsidR="003674C1" w:rsidRDefault="003674C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7E3B" w14:textId="2218E111" w:rsidR="003674C1" w:rsidRPr="003674C1" w:rsidRDefault="003674C1" w:rsidP="003674C1">
    <w:r>
      <w:rPr>
        <w:noProof/>
      </w:rPr>
      <mc:AlternateContent>
        <mc:Choice Requires="wps">
          <w:drawing>
            <wp:anchor distT="0" distB="0" distL="114300" distR="114300" simplePos="0" relativeHeight="251661312" behindDoc="0" locked="0" layoutInCell="1" allowOverlap="1" wp14:anchorId="2F7F148E" wp14:editId="28ACFC33">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CE5EAF5" w14:textId="4019FCBF" w:rsidR="003674C1" w:rsidRPr="001D2AE9" w:rsidRDefault="003674C1" w:rsidP="003674C1">
                          <w:pPr>
                            <w:pStyle w:val="En-tte"/>
                            <w:jc w:val="right"/>
                          </w:pPr>
                          <w:fldSimple w:instr=" TITLE  \* MERGEFORMAT ">
                            <w:r w:rsidR="0058201F">
                              <w:t>CED/C/21/2</w:t>
                            </w:r>
                          </w:fldSimple>
                        </w:p>
                        <w:p w14:paraId="517422BF" w14:textId="77777777" w:rsidR="003674C1" w:rsidRDefault="003674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7F148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" fillcolor="#4f81bd [3204]" stroked="f" strokeweight=".5pt">
              <v:fill opacity="0"/>
              <v:stroke joinstyle="round"/>
              <v:textbox style="layout-flow:vertical" inset="0,0,0,0">
                <w:txbxContent>
                  <w:p w14:paraId="5CE5EAF5" w14:textId="4019FCBF" w:rsidR="003674C1" w:rsidRPr="001D2AE9" w:rsidRDefault="003674C1" w:rsidP="003674C1">
                    <w:pPr>
                      <w:pStyle w:val="En-tte"/>
                      <w:jc w:val="right"/>
                    </w:pPr>
                    <w:fldSimple w:instr=" TITLE  \* MERGEFORMAT ">
                      <w:r w:rsidR="0058201F">
                        <w:t>CED/C/21/2</w:t>
                      </w:r>
                    </w:fldSimple>
                  </w:p>
                  <w:p w14:paraId="517422BF" w14:textId="77777777" w:rsidR="003674C1" w:rsidRDefault="003674C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F0E8" w14:textId="504C0E0D" w:rsidR="001A7C21" w:rsidRPr="003674C1" w:rsidRDefault="001A7C21" w:rsidP="001A7C21">
    <w:pPr>
      <w:pStyle w:val="En-tte"/>
    </w:pPr>
    <w:fldSimple w:instr=" TITLE  \* MERGEFORMAT ">
      <w:r w:rsidR="0058201F">
        <w:t>CED/C/21/2</w:t>
      </w:r>
    </w:fldSimple>
    <w:r>
      <w:rPr>
        <w:noProof/>
      </w:rPr>
      <mc:AlternateContent>
        <mc:Choice Requires="wps">
          <w:drawing>
            <wp:anchor distT="0" distB="0" distL="114300" distR="114300" simplePos="0" relativeHeight="251670528" behindDoc="0" locked="0" layoutInCell="1" allowOverlap="1" wp14:anchorId="6631DA68" wp14:editId="2194B7BA">
              <wp:simplePos x="0" y="0"/>
              <wp:positionH relativeFrom="page">
                <wp:posOffset>9935845</wp:posOffset>
              </wp:positionH>
              <wp:positionV relativeFrom="margin">
                <wp:posOffset>0</wp:posOffset>
              </wp:positionV>
              <wp:extent cx="215900" cy="6120130"/>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F7DFB1F" w14:textId="26D78788" w:rsidR="001A7C21" w:rsidRPr="001D2AE9" w:rsidRDefault="001A7C21" w:rsidP="003674C1">
                          <w:pPr>
                            <w:pStyle w:val="En-tte"/>
                          </w:pPr>
                          <w:fldSimple w:instr=" TITLE  \* MERGEFORMAT ">
                            <w:r w:rsidR="0058201F">
                              <w:t>CED/C/21/2</w:t>
                            </w:r>
                          </w:fldSimple>
                        </w:p>
                        <w:p w14:paraId="1F17D331" w14:textId="77777777" w:rsidR="001A7C21" w:rsidRDefault="001A7C2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31DA68" id="_x0000_t202" coordsize="21600,21600" o:spt="202" path="m,l,21600r21600,l21600,xe">
              <v:stroke joinstyle="miter"/>
              <v:path gradientshapeok="t" o:connecttype="rect"/>
            </v:shapetype>
            <v:shape id="Zone de texte 16" o:spid="_x0000_s1030" type="#_x0000_t202" style="position:absolute;margin-left:782.35pt;margin-top:0;width:17pt;height:481.9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" fillcolor="#4f81bd [3204]" stroked="f" strokeweight=".5pt">
              <v:fill opacity="0"/>
              <v:path arrowok="t"/>
              <v:textbox style="layout-flow:vertical" inset="0,0,0,0">
                <w:txbxContent>
                  <w:p w14:paraId="7F7DFB1F" w14:textId="26D78788" w:rsidR="001A7C21" w:rsidRPr="001D2AE9" w:rsidRDefault="001A7C21" w:rsidP="003674C1">
                    <w:pPr>
                      <w:pStyle w:val="En-tte"/>
                    </w:pPr>
                    <w:fldSimple w:instr=" TITLE  \* MERGEFORMAT ">
                      <w:r w:rsidR="0058201F">
                        <w:t>CED/C/21/2</w:t>
                      </w:r>
                    </w:fldSimple>
                  </w:p>
                  <w:p w14:paraId="1F17D331" w14:textId="77777777" w:rsidR="001A7C21" w:rsidRDefault="001A7C21"/>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CFDD" w14:textId="471C515F" w:rsidR="001A7C21" w:rsidRPr="003674C1" w:rsidRDefault="001A7C21" w:rsidP="001A7C21">
    <w:pPr>
      <w:pStyle w:val="En-tte"/>
      <w:jc w:val="right"/>
    </w:pPr>
    <w:fldSimple w:instr=" TITLE  \* MERGEFORMAT ">
      <w:r w:rsidR="0058201F">
        <w:t>CED/C/21/2</w:t>
      </w:r>
    </w:fldSimple>
    <w:r>
      <w:rPr>
        <w:noProof/>
      </w:rPr>
      <mc:AlternateContent>
        <mc:Choice Requires="wps">
          <w:drawing>
            <wp:anchor distT="0" distB="0" distL="114300" distR="114300" simplePos="0" relativeHeight="251666432" behindDoc="0" locked="0" layoutInCell="1" allowOverlap="1" wp14:anchorId="63D11398" wp14:editId="66E9A4E7">
              <wp:simplePos x="0" y="0"/>
              <wp:positionH relativeFrom="page">
                <wp:posOffset>9935845</wp:posOffset>
              </wp:positionH>
              <wp:positionV relativeFrom="margin">
                <wp:posOffset>0</wp:posOffset>
              </wp:positionV>
              <wp:extent cx="215900" cy="612013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100925" w14:textId="387EB6B6" w:rsidR="001A7C21" w:rsidRPr="001D2AE9" w:rsidRDefault="001A7C21" w:rsidP="003674C1">
                          <w:pPr>
                            <w:pStyle w:val="En-tte"/>
                            <w:jc w:val="right"/>
                          </w:pPr>
                          <w:fldSimple w:instr=" TITLE  \* MERGEFORMAT ">
                            <w:r w:rsidR="0058201F">
                              <w:t>CED/C/21/2</w:t>
                            </w:r>
                          </w:fldSimple>
                        </w:p>
                        <w:p w14:paraId="113BB260" w14:textId="77777777" w:rsidR="001A7C21" w:rsidRDefault="001A7C2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3D11398" id="_x0000_t202" coordsize="21600,21600" o:spt="202" path="m,l,21600r21600,l21600,xe">
              <v:stroke joinstyle="miter"/>
              <v:path gradientshapeok="t" o:connecttype="rect"/>
            </v:shapetype>
            <v:shape id="Zone de texte 14" o:spid="_x0000_s1031" type="#_x0000_t202" style="position:absolute;left:0;text-align:left;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" fillcolor="#4f81bd [3204]" stroked="f" strokeweight=".5pt">
              <v:fill opacity="0"/>
              <v:stroke joinstyle="round"/>
              <v:textbox style="layout-flow:vertical" inset="0,0,0,0">
                <w:txbxContent>
                  <w:p w14:paraId="5B100925" w14:textId="387EB6B6" w:rsidR="001A7C21" w:rsidRPr="001D2AE9" w:rsidRDefault="001A7C21" w:rsidP="003674C1">
                    <w:pPr>
                      <w:pStyle w:val="En-tte"/>
                      <w:jc w:val="right"/>
                    </w:pPr>
                    <w:fldSimple w:instr=" TITLE  \* MERGEFORMAT ">
                      <w:r w:rsidR="0058201F">
                        <w:t>CED/C/21/2</w:t>
                      </w:r>
                    </w:fldSimple>
                  </w:p>
                  <w:p w14:paraId="113BB260" w14:textId="77777777" w:rsidR="001A7C21" w:rsidRDefault="001A7C21"/>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49"/>
    <w:rsid w:val="00017F94"/>
    <w:rsid w:val="00022D2E"/>
    <w:rsid w:val="00023842"/>
    <w:rsid w:val="000334F9"/>
    <w:rsid w:val="0007796D"/>
    <w:rsid w:val="000B7790"/>
    <w:rsid w:val="00111F2F"/>
    <w:rsid w:val="00133EDE"/>
    <w:rsid w:val="0014365E"/>
    <w:rsid w:val="00176178"/>
    <w:rsid w:val="001A7C21"/>
    <w:rsid w:val="001B238E"/>
    <w:rsid w:val="001D2AE9"/>
    <w:rsid w:val="001F525A"/>
    <w:rsid w:val="00223272"/>
    <w:rsid w:val="0024779E"/>
    <w:rsid w:val="003674C1"/>
    <w:rsid w:val="00385688"/>
    <w:rsid w:val="00392B1D"/>
    <w:rsid w:val="00446FE5"/>
    <w:rsid w:val="00452396"/>
    <w:rsid w:val="004C4D99"/>
    <w:rsid w:val="005505B7"/>
    <w:rsid w:val="00573BE5"/>
    <w:rsid w:val="0058201F"/>
    <w:rsid w:val="00586ED3"/>
    <w:rsid w:val="00596AA9"/>
    <w:rsid w:val="00674E82"/>
    <w:rsid w:val="0071601D"/>
    <w:rsid w:val="0077586E"/>
    <w:rsid w:val="007A62E6"/>
    <w:rsid w:val="007E042C"/>
    <w:rsid w:val="0080684C"/>
    <w:rsid w:val="00871C75"/>
    <w:rsid w:val="008776DC"/>
    <w:rsid w:val="008C3C1B"/>
    <w:rsid w:val="009507F3"/>
    <w:rsid w:val="009705C8"/>
    <w:rsid w:val="00A30353"/>
    <w:rsid w:val="00AC3823"/>
    <w:rsid w:val="00AE323C"/>
    <w:rsid w:val="00B00181"/>
    <w:rsid w:val="00B765F7"/>
    <w:rsid w:val="00B90A5D"/>
    <w:rsid w:val="00B9212A"/>
    <w:rsid w:val="00BA0CA9"/>
    <w:rsid w:val="00BA7149"/>
    <w:rsid w:val="00C02897"/>
    <w:rsid w:val="00CE2527"/>
    <w:rsid w:val="00CF2BDE"/>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31F1D"/>
  <w15:docId w15:val="{1BC5D4DB-F65B-49A8-8CD5-FEB315C7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customStyle="1" w:styleId="content">
    <w:name w:val="content"/>
    <w:basedOn w:val="Policepardfaut"/>
    <w:rsid w:val="001A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News.aspx?NewsID=2041%206&amp;LangI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9</Pages>
  <Words>4443</Words>
  <Characters>24442</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CED/C/21/2</dc:title>
  <dc:subject/>
  <dc:creator>Maud DARICHE</dc:creator>
  <cp:keywords/>
  <cp:lastModifiedBy>Maud Dariche</cp:lastModifiedBy>
  <cp:revision>3</cp:revision>
  <cp:lastPrinted>2021-10-25T07:38:00Z</cp:lastPrinted>
  <dcterms:created xsi:type="dcterms:W3CDTF">2021-10-25T07:38:00Z</dcterms:created>
  <dcterms:modified xsi:type="dcterms:W3CDTF">2021-10-25T07:38:00Z</dcterms:modified>
</cp:coreProperties>
</file>