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76379C" w:rsidP="00C1528B">
            <w:pPr>
              <w:jc w:val="right"/>
            </w:pPr>
            <w:r w:rsidRPr="0076379C">
              <w:rPr>
                <w:sz w:val="40"/>
              </w:rPr>
              <w:t>CMW</w:t>
            </w:r>
            <w:r>
              <w:t>/C/PHL/Q/2</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rsidR="0076379C" w:rsidRDefault="0076379C" w:rsidP="0076379C">
            <w:pPr>
              <w:spacing w:before="240" w:line="240" w:lineRule="exact"/>
            </w:pPr>
            <w:r>
              <w:t xml:space="preserve">Distr.: </w:t>
            </w:r>
            <w:r w:rsidR="00C1528B">
              <w:t>General</w:t>
            </w:r>
          </w:p>
          <w:p w:rsidR="0076379C" w:rsidRDefault="003C2310" w:rsidP="0076379C">
            <w:pPr>
              <w:spacing w:line="240" w:lineRule="exact"/>
            </w:pPr>
            <w:r>
              <w:t>21</w:t>
            </w:r>
            <w:r w:rsidR="009C453B">
              <w:t xml:space="preserve"> May</w:t>
            </w:r>
            <w:r w:rsidR="0076379C">
              <w:t xml:space="preserve"> 2012</w:t>
            </w:r>
          </w:p>
          <w:p w:rsidR="0076379C" w:rsidRDefault="0076379C" w:rsidP="0076379C">
            <w:pPr>
              <w:spacing w:line="240" w:lineRule="exact"/>
            </w:pPr>
          </w:p>
          <w:p w:rsidR="00B56E9C" w:rsidRDefault="0076379C" w:rsidP="0076379C">
            <w:pPr>
              <w:spacing w:line="240" w:lineRule="exact"/>
            </w:pPr>
            <w:r>
              <w:t>Original: English</w:t>
            </w:r>
          </w:p>
        </w:tc>
      </w:tr>
    </w:tbl>
    <w:p w:rsidR="0076379C" w:rsidRPr="00EC531E" w:rsidRDefault="0076379C" w:rsidP="0076379C">
      <w:pPr>
        <w:spacing w:before="120"/>
        <w:rPr>
          <w:b/>
          <w:bCs/>
          <w:sz w:val="24"/>
          <w:szCs w:val="24"/>
        </w:rPr>
      </w:pPr>
      <w:r w:rsidRPr="00EC531E">
        <w:rPr>
          <w:b/>
          <w:bCs/>
          <w:sz w:val="24"/>
          <w:szCs w:val="24"/>
        </w:rPr>
        <w:t>Committee on the Protection of the Rights of All</w:t>
      </w:r>
      <w:r w:rsidRPr="00EC531E">
        <w:rPr>
          <w:b/>
          <w:bCs/>
          <w:sz w:val="24"/>
          <w:szCs w:val="24"/>
        </w:rPr>
        <w:br/>
        <w:t>Migrant Workers and Members of Their Families</w:t>
      </w:r>
    </w:p>
    <w:p w:rsidR="0076379C" w:rsidRPr="00F36741" w:rsidRDefault="0076379C" w:rsidP="0076379C">
      <w:pPr>
        <w:rPr>
          <w:b/>
          <w:bCs/>
          <w:sz w:val="24"/>
          <w:szCs w:val="24"/>
        </w:rPr>
      </w:pPr>
      <w:r w:rsidRPr="00F36741">
        <w:rPr>
          <w:b/>
          <w:bCs/>
        </w:rPr>
        <w:t>Sixteenth session</w:t>
      </w:r>
    </w:p>
    <w:p w:rsidR="003C2310" w:rsidRDefault="0076379C" w:rsidP="009E62C4">
      <w:pPr>
        <w:spacing w:line="240" w:lineRule="auto"/>
      </w:pPr>
      <w:r w:rsidRPr="00F36741">
        <w:t>1</w:t>
      </w:r>
      <w:r w:rsidR="005B2481">
        <w:t>6</w:t>
      </w:r>
      <w:r>
        <w:t>–</w:t>
      </w:r>
      <w:r w:rsidRPr="00F36741">
        <w:t>27 April 2012</w:t>
      </w:r>
    </w:p>
    <w:p w:rsidR="005B2481" w:rsidRDefault="0076379C" w:rsidP="005B2481">
      <w:pPr>
        <w:pStyle w:val="HChG"/>
        <w:rPr>
          <w:sz w:val="20"/>
        </w:rPr>
      </w:pPr>
      <w:r>
        <w:tab/>
      </w:r>
      <w:r>
        <w:tab/>
      </w:r>
      <w:r w:rsidR="00903D8A">
        <w:t>L</w:t>
      </w:r>
      <w:r w:rsidRPr="0076379C">
        <w:t xml:space="preserve">ist of issues prior to the submission of the second periodic report of the </w:t>
      </w:r>
      <w:smartTag w:uri="urn:schemas-microsoft-com:office:smarttags" w:element="country-region">
        <w:smartTag w:uri="urn:schemas-microsoft-com:office:smarttags" w:element="place">
          <w:r w:rsidRPr="0076379C">
            <w:t>Philippines</w:t>
          </w:r>
        </w:smartTag>
      </w:smartTag>
      <w:r w:rsidRPr="0076379C">
        <w:t xml:space="preserve"> (CMW/C/PHL/2)</w:t>
      </w:r>
      <w:r w:rsidR="00E96194" w:rsidRPr="00E96194">
        <w:rPr>
          <w:rStyle w:val="FootnoteReference"/>
          <w:sz w:val="20"/>
          <w:vertAlign w:val="baseline"/>
        </w:rPr>
        <w:footnoteReference w:customMarkFollows="1" w:id="2"/>
        <w:t>*</w:t>
      </w:r>
    </w:p>
    <w:p w:rsidR="005B2481" w:rsidRPr="005B2481" w:rsidRDefault="005B2481" w:rsidP="005B2481">
      <w:pPr>
        <w:pStyle w:val="H1G"/>
      </w:pPr>
      <w:r w:rsidRPr="005B2481">
        <w:tab/>
      </w:r>
      <w:r w:rsidRPr="005B2481">
        <w:tab/>
        <w:t>Specific information on the implementation of articles 1 to 71 of the Convention, including with regard to the Committee</w:t>
      </w:r>
      <w:r w:rsidR="001E218C">
        <w:t>’s</w:t>
      </w:r>
      <w:r w:rsidRPr="005B2481">
        <w:t xml:space="preserve"> previous recommendations</w:t>
      </w:r>
    </w:p>
    <w:p w:rsidR="0076379C" w:rsidRPr="000C5520" w:rsidRDefault="003A2B05" w:rsidP="003A2B05">
      <w:pPr>
        <w:pStyle w:val="HChG"/>
      </w:pPr>
      <w:r>
        <w:tab/>
      </w:r>
      <w:r w:rsidRPr="000C5520">
        <w:t>I.</w:t>
      </w:r>
      <w:r w:rsidRPr="000C5520">
        <w:tab/>
      </w:r>
      <w:r w:rsidR="0076379C" w:rsidRPr="000C5520">
        <w:t>General information</w:t>
      </w:r>
    </w:p>
    <w:p w:rsidR="0076379C" w:rsidRPr="000C5520" w:rsidRDefault="003A2B05" w:rsidP="003A2B05">
      <w:pPr>
        <w:pStyle w:val="SingleTxtG"/>
      </w:pPr>
      <w:r w:rsidRPr="000C5520">
        <w:t>1.</w:t>
      </w:r>
      <w:r w:rsidRPr="000C5520">
        <w:tab/>
      </w:r>
      <w:r w:rsidR="0076379C" w:rsidRPr="000C5520">
        <w:t xml:space="preserve">In light of the recommendations made by the Committee in paragraphs 14 and 50 of its concluding observations on the initial report of the </w:t>
      </w:r>
      <w:smartTag w:uri="urn:schemas-microsoft-com:office:smarttags" w:element="place">
        <w:smartTag w:uri="urn:schemas-microsoft-com:office:smarttags" w:element="country-region">
          <w:r w:rsidR="0076379C" w:rsidRPr="000C5520">
            <w:t>Philippines</w:t>
          </w:r>
        </w:smartTag>
      </w:smartTag>
      <w:r w:rsidR="0076379C" w:rsidRPr="000C5520">
        <w:t xml:space="preserve"> (CMW/C/PHL/CO/1), please provide information on the measures taken to improve </w:t>
      </w:r>
      <w:r w:rsidR="00FE6D88" w:rsidRPr="00FE6D88">
        <w:t xml:space="preserve">the capacity of the State party’s institutions </w:t>
      </w:r>
      <w:r w:rsidR="0076379C" w:rsidRPr="000C5520">
        <w:t>for effectively implementing the Convention by:</w:t>
      </w:r>
    </w:p>
    <w:p w:rsidR="0076379C" w:rsidRPr="000C5520" w:rsidRDefault="003A2B05" w:rsidP="003A2B05">
      <w:pPr>
        <w:pStyle w:val="SingleTxtG"/>
        <w:ind w:firstLine="567"/>
      </w:pPr>
      <w:r>
        <w:t>(</w:t>
      </w:r>
      <w:r w:rsidRPr="000C5520">
        <w:t>a</w:t>
      </w:r>
      <w:r>
        <w:t>)</w:t>
      </w:r>
      <w:r w:rsidRPr="000C5520">
        <w:tab/>
      </w:r>
      <w:r w:rsidR="0076379C" w:rsidRPr="000C5520">
        <w:t xml:space="preserve">Simplifying and streamlining the institutional structure dealing with migration issues; </w:t>
      </w:r>
    </w:p>
    <w:p w:rsidR="0076379C" w:rsidRPr="000C5520" w:rsidRDefault="003A2B05" w:rsidP="001E218C">
      <w:pPr>
        <w:pStyle w:val="SingleTxtG"/>
        <w:ind w:firstLine="567"/>
      </w:pPr>
      <w:r>
        <w:t>(b)</w:t>
      </w:r>
      <w:r w:rsidRPr="000C5520">
        <w:tab/>
      </w:r>
      <w:r w:rsidR="0076379C" w:rsidRPr="000C5520">
        <w:t xml:space="preserve">Allocating sufficient human and financial resources for agents within this structure to carry out their work efficiently; </w:t>
      </w:r>
    </w:p>
    <w:p w:rsidR="0076379C" w:rsidRPr="000C5520" w:rsidRDefault="003A2B05" w:rsidP="003A2B05">
      <w:pPr>
        <w:pStyle w:val="SingleTxtG"/>
        <w:ind w:firstLine="567"/>
      </w:pPr>
      <w:r>
        <w:t>(</w:t>
      </w:r>
      <w:r w:rsidRPr="000C5520">
        <w:t>c</w:t>
      </w:r>
      <w:r>
        <w:t>)</w:t>
      </w:r>
      <w:r>
        <w:tab/>
      </w:r>
      <w:r w:rsidR="0076379C" w:rsidRPr="000C5520">
        <w:t xml:space="preserve">Establishing proper follow-up procedures as well as clear, measurable and time-bound targets in order to facilitate tracking the implementation of the various initiatives and programmes in place to respond to challenges faced in the State party’s labour migration policy. Please </w:t>
      </w:r>
      <w:r w:rsidR="00C1528B">
        <w:t xml:space="preserve">also </w:t>
      </w:r>
      <w:r w:rsidR="0076379C" w:rsidRPr="000C5520">
        <w:t xml:space="preserve">provide </w:t>
      </w:r>
      <w:r w:rsidR="0076379C">
        <w:t xml:space="preserve">information on </w:t>
      </w:r>
      <w:r w:rsidR="0076379C" w:rsidRPr="000C5520">
        <w:t xml:space="preserve">the results of any evaluation </w:t>
      </w:r>
      <w:r w:rsidR="0076379C">
        <w:t>made in relation to the</w:t>
      </w:r>
      <w:r w:rsidR="0076379C" w:rsidRPr="000C5520">
        <w:t xml:space="preserve"> implementation </w:t>
      </w:r>
      <w:r w:rsidR="0076379C">
        <w:t xml:space="preserve">the Convention and </w:t>
      </w:r>
      <w:r w:rsidR="0076379C" w:rsidRPr="000C5520">
        <w:t xml:space="preserve">of </w:t>
      </w:r>
      <w:r w:rsidR="0076379C">
        <w:t xml:space="preserve">relevant national </w:t>
      </w:r>
      <w:r w:rsidR="0076379C" w:rsidRPr="000C5520">
        <w:t>legislation.</w:t>
      </w:r>
    </w:p>
    <w:p w:rsidR="0076379C" w:rsidRPr="000C5520" w:rsidRDefault="003A2B05" w:rsidP="001E218C">
      <w:pPr>
        <w:pStyle w:val="SingleTxtG"/>
      </w:pPr>
      <w:r w:rsidRPr="003A2B05">
        <w:t>2.</w:t>
      </w:r>
      <w:r w:rsidRPr="003A2B05">
        <w:tab/>
      </w:r>
      <w:r w:rsidR="0076379C" w:rsidRPr="003A2B05">
        <w:t>Please provide information on the progress made by the State party in gathering, processing and analy</w:t>
      </w:r>
      <w:r w:rsidR="001E218C">
        <w:t>s</w:t>
      </w:r>
      <w:r w:rsidR="0076379C" w:rsidRPr="003A2B05">
        <w:t>ing data relevant under the Convention, including through the Shared Government Information System on Migration (SGISM)</w:t>
      </w:r>
      <w:r w:rsidR="00C1528B">
        <w:t>,</w:t>
      </w:r>
      <w:r w:rsidR="0076379C" w:rsidRPr="003A2B05">
        <w:t xml:space="preserve"> and in improving the </w:t>
      </w:r>
      <w:r w:rsidR="00C1528B">
        <w:t>compilation</w:t>
      </w:r>
      <w:r w:rsidR="0076379C" w:rsidRPr="003A2B05">
        <w:t xml:space="preserve"> of statistic</w:t>
      </w:r>
      <w:r w:rsidR="00C1528B">
        <w:t>al data</w:t>
      </w:r>
      <w:r w:rsidR="0076379C" w:rsidRPr="003A2B05">
        <w:t>, or studies</w:t>
      </w:r>
      <w:r w:rsidR="0076379C" w:rsidRPr="000C5520">
        <w:rPr>
          <w:bCs/>
        </w:rPr>
        <w:t xml:space="preserve"> and </w:t>
      </w:r>
      <w:r w:rsidR="0076379C">
        <w:rPr>
          <w:bCs/>
        </w:rPr>
        <w:t>estimates</w:t>
      </w:r>
      <w:r w:rsidR="0076379C" w:rsidRPr="000C5520">
        <w:rPr>
          <w:bCs/>
        </w:rPr>
        <w:t xml:space="preserve">, </w:t>
      </w:r>
      <w:r w:rsidR="0076379C">
        <w:rPr>
          <w:bCs/>
        </w:rPr>
        <w:t>on</w:t>
      </w:r>
      <w:r w:rsidR="0076379C" w:rsidRPr="000C5520">
        <w:rPr>
          <w:bCs/>
        </w:rPr>
        <w:t xml:space="preserve"> migrants</w:t>
      </w:r>
      <w:r w:rsidR="0076379C">
        <w:rPr>
          <w:bCs/>
        </w:rPr>
        <w:t xml:space="preserve"> in an irregular situation</w:t>
      </w:r>
      <w:r w:rsidR="0076379C" w:rsidRPr="000C5520">
        <w:t xml:space="preserve">, in line with the recommendation </w:t>
      </w:r>
      <w:r w:rsidR="001E218C">
        <w:t xml:space="preserve">contained </w:t>
      </w:r>
      <w:r w:rsidR="0076379C" w:rsidRPr="000C5520">
        <w:t>in paragraph 20 of the Committee’s previous concluding observations</w:t>
      </w:r>
      <w:r w:rsidR="0076379C" w:rsidRPr="000C5520">
        <w:rPr>
          <w:bCs/>
        </w:rPr>
        <w:t>.</w:t>
      </w:r>
    </w:p>
    <w:p w:rsidR="0076379C" w:rsidRPr="000C5520" w:rsidRDefault="003A2B05" w:rsidP="002D31B0">
      <w:pPr>
        <w:pStyle w:val="SingleTxtG"/>
      </w:pPr>
      <w:r w:rsidRPr="000C5520">
        <w:t>3.</w:t>
      </w:r>
      <w:r w:rsidRPr="000C5520">
        <w:tab/>
      </w:r>
      <w:r w:rsidR="0076379C" w:rsidRPr="000C5520">
        <w:t xml:space="preserve">Please provide information on the State party’s cooperation with </w:t>
      </w:r>
      <w:r w:rsidR="00FE6D88" w:rsidRPr="00FE6D88">
        <w:t>civil society</w:t>
      </w:r>
      <w:r w:rsidR="0076379C" w:rsidRPr="000C5520">
        <w:t xml:space="preserve"> organizations working on migrants’ rights in relation to the implementation of the Convention and the preparation of </w:t>
      </w:r>
      <w:r w:rsidR="00FE6D88">
        <w:t>its</w:t>
      </w:r>
      <w:r w:rsidR="0076379C" w:rsidRPr="000C5520">
        <w:t xml:space="preserve"> </w:t>
      </w:r>
      <w:r w:rsidR="00C1528B">
        <w:t xml:space="preserve">periodic </w:t>
      </w:r>
      <w:r w:rsidR="0076379C" w:rsidRPr="000C5520">
        <w:t>report</w:t>
      </w:r>
      <w:r w:rsidR="00FE6D88">
        <w:t>s</w:t>
      </w:r>
      <w:r w:rsidR="0076379C" w:rsidRPr="000C5520">
        <w:t xml:space="preserve"> (see CMW/C/PHL/C</w:t>
      </w:r>
      <w:r>
        <w:t>O/1, para</w:t>
      </w:r>
      <w:r w:rsidR="002D31B0">
        <w:t>graphs</w:t>
      </w:r>
      <w:r>
        <w:t xml:space="preserve"> 22 (c), 50 and 52).</w:t>
      </w:r>
    </w:p>
    <w:p w:rsidR="0076379C" w:rsidRPr="000C5520" w:rsidRDefault="003A2B05" w:rsidP="003A2B05">
      <w:pPr>
        <w:pStyle w:val="SingleTxtG"/>
      </w:pPr>
      <w:r w:rsidRPr="000C5520">
        <w:t>4.</w:t>
      </w:r>
      <w:r w:rsidRPr="000C5520">
        <w:tab/>
      </w:r>
      <w:r w:rsidR="0076379C" w:rsidRPr="000C5520">
        <w:rPr>
          <w:bCs/>
        </w:rPr>
        <w:t>Please provide information on the measures taken by the State party to evaluate and further intensify training programmes on the application of the Convention for public officials working in the area of migration, including consular officials, border police officers, social workers, judges and prosecutors (CMW/C/PHL/CO/1, para. 22 (a)).</w:t>
      </w:r>
    </w:p>
    <w:p w:rsidR="0076379C" w:rsidRPr="000C5520" w:rsidRDefault="003A2B05" w:rsidP="003A2B05">
      <w:pPr>
        <w:pStyle w:val="SingleTxtG"/>
      </w:pPr>
      <w:r w:rsidRPr="000C5520">
        <w:t>5.</w:t>
      </w:r>
      <w:r w:rsidRPr="000C5520">
        <w:tab/>
      </w:r>
      <w:r w:rsidR="0076379C" w:rsidRPr="000C5520">
        <w:t>Please describe the measures taken by the State party to widely disseminate the Convention and the Committee’s previous concluding observations, in particular to government departments, Parliament, the judiciary, the national human rights institution and non-governmental organizations (CMW/C/PHL/CO/1, para. 53).</w:t>
      </w:r>
    </w:p>
    <w:p w:rsidR="0076379C" w:rsidRPr="000C5520" w:rsidRDefault="003A2B05" w:rsidP="003A2B05">
      <w:pPr>
        <w:pStyle w:val="SingleTxtG"/>
      </w:pPr>
      <w:r w:rsidRPr="000C5520">
        <w:t>6.</w:t>
      </w:r>
      <w:r w:rsidRPr="000C5520">
        <w:tab/>
      </w:r>
      <w:r w:rsidR="0076379C" w:rsidRPr="000C5520">
        <w:t>Please provide information on measures taken to strengthen the protection of Filipino migrant workers abroad by reviewing and amending bilateral and multilateral agreements, Memoranda of Understanding or other protective measures with countries of employment of Filipino migrant workers (CMW/C/PHL/CO/1, para. 32 (a)).</w:t>
      </w:r>
    </w:p>
    <w:p w:rsidR="0076379C" w:rsidRPr="000C5520" w:rsidRDefault="003A2B05" w:rsidP="003A2B05">
      <w:pPr>
        <w:pStyle w:val="SingleTxtG"/>
      </w:pPr>
      <w:r w:rsidRPr="000C5520">
        <w:t>7.</w:t>
      </w:r>
      <w:r w:rsidRPr="000C5520">
        <w:tab/>
      </w:r>
      <w:r w:rsidR="0076379C" w:rsidRPr="000C5520">
        <w:t xml:space="preserve">Please provide information on the mandate and activities of the Commission on Human Rights of the </w:t>
      </w:r>
      <w:smartTag w:uri="urn:schemas-microsoft-com:office:smarttags" w:element="place">
        <w:smartTag w:uri="urn:schemas-microsoft-com:office:smarttags" w:element="country-region">
          <w:r w:rsidR="0076379C" w:rsidRPr="000C5520">
            <w:t>Philippines</w:t>
          </w:r>
        </w:smartTag>
      </w:smartTag>
      <w:r w:rsidR="0076379C" w:rsidRPr="000C5520">
        <w:t xml:space="preserve"> to promote and protect the rights of migrant workers and members of their families</w:t>
      </w:r>
      <w:r w:rsidR="0076379C">
        <w:t xml:space="preserve"> </w:t>
      </w:r>
      <w:r w:rsidR="0076379C" w:rsidRPr="000C5520">
        <w:t>under the Convention, as well as on any plans to extend the mandate of the Commission to include economic, social and cultural rights of migrant workers.</w:t>
      </w:r>
    </w:p>
    <w:p w:rsidR="0076379C" w:rsidRDefault="003A2B05" w:rsidP="003A2B05">
      <w:pPr>
        <w:pStyle w:val="SingleTxtG"/>
      </w:pPr>
      <w:r w:rsidRPr="000C5520">
        <w:t>8.</w:t>
      </w:r>
      <w:r w:rsidRPr="000C5520">
        <w:tab/>
      </w:r>
      <w:r w:rsidR="00FE6D88" w:rsidRPr="00FE6D88">
        <w:t>Please provide information on the measures taken to prevent public officials from using corrupt practices to</w:t>
      </w:r>
      <w:r w:rsidR="001E218C">
        <w:t xml:space="preserve"> (</w:t>
      </w:r>
      <w:r w:rsidR="00FE6D88" w:rsidRPr="00FE6D88">
        <w:t>a</w:t>
      </w:r>
      <w:r w:rsidR="00C1528B">
        <w:t>)</w:t>
      </w:r>
      <w:r w:rsidR="001E218C">
        <w:t xml:space="preserve"> </w:t>
      </w:r>
      <w:r w:rsidR="00FE6D88" w:rsidRPr="00FE6D88">
        <w:t xml:space="preserve">obstruct migrants’ access to justice and </w:t>
      </w:r>
      <w:r w:rsidR="001E218C">
        <w:t>(</w:t>
      </w:r>
      <w:r w:rsidR="00FE6D88" w:rsidRPr="00FE6D88">
        <w:t>b</w:t>
      </w:r>
      <w:r w:rsidR="00C1528B">
        <w:t>)</w:t>
      </w:r>
      <w:r w:rsidR="0074695B">
        <w:t xml:space="preserve"> </w:t>
      </w:r>
      <w:r w:rsidR="00FE6D88" w:rsidRPr="00FE6D88">
        <w:t>favour child labour, e.g. by stating a higher age of migrant children on birth certificates.</w:t>
      </w:r>
    </w:p>
    <w:p w:rsidR="004E5636" w:rsidRPr="004E5636" w:rsidRDefault="004E5636" w:rsidP="004E5636">
      <w:pPr>
        <w:pStyle w:val="SingleTxtG"/>
      </w:pPr>
      <w:r>
        <w:t>9</w:t>
      </w:r>
      <w:r w:rsidRPr="004E5636">
        <w:t>.</w:t>
      </w:r>
      <w:r w:rsidRPr="004E5636">
        <w:tab/>
        <w:t xml:space="preserve">Please indicate whether the State party has undertaken and/or supported a comprehensive study on the situation of children of migrant </w:t>
      </w:r>
      <w:r w:rsidR="00C1528B">
        <w:t>workers</w:t>
      </w:r>
      <w:r w:rsidRPr="004E5636">
        <w:t xml:space="preserve">. Please also describe the progress made in developing and implementing strategies, policies and programmes, in collaboration with </w:t>
      </w:r>
      <w:r w:rsidR="00E50710">
        <w:t>non-governmental organizations (</w:t>
      </w:r>
      <w:r w:rsidRPr="004E5636">
        <w:t>NGOs</w:t>
      </w:r>
      <w:r w:rsidR="00E50710">
        <w:t>)</w:t>
      </w:r>
      <w:r w:rsidRPr="004E5636">
        <w:t>, to ensure the protection and promotion of the rights of migrant children through</w:t>
      </w:r>
      <w:r w:rsidRPr="004E5636">
        <w:rPr>
          <w:i/>
          <w:iCs/>
        </w:rPr>
        <w:t>,</w:t>
      </w:r>
      <w:r w:rsidRPr="004E5636">
        <w:t xml:space="preserve"> inter alia, community support programmes, education and information campaigns and school programmes (CMW/C/PHL/CO/1, para. 46). </w:t>
      </w:r>
    </w:p>
    <w:p w:rsidR="007E6FF4" w:rsidRDefault="00164523" w:rsidP="001E218C">
      <w:pPr>
        <w:pStyle w:val="SingleTxtG"/>
      </w:pPr>
      <w:r>
        <w:t>10</w:t>
      </w:r>
      <w:r w:rsidR="003A2B05" w:rsidRPr="000C5520">
        <w:t>.</w:t>
      </w:r>
      <w:r w:rsidR="003A2B05" w:rsidRPr="000C5520">
        <w:tab/>
      </w:r>
      <w:r w:rsidR="007E6FF4">
        <w:t xml:space="preserve">Please indicate whether the State party envisages ratifying International Labour Organization (ILO) </w:t>
      </w:r>
      <w:r w:rsidR="001E218C">
        <w:t xml:space="preserve">No. 189 (2011) </w:t>
      </w:r>
      <w:r w:rsidR="001E218C" w:rsidRPr="00287AD5">
        <w:t xml:space="preserve">concerning </w:t>
      </w:r>
      <w:r w:rsidR="001E218C">
        <w:t>Decent Work for Domestic Workers</w:t>
      </w:r>
      <w:r w:rsidR="007E6FF4">
        <w:t>.</w:t>
      </w:r>
    </w:p>
    <w:p w:rsidR="0076379C" w:rsidRPr="000C5520" w:rsidRDefault="007E6FF4" w:rsidP="003A2B05">
      <w:pPr>
        <w:pStyle w:val="SingleTxtG"/>
      </w:pPr>
      <w:r>
        <w:t>11.</w:t>
      </w:r>
      <w:r>
        <w:tab/>
      </w:r>
      <w:r w:rsidR="0076379C" w:rsidRPr="000C5520">
        <w:t>Please indicate whether the State party envisages making the declarations provided for in articles 76 and 77 of the Convention</w:t>
      </w:r>
      <w:r w:rsidR="00C1528B">
        <w:t>, as recommended in the Committee’s previous concluding observations</w:t>
      </w:r>
      <w:r w:rsidR="0076379C" w:rsidRPr="000C5520">
        <w:t xml:space="preserve"> (CMW/C/PHL/CO/1, para. 1</w:t>
      </w:r>
      <w:r w:rsidR="003A2B05">
        <w:t>8).</w:t>
      </w:r>
    </w:p>
    <w:p w:rsidR="0076379C" w:rsidRPr="000C5520" w:rsidRDefault="003A2B05" w:rsidP="003A2B05">
      <w:pPr>
        <w:pStyle w:val="HChG"/>
      </w:pPr>
      <w:r>
        <w:tab/>
      </w:r>
      <w:r w:rsidRPr="000C5520">
        <w:t>II.</w:t>
      </w:r>
      <w:r w:rsidRPr="000C5520">
        <w:tab/>
      </w:r>
      <w:r w:rsidR="0076379C" w:rsidRPr="000C5520">
        <w:t>Information relating to each of the articles of the Convention</w:t>
      </w:r>
    </w:p>
    <w:p w:rsidR="00487A76" w:rsidRDefault="003A2B05" w:rsidP="003A2B05">
      <w:pPr>
        <w:pStyle w:val="H1G"/>
      </w:pPr>
      <w:r>
        <w:tab/>
        <w:t>A.</w:t>
      </w:r>
      <w:r>
        <w:tab/>
      </w:r>
      <w:r w:rsidR="00487A76">
        <w:t>General principles</w:t>
      </w:r>
    </w:p>
    <w:p w:rsidR="0076379C" w:rsidRDefault="00487A76" w:rsidP="001E218C">
      <w:pPr>
        <w:pStyle w:val="H23G"/>
      </w:pPr>
      <w:r>
        <w:tab/>
      </w:r>
      <w:r>
        <w:tab/>
        <w:t>Articles</w:t>
      </w:r>
      <w:r w:rsidR="0076379C" w:rsidRPr="000C5520">
        <w:t xml:space="preserve"> 7</w:t>
      </w:r>
      <w:r w:rsidR="001E218C">
        <w:t xml:space="preserve"> and </w:t>
      </w:r>
      <w:r>
        <w:t>83</w:t>
      </w:r>
    </w:p>
    <w:p w:rsidR="00936E42" w:rsidRDefault="00E612A8" w:rsidP="003A2B05">
      <w:pPr>
        <w:pStyle w:val="SingleTxtG"/>
      </w:pPr>
      <w:r>
        <w:t>12</w:t>
      </w:r>
      <w:r w:rsidR="00936E42">
        <w:t>.</w:t>
      </w:r>
      <w:r w:rsidR="00936E42">
        <w:tab/>
        <w:t xml:space="preserve">Please provide information on the implementation of the Convention in </w:t>
      </w:r>
      <w:r w:rsidR="007A7370">
        <w:t xml:space="preserve">the </w:t>
      </w:r>
      <w:r w:rsidR="00936E42" w:rsidRPr="00936E42">
        <w:rPr>
          <w:lang w:val="en-US"/>
        </w:rPr>
        <w:t>Autonomous Region of Muslim Mindanao (ARMM)</w:t>
      </w:r>
      <w:r w:rsidR="00936E42">
        <w:rPr>
          <w:lang w:val="en-US"/>
        </w:rPr>
        <w:t xml:space="preserve"> </w:t>
      </w:r>
      <w:r w:rsidR="00936E42" w:rsidRPr="00936E42">
        <w:rPr>
          <w:lang w:val="en-US"/>
        </w:rPr>
        <w:t xml:space="preserve">given that the </w:t>
      </w:r>
      <w:r>
        <w:rPr>
          <w:lang w:val="en-US"/>
        </w:rPr>
        <w:t>ARMM</w:t>
      </w:r>
      <w:r w:rsidR="007948B5">
        <w:rPr>
          <w:lang w:val="en-US"/>
        </w:rPr>
        <w:t xml:space="preserve"> has a separate cabinet and a regional legislative assembly.</w:t>
      </w:r>
    </w:p>
    <w:p w:rsidR="0076379C" w:rsidRPr="000C5520" w:rsidRDefault="00E612A8" w:rsidP="003A2B05">
      <w:pPr>
        <w:pStyle w:val="SingleTxtG"/>
      </w:pPr>
      <w:r>
        <w:t>13</w:t>
      </w:r>
      <w:r w:rsidR="003A2B05" w:rsidRPr="000C5520">
        <w:t>.</w:t>
      </w:r>
      <w:r w:rsidR="003A2B05" w:rsidRPr="000C5520">
        <w:tab/>
      </w:r>
      <w:r w:rsidR="0076379C" w:rsidRPr="000C5520">
        <w:t>Please provide information on the steps taken by the State party to ensure that the exercise by migrant workers and members of their families of their rights under the Convention is not subject to the principle of reciprocity, in particular by aligning its domestic legislation with the Convent</w:t>
      </w:r>
      <w:r w:rsidR="003A2B05">
        <w:t>ion (CMW/C/PHL/CO/1, para. 24).</w:t>
      </w:r>
    </w:p>
    <w:p w:rsidR="0076379C" w:rsidRPr="000C5520" w:rsidRDefault="00E612A8" w:rsidP="003A2B05">
      <w:pPr>
        <w:pStyle w:val="SingleTxtG"/>
      </w:pPr>
      <w:r>
        <w:t>14</w:t>
      </w:r>
      <w:r w:rsidR="003A2B05" w:rsidRPr="000C5520">
        <w:t>.</w:t>
      </w:r>
      <w:r w:rsidR="003A2B05" w:rsidRPr="000C5520">
        <w:tab/>
      </w:r>
      <w:r w:rsidR="0076379C" w:rsidRPr="000C5520">
        <w:t>In light of paragraphs 26, 30 and 32 (b) of the Committee’s previous concluding observations, please provide information on the measures taken by the State party to:</w:t>
      </w:r>
    </w:p>
    <w:p w:rsidR="0076379C" w:rsidRPr="000C5520" w:rsidRDefault="003A2B05" w:rsidP="003A2B05">
      <w:pPr>
        <w:pStyle w:val="SingleTxtG"/>
        <w:ind w:firstLine="567"/>
      </w:pPr>
      <w:r>
        <w:t>(</w:t>
      </w:r>
      <w:r w:rsidRPr="000C5520">
        <w:t>a</w:t>
      </w:r>
      <w:r>
        <w:t>)</w:t>
      </w:r>
      <w:r w:rsidRPr="000C5520">
        <w:tab/>
      </w:r>
      <w:r w:rsidR="0076379C" w:rsidRPr="000C5520">
        <w:t>Strengthen its legal assistance to Filipino migrant workers;</w:t>
      </w:r>
    </w:p>
    <w:p w:rsidR="0076379C" w:rsidRPr="000C5520" w:rsidRDefault="003A2B05" w:rsidP="003A2B05">
      <w:pPr>
        <w:pStyle w:val="SingleTxtG"/>
        <w:ind w:firstLine="567"/>
      </w:pPr>
      <w:r>
        <w:t>(</w:t>
      </w:r>
      <w:r w:rsidRPr="000C5520">
        <w:t>b</w:t>
      </w:r>
      <w:r>
        <w:t>)</w:t>
      </w:r>
      <w:r w:rsidRPr="000C5520">
        <w:tab/>
      </w:r>
      <w:r w:rsidR="0076379C" w:rsidRPr="000C5520">
        <w:t>Inform Filipino migrant workers of the administrative and judicial remedies available to them;</w:t>
      </w:r>
    </w:p>
    <w:p w:rsidR="0076379C" w:rsidRPr="000C5520" w:rsidRDefault="003A2B05" w:rsidP="003A2B05">
      <w:pPr>
        <w:pStyle w:val="SingleTxtG"/>
        <w:ind w:firstLine="567"/>
      </w:pPr>
      <w:r>
        <w:t>(c)</w:t>
      </w:r>
      <w:r w:rsidRPr="000C5520">
        <w:tab/>
      </w:r>
      <w:r w:rsidR="0076379C" w:rsidRPr="000C5520">
        <w:t xml:space="preserve">Increase awareness among Filipino migrant workers, especially women domestic </w:t>
      </w:r>
      <w:r w:rsidR="00E612A8">
        <w:t>workers</w:t>
      </w:r>
      <w:r w:rsidR="0076379C" w:rsidRPr="000C5520">
        <w:t>, on the available mechanism</w:t>
      </w:r>
      <w:r w:rsidR="00E612A8">
        <w:t>s</w:t>
      </w:r>
      <w:r w:rsidR="0076379C" w:rsidRPr="000C5520">
        <w:t xml:space="preserve"> for bringing complaints against employers so that any abuses can be investigated and punished;</w:t>
      </w:r>
    </w:p>
    <w:p w:rsidR="0076379C" w:rsidRPr="000C5520" w:rsidRDefault="003A2B05" w:rsidP="003A2B05">
      <w:pPr>
        <w:pStyle w:val="SingleTxtG"/>
        <w:ind w:firstLine="567"/>
      </w:pPr>
      <w:r>
        <w:t>(</w:t>
      </w:r>
      <w:r w:rsidRPr="000C5520">
        <w:t>d</w:t>
      </w:r>
      <w:r>
        <w:t>)</w:t>
      </w:r>
      <w:r w:rsidRPr="000C5520">
        <w:tab/>
      </w:r>
      <w:r w:rsidR="0076379C" w:rsidRPr="000C5520">
        <w:t>Ensure that consular services respond effectively to the need for protection of Filipino migrant workers and members of their families;</w:t>
      </w:r>
    </w:p>
    <w:p w:rsidR="0076379C" w:rsidRDefault="003A2B05" w:rsidP="001E218C">
      <w:pPr>
        <w:pStyle w:val="SingleTxtG"/>
        <w:ind w:firstLine="567"/>
      </w:pPr>
      <w:r>
        <w:t>(e)</w:t>
      </w:r>
      <w:r>
        <w:tab/>
      </w:r>
      <w:r w:rsidR="0076379C" w:rsidRPr="000C5520">
        <w:t>Ensure that its diplomatic and consular staff abroad are knowledgeable about the laws and procedures of the countries of employment of Filipino migrant workers, especially in those countries categorized as “highly problematic” by the D</w:t>
      </w:r>
      <w:r w:rsidR="00E612A8">
        <w:t xml:space="preserve">epartment of </w:t>
      </w:r>
      <w:r w:rsidR="0076379C" w:rsidRPr="000C5520">
        <w:t>F</w:t>
      </w:r>
      <w:r w:rsidR="00E612A8">
        <w:t xml:space="preserve">oreign </w:t>
      </w:r>
      <w:r w:rsidR="0076379C" w:rsidRPr="000C5520">
        <w:t>A</w:t>
      </w:r>
      <w:r w:rsidR="00E612A8">
        <w:t>ffairs</w:t>
      </w:r>
      <w:r w:rsidR="0076379C" w:rsidRPr="000C5520">
        <w:t xml:space="preserve"> </w:t>
      </w:r>
      <w:r w:rsidR="00E612A8">
        <w:t xml:space="preserve">(DFA) </w:t>
      </w:r>
      <w:r w:rsidR="0076379C" w:rsidRPr="000C5520">
        <w:t xml:space="preserve">and the </w:t>
      </w:r>
      <w:r w:rsidR="00E612A8">
        <w:t>Department of Labour and Employment (</w:t>
      </w:r>
      <w:r w:rsidR="0076379C" w:rsidRPr="000C5520">
        <w:t>DOLE</w:t>
      </w:r>
      <w:r w:rsidR="00E612A8">
        <w:t>)</w:t>
      </w:r>
      <w:r w:rsidR="0076379C" w:rsidRPr="000C5520">
        <w:t>;</w:t>
      </w:r>
    </w:p>
    <w:p w:rsidR="0076379C" w:rsidRPr="000C5520" w:rsidRDefault="003A2B05" w:rsidP="003A2B05">
      <w:pPr>
        <w:pStyle w:val="SingleTxtG"/>
        <w:ind w:firstLine="567"/>
      </w:pPr>
      <w:r>
        <w:t>(</w:t>
      </w:r>
      <w:r w:rsidRPr="000C5520">
        <w:t>f</w:t>
      </w:r>
      <w:r>
        <w:t>)</w:t>
      </w:r>
      <w:r w:rsidRPr="000C5520">
        <w:tab/>
      </w:r>
      <w:r w:rsidR="0076379C" w:rsidRPr="000C5520">
        <w:t>Undertake regular performance and financial audits of government personnel and agencies dealing with migration issues</w:t>
      </w:r>
      <w:r w:rsidR="005B2481">
        <w:t>.</w:t>
      </w:r>
    </w:p>
    <w:p w:rsidR="0076379C" w:rsidRPr="000C5520" w:rsidRDefault="00E612A8" w:rsidP="003A2B05">
      <w:pPr>
        <w:pStyle w:val="SingleTxtG"/>
      </w:pPr>
      <w:r>
        <w:t>15</w:t>
      </w:r>
      <w:r w:rsidR="003A2B05" w:rsidRPr="000C5520">
        <w:t>.</w:t>
      </w:r>
      <w:r w:rsidR="003A2B05" w:rsidRPr="000C5520">
        <w:tab/>
      </w:r>
      <w:r w:rsidR="0076379C" w:rsidRPr="000C5520">
        <w:t xml:space="preserve">Please provide information on the assistance provided through embassy and consulate staff abroad to migrant workers victims of the </w:t>
      </w:r>
      <w:r w:rsidR="0076379C" w:rsidRPr="000C5520">
        <w:rPr>
          <w:lang w:val="en-US"/>
        </w:rPr>
        <w:t>“sponsorship”</w:t>
      </w:r>
      <w:r w:rsidR="0076379C" w:rsidRPr="000C5520">
        <w:rPr>
          <w:rFonts w:eastAsia="SimSun"/>
          <w:bCs/>
          <w:lang w:eastAsia="zh-CN"/>
        </w:rPr>
        <w:t xml:space="preserve"> </w:t>
      </w:r>
      <w:r w:rsidR="0076379C" w:rsidRPr="000C5520">
        <w:rPr>
          <w:bCs/>
        </w:rPr>
        <w:t xml:space="preserve">or </w:t>
      </w:r>
      <w:r w:rsidR="0076379C" w:rsidRPr="000C5520">
        <w:rPr>
          <w:bCs/>
          <w:i/>
          <w:iCs/>
        </w:rPr>
        <w:t>kafalah</w:t>
      </w:r>
      <w:r w:rsidR="0076379C" w:rsidRPr="000C5520">
        <w:rPr>
          <w:bCs/>
        </w:rPr>
        <w:t xml:space="preserve"> system </w:t>
      </w:r>
      <w:r w:rsidR="000F40E6" w:rsidRPr="000F40E6">
        <w:rPr>
          <w:bCs/>
        </w:rPr>
        <w:t>in Gulf countries,</w:t>
      </w:r>
      <w:r w:rsidR="000F40E6">
        <w:rPr>
          <w:bCs/>
        </w:rPr>
        <w:t xml:space="preserve"> </w:t>
      </w:r>
      <w:r w:rsidR="0076379C" w:rsidRPr="000C5520">
        <w:rPr>
          <w:bCs/>
        </w:rPr>
        <w:t>especially for women domestic workers</w:t>
      </w:r>
      <w:r w:rsidR="000F40E6">
        <w:rPr>
          <w:bCs/>
        </w:rPr>
        <w:t>,</w:t>
      </w:r>
      <w:r w:rsidR="0076379C" w:rsidRPr="000C5520">
        <w:rPr>
          <w:bCs/>
        </w:rPr>
        <w:t xml:space="preserve"> and on endeavours to negotiate a reform or review of such a system with the relevant countries of </w:t>
      </w:r>
      <w:r>
        <w:rPr>
          <w:bCs/>
        </w:rPr>
        <w:t>employment</w:t>
      </w:r>
      <w:r w:rsidR="0076379C" w:rsidRPr="000C5520">
        <w:rPr>
          <w:bCs/>
        </w:rPr>
        <w:t xml:space="preserve"> (CMW/C/PHL/CO/1, para. 32 (d)).</w:t>
      </w:r>
    </w:p>
    <w:p w:rsidR="00487A76" w:rsidRDefault="003A2B05" w:rsidP="003A2B05">
      <w:pPr>
        <w:pStyle w:val="H1G"/>
      </w:pPr>
      <w:r>
        <w:tab/>
        <w:t>B</w:t>
      </w:r>
      <w:r w:rsidRPr="000C5520">
        <w:t>.</w:t>
      </w:r>
      <w:r w:rsidRPr="000C5520">
        <w:tab/>
      </w:r>
      <w:r w:rsidR="0076379C" w:rsidRPr="000C5520">
        <w:t>Part III of the Convention</w:t>
      </w:r>
    </w:p>
    <w:p w:rsidR="004458AA" w:rsidRPr="007525BF" w:rsidRDefault="005B2481" w:rsidP="00DE486F">
      <w:pPr>
        <w:pStyle w:val="H23G"/>
      </w:pPr>
      <w:r>
        <w:tab/>
      </w:r>
      <w:r>
        <w:tab/>
      </w:r>
      <w:r w:rsidR="004458AA" w:rsidRPr="007525BF">
        <w:t>Articles</w:t>
      </w:r>
      <w:r w:rsidR="00CC583A" w:rsidRPr="007525BF">
        <w:t xml:space="preserve"> </w:t>
      </w:r>
      <w:r w:rsidR="00831ADA" w:rsidRPr="007525BF">
        <w:t>10</w:t>
      </w:r>
      <w:r w:rsidR="00DE486F">
        <w:t xml:space="preserve"> and </w:t>
      </w:r>
      <w:r w:rsidR="00831ADA" w:rsidRPr="007525BF">
        <w:t>11</w:t>
      </w:r>
    </w:p>
    <w:p w:rsidR="0076379C" w:rsidRDefault="00352F0D" w:rsidP="004F3A81">
      <w:pPr>
        <w:pStyle w:val="SingleTxtG"/>
      </w:pPr>
      <w:r>
        <w:t>16</w:t>
      </w:r>
      <w:r w:rsidR="003A2B05" w:rsidRPr="007525BF">
        <w:t>.</w:t>
      </w:r>
      <w:r w:rsidR="003A2B05" w:rsidRPr="007525BF">
        <w:tab/>
      </w:r>
      <w:r w:rsidR="0076379C" w:rsidRPr="007525BF">
        <w:t>Please provide</w:t>
      </w:r>
      <w:r w:rsidR="0076379C" w:rsidRPr="000C5520">
        <w:t xml:space="preserve"> information on the measures taken to </w:t>
      </w:r>
      <w:r w:rsidR="000F40E6">
        <w:t>fight</w:t>
      </w:r>
      <w:r w:rsidR="0076379C" w:rsidRPr="000C5520">
        <w:t xml:space="preserve"> the exploitation of prostitution of migrant women in the State party, particularly in the context of sex</w:t>
      </w:r>
      <w:r w:rsidR="004F3A81">
        <w:t xml:space="preserve"> </w:t>
      </w:r>
      <w:r w:rsidR="0076379C" w:rsidRPr="000C5520">
        <w:t xml:space="preserve">tourism, as well as </w:t>
      </w:r>
      <w:r w:rsidR="007C4555">
        <w:t xml:space="preserve">on </w:t>
      </w:r>
      <w:r w:rsidR="0076379C" w:rsidRPr="000C5520">
        <w:t xml:space="preserve">the measures taken to protect migrant children in the State party from </w:t>
      </w:r>
      <w:r w:rsidR="00143877">
        <w:t>forced labour</w:t>
      </w:r>
      <w:r w:rsidR="0076379C" w:rsidRPr="000C5520">
        <w:t xml:space="preserve"> </w:t>
      </w:r>
      <w:r w:rsidR="007C4555">
        <w:t>and</w:t>
      </w:r>
      <w:r w:rsidR="0076379C" w:rsidRPr="000C5520">
        <w:t xml:space="preserve"> from sexual exploitation and abuse.</w:t>
      </w:r>
    </w:p>
    <w:p w:rsidR="00CC583A" w:rsidRPr="00CC583A" w:rsidRDefault="005B2481" w:rsidP="005B2481">
      <w:pPr>
        <w:pStyle w:val="H23G"/>
      </w:pPr>
      <w:r>
        <w:tab/>
      </w:r>
      <w:r>
        <w:tab/>
      </w:r>
      <w:r w:rsidR="00CC583A">
        <w:t>Article 29</w:t>
      </w:r>
    </w:p>
    <w:p w:rsidR="0076379C" w:rsidRDefault="00352F0D" w:rsidP="00487A76">
      <w:pPr>
        <w:pStyle w:val="SingleTxtG"/>
      </w:pPr>
      <w:r>
        <w:t>17</w:t>
      </w:r>
      <w:r w:rsidR="003A2B05" w:rsidRPr="000C7256">
        <w:t>.</w:t>
      </w:r>
      <w:r w:rsidR="003A2B05" w:rsidRPr="000C7256">
        <w:tab/>
      </w:r>
      <w:r w:rsidR="0076379C" w:rsidRPr="000C5520">
        <w:t xml:space="preserve">Please provide information on </w:t>
      </w:r>
      <w:r w:rsidR="0076379C">
        <w:t xml:space="preserve">the </w:t>
      </w:r>
      <w:r w:rsidR="0076379C" w:rsidRPr="000C5520">
        <w:t xml:space="preserve">measures taken to </w:t>
      </w:r>
      <w:r w:rsidR="0076379C">
        <w:t>promote</w:t>
      </w:r>
      <w:r w:rsidR="0076379C" w:rsidRPr="000C5520">
        <w:t xml:space="preserve"> the birth registration of </w:t>
      </w:r>
      <w:r w:rsidR="0076379C">
        <w:t>Filipino migrant children abroad, including those in an irregular situation,</w:t>
      </w:r>
      <w:r w:rsidR="0076379C" w:rsidRPr="000C5520">
        <w:t xml:space="preserve"> and </w:t>
      </w:r>
      <w:r w:rsidR="0076379C">
        <w:t xml:space="preserve">to ensure the birth registration of </w:t>
      </w:r>
      <w:r w:rsidR="0076379C" w:rsidRPr="000C5520">
        <w:t xml:space="preserve">foreign migrant </w:t>
      </w:r>
      <w:r w:rsidR="0076379C">
        <w:t>children</w:t>
      </w:r>
      <w:r w:rsidR="0076379C" w:rsidRPr="000C5520">
        <w:t xml:space="preserve"> in the State party.</w:t>
      </w:r>
    </w:p>
    <w:p w:rsidR="00CC583A" w:rsidRPr="00CC583A" w:rsidRDefault="005B2481" w:rsidP="005B2481">
      <w:pPr>
        <w:pStyle w:val="H23G"/>
      </w:pPr>
      <w:r>
        <w:tab/>
      </w:r>
      <w:r>
        <w:tab/>
      </w:r>
      <w:r w:rsidR="00CC583A">
        <w:t>Article 33</w:t>
      </w:r>
    </w:p>
    <w:p w:rsidR="0076379C" w:rsidRDefault="00352F0D" w:rsidP="00487A76">
      <w:pPr>
        <w:pStyle w:val="SingleTxtG"/>
        <w:rPr>
          <w:bCs/>
        </w:rPr>
      </w:pPr>
      <w:r>
        <w:t>18</w:t>
      </w:r>
      <w:r w:rsidR="003A2B05" w:rsidRPr="000C5520">
        <w:t>.</w:t>
      </w:r>
      <w:r w:rsidR="003A2B05" w:rsidRPr="000C5520">
        <w:tab/>
      </w:r>
      <w:r w:rsidR="0076379C" w:rsidRPr="000C5520">
        <w:rPr>
          <w:bCs/>
        </w:rPr>
        <w:t xml:space="preserve">Please provide information on pre-departure </w:t>
      </w:r>
      <w:r w:rsidR="000F40E6">
        <w:rPr>
          <w:bCs/>
        </w:rPr>
        <w:t>program</w:t>
      </w:r>
      <w:r w:rsidR="007C4555">
        <w:rPr>
          <w:bCs/>
        </w:rPr>
        <w:t>me</w:t>
      </w:r>
      <w:r w:rsidR="000F40E6">
        <w:rPr>
          <w:bCs/>
        </w:rPr>
        <w:t>s</w:t>
      </w:r>
      <w:r w:rsidR="0076379C" w:rsidRPr="000C5520">
        <w:rPr>
          <w:bCs/>
        </w:rPr>
        <w:t xml:space="preserve"> for Filipino </w:t>
      </w:r>
      <w:r w:rsidR="00133756">
        <w:rPr>
          <w:bCs/>
        </w:rPr>
        <w:t>nationals</w:t>
      </w:r>
      <w:r w:rsidR="0076379C" w:rsidRPr="000C5520">
        <w:rPr>
          <w:bCs/>
        </w:rPr>
        <w:t xml:space="preserve"> considering migration. In this regard, please indicate the measures taken by the State party to implement the recommendations </w:t>
      </w:r>
      <w:r w:rsidR="001E218C">
        <w:rPr>
          <w:bCs/>
        </w:rPr>
        <w:t xml:space="preserve">contained </w:t>
      </w:r>
      <w:r w:rsidR="0076379C" w:rsidRPr="000C5520">
        <w:rPr>
          <w:bCs/>
        </w:rPr>
        <w:t>in paragraph 22 (b) to (d) of the Committee’s previous concluding observations.</w:t>
      </w:r>
    </w:p>
    <w:p w:rsidR="000F40E6" w:rsidRDefault="000F40E6" w:rsidP="00487A76">
      <w:pPr>
        <w:pStyle w:val="SingleTxtG"/>
        <w:rPr>
          <w:bCs/>
        </w:rPr>
      </w:pPr>
      <w:r>
        <w:rPr>
          <w:bCs/>
        </w:rPr>
        <w:t>19.</w:t>
      </w:r>
      <w:r w:rsidR="00133756">
        <w:rPr>
          <w:bCs/>
        </w:rPr>
        <w:tab/>
      </w:r>
      <w:r w:rsidRPr="000F40E6">
        <w:rPr>
          <w:bCs/>
        </w:rPr>
        <w:t xml:space="preserve">Please provide information on </w:t>
      </w:r>
      <w:r w:rsidR="00133756">
        <w:rPr>
          <w:bCs/>
        </w:rPr>
        <w:t xml:space="preserve">the </w:t>
      </w:r>
      <w:r w:rsidRPr="000F40E6">
        <w:rPr>
          <w:bCs/>
        </w:rPr>
        <w:t xml:space="preserve">measures </w:t>
      </w:r>
      <w:r w:rsidR="00133756">
        <w:rPr>
          <w:bCs/>
        </w:rPr>
        <w:t xml:space="preserve">taken </w:t>
      </w:r>
      <w:r w:rsidRPr="000F40E6">
        <w:rPr>
          <w:bCs/>
        </w:rPr>
        <w:t>to ensure that migrant workers arriving in, or preparing to come to, t</w:t>
      </w:r>
      <w:r w:rsidR="00DA6C8B">
        <w:rPr>
          <w:bCs/>
        </w:rPr>
        <w:t xml:space="preserve">he State party have access to </w:t>
      </w:r>
      <w:r w:rsidRPr="000F40E6">
        <w:rPr>
          <w:bCs/>
        </w:rPr>
        <w:t>clear information on immigration procedure</w:t>
      </w:r>
      <w:r w:rsidR="00DA6C8B">
        <w:rPr>
          <w:bCs/>
        </w:rPr>
        <w:t>s</w:t>
      </w:r>
      <w:r w:rsidRPr="000F40E6">
        <w:rPr>
          <w:bCs/>
        </w:rPr>
        <w:t>, including full information on</w:t>
      </w:r>
      <w:r w:rsidR="00DA6C8B">
        <w:rPr>
          <w:bCs/>
        </w:rPr>
        <w:t xml:space="preserve"> exit and entry visa guidelines and</w:t>
      </w:r>
      <w:r w:rsidRPr="000F40E6">
        <w:rPr>
          <w:bCs/>
        </w:rPr>
        <w:t xml:space="preserve"> registration. </w:t>
      </w:r>
      <w:r w:rsidR="00133756">
        <w:rPr>
          <w:bCs/>
        </w:rPr>
        <w:t>Please</w:t>
      </w:r>
      <w:r w:rsidRPr="000F40E6">
        <w:rPr>
          <w:bCs/>
        </w:rPr>
        <w:t xml:space="preserve"> clarify what Government institution is responsible for providing such information and if any coordinated policies, program</w:t>
      </w:r>
      <w:r w:rsidR="00133756">
        <w:rPr>
          <w:bCs/>
        </w:rPr>
        <w:t>me</w:t>
      </w:r>
      <w:r w:rsidRPr="000F40E6">
        <w:rPr>
          <w:bCs/>
        </w:rPr>
        <w:t>s or legislation have been developed to ensure transparency and accountability in this process.</w:t>
      </w:r>
    </w:p>
    <w:p w:rsidR="00BF5AC3" w:rsidRDefault="00487A76" w:rsidP="00487A76">
      <w:pPr>
        <w:pStyle w:val="H1G"/>
      </w:pPr>
      <w:r>
        <w:tab/>
      </w:r>
      <w:r w:rsidR="00BF5AC3">
        <w:t>C</w:t>
      </w:r>
      <w:r w:rsidR="003A2B05" w:rsidRPr="000C5520">
        <w:t>.</w:t>
      </w:r>
      <w:r w:rsidR="003A2B05" w:rsidRPr="000C5520">
        <w:tab/>
      </w:r>
      <w:r w:rsidR="0076379C" w:rsidRPr="000C5520">
        <w:t>Part IV of the Convention</w:t>
      </w:r>
    </w:p>
    <w:p w:rsidR="0076379C" w:rsidRPr="005B2481" w:rsidRDefault="00BF5AC3" w:rsidP="005B2481">
      <w:pPr>
        <w:pStyle w:val="H23G"/>
      </w:pPr>
      <w:r w:rsidRPr="005B2481">
        <w:tab/>
      </w:r>
      <w:r w:rsidRPr="005B2481">
        <w:tab/>
        <w:t xml:space="preserve">Article </w:t>
      </w:r>
      <w:r w:rsidR="00F07075" w:rsidRPr="005B2481">
        <w:t>40</w:t>
      </w:r>
    </w:p>
    <w:p w:rsidR="0076379C" w:rsidRPr="00274E11" w:rsidRDefault="00DA6C8B" w:rsidP="005B2481">
      <w:pPr>
        <w:pStyle w:val="SingleTxtG"/>
      </w:pPr>
      <w:r>
        <w:t>20</w:t>
      </w:r>
      <w:r w:rsidR="00274E11" w:rsidRPr="00274E11">
        <w:t>.</w:t>
      </w:r>
      <w:r w:rsidR="00274E11" w:rsidRPr="00274E11">
        <w:tab/>
      </w:r>
      <w:r w:rsidR="0076379C" w:rsidRPr="000C5520">
        <w:t xml:space="preserve">Please provide information on the measures taken by the State party, </w:t>
      </w:r>
      <w:r w:rsidR="00B867F1">
        <w:t>in particular with respect to</w:t>
      </w:r>
      <w:r w:rsidR="0076379C" w:rsidRPr="000C5520">
        <w:t xml:space="preserve"> legislative amendments to sections 269 and 272 (b) of the Labour Code, to guarantee to all migrant workers and members of their families </w:t>
      </w:r>
      <w:r w:rsidR="00133756">
        <w:t>in a regular situation</w:t>
      </w:r>
      <w:r w:rsidR="0076379C" w:rsidRPr="000C5520">
        <w:t xml:space="preserve"> </w:t>
      </w:r>
      <w:r w:rsidR="00133756">
        <w:t>in the State party</w:t>
      </w:r>
      <w:r w:rsidR="0076379C" w:rsidRPr="000C5520">
        <w:t xml:space="preserve"> the right to join, form and to form part of the leadership of, associations and </w:t>
      </w:r>
      <w:r w:rsidR="00133756">
        <w:t xml:space="preserve">trade </w:t>
      </w:r>
      <w:r w:rsidR="0076379C" w:rsidRPr="000C5520">
        <w:t>unions, in accordance with article 40 of the Convention, as well as with ILO Convention No. 87 (1948) concerning Freedom of Association and Protection of the Right to Organise, and irrespective of reciprocity (CMW/C/PHL/CO/1, para. 34).</w:t>
      </w:r>
    </w:p>
    <w:p w:rsidR="00F07075" w:rsidRPr="000C5520" w:rsidRDefault="005B2481" w:rsidP="005B2481">
      <w:pPr>
        <w:pStyle w:val="H23G"/>
      </w:pPr>
      <w:r>
        <w:tab/>
      </w:r>
      <w:r>
        <w:tab/>
      </w:r>
      <w:r w:rsidR="00F07075" w:rsidRPr="00F07075">
        <w:t>Article</w:t>
      </w:r>
      <w:r w:rsidR="00460EA9">
        <w:t xml:space="preserve"> 41</w:t>
      </w:r>
    </w:p>
    <w:p w:rsidR="0076379C" w:rsidRPr="000C5520" w:rsidRDefault="00DA6C8B" w:rsidP="005B2481">
      <w:pPr>
        <w:pStyle w:val="SingleTxtG"/>
      </w:pPr>
      <w:r>
        <w:t>21</w:t>
      </w:r>
      <w:r w:rsidR="003A2B05" w:rsidRPr="000C5520">
        <w:t>.</w:t>
      </w:r>
      <w:r w:rsidR="003A2B05" w:rsidRPr="000C5520">
        <w:tab/>
      </w:r>
      <w:r w:rsidR="0076379C" w:rsidRPr="000C5520">
        <w:t xml:space="preserve">Please provide information on the measures taken to implement the recommendations </w:t>
      </w:r>
      <w:r w:rsidR="001E218C">
        <w:t xml:space="preserve">contained </w:t>
      </w:r>
      <w:r w:rsidR="0076379C" w:rsidRPr="000C5520">
        <w:t xml:space="preserve">in paragraph 36 of the Committee’s previous concluding observations, with a view to ensuring the right of Filipino migrant workers to </w:t>
      </w:r>
      <w:r w:rsidR="00F60165" w:rsidRPr="00F60165">
        <w:t xml:space="preserve">participate in public affairs and to vote and to be elected at elections of </w:t>
      </w:r>
      <w:r w:rsidR="00133756">
        <w:t>the</w:t>
      </w:r>
      <w:r w:rsidR="00F60165" w:rsidRPr="00F60165">
        <w:t xml:space="preserve"> State </w:t>
      </w:r>
      <w:r w:rsidR="00133756">
        <w:t>party</w:t>
      </w:r>
      <w:r w:rsidR="0076379C" w:rsidRPr="000C5520">
        <w:t>.</w:t>
      </w:r>
    </w:p>
    <w:p w:rsidR="00BF5AC3" w:rsidRDefault="00BF5AC3" w:rsidP="00BF5AC3">
      <w:pPr>
        <w:pStyle w:val="H1G"/>
      </w:pPr>
      <w:r>
        <w:tab/>
        <w:t>D.</w:t>
      </w:r>
      <w:r w:rsidR="003A2B05" w:rsidRPr="000C5520">
        <w:tab/>
      </w:r>
      <w:r w:rsidR="0076379C" w:rsidRPr="000C5520">
        <w:t>Part VI of the Convention</w:t>
      </w:r>
    </w:p>
    <w:p w:rsidR="008D7977" w:rsidRPr="008D7977" w:rsidRDefault="00460EA9" w:rsidP="008D7977">
      <w:pPr>
        <w:pStyle w:val="H23G"/>
        <w:rPr>
          <w:bCs/>
        </w:rPr>
      </w:pPr>
      <w:r>
        <w:tab/>
      </w:r>
      <w:r>
        <w:tab/>
      </w:r>
      <w:r w:rsidR="008D7977">
        <w:rPr>
          <w:bCs/>
        </w:rPr>
        <w:t>Article 64</w:t>
      </w:r>
    </w:p>
    <w:p w:rsidR="008D7977" w:rsidRPr="008D7977" w:rsidRDefault="00DA6C8B" w:rsidP="005B2481">
      <w:pPr>
        <w:pStyle w:val="SingleTxtG"/>
      </w:pPr>
      <w:r>
        <w:t>22</w:t>
      </w:r>
      <w:r w:rsidR="008D7977" w:rsidRPr="008D7977">
        <w:t>.</w:t>
      </w:r>
      <w:r w:rsidR="008D7977" w:rsidRPr="008D7977">
        <w:tab/>
        <w:t xml:space="preserve">Please provide information on </w:t>
      </w:r>
      <w:r w:rsidR="00133756">
        <w:t xml:space="preserve">the </w:t>
      </w:r>
      <w:r w:rsidR="008D7977" w:rsidRPr="008D7977">
        <w:t xml:space="preserve">measures </w:t>
      </w:r>
      <w:r w:rsidR="00133756">
        <w:t xml:space="preserve">taken </w:t>
      </w:r>
      <w:r w:rsidR="008D7977" w:rsidRPr="008D7977">
        <w:t>to prevent irregular migration, including through international agreements, policies and program</w:t>
      </w:r>
      <w:r w:rsidR="00133756">
        <w:t>me</w:t>
      </w:r>
      <w:r w:rsidR="008D7977" w:rsidRPr="008D7977">
        <w:t xml:space="preserve">s. </w:t>
      </w:r>
      <w:r w:rsidR="00133756">
        <w:t>Please</w:t>
      </w:r>
      <w:r w:rsidR="008D7977" w:rsidRPr="008D7977">
        <w:t xml:space="preserve"> include information on how such measures have been mainstreamed in overall migration policies and program</w:t>
      </w:r>
      <w:r w:rsidR="00133756">
        <w:t>me</w:t>
      </w:r>
      <w:r w:rsidR="008D7977" w:rsidRPr="008D7977">
        <w:t xml:space="preserve">s and whether a measurable result on </w:t>
      </w:r>
      <w:r w:rsidR="00133756">
        <w:t xml:space="preserve">the </w:t>
      </w:r>
      <w:r w:rsidR="008D7977" w:rsidRPr="008D7977">
        <w:t>numbers of irregular migrants has been determined.</w:t>
      </w:r>
    </w:p>
    <w:p w:rsidR="007C4555" w:rsidRDefault="008D7977" w:rsidP="005B2481">
      <w:pPr>
        <w:pStyle w:val="H23G"/>
      </w:pPr>
      <w:r w:rsidRPr="005B2481">
        <w:tab/>
      </w:r>
      <w:r w:rsidRPr="005B2481">
        <w:tab/>
      </w:r>
      <w:r w:rsidR="007C4555">
        <w:t>Article 65</w:t>
      </w:r>
    </w:p>
    <w:p w:rsidR="007C4555" w:rsidRPr="000C5520" w:rsidRDefault="007C4555" w:rsidP="007C4555">
      <w:pPr>
        <w:pStyle w:val="SingleTxtG"/>
      </w:pPr>
      <w:r>
        <w:t>23</w:t>
      </w:r>
      <w:r w:rsidRPr="000C5520">
        <w:t>.</w:t>
      </w:r>
      <w:r w:rsidRPr="000C5520">
        <w:tab/>
        <w:t xml:space="preserve">In line with the recommendations </w:t>
      </w:r>
      <w:r w:rsidR="00C21E71">
        <w:t xml:space="preserve">contained </w:t>
      </w:r>
      <w:r w:rsidRPr="000C5520">
        <w:t>in paragraph 28 of the Committee’s previous concluding observations, please provide information on the measures taken by the State party to improve the situation of Filipino migrant women facing situations of vulnerability by:</w:t>
      </w:r>
    </w:p>
    <w:p w:rsidR="007C4555" w:rsidRPr="000C5520" w:rsidRDefault="007C4555" w:rsidP="00B22F11">
      <w:pPr>
        <w:pStyle w:val="SingleTxtG"/>
        <w:ind w:firstLine="567"/>
      </w:pPr>
      <w:r>
        <w:t>(</w:t>
      </w:r>
      <w:r w:rsidRPr="000C5520">
        <w:t>a</w:t>
      </w:r>
      <w:r>
        <w:t>)</w:t>
      </w:r>
      <w:r w:rsidRPr="000C5520">
        <w:tab/>
        <w:t>Conducting a thorough assessment of the situation</w:t>
      </w:r>
      <w:r>
        <w:t xml:space="preserve"> of Filipino migrant women,</w:t>
      </w:r>
      <w:r w:rsidRPr="000C5520">
        <w:t xml:space="preserve"> including </w:t>
      </w:r>
      <w:r>
        <w:t xml:space="preserve">their </w:t>
      </w:r>
      <w:r w:rsidRPr="000C5520">
        <w:t>income in the informal sector</w:t>
      </w:r>
      <w:r>
        <w:t>,</w:t>
      </w:r>
      <w:r w:rsidRPr="000C5520">
        <w:t xml:space="preserve"> and taking concrete measures to address the feminization of migration comprehensively in its labour migration policies,</w:t>
      </w:r>
      <w:r w:rsidR="0074695B">
        <w:t xml:space="preserve"> </w:t>
      </w:r>
      <w:r w:rsidRPr="000C5520">
        <w:t xml:space="preserve">and </w:t>
      </w:r>
      <w:r>
        <w:t xml:space="preserve">ensuring </w:t>
      </w:r>
      <w:r w:rsidRPr="000C5520">
        <w:t xml:space="preserve">minimal social protection for </w:t>
      </w:r>
      <w:r>
        <w:t xml:space="preserve">Filipino migrant </w:t>
      </w:r>
      <w:r w:rsidRPr="000C5520">
        <w:t>women;</w:t>
      </w:r>
    </w:p>
    <w:p w:rsidR="007C4555" w:rsidRPr="000C5520" w:rsidRDefault="007C4555" w:rsidP="00B22F11">
      <w:pPr>
        <w:pStyle w:val="SingleTxtG"/>
        <w:ind w:firstLine="567"/>
      </w:pPr>
      <w:r>
        <w:t>(</w:t>
      </w:r>
      <w:r w:rsidRPr="000C5520">
        <w:t>b</w:t>
      </w:r>
      <w:r>
        <w:t>)</w:t>
      </w:r>
      <w:r w:rsidRPr="000C5520">
        <w:tab/>
        <w:t xml:space="preserve">Negotiating more secure employment opportunities and terms and conditions for </w:t>
      </w:r>
      <w:r>
        <w:t xml:space="preserve">Filipino migrant </w:t>
      </w:r>
      <w:r w:rsidRPr="000C5520">
        <w:t>women in vulnerable sectors through bilateral agreements in those countries where discriminatory treatment and abuse are more frequent;</w:t>
      </w:r>
    </w:p>
    <w:p w:rsidR="007C4555" w:rsidRPr="000C5520" w:rsidRDefault="007C4555" w:rsidP="00B22F11">
      <w:pPr>
        <w:pStyle w:val="SingleTxtG"/>
        <w:ind w:firstLine="567"/>
      </w:pPr>
      <w:r>
        <w:t>(c)</w:t>
      </w:r>
      <w:r w:rsidRPr="000C5520">
        <w:tab/>
        <w:t xml:space="preserve">Carrying out gender training and sensitization for government </w:t>
      </w:r>
      <w:r>
        <w:t>officials</w:t>
      </w:r>
      <w:r w:rsidRPr="000C5520">
        <w:t xml:space="preserve"> dealing with migration issues, in particular those providing legal and consular assistance to Filipino </w:t>
      </w:r>
      <w:r>
        <w:t>migrant workers</w:t>
      </w:r>
      <w:r w:rsidRPr="000C5520">
        <w:t xml:space="preserve"> abroad seeking justice against abuse in the workplace;</w:t>
      </w:r>
    </w:p>
    <w:p w:rsidR="007C4555" w:rsidRPr="000C5520" w:rsidRDefault="007C4555" w:rsidP="00B22F11">
      <w:pPr>
        <w:pStyle w:val="SingleTxtG"/>
        <w:ind w:firstLine="567"/>
      </w:pPr>
      <w:r>
        <w:t>(</w:t>
      </w:r>
      <w:r w:rsidRPr="000C5520">
        <w:t>d</w:t>
      </w:r>
      <w:r>
        <w:t>)</w:t>
      </w:r>
      <w:r w:rsidRPr="000C5520">
        <w:tab/>
        <w:t xml:space="preserve">Implementing the outcome document of the International Conference on Gender, Migration and Development called the Manila Call to Action as a tool for informed policy decision-making and advocacy; </w:t>
      </w:r>
    </w:p>
    <w:p w:rsidR="007C4555" w:rsidRPr="007C4555" w:rsidRDefault="007C4555" w:rsidP="00B22F11">
      <w:pPr>
        <w:pStyle w:val="SingleTxtG"/>
        <w:ind w:firstLine="567"/>
      </w:pPr>
      <w:r>
        <w:t>(</w:t>
      </w:r>
      <w:r w:rsidRPr="000C5520">
        <w:t>e</w:t>
      </w:r>
      <w:r>
        <w:t>)</w:t>
      </w:r>
      <w:r w:rsidRPr="000C5520">
        <w:tab/>
      </w:r>
      <w:r w:rsidRPr="007525BF">
        <w:t>Liaising with local and international partner networks to provide services and support to migrants and to advocate for migrants’ rights.</w:t>
      </w:r>
    </w:p>
    <w:p w:rsidR="00460EA9" w:rsidRPr="005B2481" w:rsidRDefault="007C4555" w:rsidP="005B2481">
      <w:pPr>
        <w:pStyle w:val="H23G"/>
      </w:pPr>
      <w:r>
        <w:tab/>
      </w:r>
      <w:r>
        <w:tab/>
      </w:r>
      <w:r w:rsidR="00460EA9" w:rsidRPr="005B2481">
        <w:t>Article 66</w:t>
      </w:r>
    </w:p>
    <w:p w:rsidR="0076379C" w:rsidRDefault="00133756" w:rsidP="00B22F11">
      <w:pPr>
        <w:pStyle w:val="SingleTxtG"/>
      </w:pPr>
      <w:r>
        <w:t>24</w:t>
      </w:r>
      <w:r w:rsidR="003A2B05" w:rsidRPr="000C5520">
        <w:t>.</w:t>
      </w:r>
      <w:r w:rsidR="003A2B05" w:rsidRPr="000C5520">
        <w:tab/>
      </w:r>
      <w:r w:rsidR="0076379C" w:rsidRPr="000C5520">
        <w:t xml:space="preserve">Please provide information on the measures taken to review the role of private recruitment agencies and to strengthen the existing licensing system for recruitment agencies, migration regulation and control mechanisms to </w:t>
      </w:r>
      <w:r w:rsidR="00053E88">
        <w:t>prevent</w:t>
      </w:r>
      <w:r w:rsidR="0076379C" w:rsidRPr="000C5520">
        <w:t xml:space="preserve"> private recruitment agencies from charging excessive fees for th</w:t>
      </w:r>
      <w:r w:rsidR="0076379C" w:rsidRPr="00B22F11">
        <w:t>eir services and from acting as intermediaries for abusive foreign recruiters (CMW/C/PHL/CO/1, para. 42).</w:t>
      </w:r>
      <w:r w:rsidRPr="00B22F11">
        <w:t xml:space="preserve"> Please also indicate whether the State party envisages ratifying ILO </w:t>
      </w:r>
      <w:r w:rsidR="00B22F11" w:rsidRPr="00B22F11">
        <w:t xml:space="preserve">Convention No. 181 (1997) concerning </w:t>
      </w:r>
      <w:r w:rsidRPr="00B22F11">
        <w:t>Private Employment Agencies.</w:t>
      </w:r>
    </w:p>
    <w:p w:rsidR="00460EA9" w:rsidRPr="00460EA9" w:rsidRDefault="005B2481" w:rsidP="005B2481">
      <w:pPr>
        <w:pStyle w:val="H23G"/>
      </w:pPr>
      <w:r>
        <w:tab/>
      </w:r>
      <w:r>
        <w:tab/>
      </w:r>
      <w:r w:rsidR="00460EA9" w:rsidRPr="00460EA9">
        <w:t>Article</w:t>
      </w:r>
      <w:r w:rsidR="00646956">
        <w:t xml:space="preserve"> 67</w:t>
      </w:r>
    </w:p>
    <w:p w:rsidR="0076379C" w:rsidRDefault="00903D8A" w:rsidP="00B22F11">
      <w:pPr>
        <w:pStyle w:val="SingleTxtG"/>
      </w:pPr>
      <w:r>
        <w:t>25</w:t>
      </w:r>
      <w:r w:rsidR="003A2B05" w:rsidRPr="000C5520">
        <w:t>.</w:t>
      </w:r>
      <w:r w:rsidR="003A2B05" w:rsidRPr="000C5520">
        <w:tab/>
      </w:r>
      <w:r w:rsidR="0076379C" w:rsidRPr="000C5520">
        <w:t>Please describe the progress made by the State party in strengthening the reintegration</w:t>
      </w:r>
      <w:r w:rsidR="0076379C" w:rsidRPr="000C5520">
        <w:rPr>
          <w:lang w:val="en-US"/>
        </w:rPr>
        <w:t xml:space="preserve"> of returning migrant workers and members of their families, as recommended in paragraph 44 (a)-(e) of the Committee’s previous concluding observations</w:t>
      </w:r>
      <w:r w:rsidR="0076379C" w:rsidRPr="000C5520">
        <w:t xml:space="preserve">. Please </w:t>
      </w:r>
      <w:r w:rsidR="0076379C">
        <w:t>indicate</w:t>
      </w:r>
      <w:r w:rsidR="0076379C" w:rsidRPr="000C5520">
        <w:t xml:space="preserve"> </w:t>
      </w:r>
      <w:r w:rsidR="007A7370">
        <w:t xml:space="preserve">if bilateral agreements facilitate </w:t>
      </w:r>
      <w:r>
        <w:t xml:space="preserve">the </w:t>
      </w:r>
      <w:r w:rsidR="007A7370">
        <w:t xml:space="preserve">return and reintegration of migrant workers and </w:t>
      </w:r>
      <w:r w:rsidR="0076379C" w:rsidRPr="000C5520">
        <w:t>how the National Reintegration Centre for Overseas Filipino Workers</w:t>
      </w:r>
      <w:r w:rsidR="0076379C">
        <w:t xml:space="preserve"> operates and coordinates its activities with</w:t>
      </w:r>
      <w:r w:rsidR="0076379C" w:rsidRPr="000C5520">
        <w:t xml:space="preserve"> other relevant institutions to promote </w:t>
      </w:r>
      <w:r w:rsidR="0076379C">
        <w:t xml:space="preserve">the </w:t>
      </w:r>
      <w:r w:rsidR="0076379C" w:rsidRPr="000C5520">
        <w:t xml:space="preserve">return and reintegration of </w:t>
      </w:r>
      <w:r w:rsidR="0076379C">
        <w:t xml:space="preserve">Filipino </w:t>
      </w:r>
      <w:r w:rsidR="0076379C" w:rsidRPr="000C5520">
        <w:t>migrant workers.</w:t>
      </w:r>
    </w:p>
    <w:p w:rsidR="00460EA9" w:rsidRPr="00460EA9" w:rsidRDefault="005B2481" w:rsidP="005B2481">
      <w:pPr>
        <w:pStyle w:val="H23G"/>
      </w:pPr>
      <w:r>
        <w:tab/>
      </w:r>
      <w:r>
        <w:tab/>
      </w:r>
      <w:r w:rsidR="00460EA9" w:rsidRPr="00517299">
        <w:t>Article</w:t>
      </w:r>
      <w:r w:rsidR="00646956" w:rsidRPr="00517299">
        <w:t xml:space="preserve"> </w:t>
      </w:r>
      <w:r w:rsidR="00517299" w:rsidRPr="00517299">
        <w:t>68</w:t>
      </w:r>
    </w:p>
    <w:p w:rsidR="0076379C" w:rsidRPr="000C5520" w:rsidRDefault="00903D8A" w:rsidP="00BF5AC3">
      <w:pPr>
        <w:pStyle w:val="SingleTxtG"/>
      </w:pPr>
      <w:r>
        <w:t>26</w:t>
      </w:r>
      <w:r w:rsidR="003A2B05" w:rsidRPr="000C5520">
        <w:t>.</w:t>
      </w:r>
      <w:r w:rsidR="003A2B05" w:rsidRPr="000C5520">
        <w:tab/>
      </w:r>
      <w:r w:rsidR="0076379C" w:rsidRPr="000C5520">
        <w:t xml:space="preserve">Please provide information on the measures taken to implement the recommendations </w:t>
      </w:r>
      <w:r w:rsidR="001E218C">
        <w:rPr>
          <w:lang w:val="en-US"/>
        </w:rPr>
        <w:t xml:space="preserve">contained </w:t>
      </w:r>
      <w:r w:rsidR="0076379C" w:rsidRPr="000C5520">
        <w:t>in paragraph 48 (a)-(f) of the Committee’s previous concluding observations in order to combat trafficking in persons.</w:t>
      </w:r>
    </w:p>
    <w:p w:rsidR="0076379C" w:rsidRPr="000C5520" w:rsidRDefault="00BF5AC3" w:rsidP="00BF5AC3">
      <w:pPr>
        <w:pStyle w:val="HChG"/>
      </w:pPr>
      <w:r>
        <w:tab/>
      </w:r>
      <w:r w:rsidR="003A2B05" w:rsidRPr="000C5520">
        <w:t>III.</w:t>
      </w:r>
      <w:r w:rsidR="003A2B05" w:rsidRPr="000C5520">
        <w:tab/>
      </w:r>
      <w:r w:rsidR="0076379C" w:rsidRPr="000C5520">
        <w:t>Additional information</w:t>
      </w:r>
    </w:p>
    <w:p w:rsidR="00C92195" w:rsidRDefault="008B17B7" w:rsidP="00BF5AC3">
      <w:pPr>
        <w:pStyle w:val="SingleTxtG"/>
        <w:rPr>
          <w:lang w:val="en-US" w:eastAsia="ru-RU"/>
        </w:rPr>
      </w:pPr>
      <w:r>
        <w:rPr>
          <w:lang w:val="en-US" w:eastAsia="ru-RU"/>
        </w:rPr>
        <w:t>27</w:t>
      </w:r>
      <w:r w:rsidR="00BF5AC3">
        <w:rPr>
          <w:lang w:val="en-US" w:eastAsia="ru-RU"/>
        </w:rPr>
        <w:t>.</w:t>
      </w:r>
      <w:r w:rsidR="00BF5AC3">
        <w:rPr>
          <w:lang w:val="en-US" w:eastAsia="ru-RU"/>
        </w:rPr>
        <w:tab/>
      </w:r>
      <w:r w:rsidR="0076379C" w:rsidRPr="000C5520">
        <w:rPr>
          <w:lang w:val="en-US" w:eastAsia="ru-RU"/>
        </w:rPr>
        <w:t>Please provide any additional information on measures adopted since the Committee’s consideration of the State party’s initial report in 2009 to implement the Convention and the Committee’s previous concluding observations</w:t>
      </w:r>
      <w:r w:rsidR="00903D8A">
        <w:rPr>
          <w:lang w:val="en-US" w:eastAsia="ru-RU"/>
        </w:rPr>
        <w:t xml:space="preserve"> (CMW/C/PHL/CO/1, para. 51)</w:t>
      </w:r>
      <w:r w:rsidR="0076379C" w:rsidRPr="000C5520">
        <w:rPr>
          <w:lang w:val="en-US" w:eastAsia="ru-RU"/>
        </w:rPr>
        <w:t>, including relevant disaggregated statistical data, as well as information on any other important developments in the State party relating to the provisions of the Convention.</w:t>
      </w:r>
    </w:p>
    <w:p w:rsidR="0076379C" w:rsidRPr="0076379C" w:rsidRDefault="0076379C" w:rsidP="0076379C">
      <w:pPr>
        <w:spacing w:before="240"/>
        <w:ind w:left="1134" w:right="1134"/>
        <w:jc w:val="center"/>
        <w:rPr>
          <w:u w:val="single"/>
        </w:rPr>
      </w:pPr>
      <w:r>
        <w:rPr>
          <w:u w:val="single"/>
          <w:lang w:val="en-US" w:eastAsia="ru-RU"/>
        </w:rPr>
        <w:tab/>
      </w:r>
      <w:r>
        <w:rPr>
          <w:u w:val="single"/>
          <w:lang w:val="en-US" w:eastAsia="ru-RU"/>
        </w:rPr>
        <w:tab/>
      </w:r>
      <w:r>
        <w:rPr>
          <w:u w:val="single"/>
          <w:lang w:val="en-US" w:eastAsia="ru-RU"/>
        </w:rPr>
        <w:tab/>
      </w:r>
    </w:p>
    <w:sectPr w:rsidR="0076379C" w:rsidRPr="0076379C" w:rsidSect="005B248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696"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5B" w:rsidRDefault="000B365B"/>
  </w:endnote>
  <w:endnote w:type="continuationSeparator" w:id="0">
    <w:p w:rsidR="000B365B" w:rsidRDefault="000B365B"/>
  </w:endnote>
  <w:endnote w:type="continuationNotice" w:id="1">
    <w:p w:rsidR="000B365B" w:rsidRDefault="000B36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10" w:rsidRPr="0076379C" w:rsidRDefault="003C2310" w:rsidP="0076379C">
    <w:pPr>
      <w:pStyle w:val="Footer"/>
      <w:tabs>
        <w:tab w:val="right" w:pos="9638"/>
      </w:tabs>
    </w:pPr>
    <w:r w:rsidRPr="0076379C">
      <w:rPr>
        <w:b/>
        <w:sz w:val="18"/>
      </w:rPr>
      <w:fldChar w:fldCharType="begin"/>
    </w:r>
    <w:r w:rsidRPr="0076379C">
      <w:rPr>
        <w:b/>
        <w:sz w:val="18"/>
      </w:rPr>
      <w:instrText xml:space="preserve"> PAGE  \* MERGEFORMAT </w:instrText>
    </w:r>
    <w:r w:rsidRPr="0076379C">
      <w:rPr>
        <w:b/>
        <w:sz w:val="18"/>
      </w:rPr>
      <w:fldChar w:fldCharType="separate"/>
    </w:r>
    <w:r w:rsidR="00F50FD5">
      <w:rPr>
        <w:b/>
        <w:noProof/>
        <w:sz w:val="18"/>
      </w:rPr>
      <w:t>6</w:t>
    </w:r>
    <w:r w:rsidRPr="0076379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10" w:rsidRPr="0076379C" w:rsidRDefault="003C2310" w:rsidP="0076379C">
    <w:pPr>
      <w:pStyle w:val="Footer"/>
      <w:tabs>
        <w:tab w:val="right" w:pos="9638"/>
      </w:tabs>
      <w:rPr>
        <w:b/>
        <w:sz w:val="18"/>
      </w:rPr>
    </w:pPr>
    <w:r>
      <w:tab/>
    </w:r>
    <w:r w:rsidRPr="0076379C">
      <w:rPr>
        <w:b/>
        <w:sz w:val="18"/>
      </w:rPr>
      <w:fldChar w:fldCharType="begin"/>
    </w:r>
    <w:r w:rsidRPr="0076379C">
      <w:rPr>
        <w:b/>
        <w:sz w:val="18"/>
      </w:rPr>
      <w:instrText xml:space="preserve"> PAGE  \* MERGEFORMAT </w:instrText>
    </w:r>
    <w:r w:rsidRPr="0076379C">
      <w:rPr>
        <w:b/>
        <w:sz w:val="18"/>
      </w:rPr>
      <w:fldChar w:fldCharType="separate"/>
    </w:r>
    <w:r w:rsidR="00F50FD5">
      <w:rPr>
        <w:b/>
        <w:noProof/>
        <w:sz w:val="18"/>
      </w:rPr>
      <w:t>5</w:t>
    </w:r>
    <w:r w:rsidRPr="0076379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10" w:rsidRPr="0076379C" w:rsidRDefault="003C231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F50FD5">
      <w:t>42854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5B" w:rsidRPr="000B175B" w:rsidRDefault="000B365B" w:rsidP="000B175B">
      <w:pPr>
        <w:tabs>
          <w:tab w:val="right" w:pos="2155"/>
        </w:tabs>
        <w:spacing w:after="80"/>
        <w:ind w:left="680"/>
        <w:rPr>
          <w:u w:val="single"/>
        </w:rPr>
      </w:pPr>
      <w:r>
        <w:rPr>
          <w:u w:val="single"/>
        </w:rPr>
        <w:tab/>
      </w:r>
    </w:p>
  </w:footnote>
  <w:footnote w:type="continuationSeparator" w:id="0">
    <w:p w:rsidR="000B365B" w:rsidRPr="00FC68B7" w:rsidRDefault="000B365B" w:rsidP="00FC68B7">
      <w:pPr>
        <w:tabs>
          <w:tab w:val="left" w:pos="2155"/>
        </w:tabs>
        <w:spacing w:after="80"/>
        <w:ind w:left="680"/>
        <w:rPr>
          <w:u w:val="single"/>
        </w:rPr>
      </w:pPr>
      <w:r>
        <w:rPr>
          <w:u w:val="single"/>
        </w:rPr>
        <w:tab/>
      </w:r>
    </w:p>
  </w:footnote>
  <w:footnote w:type="continuationNotice" w:id="1">
    <w:p w:rsidR="000B365B" w:rsidRDefault="000B365B"/>
  </w:footnote>
  <w:footnote w:id="2">
    <w:p w:rsidR="003C2310" w:rsidRPr="0077142C" w:rsidRDefault="003C2310">
      <w:pPr>
        <w:pStyle w:val="FootnoteText"/>
        <w:rPr>
          <w:szCs w:val="18"/>
        </w:rPr>
      </w:pPr>
      <w:r>
        <w:tab/>
      </w:r>
      <w:r w:rsidRPr="0077142C">
        <w:rPr>
          <w:rStyle w:val="FootnoteReference"/>
          <w:szCs w:val="18"/>
          <w:vertAlign w:val="baseline"/>
        </w:rPr>
        <w:t>*</w:t>
      </w:r>
      <w:r w:rsidRPr="0077142C">
        <w:rPr>
          <w:szCs w:val="18"/>
        </w:rPr>
        <w:tab/>
        <w:t>The present list of issues was adopted by the Committee at its sixteenth session, in accordance with the new optional procedure adopted by the Committee at its fourteenth session, which consists in the preparation and adoption of lists of issues to be transmitted to States parties prior to the submission of their respective periodic report. The replies to the present list of issues will be considered as the State party’s periodic report under article 73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10" w:rsidRPr="0076379C" w:rsidRDefault="003C2310">
    <w:pPr>
      <w:pStyle w:val="Header"/>
    </w:pPr>
    <w:r>
      <w:t>CMW/C/PHL/Q/2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10" w:rsidRPr="0076379C" w:rsidRDefault="003C2310" w:rsidP="0076379C">
    <w:pPr>
      <w:pStyle w:val="Header"/>
      <w:jc w:val="right"/>
    </w:pPr>
    <w:r>
      <w:t>CMW/C/PHL/Q/2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5" w:rsidRDefault="00F50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3017D6"/>
    <w:multiLevelType w:val="hybridMultilevel"/>
    <w:tmpl w:val="C0AE4932"/>
    <w:lvl w:ilvl="0" w:tplc="00B099F4">
      <w:start w:val="1"/>
      <w:numFmt w:val="decimal"/>
      <w:lvlText w:val="%1."/>
      <w:lvlJc w:val="left"/>
      <w:pPr>
        <w:ind w:left="1689" w:hanging="555"/>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
    <w:nsid w:val="2F59230C"/>
    <w:multiLevelType w:val="hybridMultilevel"/>
    <w:tmpl w:val="27960424"/>
    <w:lvl w:ilvl="0" w:tplc="80560B8A">
      <w:start w:val="1"/>
      <w:numFmt w:val="upperRoman"/>
      <w:lvlText w:val="%1."/>
      <w:lvlJc w:val="left"/>
      <w:pPr>
        <w:ind w:left="1920" w:hanging="720"/>
      </w:pPr>
      <w:rPr>
        <w:rFonts w:cs="Times New Roman" w:hint="default"/>
      </w:rPr>
    </w:lvl>
    <w:lvl w:ilvl="1" w:tplc="08090019">
      <w:start w:val="1"/>
      <w:numFmt w:val="lowerLetter"/>
      <w:lvlText w:val="%2."/>
      <w:lvlJc w:val="left"/>
      <w:pPr>
        <w:ind w:left="2280" w:hanging="360"/>
      </w:pPr>
      <w:rPr>
        <w:rFonts w:cs="Times New Roman"/>
      </w:rPr>
    </w:lvl>
    <w:lvl w:ilvl="2" w:tplc="0809001B">
      <w:start w:val="1"/>
      <w:numFmt w:val="lowerRoman"/>
      <w:lvlText w:val="%3."/>
      <w:lvlJc w:val="right"/>
      <w:pPr>
        <w:ind w:left="3000" w:hanging="180"/>
      </w:pPr>
      <w:rPr>
        <w:rFonts w:cs="Times New Roman"/>
      </w:rPr>
    </w:lvl>
    <w:lvl w:ilvl="3" w:tplc="0809000F">
      <w:start w:val="1"/>
      <w:numFmt w:val="decimal"/>
      <w:lvlText w:val="%4."/>
      <w:lvlJc w:val="left"/>
      <w:pPr>
        <w:ind w:left="3720" w:hanging="360"/>
      </w:pPr>
      <w:rPr>
        <w:rFonts w:cs="Times New Roman"/>
      </w:rPr>
    </w:lvl>
    <w:lvl w:ilvl="4" w:tplc="08090019">
      <w:start w:val="1"/>
      <w:numFmt w:val="lowerLetter"/>
      <w:lvlText w:val="%5."/>
      <w:lvlJc w:val="left"/>
      <w:pPr>
        <w:ind w:left="4440" w:hanging="360"/>
      </w:pPr>
      <w:rPr>
        <w:rFonts w:cs="Times New Roman"/>
      </w:rPr>
    </w:lvl>
    <w:lvl w:ilvl="5" w:tplc="0809001B">
      <w:start w:val="1"/>
      <w:numFmt w:val="lowerRoman"/>
      <w:lvlText w:val="%6."/>
      <w:lvlJc w:val="right"/>
      <w:pPr>
        <w:ind w:left="5160" w:hanging="180"/>
      </w:pPr>
      <w:rPr>
        <w:rFonts w:cs="Times New Roman"/>
      </w:rPr>
    </w:lvl>
    <w:lvl w:ilvl="6" w:tplc="0809000F">
      <w:start w:val="1"/>
      <w:numFmt w:val="decimal"/>
      <w:lvlText w:val="%7."/>
      <w:lvlJc w:val="left"/>
      <w:pPr>
        <w:ind w:left="5880" w:hanging="360"/>
      </w:pPr>
      <w:rPr>
        <w:rFonts w:cs="Times New Roman"/>
      </w:rPr>
    </w:lvl>
    <w:lvl w:ilvl="7" w:tplc="08090019">
      <w:start w:val="1"/>
      <w:numFmt w:val="lowerLetter"/>
      <w:lvlText w:val="%8."/>
      <w:lvlJc w:val="left"/>
      <w:pPr>
        <w:ind w:left="6600" w:hanging="360"/>
      </w:pPr>
      <w:rPr>
        <w:rFonts w:cs="Times New Roman"/>
      </w:rPr>
    </w:lvl>
    <w:lvl w:ilvl="8" w:tplc="0809001B">
      <w:start w:val="1"/>
      <w:numFmt w:val="lowerRoman"/>
      <w:lvlText w:val="%9."/>
      <w:lvlJc w:val="right"/>
      <w:pPr>
        <w:ind w:left="7320" w:hanging="180"/>
      </w:pPr>
      <w:rPr>
        <w:rFonts w:cs="Times New Roman"/>
      </w:rPr>
    </w:lvl>
  </w:abstractNum>
  <w:abstractNum w:abstractNumId="3">
    <w:nsid w:val="4BB22901"/>
    <w:multiLevelType w:val="hybridMultilevel"/>
    <w:tmpl w:val="93746600"/>
    <w:lvl w:ilvl="0" w:tplc="398E8340">
      <w:start w:val="26"/>
      <w:numFmt w:val="bullet"/>
      <w:lvlText w:val=""/>
      <w:lvlJc w:val="left"/>
      <w:pPr>
        <w:ind w:left="480" w:hanging="360"/>
      </w:pPr>
      <w:rPr>
        <w:rFonts w:ascii="Symbol" w:eastAsia="Times New Roman" w:hAnsi="Symbol" w:hint="default"/>
      </w:rPr>
    </w:lvl>
    <w:lvl w:ilvl="1" w:tplc="08090003">
      <w:start w:val="1"/>
      <w:numFmt w:val="bullet"/>
      <w:lvlText w:val="o"/>
      <w:lvlJc w:val="left"/>
      <w:pPr>
        <w:ind w:left="1200" w:hanging="360"/>
      </w:pPr>
      <w:rPr>
        <w:rFonts w:ascii="Courier New" w:hAnsi="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hint="default"/>
      </w:rPr>
    </w:lvl>
    <w:lvl w:ilvl="8" w:tplc="08090005">
      <w:start w:val="1"/>
      <w:numFmt w:val="bullet"/>
      <w:lvlText w:val=""/>
      <w:lvlJc w:val="left"/>
      <w:pPr>
        <w:ind w:left="6240" w:hanging="360"/>
      </w:pPr>
      <w:rPr>
        <w:rFonts w:ascii="Wingdings" w:hAnsi="Wingdings" w:hint="default"/>
      </w:rPr>
    </w:lvl>
  </w:abstractNum>
  <w:abstractNum w:abstractNumId="4">
    <w:nsid w:val="660A66F1"/>
    <w:multiLevelType w:val="hybridMultilevel"/>
    <w:tmpl w:val="027CC542"/>
    <w:lvl w:ilvl="0" w:tplc="00B099F4">
      <w:start w:val="1"/>
      <w:numFmt w:val="decimal"/>
      <w:lvlText w:val="%1."/>
      <w:lvlJc w:val="left"/>
      <w:pPr>
        <w:ind w:left="1689" w:hanging="555"/>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9ED6EA8"/>
    <w:multiLevelType w:val="hybridMultilevel"/>
    <w:tmpl w:val="2856FA22"/>
    <w:lvl w:ilvl="0" w:tplc="0B56453C">
      <w:start w:val="1"/>
      <w:numFmt w:val="upp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7">
    <w:nsid w:val="6AA056A9"/>
    <w:multiLevelType w:val="hybridMultilevel"/>
    <w:tmpl w:val="0A2219EE"/>
    <w:lvl w:ilvl="0" w:tplc="27A65892">
      <w:start w:val="1"/>
      <w:numFmt w:val="upperLetter"/>
      <w:lvlText w:val="%1."/>
      <w:lvlJc w:val="left"/>
      <w:pPr>
        <w:ind w:left="1494" w:hanging="360"/>
      </w:pPr>
      <w:rPr>
        <w:rFonts w:cs="Times New Roman" w:hint="default"/>
        <w:b/>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8">
    <w:nsid w:val="70F66AF5"/>
    <w:multiLevelType w:val="hybridMultilevel"/>
    <w:tmpl w:val="236C5E54"/>
    <w:lvl w:ilvl="0" w:tplc="08090019">
      <w:start w:val="1"/>
      <w:numFmt w:val="lowerLetter"/>
      <w:lvlText w:val="%1."/>
      <w:lvlJc w:val="left"/>
      <w:pPr>
        <w:ind w:left="2214" w:hanging="360"/>
      </w:pPr>
      <w:rPr>
        <w:rFonts w:cs="Times New Roman"/>
      </w:rPr>
    </w:lvl>
    <w:lvl w:ilvl="1" w:tplc="08090019">
      <w:start w:val="1"/>
      <w:numFmt w:val="lowerLetter"/>
      <w:lvlText w:val="%2."/>
      <w:lvlJc w:val="left"/>
      <w:pPr>
        <w:ind w:left="2934" w:hanging="360"/>
      </w:pPr>
      <w:rPr>
        <w:rFonts w:cs="Times New Roman"/>
      </w:rPr>
    </w:lvl>
    <w:lvl w:ilvl="2" w:tplc="0809001B">
      <w:start w:val="1"/>
      <w:numFmt w:val="lowerRoman"/>
      <w:lvlText w:val="%3."/>
      <w:lvlJc w:val="right"/>
      <w:pPr>
        <w:ind w:left="3654" w:hanging="180"/>
      </w:pPr>
      <w:rPr>
        <w:rFonts w:cs="Times New Roman"/>
      </w:rPr>
    </w:lvl>
    <w:lvl w:ilvl="3" w:tplc="0809000F">
      <w:start w:val="1"/>
      <w:numFmt w:val="decimal"/>
      <w:lvlText w:val="%4."/>
      <w:lvlJc w:val="left"/>
      <w:pPr>
        <w:ind w:left="4374" w:hanging="360"/>
      </w:pPr>
      <w:rPr>
        <w:rFonts w:cs="Times New Roman"/>
      </w:rPr>
    </w:lvl>
    <w:lvl w:ilvl="4" w:tplc="08090019">
      <w:start w:val="1"/>
      <w:numFmt w:val="lowerLetter"/>
      <w:lvlText w:val="%5."/>
      <w:lvlJc w:val="left"/>
      <w:pPr>
        <w:ind w:left="5094" w:hanging="360"/>
      </w:pPr>
      <w:rPr>
        <w:rFonts w:cs="Times New Roman"/>
      </w:rPr>
    </w:lvl>
    <w:lvl w:ilvl="5" w:tplc="0809001B">
      <w:start w:val="1"/>
      <w:numFmt w:val="lowerRoman"/>
      <w:lvlText w:val="%6."/>
      <w:lvlJc w:val="right"/>
      <w:pPr>
        <w:ind w:left="5814" w:hanging="180"/>
      </w:pPr>
      <w:rPr>
        <w:rFonts w:cs="Times New Roman"/>
      </w:rPr>
    </w:lvl>
    <w:lvl w:ilvl="6" w:tplc="0809000F">
      <w:start w:val="1"/>
      <w:numFmt w:val="decimal"/>
      <w:lvlText w:val="%7."/>
      <w:lvlJc w:val="left"/>
      <w:pPr>
        <w:ind w:left="6534" w:hanging="360"/>
      </w:pPr>
      <w:rPr>
        <w:rFonts w:cs="Times New Roman"/>
      </w:rPr>
    </w:lvl>
    <w:lvl w:ilvl="7" w:tplc="08090019">
      <w:start w:val="1"/>
      <w:numFmt w:val="lowerLetter"/>
      <w:lvlText w:val="%8."/>
      <w:lvlJc w:val="left"/>
      <w:pPr>
        <w:ind w:left="7254" w:hanging="360"/>
      </w:pPr>
      <w:rPr>
        <w:rFonts w:cs="Times New Roman"/>
      </w:rPr>
    </w:lvl>
    <w:lvl w:ilvl="8" w:tplc="0809001B">
      <w:start w:val="1"/>
      <w:numFmt w:val="lowerRoman"/>
      <w:lvlText w:val="%9."/>
      <w:lvlJc w:val="right"/>
      <w:pPr>
        <w:ind w:left="7974"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8"/>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B05"/>
    <w:rsid w:val="00022C01"/>
    <w:rsid w:val="00027F2B"/>
    <w:rsid w:val="00050F6B"/>
    <w:rsid w:val="00053E88"/>
    <w:rsid w:val="00054D61"/>
    <w:rsid w:val="00072C8C"/>
    <w:rsid w:val="000733B5"/>
    <w:rsid w:val="000767AB"/>
    <w:rsid w:val="000931C0"/>
    <w:rsid w:val="000B175B"/>
    <w:rsid w:val="000B365B"/>
    <w:rsid w:val="000B3A0F"/>
    <w:rsid w:val="000B4EF7"/>
    <w:rsid w:val="000C2D2E"/>
    <w:rsid w:val="000C6CD1"/>
    <w:rsid w:val="000E0415"/>
    <w:rsid w:val="000F40E6"/>
    <w:rsid w:val="000F74EA"/>
    <w:rsid w:val="001103AA"/>
    <w:rsid w:val="001139D3"/>
    <w:rsid w:val="00133756"/>
    <w:rsid w:val="00143877"/>
    <w:rsid w:val="00164523"/>
    <w:rsid w:val="00181D17"/>
    <w:rsid w:val="001A2B40"/>
    <w:rsid w:val="001A5DC4"/>
    <w:rsid w:val="001B4B04"/>
    <w:rsid w:val="001C6663"/>
    <w:rsid w:val="001C7895"/>
    <w:rsid w:val="001D26DF"/>
    <w:rsid w:val="001E218C"/>
    <w:rsid w:val="001E6639"/>
    <w:rsid w:val="001F7FA9"/>
    <w:rsid w:val="00201E7F"/>
    <w:rsid w:val="00202DA8"/>
    <w:rsid w:val="00211E0B"/>
    <w:rsid w:val="00231AEF"/>
    <w:rsid w:val="002534C4"/>
    <w:rsid w:val="002611EE"/>
    <w:rsid w:val="002666CC"/>
    <w:rsid w:val="00274E11"/>
    <w:rsid w:val="00292104"/>
    <w:rsid w:val="002D31B0"/>
    <w:rsid w:val="002F175C"/>
    <w:rsid w:val="003229D8"/>
    <w:rsid w:val="00352709"/>
    <w:rsid w:val="00352F0D"/>
    <w:rsid w:val="0036359E"/>
    <w:rsid w:val="00371178"/>
    <w:rsid w:val="003A2B05"/>
    <w:rsid w:val="003A6810"/>
    <w:rsid w:val="003C0C4E"/>
    <w:rsid w:val="003C2310"/>
    <w:rsid w:val="003C2CC4"/>
    <w:rsid w:val="003D4B23"/>
    <w:rsid w:val="003D613F"/>
    <w:rsid w:val="003F0898"/>
    <w:rsid w:val="003F25C6"/>
    <w:rsid w:val="00410C89"/>
    <w:rsid w:val="00426B9B"/>
    <w:rsid w:val="004325CB"/>
    <w:rsid w:val="00440653"/>
    <w:rsid w:val="00443F4C"/>
    <w:rsid w:val="004458AA"/>
    <w:rsid w:val="0045495B"/>
    <w:rsid w:val="00456549"/>
    <w:rsid w:val="00460EA9"/>
    <w:rsid w:val="0047693D"/>
    <w:rsid w:val="004859C7"/>
    <w:rsid w:val="00486B90"/>
    <w:rsid w:val="00487A76"/>
    <w:rsid w:val="00492A00"/>
    <w:rsid w:val="004A3A3E"/>
    <w:rsid w:val="004B0BA2"/>
    <w:rsid w:val="004C621F"/>
    <w:rsid w:val="004C77BB"/>
    <w:rsid w:val="004E5636"/>
    <w:rsid w:val="004F3A81"/>
    <w:rsid w:val="00517299"/>
    <w:rsid w:val="005420F2"/>
    <w:rsid w:val="005B2481"/>
    <w:rsid w:val="005B3DB3"/>
    <w:rsid w:val="006001EE"/>
    <w:rsid w:val="00611FC4"/>
    <w:rsid w:val="006176FB"/>
    <w:rsid w:val="00637A28"/>
    <w:rsid w:val="00640B26"/>
    <w:rsid w:val="006433FD"/>
    <w:rsid w:val="00646956"/>
    <w:rsid w:val="006500BC"/>
    <w:rsid w:val="00652D0A"/>
    <w:rsid w:val="006618ED"/>
    <w:rsid w:val="00666C68"/>
    <w:rsid w:val="006A703C"/>
    <w:rsid w:val="006D088C"/>
    <w:rsid w:val="006E4EE9"/>
    <w:rsid w:val="006E564B"/>
    <w:rsid w:val="006E6E4C"/>
    <w:rsid w:val="00703CDA"/>
    <w:rsid w:val="0072632A"/>
    <w:rsid w:val="007442B2"/>
    <w:rsid w:val="0074695B"/>
    <w:rsid w:val="007525BF"/>
    <w:rsid w:val="00761120"/>
    <w:rsid w:val="0076379C"/>
    <w:rsid w:val="007710C2"/>
    <w:rsid w:val="0077142C"/>
    <w:rsid w:val="007948B5"/>
    <w:rsid w:val="007A7370"/>
    <w:rsid w:val="007B6BA5"/>
    <w:rsid w:val="007C3390"/>
    <w:rsid w:val="007C4555"/>
    <w:rsid w:val="007C4F4B"/>
    <w:rsid w:val="007E2A1D"/>
    <w:rsid w:val="007E36B7"/>
    <w:rsid w:val="007E6FF4"/>
    <w:rsid w:val="007F4443"/>
    <w:rsid w:val="007F6611"/>
    <w:rsid w:val="00805974"/>
    <w:rsid w:val="00820694"/>
    <w:rsid w:val="008242D7"/>
    <w:rsid w:val="00831ADA"/>
    <w:rsid w:val="008979B1"/>
    <w:rsid w:val="008A5E8E"/>
    <w:rsid w:val="008A6B25"/>
    <w:rsid w:val="008A6C4F"/>
    <w:rsid w:val="008B17B7"/>
    <w:rsid w:val="008B2335"/>
    <w:rsid w:val="008D7977"/>
    <w:rsid w:val="008F6259"/>
    <w:rsid w:val="00903D8A"/>
    <w:rsid w:val="0090482F"/>
    <w:rsid w:val="009223CA"/>
    <w:rsid w:val="00936E42"/>
    <w:rsid w:val="00940F93"/>
    <w:rsid w:val="0099746F"/>
    <w:rsid w:val="009C453B"/>
    <w:rsid w:val="009D2463"/>
    <w:rsid w:val="009E62C4"/>
    <w:rsid w:val="009F0375"/>
    <w:rsid w:val="00A01489"/>
    <w:rsid w:val="00A03DD4"/>
    <w:rsid w:val="00A14766"/>
    <w:rsid w:val="00A5384B"/>
    <w:rsid w:val="00A72F22"/>
    <w:rsid w:val="00A748A6"/>
    <w:rsid w:val="00A74FCD"/>
    <w:rsid w:val="00A776B4"/>
    <w:rsid w:val="00A7787C"/>
    <w:rsid w:val="00A94361"/>
    <w:rsid w:val="00AD481B"/>
    <w:rsid w:val="00AF39BE"/>
    <w:rsid w:val="00B20FFB"/>
    <w:rsid w:val="00B22F11"/>
    <w:rsid w:val="00B30179"/>
    <w:rsid w:val="00B33CB1"/>
    <w:rsid w:val="00B56E9C"/>
    <w:rsid w:val="00B64B1F"/>
    <w:rsid w:val="00B6553F"/>
    <w:rsid w:val="00B81E12"/>
    <w:rsid w:val="00B867F1"/>
    <w:rsid w:val="00BB6B22"/>
    <w:rsid w:val="00BC1B4D"/>
    <w:rsid w:val="00BC74E9"/>
    <w:rsid w:val="00BE2FE3"/>
    <w:rsid w:val="00BE7C1F"/>
    <w:rsid w:val="00BF5AC3"/>
    <w:rsid w:val="00BF68A8"/>
    <w:rsid w:val="00C01FF8"/>
    <w:rsid w:val="00C1528B"/>
    <w:rsid w:val="00C21E71"/>
    <w:rsid w:val="00C463DD"/>
    <w:rsid w:val="00C46705"/>
    <w:rsid w:val="00C4724C"/>
    <w:rsid w:val="00C629A0"/>
    <w:rsid w:val="00C6559E"/>
    <w:rsid w:val="00C70273"/>
    <w:rsid w:val="00C745C3"/>
    <w:rsid w:val="00C81E9E"/>
    <w:rsid w:val="00C92195"/>
    <w:rsid w:val="00CA19B5"/>
    <w:rsid w:val="00CC583A"/>
    <w:rsid w:val="00CC6097"/>
    <w:rsid w:val="00CE0E13"/>
    <w:rsid w:val="00CE4A8F"/>
    <w:rsid w:val="00CE691C"/>
    <w:rsid w:val="00D2031B"/>
    <w:rsid w:val="00D25FE2"/>
    <w:rsid w:val="00D43252"/>
    <w:rsid w:val="00D92F53"/>
    <w:rsid w:val="00D93FE0"/>
    <w:rsid w:val="00D95303"/>
    <w:rsid w:val="00D978C6"/>
    <w:rsid w:val="00DA3C1C"/>
    <w:rsid w:val="00DA6C8B"/>
    <w:rsid w:val="00DD1965"/>
    <w:rsid w:val="00DE486F"/>
    <w:rsid w:val="00DE5CF5"/>
    <w:rsid w:val="00DF1E63"/>
    <w:rsid w:val="00E50710"/>
    <w:rsid w:val="00E60D43"/>
    <w:rsid w:val="00E612A8"/>
    <w:rsid w:val="00E71BC8"/>
    <w:rsid w:val="00E7260F"/>
    <w:rsid w:val="00E803B3"/>
    <w:rsid w:val="00E96194"/>
    <w:rsid w:val="00E96630"/>
    <w:rsid w:val="00EB05DF"/>
    <w:rsid w:val="00EC4061"/>
    <w:rsid w:val="00ED45C9"/>
    <w:rsid w:val="00ED7A2A"/>
    <w:rsid w:val="00EF1D7F"/>
    <w:rsid w:val="00F07075"/>
    <w:rsid w:val="00F270A5"/>
    <w:rsid w:val="00F50FD5"/>
    <w:rsid w:val="00F60165"/>
    <w:rsid w:val="00F73F04"/>
    <w:rsid w:val="00F86730"/>
    <w:rsid w:val="00FA4DE0"/>
    <w:rsid w:val="00FA73CE"/>
    <w:rsid w:val="00FB06CB"/>
    <w:rsid w:val="00FC68B7"/>
    <w:rsid w:val="00FE6D88"/>
    <w:rsid w:val="00FF3D76"/>
    <w:rsid w:val="00FF539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atLeast"/>
    </w:pPr>
    <w:rPr>
      <w:lang w:val="en-GB"/>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semiHidden/>
    <w:rsid w:val="00C921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2195"/>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basedOn w:val="FootnoteReference"/>
    <w:rsid w:val="00C92195"/>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link w:val="FooterChar"/>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76379C"/>
    <w:rPr>
      <w:sz w:val="18"/>
      <w:lang w:val="en-GB" w:eastAsia="en-US" w:bidi="ar-SA"/>
    </w:rPr>
  </w:style>
  <w:style w:type="character" w:customStyle="1" w:styleId="FootnoteTextChar1">
    <w:name w:val="Footnote Text Char1"/>
    <w:aliases w:val="5_G Char1"/>
    <w:locked/>
    <w:rsid w:val="0076379C"/>
    <w:rPr>
      <w:sz w:val="18"/>
      <w:lang w:eastAsia="en-US"/>
    </w:rPr>
  </w:style>
  <w:style w:type="character" w:customStyle="1" w:styleId="FooterChar">
    <w:name w:val="Footer Char"/>
    <w:aliases w:val="3_G Char"/>
    <w:link w:val="Footer"/>
    <w:locked/>
    <w:rsid w:val="0076379C"/>
    <w:rPr>
      <w:sz w:val="16"/>
      <w:lang w:val="en-GB" w:eastAsia="en-US" w:bidi="ar-SA"/>
    </w:rPr>
  </w:style>
  <w:style w:type="character" w:customStyle="1" w:styleId="SingleTxtGChar">
    <w:name w:val="_ Single Txt_G Char"/>
    <w:link w:val="SingleTxtG"/>
    <w:rsid w:val="003A2B05"/>
    <w:rPr>
      <w:lang w:val="en-GB" w:eastAsia="en-US" w:bidi="ar-SA"/>
    </w:rPr>
  </w:style>
  <w:style w:type="character" w:styleId="CommentReference">
    <w:name w:val="annotation reference"/>
    <w:rsid w:val="00CE691C"/>
    <w:rPr>
      <w:sz w:val="16"/>
      <w:szCs w:val="16"/>
    </w:rPr>
  </w:style>
  <w:style w:type="paragraph" w:styleId="CommentText">
    <w:name w:val="annotation text"/>
    <w:basedOn w:val="Normal"/>
    <w:link w:val="CommentTextChar"/>
    <w:rsid w:val="00CE691C"/>
    <w:rPr>
      <w:lang/>
    </w:rPr>
  </w:style>
  <w:style w:type="character" w:customStyle="1" w:styleId="CommentTextChar">
    <w:name w:val="Comment Text Char"/>
    <w:link w:val="CommentText"/>
    <w:rsid w:val="00CE691C"/>
    <w:rPr>
      <w:lang w:eastAsia="en-US"/>
    </w:rPr>
  </w:style>
  <w:style w:type="paragraph" w:styleId="CommentSubject">
    <w:name w:val="annotation subject"/>
    <w:basedOn w:val="CommentText"/>
    <w:next w:val="CommentText"/>
    <w:link w:val="CommentSubjectChar"/>
    <w:rsid w:val="00CE691C"/>
    <w:rPr>
      <w:b/>
      <w:bCs/>
    </w:rPr>
  </w:style>
  <w:style w:type="character" w:customStyle="1" w:styleId="CommentSubjectChar">
    <w:name w:val="Comment Subject Char"/>
    <w:link w:val="CommentSubject"/>
    <w:rsid w:val="00CE691C"/>
    <w:rPr>
      <w:b/>
      <w:bCs/>
      <w:lang w:eastAsia="en-US"/>
    </w:rPr>
  </w:style>
  <w:style w:type="paragraph" w:styleId="BalloonText">
    <w:name w:val="Balloon Text"/>
    <w:basedOn w:val="Normal"/>
    <w:link w:val="BalloonTextChar"/>
    <w:rsid w:val="00CE691C"/>
    <w:pPr>
      <w:spacing w:line="240" w:lineRule="auto"/>
    </w:pPr>
    <w:rPr>
      <w:rFonts w:ascii="Tahoma" w:hAnsi="Tahoma"/>
      <w:sz w:val="16"/>
      <w:szCs w:val="16"/>
      <w:lang/>
    </w:rPr>
  </w:style>
  <w:style w:type="character" w:customStyle="1" w:styleId="BalloonTextChar">
    <w:name w:val="Balloon Text Char"/>
    <w:link w:val="BalloonText"/>
    <w:rsid w:val="00CE691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1944</Words>
  <Characters>11084</Characters>
  <Application>Microsoft Office Outlook</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2012-04-19T09:10:00Z</cp:lastPrinted>
  <dcterms:created xsi:type="dcterms:W3CDTF">2012-05-22T09:21:00Z</dcterms:created>
  <dcterms:modified xsi:type="dcterms:W3CDTF">2012-05-22T09:21:00Z</dcterms:modified>
</cp:coreProperties>
</file>