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RPr="00704182" w:rsidTr="00704182">
        <w:trPr>
          <w:cantSplit/>
          <w:trHeight w:hRule="exact" w:val="851"/>
        </w:trPr>
        <w:tc>
          <w:tcPr>
            <w:tcW w:w="1276" w:type="dxa"/>
            <w:tcBorders>
              <w:bottom w:val="single" w:sz="4" w:space="0" w:color="auto"/>
            </w:tcBorders>
            <w:shd w:val="clear" w:color="auto" w:fill="auto"/>
            <w:vAlign w:val="bottom"/>
          </w:tcPr>
          <w:p w:rsidR="00B56E9C" w:rsidRPr="00ED616A" w:rsidRDefault="00B56E9C" w:rsidP="00704182">
            <w:pPr>
              <w:pStyle w:val="SingleTxtG"/>
            </w:pPr>
          </w:p>
        </w:tc>
        <w:tc>
          <w:tcPr>
            <w:tcW w:w="2268" w:type="dxa"/>
            <w:tcBorders>
              <w:bottom w:val="single" w:sz="4" w:space="0" w:color="auto"/>
            </w:tcBorders>
            <w:shd w:val="clear" w:color="auto" w:fill="auto"/>
            <w:vAlign w:val="bottom"/>
          </w:tcPr>
          <w:p w:rsidR="00B56E9C" w:rsidRPr="00704182" w:rsidRDefault="00B56E9C" w:rsidP="00704182">
            <w:pPr>
              <w:spacing w:after="80" w:line="300" w:lineRule="exact"/>
              <w:rPr>
                <w:b/>
                <w:sz w:val="24"/>
                <w:szCs w:val="24"/>
              </w:rPr>
            </w:pPr>
            <w:r w:rsidRPr="00704182">
              <w:rPr>
                <w:sz w:val="28"/>
                <w:szCs w:val="28"/>
              </w:rPr>
              <w:t>United Nations</w:t>
            </w:r>
          </w:p>
        </w:tc>
        <w:tc>
          <w:tcPr>
            <w:tcW w:w="6095" w:type="dxa"/>
            <w:gridSpan w:val="2"/>
            <w:tcBorders>
              <w:bottom w:val="single" w:sz="4" w:space="0" w:color="auto"/>
            </w:tcBorders>
            <w:shd w:val="clear" w:color="auto" w:fill="auto"/>
            <w:vAlign w:val="bottom"/>
          </w:tcPr>
          <w:p w:rsidR="00B56E9C" w:rsidRPr="00704182" w:rsidRDefault="00317454" w:rsidP="00034C28">
            <w:pPr>
              <w:suppressAutoHyphens w:val="0"/>
              <w:spacing w:after="20"/>
              <w:jc w:val="right"/>
              <w:rPr>
                <w:lang w:val="es-BO"/>
              </w:rPr>
            </w:pPr>
            <w:r w:rsidRPr="00704182">
              <w:rPr>
                <w:sz w:val="40"/>
                <w:lang w:val="es-BO"/>
              </w:rPr>
              <w:t>CERD</w:t>
            </w:r>
            <w:r w:rsidRPr="00704182">
              <w:rPr>
                <w:lang w:val="es-BO"/>
              </w:rPr>
              <w:t>/C/</w:t>
            </w:r>
            <w:r w:rsidR="00034C28">
              <w:rPr>
                <w:lang w:val="es-BO"/>
              </w:rPr>
              <w:t>MNE</w:t>
            </w:r>
            <w:r w:rsidRPr="00704182">
              <w:rPr>
                <w:lang w:val="es-BO"/>
              </w:rPr>
              <w:t>/Q/</w:t>
            </w:r>
            <w:r w:rsidR="00034C28">
              <w:rPr>
                <w:lang w:val="es-BO"/>
              </w:rPr>
              <w:t>2-3</w:t>
            </w:r>
          </w:p>
        </w:tc>
      </w:tr>
      <w:tr w:rsidR="00B56E9C" w:rsidTr="00704182">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704182">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704182" w:rsidRDefault="00B56E9C" w:rsidP="00704182">
            <w:pPr>
              <w:spacing w:before="120" w:line="380" w:lineRule="exact"/>
              <w:rPr>
                <w:b/>
                <w:sz w:val="34"/>
                <w:szCs w:val="40"/>
              </w:rPr>
            </w:pPr>
            <w:r w:rsidRPr="00704182">
              <w:rPr>
                <w:b/>
                <w:sz w:val="34"/>
                <w:szCs w:val="40"/>
              </w:rPr>
              <w:t>International Convention on</w:t>
            </w:r>
            <w:r w:rsidR="00A01489" w:rsidRPr="00704182">
              <w:rPr>
                <w:b/>
                <w:sz w:val="34"/>
                <w:szCs w:val="40"/>
              </w:rPr>
              <w:br/>
            </w:r>
            <w:r w:rsidR="00E63389" w:rsidRPr="00704182">
              <w:rPr>
                <w:b/>
                <w:sz w:val="34"/>
                <w:szCs w:val="40"/>
              </w:rPr>
              <w:t>the Elimination of A</w:t>
            </w:r>
            <w:r w:rsidRPr="00704182">
              <w:rPr>
                <w:b/>
                <w:sz w:val="34"/>
                <w:szCs w:val="40"/>
              </w:rPr>
              <w:t>ll Forms</w:t>
            </w:r>
            <w:r w:rsidR="00A01489" w:rsidRPr="00704182">
              <w:rPr>
                <w:b/>
                <w:sz w:val="34"/>
                <w:szCs w:val="40"/>
              </w:rPr>
              <w:br/>
            </w:r>
            <w:r w:rsidRPr="00704182">
              <w:rPr>
                <w:b/>
                <w:sz w:val="34"/>
                <w:szCs w:val="40"/>
              </w:rPr>
              <w:t>of Racial Discrimination</w:t>
            </w:r>
          </w:p>
        </w:tc>
        <w:tc>
          <w:tcPr>
            <w:tcW w:w="2835" w:type="dxa"/>
            <w:tcBorders>
              <w:top w:val="single" w:sz="4" w:space="0" w:color="auto"/>
              <w:bottom w:val="single" w:sz="12" w:space="0" w:color="auto"/>
            </w:tcBorders>
            <w:shd w:val="clear" w:color="auto" w:fill="auto"/>
          </w:tcPr>
          <w:p w:rsidR="00317454" w:rsidRDefault="00317454" w:rsidP="00704182">
            <w:pPr>
              <w:suppressAutoHyphens w:val="0"/>
              <w:spacing w:before="240" w:line="240" w:lineRule="exact"/>
            </w:pPr>
            <w:r>
              <w:t>Distr.: General</w:t>
            </w:r>
          </w:p>
          <w:p w:rsidR="00317454" w:rsidRPr="00034C28" w:rsidRDefault="004D3692" w:rsidP="00704182">
            <w:pPr>
              <w:suppressAutoHyphens w:val="0"/>
            </w:pPr>
            <w:r>
              <w:t>2</w:t>
            </w:r>
            <w:r w:rsidR="00FB63B8">
              <w:t>5</w:t>
            </w:r>
            <w:r w:rsidR="00034C28" w:rsidRPr="00034C28">
              <w:t xml:space="preserve"> November 2013</w:t>
            </w:r>
          </w:p>
          <w:p w:rsidR="00317454" w:rsidRDefault="00317454" w:rsidP="00704182">
            <w:pPr>
              <w:suppressAutoHyphens w:val="0"/>
            </w:pPr>
          </w:p>
          <w:p w:rsidR="00B56E9C" w:rsidRDefault="00317454" w:rsidP="00034C28">
            <w:pPr>
              <w:suppressAutoHyphens w:val="0"/>
            </w:pPr>
            <w:r>
              <w:t xml:space="preserve">Original: </w:t>
            </w:r>
            <w:r w:rsidR="00034C28">
              <w:t>English</w:t>
            </w:r>
          </w:p>
        </w:tc>
      </w:tr>
    </w:tbl>
    <w:p w:rsidR="0024532E" w:rsidRPr="0024532E" w:rsidRDefault="0024532E" w:rsidP="0024532E">
      <w:pPr>
        <w:spacing w:before="120"/>
        <w:rPr>
          <w:b/>
          <w:sz w:val="24"/>
          <w:szCs w:val="24"/>
        </w:rPr>
      </w:pPr>
      <w:r w:rsidRPr="0024532E">
        <w:rPr>
          <w:b/>
          <w:sz w:val="24"/>
          <w:szCs w:val="24"/>
        </w:rPr>
        <w:t>Committee on the Elimination of Racial Discrimination</w:t>
      </w:r>
    </w:p>
    <w:p w:rsidR="00034C28" w:rsidRPr="00034C28" w:rsidRDefault="00034C28" w:rsidP="0024532E">
      <w:pPr>
        <w:rPr>
          <w:b/>
        </w:rPr>
      </w:pPr>
      <w:r w:rsidRPr="00034C28">
        <w:rPr>
          <w:b/>
        </w:rPr>
        <w:t xml:space="preserve">Eighty-fourth </w:t>
      </w:r>
      <w:r w:rsidR="0024532E" w:rsidRPr="00034C28">
        <w:rPr>
          <w:b/>
        </w:rPr>
        <w:t>session</w:t>
      </w:r>
    </w:p>
    <w:p w:rsidR="0024532E" w:rsidRPr="0024532E" w:rsidRDefault="00034C28" w:rsidP="0024532E">
      <w:pPr>
        <w:rPr>
          <w:b/>
        </w:rPr>
      </w:pPr>
      <w:r w:rsidRPr="00034C28">
        <w:t>3</w:t>
      </w:r>
      <w:r w:rsidR="00FB080B">
        <w:t>–</w:t>
      </w:r>
      <w:r w:rsidRPr="00034C28">
        <w:t>21 February 2014</w:t>
      </w:r>
      <w:r w:rsidR="0024532E" w:rsidRPr="0024532E">
        <w:rPr>
          <w:b/>
        </w:rPr>
        <w:tab/>
      </w:r>
    </w:p>
    <w:p w:rsidR="0024532E" w:rsidRPr="0024532E" w:rsidRDefault="0024532E" w:rsidP="0024532E">
      <w:r w:rsidRPr="007709B1">
        <w:t xml:space="preserve">Item </w:t>
      </w:r>
      <w:r w:rsidR="00034C28" w:rsidRPr="007709B1">
        <w:t>6</w:t>
      </w:r>
      <w:r w:rsidRPr="007709B1">
        <w:t xml:space="preserve"> of</w:t>
      </w:r>
      <w:r w:rsidRPr="0024532E">
        <w:t xml:space="preserve"> the provisional agenda</w:t>
      </w:r>
    </w:p>
    <w:p w:rsidR="0024532E" w:rsidRPr="0024532E" w:rsidRDefault="0024532E" w:rsidP="0024532E">
      <w:pPr>
        <w:rPr>
          <w:b/>
        </w:rPr>
      </w:pPr>
      <w:r w:rsidRPr="0024532E">
        <w:rPr>
          <w:b/>
        </w:rPr>
        <w:t xml:space="preserve">Consideration of reports, comments and information </w:t>
      </w:r>
      <w:r w:rsidR="004D6628" w:rsidRPr="0024532E">
        <w:rPr>
          <w:b/>
        </w:rPr>
        <w:t>submitted</w:t>
      </w:r>
      <w:r w:rsidRPr="0024532E">
        <w:rPr>
          <w:b/>
        </w:rPr>
        <w:br/>
        <w:t>by States parties under article 9 of the Convention</w:t>
      </w:r>
    </w:p>
    <w:p w:rsidR="0024532E" w:rsidRPr="0024532E" w:rsidRDefault="0024532E" w:rsidP="0024532E">
      <w:pPr>
        <w:pStyle w:val="HChG"/>
      </w:pPr>
      <w:r w:rsidRPr="0024532E">
        <w:tab/>
      </w:r>
      <w:r w:rsidRPr="0024532E">
        <w:tab/>
        <w:t xml:space="preserve">List of themes in relation to the </w:t>
      </w:r>
      <w:r w:rsidR="008E6096">
        <w:t xml:space="preserve">combined </w:t>
      </w:r>
      <w:r w:rsidR="00034C28">
        <w:t>second and third</w:t>
      </w:r>
      <w:r w:rsidRPr="0024532E">
        <w:t xml:space="preserve"> periodic report</w:t>
      </w:r>
      <w:r w:rsidR="0055630F">
        <w:t>s</w:t>
      </w:r>
      <w:r w:rsidRPr="0024532E">
        <w:t xml:space="preserve"> of </w:t>
      </w:r>
      <w:smartTag w:uri="urn:schemas-microsoft-com:office:smarttags" w:element="country-region">
        <w:smartTag w:uri="urn:schemas-microsoft-com:office:smarttags" w:element="place">
          <w:r w:rsidR="00034C28">
            <w:t>Montenegro</w:t>
          </w:r>
        </w:smartTag>
      </w:smartTag>
      <w:r w:rsidRPr="0024532E">
        <w:t xml:space="preserve"> (</w:t>
      </w:r>
      <w:r w:rsidR="00034C28">
        <w:t>CERD/C/MNE/2-3</w:t>
      </w:r>
      <w:r w:rsidRPr="0024532E">
        <w:t>)</w:t>
      </w:r>
    </w:p>
    <w:p w:rsidR="0024532E" w:rsidRPr="0024532E" w:rsidRDefault="0024532E" w:rsidP="0024532E">
      <w:pPr>
        <w:pStyle w:val="H1G"/>
      </w:pPr>
      <w:r w:rsidRPr="0024532E">
        <w:tab/>
      </w:r>
      <w:r w:rsidRPr="0024532E">
        <w:tab/>
        <w:t>Note by the Country Rapporteur</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24532E" w:rsidTr="0024532E">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24532E" w:rsidRDefault="0024532E" w:rsidP="0024532E">
            <w:pPr>
              <w:suppressAutoHyphens w:val="0"/>
              <w:spacing w:line="240" w:lineRule="auto"/>
            </w:pPr>
          </w:p>
        </w:tc>
      </w:tr>
      <w:tr w:rsidR="0024532E" w:rsidTr="0024532E">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24532E" w:rsidRDefault="0024532E" w:rsidP="0024532E">
            <w:pPr>
              <w:spacing w:after="120"/>
              <w:jc w:val="both"/>
            </w:pPr>
            <w:r>
              <w:tab/>
            </w:r>
            <w:r w:rsidR="00944640">
              <w:t xml:space="preserve">The </w:t>
            </w:r>
            <w:r w:rsidRPr="0024532E">
              <w:t>Committee on the Elimination of Racial Discrimination decided at its seventy-sixth session (A/65/18, para. 85) that the Country Rapporteur would send to the State party concerned a short list of themes with a view to guiding and focusing the dialogue between the State party’s delegation and the Committee during the consideration of the State party’s report. This document contains a list of such themes. This is not an exhaustive list; other issues may also be raised in the course of the dialogue. No written replies are required.</w:t>
            </w:r>
          </w:p>
        </w:tc>
      </w:tr>
      <w:tr w:rsidR="0024532E" w:rsidTr="0024532E">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24532E" w:rsidRDefault="0024532E" w:rsidP="0024532E">
            <w:pPr>
              <w:suppressAutoHyphens w:val="0"/>
              <w:spacing w:line="240" w:lineRule="auto"/>
            </w:pPr>
          </w:p>
        </w:tc>
      </w:tr>
    </w:tbl>
    <w:p w:rsidR="00034C28" w:rsidRDefault="007709B1" w:rsidP="00034C28">
      <w:pPr>
        <w:pStyle w:val="H23G"/>
      </w:pPr>
      <w:r>
        <w:tab/>
        <w:t>1.</w:t>
      </w:r>
      <w:r>
        <w:tab/>
      </w:r>
      <w:r w:rsidR="00034C28">
        <w:t>The Convention in domestic law, institutional and policy framework for its implementation (arts. 2, 4, 6 and 7)</w:t>
      </w:r>
    </w:p>
    <w:p w:rsidR="00034C28" w:rsidRDefault="00034C28" w:rsidP="007709B1">
      <w:pPr>
        <w:pStyle w:val="SingleTxtG"/>
        <w:ind w:firstLine="567"/>
      </w:pPr>
      <w:r>
        <w:t>(a)</w:t>
      </w:r>
      <w:r>
        <w:tab/>
        <w:t>Information about the adoption of the new Law on Prohibition of Discrimination</w:t>
      </w:r>
      <w:r w:rsidR="008D6AE3">
        <w:t xml:space="preserve"> </w:t>
      </w:r>
      <w:r>
        <w:t>includ</w:t>
      </w:r>
      <w:r w:rsidR="00AE3523">
        <w:t>ing</w:t>
      </w:r>
      <w:r w:rsidR="004F5F22">
        <w:t xml:space="preserve"> a</w:t>
      </w:r>
      <w:r>
        <w:t xml:space="preserve"> definition of discrimination and</w:t>
      </w:r>
      <w:r w:rsidR="00AE3523">
        <w:t xml:space="preserve"> embodying</w:t>
      </w:r>
      <w:r>
        <w:t xml:space="preserve"> other provisions of article 2 of the Convention, as requested in the </w:t>
      </w:r>
      <w:r w:rsidR="00B16CC9">
        <w:t xml:space="preserve">concluding observations </w:t>
      </w:r>
      <w:r>
        <w:t>of March 2009 (CERD/C/MNE/CO/1, para.</w:t>
      </w:r>
      <w:r w:rsidR="00B16CC9">
        <w:t xml:space="preserve"> </w:t>
      </w:r>
      <w:r>
        <w:t>9);</w:t>
      </w:r>
    </w:p>
    <w:p w:rsidR="00034C28" w:rsidRDefault="00034C28" w:rsidP="007709B1">
      <w:pPr>
        <w:pStyle w:val="SingleTxtG"/>
        <w:ind w:firstLine="567"/>
        <w:rPr>
          <w:lang w:val="en-NZ"/>
        </w:rPr>
      </w:pPr>
      <w:r>
        <w:t>(b)</w:t>
      </w:r>
      <w:r>
        <w:tab/>
        <w:t xml:space="preserve">Update on </w:t>
      </w:r>
      <w:r w:rsidR="00770EC8">
        <w:t xml:space="preserve">efforts made to </w:t>
      </w:r>
      <w:r>
        <w:t>bring the 2006 Law on Minority Rights and Freedoms in</w:t>
      </w:r>
      <w:r w:rsidR="009502D2">
        <w:t>to</w:t>
      </w:r>
      <w:r>
        <w:t xml:space="preserve"> line with the 2007 Constitution and the Convention (CERD/C/MNE/CO/1, para.</w:t>
      </w:r>
      <w:r w:rsidR="00C40A98">
        <w:t xml:space="preserve"> </w:t>
      </w:r>
      <w:r>
        <w:t>10)</w:t>
      </w:r>
      <w:r w:rsidR="00AE3523">
        <w:t>, including</w:t>
      </w:r>
      <w:r>
        <w:t xml:space="preserve"> since the adoption of the Law on Amendments to the Law on Minority Rights and Freedoms;</w:t>
      </w:r>
    </w:p>
    <w:p w:rsidR="00034C28" w:rsidRDefault="00034C28" w:rsidP="00034C28">
      <w:pPr>
        <w:pStyle w:val="SingleTxtG"/>
        <w:ind w:firstLine="567"/>
        <w:rPr>
          <w:lang w:val="en-NZ"/>
        </w:rPr>
      </w:pPr>
      <w:r>
        <w:rPr>
          <w:lang w:val="en-NZ"/>
        </w:rPr>
        <w:t>(c)</w:t>
      </w:r>
      <w:r>
        <w:rPr>
          <w:lang w:val="en-NZ"/>
        </w:rPr>
        <w:tab/>
        <w:t>Information on efforts made during the period under consideration to make the Convention better known to the public administration</w:t>
      </w:r>
      <w:r w:rsidR="004F5F22">
        <w:rPr>
          <w:lang w:val="en-NZ"/>
        </w:rPr>
        <w:t>, particularly</w:t>
      </w:r>
      <w:r>
        <w:rPr>
          <w:lang w:val="en-NZ"/>
        </w:rPr>
        <w:t xml:space="preserve"> the judiciary, as well as to the public at large (</w:t>
      </w:r>
      <w:r>
        <w:t>CERD/C/MNE/CO/1, para.</w:t>
      </w:r>
      <w:r w:rsidR="00C40A98">
        <w:t xml:space="preserve"> </w:t>
      </w:r>
      <w:r>
        <w:t>11)</w:t>
      </w:r>
      <w:r>
        <w:rPr>
          <w:lang w:val="en-NZ"/>
        </w:rPr>
        <w:t>;</w:t>
      </w:r>
    </w:p>
    <w:p w:rsidR="00034C28" w:rsidRDefault="00034C28" w:rsidP="00034C28">
      <w:pPr>
        <w:pStyle w:val="SingleTxtG"/>
        <w:ind w:firstLine="567"/>
      </w:pPr>
      <w:r>
        <w:rPr>
          <w:lang w:val="en-NZ"/>
        </w:rPr>
        <w:t>(d)</w:t>
      </w:r>
      <w:r>
        <w:rPr>
          <w:lang w:val="en-NZ"/>
        </w:rPr>
        <w:tab/>
        <w:t>Information on progress made and the obstacles encountered in the practical implementation of rights enshrined in the Convention through legislative and administrative measures adopted to eliminate racial discrimination (</w:t>
      </w:r>
      <w:r>
        <w:t>CERD/C/MNE/CO/1, para.</w:t>
      </w:r>
      <w:r w:rsidR="00C40A98">
        <w:t xml:space="preserve"> </w:t>
      </w:r>
      <w:r>
        <w:t>12)</w:t>
      </w:r>
      <w:r>
        <w:rPr>
          <w:lang w:val="en-NZ"/>
        </w:rPr>
        <w:t>;</w:t>
      </w:r>
      <w:r>
        <w:t xml:space="preserve"> </w:t>
      </w:r>
    </w:p>
    <w:p w:rsidR="00034C28" w:rsidRDefault="00034C28" w:rsidP="00034C28">
      <w:pPr>
        <w:pStyle w:val="SingleTxtG"/>
        <w:ind w:firstLine="567"/>
        <w:rPr>
          <w:lang w:val="en-NZ"/>
        </w:rPr>
      </w:pPr>
      <w:r>
        <w:t>(e)</w:t>
      </w:r>
      <w:r>
        <w:tab/>
        <w:t xml:space="preserve">Update on amendments to the legislative framework </w:t>
      </w:r>
      <w:r w:rsidR="004777E3">
        <w:t xml:space="preserve">for </w:t>
      </w:r>
      <w:r>
        <w:t xml:space="preserve">the office of the Protector of Human Rights and Freedoms of Montenegro </w:t>
      </w:r>
      <w:r w:rsidR="009F4859">
        <w:t>aimed at</w:t>
      </w:r>
      <w:r>
        <w:t xml:space="preserve"> enabl</w:t>
      </w:r>
      <w:r w:rsidR="002E58AB">
        <w:t>ing</w:t>
      </w:r>
      <w:r>
        <w:t xml:space="preserve"> </w:t>
      </w:r>
      <w:r w:rsidR="004777E3">
        <w:t xml:space="preserve">the office </w:t>
      </w:r>
      <w:r>
        <w:t>to carry out its mandate independently and effectively, including</w:t>
      </w:r>
      <w:r w:rsidR="004777E3">
        <w:t xml:space="preserve"> as regards</w:t>
      </w:r>
      <w:r>
        <w:t xml:space="preserve"> </w:t>
      </w:r>
      <w:r w:rsidR="004777E3">
        <w:t xml:space="preserve">the </w:t>
      </w:r>
      <w:r>
        <w:t>provision of adequate financial and human resources</w:t>
      </w:r>
      <w:r w:rsidR="009F4859">
        <w:t>,</w:t>
      </w:r>
      <w:r>
        <w:t xml:space="preserve"> and information on any campaigns </w:t>
      </w:r>
      <w:r w:rsidR="009F4859">
        <w:t>aimed at raising awareness of</w:t>
      </w:r>
      <w:r w:rsidR="004777E3">
        <w:t xml:space="preserve"> the </w:t>
      </w:r>
      <w:r>
        <w:t xml:space="preserve">functions </w:t>
      </w:r>
      <w:r w:rsidR="004777E3">
        <w:t xml:space="preserve">of the Office </w:t>
      </w:r>
      <w:r w:rsidR="009F4859">
        <w:t>with a view to</w:t>
      </w:r>
      <w:r>
        <w:t xml:space="preserve"> facilitating access to its services by persons belonging to ethnic minorities </w:t>
      </w:r>
      <w:r>
        <w:rPr>
          <w:lang w:val="en-NZ"/>
        </w:rPr>
        <w:t>(</w:t>
      </w:r>
      <w:r>
        <w:t>CERD/C/MNE/CO/1, para.</w:t>
      </w:r>
      <w:r w:rsidR="00C40A98">
        <w:t xml:space="preserve"> </w:t>
      </w:r>
      <w:r>
        <w:t>13)</w:t>
      </w:r>
      <w:r>
        <w:rPr>
          <w:lang w:val="en-NZ"/>
        </w:rPr>
        <w:t>.</w:t>
      </w:r>
    </w:p>
    <w:p w:rsidR="00034C28" w:rsidRDefault="00034C28" w:rsidP="00034C28">
      <w:pPr>
        <w:pStyle w:val="H23G"/>
      </w:pPr>
      <w:r>
        <w:tab/>
        <w:t>2.</w:t>
      </w:r>
      <w:r>
        <w:tab/>
        <w:t xml:space="preserve">Situation of ethnic and minority communities (arts. 2–7) </w:t>
      </w:r>
    </w:p>
    <w:p w:rsidR="00034C28" w:rsidRDefault="00034C28" w:rsidP="00034C28">
      <w:pPr>
        <w:pStyle w:val="SingleTxtG"/>
        <w:ind w:firstLine="567"/>
      </w:pPr>
      <w:r>
        <w:t>(a)</w:t>
      </w:r>
      <w:r>
        <w:tab/>
        <w:t xml:space="preserve">Update on </w:t>
      </w:r>
      <w:r w:rsidR="009F4859">
        <w:t xml:space="preserve">the </w:t>
      </w:r>
      <w:r>
        <w:t>educational, social, economic and employment levels of various ethnic minorities (CERD/C/MNE/CO/1, para.</w:t>
      </w:r>
      <w:r w:rsidR="00C40A98">
        <w:t xml:space="preserve"> </w:t>
      </w:r>
      <w:r>
        <w:t>8)</w:t>
      </w:r>
      <w:r w:rsidR="009F4859">
        <w:t>,</w:t>
      </w:r>
      <w:r>
        <w:t xml:space="preserve"> based on the 2011 census; </w:t>
      </w:r>
    </w:p>
    <w:p w:rsidR="00034C28" w:rsidRDefault="00034C28" w:rsidP="00034C28">
      <w:pPr>
        <w:pStyle w:val="SingleTxtG"/>
        <w:ind w:firstLine="567"/>
      </w:pPr>
      <w:r>
        <w:t>(b)</w:t>
      </w:r>
      <w:r>
        <w:tab/>
        <w:t xml:space="preserve">Disaggregated statistical data on members of minority groups employed in public bodies and institutions, including central and local State bodies, the judiciary and the police force </w:t>
      </w:r>
      <w:r>
        <w:rPr>
          <w:lang w:val="en-NZ"/>
        </w:rPr>
        <w:t>(</w:t>
      </w:r>
      <w:r>
        <w:t>CERD/C/MNE/CO/1, para.</w:t>
      </w:r>
      <w:r w:rsidR="00C40A98">
        <w:t xml:space="preserve"> </w:t>
      </w:r>
      <w:r>
        <w:t>14), including an update on the results of the questionnaire on the ethnic structure of public employees;</w:t>
      </w:r>
    </w:p>
    <w:p w:rsidR="00034C28" w:rsidRDefault="00034C28" w:rsidP="00034C28">
      <w:pPr>
        <w:pStyle w:val="SingleTxtG"/>
        <w:ind w:firstLine="567"/>
      </w:pPr>
      <w:r>
        <w:t>(c)</w:t>
      </w:r>
      <w:r>
        <w:tab/>
        <w:t xml:space="preserve">Information on the </w:t>
      </w:r>
      <w:r w:rsidR="0017264B">
        <w:t xml:space="preserve">implementation </w:t>
      </w:r>
      <w:r>
        <w:t xml:space="preserve">of the </w:t>
      </w:r>
      <w:r w:rsidR="00651113">
        <w:t>a</w:t>
      </w:r>
      <w:r>
        <w:t xml:space="preserve">ction </w:t>
      </w:r>
      <w:r w:rsidR="00651113">
        <w:t>p</w:t>
      </w:r>
      <w:r>
        <w:t xml:space="preserve">lan for resolving the status of displaced persons from former Yugoslav republics and internally displaced persons from Kosovo adopted on 29 October 2009, including statistical data on the granting of citizenship, long-term residence or refugee status, as well as an update on </w:t>
      </w:r>
      <w:r w:rsidR="005449C9">
        <w:t xml:space="preserve">access to </w:t>
      </w:r>
      <w:r>
        <w:t xml:space="preserve">employment, health insurance, social welfare and property rights </w:t>
      </w:r>
      <w:r>
        <w:rPr>
          <w:lang w:val="en-NZ"/>
        </w:rPr>
        <w:t>(</w:t>
      </w:r>
      <w:r>
        <w:t>CERD/C/MNE/CO/1, para.</w:t>
      </w:r>
      <w:r w:rsidR="005449C9">
        <w:t xml:space="preserve"> </w:t>
      </w:r>
      <w:r>
        <w:t>15); status of the construction of the Reception Centre for Asylum Seekers</w:t>
      </w:r>
      <w:r w:rsidR="007709B1">
        <w:t>;</w:t>
      </w:r>
    </w:p>
    <w:p w:rsidR="00034C28" w:rsidRDefault="00034C28" w:rsidP="00034C28">
      <w:pPr>
        <w:pStyle w:val="SingleTxtG"/>
      </w:pPr>
      <w:r>
        <w:tab/>
        <w:t>(d)</w:t>
      </w:r>
      <w:r>
        <w:tab/>
        <w:t>Update on any special measures taken to improve the socioeconomic and living conditions of the Roma, Ashkali and Egyptian population with regard to employment in public administration and practical access to education, health care and social welfare (CERD/C/MNE/CO/1, para.</w:t>
      </w:r>
      <w:r w:rsidR="005449C9">
        <w:t xml:space="preserve"> </w:t>
      </w:r>
      <w:r>
        <w:t>17).</w:t>
      </w:r>
    </w:p>
    <w:p w:rsidR="00034C28" w:rsidRDefault="00034C28" w:rsidP="00034C28">
      <w:pPr>
        <w:pStyle w:val="H23G"/>
      </w:pPr>
      <w:r>
        <w:tab/>
        <w:t>3.</w:t>
      </w:r>
      <w:r>
        <w:tab/>
        <w:t>Access to justice, discrimination against non-citizens</w:t>
      </w:r>
      <w:r w:rsidR="00A440A1">
        <w:t>,</w:t>
      </w:r>
      <w:r>
        <w:t xml:space="preserve"> including migrants, refugees and asylum seekers (arts. 5, 6 and 7)</w:t>
      </w:r>
    </w:p>
    <w:p w:rsidR="00034C28" w:rsidRDefault="00034C28" w:rsidP="007709B1">
      <w:pPr>
        <w:pStyle w:val="SingleTxtG"/>
        <w:ind w:firstLine="567"/>
        <w:rPr>
          <w:lang w:val="en-NZ"/>
        </w:rPr>
      </w:pPr>
      <w:r>
        <w:t>(a)</w:t>
      </w:r>
      <w:r>
        <w:tab/>
        <w:t xml:space="preserve">Update on measures to </w:t>
      </w:r>
      <w:r w:rsidR="007C06A6">
        <w:t xml:space="preserve">promote the </w:t>
      </w:r>
      <w:r>
        <w:t>appl</w:t>
      </w:r>
      <w:r w:rsidR="007C06A6">
        <w:t>ication of</w:t>
      </w:r>
      <w:r>
        <w:rPr>
          <w:lang w:val="en-NZ"/>
        </w:rPr>
        <w:t xml:space="preserve"> the provisions of the Convention and redress mechanisms </w:t>
      </w:r>
      <w:r w:rsidR="001A05B2">
        <w:rPr>
          <w:lang w:val="en-NZ"/>
        </w:rPr>
        <w:t xml:space="preserve">through </w:t>
      </w:r>
      <w:r>
        <w:rPr>
          <w:lang w:val="en-NZ"/>
        </w:rPr>
        <w:t>the courts and the administrative system, including efforts to prevent police brutality and ill-treatment of disadvantaged groups</w:t>
      </w:r>
      <w:r w:rsidR="001A05B2">
        <w:rPr>
          <w:lang w:val="en-NZ"/>
        </w:rPr>
        <w:t>,</w:t>
      </w:r>
      <w:r>
        <w:rPr>
          <w:lang w:val="en-NZ"/>
        </w:rPr>
        <w:t xml:space="preserve"> such as Roma (</w:t>
      </w:r>
      <w:r>
        <w:t>CERD/C/MNE/CO/1, paras.</w:t>
      </w:r>
      <w:r w:rsidR="00A440A1">
        <w:t> </w:t>
      </w:r>
      <w:r>
        <w:t xml:space="preserve">11 and 18), </w:t>
      </w:r>
      <w:r w:rsidR="007C06A6">
        <w:t xml:space="preserve">since </w:t>
      </w:r>
      <w:r>
        <w:t>the adoption of the new Law on Prohibition of Discrimination and the new Law on Free Legal Aid</w:t>
      </w:r>
      <w:r>
        <w:rPr>
          <w:lang w:val="en-NZ"/>
        </w:rPr>
        <w:t xml:space="preserve">; </w:t>
      </w:r>
    </w:p>
    <w:p w:rsidR="00034C28" w:rsidRDefault="00034C28" w:rsidP="007709B1">
      <w:pPr>
        <w:pStyle w:val="SingleTxtG"/>
        <w:ind w:firstLine="567"/>
        <w:rPr>
          <w:lang w:val="en-NZ"/>
        </w:rPr>
      </w:pPr>
      <w:r>
        <w:rPr>
          <w:lang w:val="en-NZ"/>
        </w:rPr>
        <w:t>(b)</w:t>
      </w:r>
      <w:r>
        <w:rPr>
          <w:lang w:val="en-NZ"/>
        </w:rPr>
        <w:tab/>
        <w:t xml:space="preserve">Update on the outcome of the cases of discrimination filed with the Protector of Human Rights and Freedoms and </w:t>
      </w:r>
      <w:r w:rsidR="007C06A6">
        <w:rPr>
          <w:lang w:val="en-NZ"/>
        </w:rPr>
        <w:t xml:space="preserve">the </w:t>
      </w:r>
      <w:r>
        <w:rPr>
          <w:lang w:val="en-NZ"/>
        </w:rPr>
        <w:t xml:space="preserve">status of </w:t>
      </w:r>
      <w:r w:rsidR="007C06A6">
        <w:rPr>
          <w:lang w:val="en-NZ"/>
        </w:rPr>
        <w:t xml:space="preserve">the </w:t>
      </w:r>
      <w:r w:rsidRPr="00301E95">
        <w:rPr>
          <w:lang w:val="en-NZ"/>
        </w:rPr>
        <w:t>Law on Use of Official Language and Script</w:t>
      </w:r>
      <w:r>
        <w:rPr>
          <w:lang w:val="en-NZ"/>
        </w:rPr>
        <w:t>; outcome of the cases of incitement to national, racial and religious hatred registered by the Police Directorate from 2008 to 2010.</w:t>
      </w:r>
    </w:p>
    <w:p w:rsidR="00034C28" w:rsidRDefault="00034C28" w:rsidP="00034C28">
      <w:pPr>
        <w:pStyle w:val="SingleTxtG"/>
        <w:spacing w:before="240" w:after="0"/>
        <w:jc w:val="center"/>
        <w:rPr>
          <w:u w:val="single"/>
        </w:rPr>
      </w:pPr>
      <w:r>
        <w:rPr>
          <w:u w:val="single"/>
        </w:rPr>
        <w:tab/>
      </w:r>
      <w:r>
        <w:rPr>
          <w:u w:val="single"/>
        </w:rPr>
        <w:tab/>
      </w:r>
      <w:r>
        <w:rPr>
          <w:u w:val="single"/>
        </w:rPr>
        <w:tab/>
      </w:r>
    </w:p>
    <w:p w:rsidR="001C6663" w:rsidRPr="005F629B" w:rsidRDefault="001C6663" w:rsidP="00034C28">
      <w:pPr>
        <w:pStyle w:val="SingleTxtG"/>
        <w:spacing w:before="240"/>
      </w:pPr>
    </w:p>
    <w:sectPr w:rsidR="001C6663" w:rsidRPr="005F629B" w:rsidSect="0031745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B76" w:rsidRDefault="001C1B76"/>
  </w:endnote>
  <w:endnote w:type="continuationSeparator" w:id="0">
    <w:p w:rsidR="001C1B76" w:rsidRDefault="001C1B76"/>
  </w:endnote>
  <w:endnote w:type="continuationNotice" w:id="1">
    <w:p w:rsidR="001C1B76" w:rsidRDefault="001C1B7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AF" w:rsidRPr="00317454" w:rsidRDefault="006512AF" w:rsidP="00317454">
    <w:pPr>
      <w:pStyle w:val="Footer"/>
      <w:tabs>
        <w:tab w:val="right" w:pos="9598"/>
      </w:tabs>
    </w:pPr>
    <w:r w:rsidRPr="00317454">
      <w:rPr>
        <w:b/>
        <w:sz w:val="18"/>
      </w:rPr>
      <w:fldChar w:fldCharType="begin"/>
    </w:r>
    <w:r w:rsidRPr="00317454">
      <w:rPr>
        <w:b/>
        <w:sz w:val="18"/>
      </w:rPr>
      <w:instrText xml:space="preserve"> PAGE  \* MERGEFORMAT </w:instrText>
    </w:r>
    <w:r w:rsidRPr="00317454">
      <w:rPr>
        <w:b/>
        <w:sz w:val="18"/>
      </w:rPr>
      <w:fldChar w:fldCharType="separate"/>
    </w:r>
    <w:r w:rsidR="00982F08">
      <w:rPr>
        <w:b/>
        <w:noProof/>
        <w:sz w:val="18"/>
      </w:rPr>
      <w:t>2</w:t>
    </w:r>
    <w:r w:rsidRPr="00317454">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AF" w:rsidRPr="00317454" w:rsidRDefault="006512AF" w:rsidP="00317454">
    <w:pPr>
      <w:pStyle w:val="Footer"/>
      <w:tabs>
        <w:tab w:val="right" w:pos="9598"/>
      </w:tabs>
      <w:rPr>
        <w:b/>
        <w:sz w:val="18"/>
      </w:rPr>
    </w:pPr>
    <w:r>
      <w:t>GE.13-63907</w:t>
    </w:r>
    <w:r>
      <w:tab/>
    </w:r>
    <w:r w:rsidRPr="00317454">
      <w:rPr>
        <w:b/>
        <w:sz w:val="18"/>
      </w:rPr>
      <w:fldChar w:fldCharType="begin"/>
    </w:r>
    <w:r w:rsidRPr="00317454">
      <w:rPr>
        <w:b/>
        <w:sz w:val="18"/>
      </w:rPr>
      <w:instrText xml:space="preserve"> PAGE  \* MERGEFORMAT </w:instrText>
    </w:r>
    <w:r w:rsidRPr="00317454">
      <w:rPr>
        <w:b/>
        <w:sz w:val="18"/>
      </w:rPr>
      <w:fldChar w:fldCharType="separate"/>
    </w:r>
    <w:r>
      <w:rPr>
        <w:b/>
        <w:noProof/>
        <w:sz w:val="18"/>
      </w:rPr>
      <w:t>3</w:t>
    </w:r>
    <w:r w:rsidRPr="0031745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AF" w:rsidRPr="009B4A1B" w:rsidRDefault="006512AF" w:rsidP="009B4A1B">
    <w:pPr>
      <w:pStyle w:val="Footer"/>
    </w:pPr>
    <w:r>
      <w:rPr>
        <w:sz w:val="20"/>
      </w:rPr>
      <w:t>GE.</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13-</w:t>
    </w:r>
    <w:r w:rsidR="00982F08">
      <w:rPr>
        <w:sz w:val="20"/>
      </w:rPr>
      <w:t>49166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B76" w:rsidRPr="000B175B" w:rsidRDefault="001C1B76" w:rsidP="000B175B">
      <w:pPr>
        <w:tabs>
          <w:tab w:val="right" w:pos="2155"/>
        </w:tabs>
        <w:spacing w:after="80"/>
        <w:ind w:left="680"/>
        <w:rPr>
          <w:u w:val="single"/>
        </w:rPr>
      </w:pPr>
      <w:r>
        <w:rPr>
          <w:u w:val="single"/>
        </w:rPr>
        <w:tab/>
      </w:r>
    </w:p>
  </w:footnote>
  <w:footnote w:type="continuationSeparator" w:id="0">
    <w:p w:rsidR="001C1B76" w:rsidRPr="00FC68B7" w:rsidRDefault="001C1B76" w:rsidP="00FC68B7">
      <w:pPr>
        <w:tabs>
          <w:tab w:val="left" w:pos="2155"/>
        </w:tabs>
        <w:spacing w:after="80"/>
        <w:ind w:left="680"/>
        <w:rPr>
          <w:u w:val="single"/>
        </w:rPr>
      </w:pPr>
      <w:r>
        <w:rPr>
          <w:u w:val="single"/>
        </w:rPr>
        <w:tab/>
      </w:r>
    </w:p>
  </w:footnote>
  <w:footnote w:type="continuationNotice" w:id="1">
    <w:p w:rsidR="001C1B76" w:rsidRDefault="001C1B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AF" w:rsidRPr="00317454" w:rsidRDefault="006512AF" w:rsidP="00317454">
    <w:pPr>
      <w:pStyle w:val="Header"/>
    </w:pPr>
    <w:r w:rsidRPr="00317454">
      <w:t>CERD/C/</w:t>
    </w:r>
    <w:r>
      <w:t>MNE</w:t>
    </w:r>
    <w:r w:rsidRPr="00317454">
      <w:t>/Q/</w:t>
    </w:r>
    <w:r>
      <w:t>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AF" w:rsidRPr="00317454" w:rsidRDefault="006512AF" w:rsidP="00317454">
    <w:pPr>
      <w:pStyle w:val="Header"/>
      <w:jc w:val="right"/>
    </w:pPr>
    <w:r w:rsidRPr="00317454">
      <w:t>CERD/C/XXX/Q/Y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131077" w:nlCheck="1" w:checkStyle="1"/>
  <w:activeWritingStyle w:appName="MSWord" w:lang="en-GB" w:vendorID="64" w:dllVersion="131078" w:nlCheck="1" w:checkStyle="1"/>
  <w:activeWritingStyle w:appName="MSWord" w:lang="es-BO" w:vendorID="64" w:dllVersion="131078" w:nlCheck="1" w:checkStyle="1"/>
  <w:activeWritingStyle w:appName="MSWord" w:lang="en-NZ"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2BCA"/>
    <w:rsid w:val="00002FD9"/>
    <w:rsid w:val="00012428"/>
    <w:rsid w:val="00016F47"/>
    <w:rsid w:val="00032FF2"/>
    <w:rsid w:val="00034C28"/>
    <w:rsid w:val="00050F6B"/>
    <w:rsid w:val="000551DC"/>
    <w:rsid w:val="00064C68"/>
    <w:rsid w:val="00072C8C"/>
    <w:rsid w:val="000733B5"/>
    <w:rsid w:val="00077485"/>
    <w:rsid w:val="000814F4"/>
    <w:rsid w:val="000931C0"/>
    <w:rsid w:val="000A5D3B"/>
    <w:rsid w:val="000B175B"/>
    <w:rsid w:val="000B3A0F"/>
    <w:rsid w:val="000B4EF7"/>
    <w:rsid w:val="000B7FE1"/>
    <w:rsid w:val="000C1462"/>
    <w:rsid w:val="000C2D2E"/>
    <w:rsid w:val="000E0415"/>
    <w:rsid w:val="000F7FD5"/>
    <w:rsid w:val="001103AA"/>
    <w:rsid w:val="00143A61"/>
    <w:rsid w:val="00154202"/>
    <w:rsid w:val="00155467"/>
    <w:rsid w:val="00162B02"/>
    <w:rsid w:val="0017264B"/>
    <w:rsid w:val="00180D95"/>
    <w:rsid w:val="0018603D"/>
    <w:rsid w:val="0018711F"/>
    <w:rsid w:val="00193C5D"/>
    <w:rsid w:val="001A05B2"/>
    <w:rsid w:val="001B4B04"/>
    <w:rsid w:val="001C1B76"/>
    <w:rsid w:val="001C6663"/>
    <w:rsid w:val="001C7895"/>
    <w:rsid w:val="001D26DF"/>
    <w:rsid w:val="001E5A23"/>
    <w:rsid w:val="001E5AA0"/>
    <w:rsid w:val="00202DA8"/>
    <w:rsid w:val="00206627"/>
    <w:rsid w:val="00211E0B"/>
    <w:rsid w:val="002402DA"/>
    <w:rsid w:val="0024532E"/>
    <w:rsid w:val="00281C30"/>
    <w:rsid w:val="0029061C"/>
    <w:rsid w:val="002B0464"/>
    <w:rsid w:val="002C1F21"/>
    <w:rsid w:val="002E58AB"/>
    <w:rsid w:val="002F175C"/>
    <w:rsid w:val="00301746"/>
    <w:rsid w:val="00301E95"/>
    <w:rsid w:val="003164F8"/>
    <w:rsid w:val="00317454"/>
    <w:rsid w:val="003229D8"/>
    <w:rsid w:val="003305AB"/>
    <w:rsid w:val="00331709"/>
    <w:rsid w:val="00352709"/>
    <w:rsid w:val="00371178"/>
    <w:rsid w:val="003A2C1A"/>
    <w:rsid w:val="003A3552"/>
    <w:rsid w:val="003A4810"/>
    <w:rsid w:val="003A6810"/>
    <w:rsid w:val="003C2CC4"/>
    <w:rsid w:val="003D4B23"/>
    <w:rsid w:val="00405DDC"/>
    <w:rsid w:val="00410C89"/>
    <w:rsid w:val="00422BCA"/>
    <w:rsid w:val="004325CB"/>
    <w:rsid w:val="0045495B"/>
    <w:rsid w:val="0046652E"/>
    <w:rsid w:val="00467728"/>
    <w:rsid w:val="004777E3"/>
    <w:rsid w:val="004978B8"/>
    <w:rsid w:val="004D25E4"/>
    <w:rsid w:val="004D30D4"/>
    <w:rsid w:val="004D3692"/>
    <w:rsid w:val="004D6628"/>
    <w:rsid w:val="004F5F22"/>
    <w:rsid w:val="00517B36"/>
    <w:rsid w:val="005420F2"/>
    <w:rsid w:val="005449C9"/>
    <w:rsid w:val="0055630F"/>
    <w:rsid w:val="005738B3"/>
    <w:rsid w:val="005B3DB3"/>
    <w:rsid w:val="005B7499"/>
    <w:rsid w:val="005C6A79"/>
    <w:rsid w:val="005D3055"/>
    <w:rsid w:val="005F629B"/>
    <w:rsid w:val="006001EE"/>
    <w:rsid w:val="006050D0"/>
    <w:rsid w:val="00611FC4"/>
    <w:rsid w:val="006176FB"/>
    <w:rsid w:val="00640B26"/>
    <w:rsid w:val="00640FC5"/>
    <w:rsid w:val="00651113"/>
    <w:rsid w:val="006512AF"/>
    <w:rsid w:val="00661370"/>
    <w:rsid w:val="006A45B3"/>
    <w:rsid w:val="006D301C"/>
    <w:rsid w:val="006E564B"/>
    <w:rsid w:val="00704182"/>
    <w:rsid w:val="007137D8"/>
    <w:rsid w:val="00721145"/>
    <w:rsid w:val="00723633"/>
    <w:rsid w:val="0072632A"/>
    <w:rsid w:val="00745E1D"/>
    <w:rsid w:val="007709B1"/>
    <w:rsid w:val="00770EC8"/>
    <w:rsid w:val="00783429"/>
    <w:rsid w:val="007B112D"/>
    <w:rsid w:val="007B6BA5"/>
    <w:rsid w:val="007C06A6"/>
    <w:rsid w:val="007C296F"/>
    <w:rsid w:val="007C3390"/>
    <w:rsid w:val="007C4F4B"/>
    <w:rsid w:val="007F6462"/>
    <w:rsid w:val="007F6611"/>
    <w:rsid w:val="008069E5"/>
    <w:rsid w:val="0081637E"/>
    <w:rsid w:val="008242D7"/>
    <w:rsid w:val="00830ABE"/>
    <w:rsid w:val="00832D01"/>
    <w:rsid w:val="008979B1"/>
    <w:rsid w:val="008A447F"/>
    <w:rsid w:val="008A49E6"/>
    <w:rsid w:val="008A6B25"/>
    <w:rsid w:val="008A6C4F"/>
    <w:rsid w:val="008B2335"/>
    <w:rsid w:val="008C0450"/>
    <w:rsid w:val="008D2E75"/>
    <w:rsid w:val="008D533E"/>
    <w:rsid w:val="008D6AE3"/>
    <w:rsid w:val="008E6096"/>
    <w:rsid w:val="00900021"/>
    <w:rsid w:val="009149CD"/>
    <w:rsid w:val="00916443"/>
    <w:rsid w:val="009223CA"/>
    <w:rsid w:val="009369F6"/>
    <w:rsid w:val="00940F93"/>
    <w:rsid w:val="00944640"/>
    <w:rsid w:val="00947B42"/>
    <w:rsid w:val="009502D2"/>
    <w:rsid w:val="009603EF"/>
    <w:rsid w:val="00982F08"/>
    <w:rsid w:val="009A3D56"/>
    <w:rsid w:val="009B4A1B"/>
    <w:rsid w:val="009C0EE8"/>
    <w:rsid w:val="009C14AA"/>
    <w:rsid w:val="009C1854"/>
    <w:rsid w:val="009C6A85"/>
    <w:rsid w:val="009D39E3"/>
    <w:rsid w:val="009E0F37"/>
    <w:rsid w:val="009E2305"/>
    <w:rsid w:val="009F4859"/>
    <w:rsid w:val="00A01489"/>
    <w:rsid w:val="00A440A1"/>
    <w:rsid w:val="00A61CCD"/>
    <w:rsid w:val="00A64909"/>
    <w:rsid w:val="00A72F22"/>
    <w:rsid w:val="00A748A6"/>
    <w:rsid w:val="00A776B4"/>
    <w:rsid w:val="00A94361"/>
    <w:rsid w:val="00AA0C02"/>
    <w:rsid w:val="00AC1552"/>
    <w:rsid w:val="00AD18E1"/>
    <w:rsid w:val="00AE3523"/>
    <w:rsid w:val="00B0076A"/>
    <w:rsid w:val="00B06775"/>
    <w:rsid w:val="00B167AC"/>
    <w:rsid w:val="00B16CC9"/>
    <w:rsid w:val="00B30179"/>
    <w:rsid w:val="00B56E9C"/>
    <w:rsid w:val="00B64B1F"/>
    <w:rsid w:val="00B6553F"/>
    <w:rsid w:val="00B81E12"/>
    <w:rsid w:val="00B938F1"/>
    <w:rsid w:val="00BB2A54"/>
    <w:rsid w:val="00BC74E9"/>
    <w:rsid w:val="00BE39BF"/>
    <w:rsid w:val="00BE6EB6"/>
    <w:rsid w:val="00BF68A8"/>
    <w:rsid w:val="00C2501E"/>
    <w:rsid w:val="00C3206E"/>
    <w:rsid w:val="00C35675"/>
    <w:rsid w:val="00C356CA"/>
    <w:rsid w:val="00C40A98"/>
    <w:rsid w:val="00C463DD"/>
    <w:rsid w:val="00C4724C"/>
    <w:rsid w:val="00C475AB"/>
    <w:rsid w:val="00C53A77"/>
    <w:rsid w:val="00C629A0"/>
    <w:rsid w:val="00C745C3"/>
    <w:rsid w:val="00C74F68"/>
    <w:rsid w:val="00C75FB9"/>
    <w:rsid w:val="00CC00AC"/>
    <w:rsid w:val="00CC24D2"/>
    <w:rsid w:val="00CC3F8B"/>
    <w:rsid w:val="00CD793C"/>
    <w:rsid w:val="00CE2420"/>
    <w:rsid w:val="00CE4A8F"/>
    <w:rsid w:val="00CF04CA"/>
    <w:rsid w:val="00D06338"/>
    <w:rsid w:val="00D06422"/>
    <w:rsid w:val="00D2031B"/>
    <w:rsid w:val="00D218CB"/>
    <w:rsid w:val="00D25FE2"/>
    <w:rsid w:val="00D43252"/>
    <w:rsid w:val="00D4595B"/>
    <w:rsid w:val="00D51E7F"/>
    <w:rsid w:val="00D7767E"/>
    <w:rsid w:val="00D978C6"/>
    <w:rsid w:val="00DA3C1C"/>
    <w:rsid w:val="00DD641A"/>
    <w:rsid w:val="00E109FB"/>
    <w:rsid w:val="00E14364"/>
    <w:rsid w:val="00E466BA"/>
    <w:rsid w:val="00E63389"/>
    <w:rsid w:val="00E650AF"/>
    <w:rsid w:val="00E71BC8"/>
    <w:rsid w:val="00E7260F"/>
    <w:rsid w:val="00E8730F"/>
    <w:rsid w:val="00E96630"/>
    <w:rsid w:val="00ED32A3"/>
    <w:rsid w:val="00ED616A"/>
    <w:rsid w:val="00ED7A2A"/>
    <w:rsid w:val="00EF1D7F"/>
    <w:rsid w:val="00F32B3C"/>
    <w:rsid w:val="00F34583"/>
    <w:rsid w:val="00F40A6C"/>
    <w:rsid w:val="00F41504"/>
    <w:rsid w:val="00F504DF"/>
    <w:rsid w:val="00FA271C"/>
    <w:rsid w:val="00FB080B"/>
    <w:rsid w:val="00FB63B8"/>
    <w:rsid w:val="00FC68B7"/>
    <w:rsid w:val="00FD05BE"/>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C3206E"/>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034C28"/>
    <w:rPr>
      <w:sz w:val="18"/>
      <w:lang w:eastAsia="en-US"/>
    </w:rPr>
  </w:style>
  <w:style w:type="paragraph" w:styleId="CommentSubject">
    <w:name w:val="annotation subject"/>
    <w:basedOn w:val="CommentText"/>
    <w:next w:val="CommentText"/>
    <w:semiHidden/>
    <w:rsid w:val="00F41504"/>
    <w:rPr>
      <w:b/>
      <w:bCs/>
    </w:rPr>
  </w:style>
  <w:style w:type="paragraph" w:styleId="BalloonText">
    <w:name w:val="Balloon Text"/>
    <w:basedOn w:val="Normal"/>
    <w:semiHidden/>
    <w:rsid w:val="00F41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48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4</TotalTime>
  <Pages>1</Pages>
  <Words>742</Words>
  <Characters>4159</Characters>
  <Application>Microsoft Office Outlook</Application>
  <DocSecurity>4</DocSecurity>
  <Lines>79</Lines>
  <Paragraphs>33</Paragraphs>
  <ScaleCrop>false</ScaleCrop>
  <HeadingPairs>
    <vt:vector size="2" baseType="variant">
      <vt:variant>
        <vt:lpstr>Title</vt:lpstr>
      </vt:variant>
      <vt:variant>
        <vt:i4>1</vt:i4>
      </vt:variant>
    </vt:vector>
  </HeadingPairs>
  <TitlesOfParts>
    <vt:vector size="1" baseType="lpstr">
      <vt:lpstr>1363907</vt:lpstr>
    </vt:vector>
  </TitlesOfParts>
  <Company>CSD</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1363907</dc:title>
  <dc:subject>CERD/C/XXX/Q/Y</dc:subject>
  <dc:creator>Morris</dc:creator>
  <cp:keywords/>
  <dc:description>Final</dc:description>
  <cp:lastModifiedBy>DCM</cp:lastModifiedBy>
  <cp:revision>2</cp:revision>
  <cp:lastPrinted>2013-11-25T13:00:00Z</cp:lastPrinted>
  <dcterms:created xsi:type="dcterms:W3CDTF">2013-11-27T16:49:00Z</dcterms:created>
  <dcterms:modified xsi:type="dcterms:W3CDTF">2013-11-27T16:49:00Z</dcterms:modified>
</cp:coreProperties>
</file>