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56E9C" w:rsidTr="007C7BEE">
        <w:trPr>
          <w:cantSplit/>
          <w:trHeight w:hRule="exact" w:val="851"/>
        </w:trPr>
        <w:tc>
          <w:tcPr>
            <w:tcW w:w="1276" w:type="dxa"/>
            <w:tcBorders>
              <w:bottom w:val="single" w:sz="4" w:space="0" w:color="auto"/>
            </w:tcBorders>
            <w:shd w:val="clear" w:color="auto" w:fill="auto"/>
            <w:vAlign w:val="bottom"/>
          </w:tcPr>
          <w:p w:rsidR="00B56E9C" w:rsidRPr="002C4FF6" w:rsidRDefault="00B56E9C" w:rsidP="007C7BEE">
            <w:pPr>
              <w:pStyle w:val="SingleTxtG"/>
              <w:rPr>
                <w:rStyle w:val="Emphasis"/>
                <w:lang w:val="en-GB"/>
              </w:rPr>
            </w:pPr>
          </w:p>
        </w:tc>
        <w:tc>
          <w:tcPr>
            <w:tcW w:w="2268" w:type="dxa"/>
            <w:tcBorders>
              <w:bottom w:val="single" w:sz="4" w:space="0" w:color="auto"/>
            </w:tcBorders>
            <w:shd w:val="clear" w:color="auto" w:fill="auto"/>
            <w:vAlign w:val="bottom"/>
          </w:tcPr>
          <w:p w:rsidR="00B56E9C" w:rsidRPr="007C7BEE" w:rsidRDefault="00363D50" w:rsidP="007C7BEE">
            <w:pPr>
              <w:spacing w:after="80" w:line="300" w:lineRule="exact"/>
              <w:rPr>
                <w:b/>
                <w:sz w:val="24"/>
                <w:szCs w:val="24"/>
              </w:rPr>
            </w:pPr>
            <w:r w:rsidRPr="00534BC8">
              <w:rPr>
                <w:sz w:val="28"/>
                <w:szCs w:val="28"/>
              </w:rPr>
              <w:t>United Nations</w:t>
            </w:r>
          </w:p>
        </w:tc>
        <w:tc>
          <w:tcPr>
            <w:tcW w:w="6095" w:type="dxa"/>
            <w:gridSpan w:val="2"/>
            <w:tcBorders>
              <w:bottom w:val="single" w:sz="4" w:space="0" w:color="auto"/>
            </w:tcBorders>
            <w:shd w:val="clear" w:color="auto" w:fill="auto"/>
            <w:vAlign w:val="bottom"/>
          </w:tcPr>
          <w:p w:rsidR="00B56E9C" w:rsidRPr="002E51B7" w:rsidRDefault="007B2CA0" w:rsidP="005E2F16">
            <w:pPr>
              <w:suppressAutoHyphens w:val="0"/>
              <w:spacing w:after="20"/>
              <w:jc w:val="right"/>
            </w:pPr>
            <w:r w:rsidRPr="007C7BEE">
              <w:rPr>
                <w:sz w:val="40"/>
              </w:rPr>
              <w:t>CERD</w:t>
            </w:r>
            <w:r>
              <w:t>/C/</w:t>
            </w:r>
            <w:r w:rsidR="0068485D">
              <w:t>MNE</w:t>
            </w:r>
            <w:r>
              <w:t>/CO/</w:t>
            </w:r>
            <w:r w:rsidR="0068485D">
              <w:t>2-3</w:t>
            </w:r>
          </w:p>
        </w:tc>
      </w:tr>
      <w:tr w:rsidR="00B56E9C" w:rsidTr="007C7BEE">
        <w:trPr>
          <w:cantSplit/>
          <w:trHeight w:hRule="exact" w:val="2835"/>
        </w:trPr>
        <w:tc>
          <w:tcPr>
            <w:tcW w:w="1276" w:type="dxa"/>
            <w:tcBorders>
              <w:top w:val="single" w:sz="4" w:space="0" w:color="auto"/>
              <w:bottom w:val="single" w:sz="12" w:space="0" w:color="auto"/>
            </w:tcBorders>
            <w:shd w:val="clear" w:color="auto" w:fill="auto"/>
          </w:tcPr>
          <w:p w:rsidR="00B56E9C" w:rsidRDefault="00363D50" w:rsidP="007C7BEE">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shd w:val="clear" w:color="auto" w:fill="auto"/>
          </w:tcPr>
          <w:p w:rsidR="00B56E9C" w:rsidRPr="00A84DBE" w:rsidRDefault="00363D50" w:rsidP="007C7BEE">
            <w:pPr>
              <w:spacing w:before="120" w:line="380" w:lineRule="exact"/>
              <w:rPr>
                <w:b/>
                <w:sz w:val="28"/>
                <w:szCs w:val="28"/>
              </w:rPr>
            </w:pPr>
            <w:r w:rsidRPr="00534BC8">
              <w:rPr>
                <w:b/>
                <w:sz w:val="34"/>
                <w:szCs w:val="40"/>
              </w:rPr>
              <w:t>International Convention on</w:t>
            </w:r>
            <w:r w:rsidRPr="00534BC8">
              <w:rPr>
                <w:b/>
                <w:sz w:val="34"/>
                <w:szCs w:val="40"/>
              </w:rPr>
              <w:br/>
              <w:t>the Elimination of All Forms</w:t>
            </w:r>
            <w:r w:rsidRPr="00534BC8">
              <w:rPr>
                <w:b/>
                <w:sz w:val="34"/>
                <w:szCs w:val="40"/>
              </w:rPr>
              <w:br/>
              <w:t>of Racial Discrimination</w:t>
            </w:r>
          </w:p>
        </w:tc>
        <w:tc>
          <w:tcPr>
            <w:tcW w:w="2835" w:type="dxa"/>
            <w:tcBorders>
              <w:top w:val="single" w:sz="4" w:space="0" w:color="auto"/>
              <w:bottom w:val="single" w:sz="12" w:space="0" w:color="auto"/>
            </w:tcBorders>
            <w:shd w:val="clear" w:color="auto" w:fill="auto"/>
          </w:tcPr>
          <w:p w:rsidR="007B2CA0" w:rsidRDefault="007B2CA0" w:rsidP="007C7BEE">
            <w:pPr>
              <w:suppressAutoHyphens w:val="0"/>
              <w:spacing w:before="240" w:line="240" w:lineRule="exact"/>
            </w:pPr>
            <w:r>
              <w:t xml:space="preserve">Distr.: </w:t>
            </w:r>
            <w:r w:rsidR="005E2F16">
              <w:t>General</w:t>
            </w:r>
          </w:p>
          <w:p w:rsidR="007B2CA0" w:rsidRPr="006044A9" w:rsidRDefault="00CF7932" w:rsidP="007C7BEE">
            <w:pPr>
              <w:suppressAutoHyphens w:val="0"/>
            </w:pPr>
            <w:r>
              <w:t>1</w:t>
            </w:r>
            <w:r w:rsidR="00033FF0">
              <w:t>3</w:t>
            </w:r>
            <w:r w:rsidR="00F37E35">
              <w:t xml:space="preserve"> March</w:t>
            </w:r>
            <w:r w:rsidR="006044A9" w:rsidRPr="006044A9">
              <w:t xml:space="preserve"> 201</w:t>
            </w:r>
            <w:r w:rsidR="000E2576">
              <w:t>4</w:t>
            </w:r>
            <w:r w:rsidR="006044A9" w:rsidRPr="006044A9">
              <w:t xml:space="preserve"> </w:t>
            </w:r>
          </w:p>
          <w:p w:rsidR="007B2CA0" w:rsidRDefault="007B2CA0" w:rsidP="007C7BEE">
            <w:pPr>
              <w:suppressAutoHyphens w:val="0"/>
            </w:pPr>
          </w:p>
          <w:p w:rsidR="00B56E9C" w:rsidRDefault="007B2CA0" w:rsidP="0068485D">
            <w:pPr>
              <w:suppressAutoHyphens w:val="0"/>
            </w:pPr>
            <w:r>
              <w:t xml:space="preserve">Original: </w:t>
            </w:r>
            <w:r w:rsidR="0068485D">
              <w:t>English</w:t>
            </w:r>
          </w:p>
        </w:tc>
      </w:tr>
    </w:tbl>
    <w:p w:rsidR="00EA1AB4" w:rsidRPr="00323DD7" w:rsidRDefault="00EA1AB4" w:rsidP="00323DD7">
      <w:pPr>
        <w:spacing w:before="120"/>
        <w:rPr>
          <w:b/>
          <w:bCs/>
          <w:sz w:val="24"/>
          <w:szCs w:val="24"/>
        </w:rPr>
      </w:pPr>
      <w:r w:rsidRPr="00323DD7">
        <w:rPr>
          <w:b/>
          <w:bCs/>
          <w:sz w:val="24"/>
          <w:szCs w:val="24"/>
        </w:rPr>
        <w:t>Committee on the Elimination of Racial Discrimination</w:t>
      </w:r>
      <w:r w:rsidR="00D0075D">
        <w:rPr>
          <w:b/>
          <w:bCs/>
          <w:noProof/>
          <w:sz w:val="24"/>
          <w:szCs w:val="24"/>
          <w:lang w:val="en-US" w:eastAsia="ja-JP"/>
        </w:rPr>
        <w:pict>
          <v:shape id="_x0000_s1026" type="#_x0000_t75" style="position:absolute;margin-left:432.55pt;margin-top:623.6pt;width:50.25pt;height:50.25pt;z-index:1;mso-position-horizontal-relative:margin;mso-position-vertical-relative:margin" o:allowoverlap="f">
            <v:imagedata r:id="rId8" o:title="2-3&amp;Size=2 &amp;Lang=E"/>
            <w10:wrap anchorx="margin" anchory="margin"/>
          </v:shape>
        </w:pict>
      </w:r>
    </w:p>
    <w:p w:rsidR="00EA1AB4" w:rsidRPr="00EA1AB4" w:rsidRDefault="00EA1AB4" w:rsidP="00EA1AB4">
      <w:pPr>
        <w:pStyle w:val="HChG"/>
      </w:pPr>
      <w:r w:rsidRPr="00EA1AB4">
        <w:tab/>
      </w:r>
      <w:r w:rsidRPr="00EA1AB4">
        <w:tab/>
        <w:t xml:space="preserve">Concluding observations on the </w:t>
      </w:r>
      <w:r w:rsidR="0068485D" w:rsidRPr="00431664">
        <w:t>combined</w:t>
      </w:r>
      <w:r w:rsidR="0068485D">
        <w:t xml:space="preserve"> second and third</w:t>
      </w:r>
      <w:r w:rsidRPr="00EA1AB4">
        <w:t xml:space="preserve"> periodic</w:t>
      </w:r>
      <w:r w:rsidR="006044A9">
        <w:t xml:space="preserve"> </w:t>
      </w:r>
      <w:r w:rsidRPr="00EA1AB4">
        <w:t>report</w:t>
      </w:r>
      <w:r w:rsidR="0068485D">
        <w:t>s</w:t>
      </w:r>
      <w:r w:rsidRPr="00EA1AB4">
        <w:t xml:space="preserve"> of </w:t>
      </w:r>
      <w:r w:rsidR="0068485D">
        <w:t>Montenegro</w:t>
      </w:r>
      <w:r w:rsidR="005E2F16" w:rsidRPr="00A91349">
        <w:rPr>
          <w:rStyle w:val="FootnoteReference"/>
          <w:b w:val="0"/>
          <w:sz w:val="20"/>
          <w:vertAlign w:val="baseline"/>
        </w:rPr>
        <w:footnoteReference w:customMarkFollows="1" w:id="2"/>
        <w:t>*</w:t>
      </w:r>
    </w:p>
    <w:p w:rsidR="00F02544" w:rsidRPr="005D5D0C" w:rsidRDefault="00F02544" w:rsidP="00323DD7">
      <w:pPr>
        <w:pStyle w:val="SingleTxtG"/>
        <w:numPr>
          <w:ilvl w:val="0"/>
          <w:numId w:val="43"/>
        </w:numPr>
        <w:tabs>
          <w:tab w:val="clear" w:pos="2835"/>
        </w:tabs>
        <w:ind w:left="1134"/>
      </w:pPr>
      <w:r w:rsidRPr="005D5D0C">
        <w:t xml:space="preserve">The Committee considered the </w:t>
      </w:r>
      <w:r w:rsidR="00340F38">
        <w:t xml:space="preserve">combined </w:t>
      </w:r>
      <w:r w:rsidRPr="005D5D0C">
        <w:t>second and third periodic reports of Montenegro</w:t>
      </w:r>
      <w:r w:rsidRPr="00C67304">
        <w:t>, submitted in one document</w:t>
      </w:r>
      <w:r w:rsidR="00C659C9">
        <w:t xml:space="preserve"> </w:t>
      </w:r>
      <w:r w:rsidR="00C659C9" w:rsidRPr="005D5D0C">
        <w:t>(CERD/C/MNE/2-3)</w:t>
      </w:r>
      <w:r w:rsidRPr="00C67304">
        <w:t xml:space="preserve">, </w:t>
      </w:r>
      <w:r w:rsidRPr="005D5D0C">
        <w:t>at its 2269th and 2270th meetings (CERD/C/SR.2269 and 2270), held on 5 and 6 February 2014. At its 22</w:t>
      </w:r>
      <w:r w:rsidR="005C765B">
        <w:t>85</w:t>
      </w:r>
      <w:r w:rsidRPr="005D5D0C">
        <w:t>t</w:t>
      </w:r>
      <w:r w:rsidR="005C765B">
        <w:t>h and 2286th</w:t>
      </w:r>
      <w:r w:rsidRPr="005D5D0C">
        <w:t xml:space="preserve"> meeting</w:t>
      </w:r>
      <w:r w:rsidR="005C765B">
        <w:t>s</w:t>
      </w:r>
      <w:r w:rsidR="00B06BAD">
        <w:t xml:space="preserve"> (CERD/C/SR.</w:t>
      </w:r>
      <w:r w:rsidRPr="005D5D0C">
        <w:t>22</w:t>
      </w:r>
      <w:r w:rsidR="005C765B">
        <w:t>85 and</w:t>
      </w:r>
      <w:r w:rsidR="00340F38">
        <w:t xml:space="preserve"> </w:t>
      </w:r>
      <w:r w:rsidR="005C765B">
        <w:t>2286</w:t>
      </w:r>
      <w:r w:rsidRPr="005D5D0C">
        <w:t xml:space="preserve">), held on </w:t>
      </w:r>
      <w:r w:rsidR="005C765B">
        <w:t>17 and 18</w:t>
      </w:r>
      <w:r w:rsidRPr="005D5D0C">
        <w:t xml:space="preserve"> February 2014, it adopted the following concluding observations.</w:t>
      </w:r>
    </w:p>
    <w:p w:rsidR="00F02544" w:rsidRPr="008134EF" w:rsidRDefault="00F02544" w:rsidP="008134EF">
      <w:pPr>
        <w:pStyle w:val="H1G"/>
      </w:pPr>
      <w:r w:rsidRPr="005D5D0C">
        <w:tab/>
        <w:t>A.</w:t>
      </w:r>
      <w:r w:rsidRPr="005D5D0C">
        <w:tab/>
        <w:t>Introduction</w:t>
      </w:r>
    </w:p>
    <w:p w:rsidR="00F02544" w:rsidRPr="005D5D0C" w:rsidRDefault="00F02544" w:rsidP="00323DD7">
      <w:pPr>
        <w:pStyle w:val="SingleTxtG"/>
        <w:numPr>
          <w:ilvl w:val="0"/>
          <w:numId w:val="43"/>
        </w:numPr>
        <w:tabs>
          <w:tab w:val="clear" w:pos="2835"/>
        </w:tabs>
        <w:ind w:left="1134"/>
      </w:pPr>
      <w:r w:rsidRPr="005D5D0C">
        <w:t>The Committee welcomes the combined second and third periodic reports of the State party</w:t>
      </w:r>
      <w:r w:rsidR="00C67304">
        <w:t>,</w:t>
      </w:r>
      <w:r w:rsidRPr="005D5D0C">
        <w:t xml:space="preserve"> which </w:t>
      </w:r>
      <w:r w:rsidR="00C67304">
        <w:t>are</w:t>
      </w:r>
      <w:r w:rsidRPr="005D5D0C">
        <w:t xml:space="preserve"> in conformity with the C</w:t>
      </w:r>
      <w:r>
        <w:t>ommittee’s reporting guidelines.</w:t>
      </w:r>
      <w:r w:rsidR="004B1BEB">
        <w:t xml:space="preserve"> </w:t>
      </w:r>
      <w:r>
        <w:t>The Committee</w:t>
      </w:r>
      <w:r w:rsidRPr="005D5D0C">
        <w:t xml:space="preserve"> thanks the </w:t>
      </w:r>
      <w:r w:rsidR="003B102D">
        <w:t xml:space="preserve">State party’s </w:t>
      </w:r>
      <w:r w:rsidRPr="005D5D0C">
        <w:t xml:space="preserve">large, high-level, </w:t>
      </w:r>
      <w:proofErr w:type="spellStart"/>
      <w:r w:rsidRPr="005D5D0C">
        <w:t>multisectoral</w:t>
      </w:r>
      <w:proofErr w:type="spellEnd"/>
      <w:r w:rsidRPr="005D5D0C">
        <w:t xml:space="preserve"> and gender-balanced delegation for its oral presentation and </w:t>
      </w:r>
      <w:r w:rsidR="00C67304">
        <w:t xml:space="preserve">its </w:t>
      </w:r>
      <w:r w:rsidRPr="005D5D0C">
        <w:t>responses to the Committee’s questions and comments.</w:t>
      </w:r>
    </w:p>
    <w:p w:rsidR="00F02544" w:rsidRPr="008134EF" w:rsidRDefault="00F02544" w:rsidP="008134EF">
      <w:pPr>
        <w:pStyle w:val="H1G"/>
      </w:pPr>
      <w:r w:rsidRPr="005D5D0C">
        <w:tab/>
        <w:t>B.</w:t>
      </w:r>
      <w:r w:rsidRPr="005D5D0C">
        <w:tab/>
        <w:t>Positive aspects</w:t>
      </w:r>
    </w:p>
    <w:p w:rsidR="00F02544" w:rsidRPr="005D5D0C" w:rsidRDefault="00F02544" w:rsidP="00323DD7">
      <w:pPr>
        <w:pStyle w:val="SingleTxtG"/>
        <w:numPr>
          <w:ilvl w:val="0"/>
          <w:numId w:val="43"/>
        </w:numPr>
        <w:tabs>
          <w:tab w:val="clear" w:pos="2835"/>
        </w:tabs>
        <w:ind w:left="1134"/>
      </w:pPr>
      <w:r w:rsidRPr="005D5D0C">
        <w:t>The Committee notes with appreciation a number of legislative and policy developments towards the elimination of racial discrimination, including:</w:t>
      </w:r>
    </w:p>
    <w:p w:rsidR="00F02544" w:rsidRDefault="00F02544" w:rsidP="005E2F16">
      <w:pPr>
        <w:pStyle w:val="SingleTxtG"/>
        <w:ind w:firstLine="567"/>
      </w:pPr>
      <w:r w:rsidRPr="005D5D0C">
        <w:t>(a)</w:t>
      </w:r>
      <w:r w:rsidRPr="005D5D0C">
        <w:tab/>
      </w:r>
      <w:r w:rsidR="003B102D">
        <w:t>A</w:t>
      </w:r>
      <w:r w:rsidRPr="005D5D0C">
        <w:t>doption of the Law on Prohibition of Discrimination, on 27 July 2010;</w:t>
      </w:r>
    </w:p>
    <w:p w:rsidR="00F02544" w:rsidRDefault="00F02544" w:rsidP="00F02544">
      <w:pPr>
        <w:pStyle w:val="SingleTxtG"/>
        <w:ind w:firstLine="567"/>
      </w:pPr>
      <w:r>
        <w:t>(b)</w:t>
      </w:r>
      <w:r>
        <w:tab/>
        <w:t xml:space="preserve">Adoption of the Law on Free Legal Aid, on </w:t>
      </w:r>
      <w:r w:rsidR="003B102D">
        <w:t>6</w:t>
      </w:r>
      <w:r>
        <w:t xml:space="preserve"> April 2011;</w:t>
      </w:r>
    </w:p>
    <w:p w:rsidR="00F02544" w:rsidRDefault="00F02544" w:rsidP="00F02544">
      <w:pPr>
        <w:pStyle w:val="SingleTxtG"/>
        <w:ind w:firstLine="567"/>
      </w:pPr>
      <w:r w:rsidRPr="005D5D0C">
        <w:t>(</w:t>
      </w:r>
      <w:r>
        <w:t>c</w:t>
      </w:r>
      <w:r w:rsidR="007D1CB9">
        <w:t>)</w:t>
      </w:r>
      <w:r w:rsidRPr="005D5D0C">
        <w:tab/>
      </w:r>
      <w:r>
        <w:t>Adoption of the Law on the Protector of Human Rights and Freedoms, on 29</w:t>
      </w:r>
      <w:r w:rsidR="00BE4456">
        <w:t> </w:t>
      </w:r>
      <w:r>
        <w:t>July 2011;</w:t>
      </w:r>
    </w:p>
    <w:p w:rsidR="00F02544" w:rsidRPr="005D5D0C" w:rsidRDefault="00F02544" w:rsidP="00F02544">
      <w:pPr>
        <w:pStyle w:val="SingleTxtG"/>
        <w:ind w:firstLine="567"/>
      </w:pPr>
      <w:r>
        <w:t>(d)</w:t>
      </w:r>
      <w:r>
        <w:tab/>
      </w:r>
      <w:r w:rsidR="003B102D">
        <w:t>E</w:t>
      </w:r>
      <w:r w:rsidRPr="005D5D0C">
        <w:t>ntry into force of the Law on Amendments to the Law on Foreigners</w:t>
      </w:r>
      <w:r w:rsidR="003B102D">
        <w:t>,</w:t>
      </w:r>
      <w:r w:rsidRPr="005D5D0C">
        <w:t xml:space="preserve"> on 7</w:t>
      </w:r>
      <w:r w:rsidR="00BE4456">
        <w:t> </w:t>
      </w:r>
      <w:r w:rsidRPr="005D5D0C">
        <w:t>November 2009;</w:t>
      </w:r>
    </w:p>
    <w:p w:rsidR="003B102D" w:rsidRDefault="00F02544" w:rsidP="00F02544">
      <w:pPr>
        <w:pStyle w:val="SingleTxtG"/>
        <w:ind w:firstLine="567"/>
      </w:pPr>
      <w:r w:rsidRPr="005D5D0C">
        <w:t>(</w:t>
      </w:r>
      <w:r>
        <w:t>e</w:t>
      </w:r>
      <w:r w:rsidRPr="005D5D0C">
        <w:t>)</w:t>
      </w:r>
      <w:r w:rsidRPr="005D5D0C">
        <w:tab/>
      </w:r>
      <w:r w:rsidR="003B102D">
        <w:t>A</w:t>
      </w:r>
      <w:r w:rsidRPr="005D5D0C">
        <w:t>doption of the Law on Amendments to the Law on Minority Rights and Freedoms, on 9 December 2010;</w:t>
      </w:r>
    </w:p>
    <w:p w:rsidR="00F02544" w:rsidRPr="005D5D0C" w:rsidRDefault="00F02544" w:rsidP="00F02544">
      <w:pPr>
        <w:pStyle w:val="SingleTxtG"/>
        <w:ind w:firstLine="567"/>
      </w:pPr>
      <w:r w:rsidRPr="005D5D0C">
        <w:t>(</w:t>
      </w:r>
      <w:r>
        <w:t>f</w:t>
      </w:r>
      <w:r w:rsidRPr="005D5D0C">
        <w:t>)</w:t>
      </w:r>
      <w:r w:rsidRPr="005D5D0C">
        <w:tab/>
      </w:r>
      <w:r w:rsidR="003B102D">
        <w:t>A</w:t>
      </w:r>
      <w:r w:rsidRPr="005D5D0C">
        <w:t>doption of the Law on Amending the Criminal Code which sanctions hate crime and hate speech, on 30 July 2013;</w:t>
      </w:r>
    </w:p>
    <w:p w:rsidR="00F02544" w:rsidRPr="005D5D0C" w:rsidRDefault="00F02544" w:rsidP="00F02544">
      <w:pPr>
        <w:pStyle w:val="SingleTxtG"/>
        <w:ind w:firstLine="567"/>
      </w:pPr>
      <w:r w:rsidRPr="005D5D0C">
        <w:t>(</w:t>
      </w:r>
      <w:r>
        <w:t>g</w:t>
      </w:r>
      <w:r w:rsidRPr="005D5D0C">
        <w:t>)</w:t>
      </w:r>
      <w:r w:rsidRPr="005D5D0C">
        <w:tab/>
      </w:r>
      <w:r w:rsidR="00594678">
        <w:t>A</w:t>
      </w:r>
      <w:r w:rsidRPr="005D5D0C">
        <w:t>doption of the Action Plan for Resolving the Status of Displaced Persons from Former Yugoslav Republics and Internally Displaced Persons from Kosovo residing in Montenegro, on 29 October 2009;</w:t>
      </w:r>
    </w:p>
    <w:p w:rsidR="00F02544" w:rsidRPr="005D5D0C" w:rsidRDefault="00F02544" w:rsidP="00F02544">
      <w:pPr>
        <w:pStyle w:val="SingleTxtG"/>
        <w:ind w:firstLine="567"/>
      </w:pPr>
      <w:r w:rsidRPr="005D5D0C">
        <w:t>(</w:t>
      </w:r>
      <w:r>
        <w:t>h</w:t>
      </w:r>
      <w:r w:rsidRPr="005D5D0C">
        <w:t>)</w:t>
      </w:r>
      <w:r w:rsidRPr="005D5D0C">
        <w:tab/>
        <w:t xml:space="preserve">Adoption of the Strategy for Durable Solutions of Issues Regarding Displaced and Internally Displaced Persons in Montenegro, with Special Emphasis on the </w:t>
      </w:r>
      <w:proofErr w:type="spellStart"/>
      <w:r w:rsidRPr="005D5D0C">
        <w:t>Konik</w:t>
      </w:r>
      <w:proofErr w:type="spellEnd"/>
      <w:r w:rsidRPr="005D5D0C">
        <w:t xml:space="preserve"> Area for the period 2011-2015, on 28 July 2011;</w:t>
      </w:r>
    </w:p>
    <w:p w:rsidR="00F02544" w:rsidRDefault="00F02544" w:rsidP="00F02544">
      <w:pPr>
        <w:pStyle w:val="SingleTxtG"/>
        <w:ind w:firstLine="567"/>
      </w:pPr>
      <w:r w:rsidRPr="005D5D0C">
        <w:t>(</w:t>
      </w:r>
      <w:proofErr w:type="spellStart"/>
      <w:r>
        <w:t>i</w:t>
      </w:r>
      <w:proofErr w:type="spellEnd"/>
      <w:r w:rsidRPr="005D5D0C">
        <w:t>)</w:t>
      </w:r>
      <w:r w:rsidRPr="005D5D0C">
        <w:tab/>
      </w:r>
      <w:r w:rsidR="007A5D73">
        <w:t>A</w:t>
      </w:r>
      <w:r w:rsidRPr="005D5D0C">
        <w:t xml:space="preserve">doption of the Strategy for Improving the Position of Roma and Egyptians in </w:t>
      </w:r>
      <w:smartTag w:uri="urn:schemas-microsoft-com:office:smarttags" w:element="place">
        <w:smartTag w:uri="urn:schemas-microsoft-com:office:smarttags" w:element="country-region">
          <w:r w:rsidRPr="005D5D0C">
            <w:t>Montenegro</w:t>
          </w:r>
        </w:smartTag>
      </w:smartTag>
      <w:r w:rsidRPr="005D5D0C">
        <w:t xml:space="preserve"> (2012-2016), in March 2012;</w:t>
      </w:r>
    </w:p>
    <w:p w:rsidR="00F02544" w:rsidRPr="005D5D0C" w:rsidRDefault="00F02544" w:rsidP="00F02544">
      <w:pPr>
        <w:pStyle w:val="SingleTxtG"/>
        <w:ind w:firstLine="567"/>
      </w:pPr>
      <w:r>
        <w:t>(j)</w:t>
      </w:r>
      <w:r>
        <w:tab/>
        <w:t>Establishment of the Council for Civil Control of Police Work;</w:t>
      </w:r>
    </w:p>
    <w:p w:rsidR="00F02544" w:rsidRPr="005D5D0C" w:rsidRDefault="00F02544" w:rsidP="005E2F16">
      <w:pPr>
        <w:pStyle w:val="SingleTxtG"/>
        <w:ind w:firstLine="567"/>
      </w:pPr>
      <w:r w:rsidRPr="005D5D0C">
        <w:t>(</w:t>
      </w:r>
      <w:r>
        <w:t>k</w:t>
      </w:r>
      <w:r w:rsidRPr="005D5D0C">
        <w:t>)</w:t>
      </w:r>
      <w:r w:rsidRPr="005D5D0C">
        <w:tab/>
      </w:r>
      <w:r>
        <w:t>Extension</w:t>
      </w:r>
      <w:r w:rsidR="007A5D73">
        <w:t>,</w:t>
      </w:r>
      <w:r w:rsidRPr="005D5D0C">
        <w:t xml:space="preserve"> until 31 December 2014</w:t>
      </w:r>
      <w:r w:rsidR="007A5D73">
        <w:t>,</w:t>
      </w:r>
      <w:r w:rsidRPr="005D5D0C">
        <w:t xml:space="preserve"> of the deadline for “displaced” and “internally displaced” persons to apply for the status of foreigner with permanent residence in Montenegro under the Law on Amendments </w:t>
      </w:r>
      <w:r w:rsidR="007A5D73">
        <w:t>to</w:t>
      </w:r>
      <w:r w:rsidRPr="005D5D0C">
        <w:t xml:space="preserve"> the Law on Foreigners.</w:t>
      </w:r>
    </w:p>
    <w:p w:rsidR="00F02544" w:rsidRPr="005D5D0C" w:rsidRDefault="00F02544" w:rsidP="00323DD7">
      <w:pPr>
        <w:pStyle w:val="SingleTxtG"/>
        <w:numPr>
          <w:ilvl w:val="0"/>
          <w:numId w:val="43"/>
        </w:numPr>
        <w:tabs>
          <w:tab w:val="clear" w:pos="2835"/>
        </w:tabs>
        <w:ind w:left="1134"/>
      </w:pPr>
      <w:r w:rsidRPr="005D5D0C">
        <w:t>The Committee welcomes the ratification of the following international instruments during the period under consideration:</w:t>
      </w:r>
    </w:p>
    <w:p w:rsidR="00F02544" w:rsidRPr="005D5D0C" w:rsidRDefault="00F02544" w:rsidP="00F02544">
      <w:pPr>
        <w:pStyle w:val="SingleTxtG"/>
        <w:ind w:firstLine="567"/>
      </w:pPr>
      <w:r w:rsidRPr="005D5D0C">
        <w:t>(a)</w:t>
      </w:r>
      <w:r w:rsidRPr="005D5D0C">
        <w:tab/>
        <w:t>Optional Protocol to the Convention against Torture and Other Cruel, Inhuman or Degrading Treatment or Punishment, on 6 March 2009;</w:t>
      </w:r>
    </w:p>
    <w:p w:rsidR="00F02544" w:rsidRPr="005D5D0C" w:rsidRDefault="00F02544" w:rsidP="00F02544">
      <w:pPr>
        <w:pStyle w:val="SingleTxtG"/>
        <w:ind w:firstLine="567"/>
      </w:pPr>
      <w:r w:rsidRPr="005D5D0C">
        <w:t>(b)</w:t>
      </w:r>
      <w:r w:rsidRPr="005D5D0C">
        <w:tab/>
        <w:t>Convention on the Rights of Persons with Disabilities, on 2 November 2009;</w:t>
      </w:r>
    </w:p>
    <w:p w:rsidR="00F02544" w:rsidRPr="005D5D0C" w:rsidRDefault="00F02544" w:rsidP="00F02544">
      <w:pPr>
        <w:pStyle w:val="SingleTxtG"/>
        <w:ind w:firstLine="567"/>
      </w:pPr>
      <w:r w:rsidRPr="005D5D0C">
        <w:t>(c)</w:t>
      </w:r>
      <w:r w:rsidRPr="005D5D0C">
        <w:tab/>
        <w:t>Optional Protocol to the Convention on the Rights of Persons with Disabilities, on 2 November 2009;</w:t>
      </w:r>
    </w:p>
    <w:p w:rsidR="00F02544" w:rsidRPr="005D5D0C" w:rsidRDefault="00F02544" w:rsidP="00F02544">
      <w:pPr>
        <w:pStyle w:val="SingleTxtG"/>
        <w:ind w:firstLine="567"/>
      </w:pPr>
      <w:r w:rsidRPr="005D5D0C">
        <w:t>(d)</w:t>
      </w:r>
      <w:r w:rsidRPr="005D5D0C">
        <w:tab/>
        <w:t>International Convention for the Protection of All Persons from Enforced Disappearance, on 20 September 2011;</w:t>
      </w:r>
    </w:p>
    <w:p w:rsidR="00F02544" w:rsidRPr="005D5D0C" w:rsidRDefault="00F02544" w:rsidP="00F02544">
      <w:pPr>
        <w:pStyle w:val="SingleTxtG"/>
        <w:ind w:firstLine="567"/>
      </w:pPr>
      <w:r w:rsidRPr="005D5D0C">
        <w:t>(e)</w:t>
      </w:r>
      <w:r w:rsidRPr="005D5D0C">
        <w:tab/>
        <w:t>Optional Protocol to the International Covenant on Economic, Social and Cultural Rights, on 24 September 2013;</w:t>
      </w:r>
    </w:p>
    <w:p w:rsidR="00F02544" w:rsidRPr="005D5D0C" w:rsidRDefault="00F02544" w:rsidP="00F02544">
      <w:pPr>
        <w:pStyle w:val="SingleTxtG"/>
        <w:ind w:firstLine="567"/>
      </w:pPr>
      <w:r w:rsidRPr="005D5D0C">
        <w:t>(f)</w:t>
      </w:r>
      <w:r w:rsidRPr="005D5D0C">
        <w:tab/>
        <w:t>Convention on the Reduction of Statelessness, on 5 December 2013.</w:t>
      </w:r>
    </w:p>
    <w:p w:rsidR="00F02544" w:rsidRPr="008134EF" w:rsidRDefault="00F02544" w:rsidP="008134EF">
      <w:pPr>
        <w:pStyle w:val="H1G"/>
      </w:pPr>
      <w:r w:rsidRPr="005D5D0C">
        <w:tab/>
        <w:t>C.</w:t>
      </w:r>
      <w:r w:rsidRPr="005D5D0C">
        <w:tab/>
        <w:t>Concerns and recommendations</w:t>
      </w:r>
    </w:p>
    <w:p w:rsidR="00F02544" w:rsidRPr="005D5D0C" w:rsidRDefault="00F02544" w:rsidP="00F02544">
      <w:pPr>
        <w:pStyle w:val="H23G"/>
      </w:pPr>
      <w:r w:rsidRPr="005D5D0C">
        <w:tab/>
      </w:r>
      <w:r w:rsidRPr="005D5D0C">
        <w:tab/>
        <w:t xml:space="preserve">Relevant statistical data </w:t>
      </w:r>
    </w:p>
    <w:p w:rsidR="00F02544" w:rsidRPr="005D5D0C" w:rsidRDefault="00F02544" w:rsidP="00323DD7">
      <w:pPr>
        <w:pStyle w:val="SingleTxtG"/>
        <w:numPr>
          <w:ilvl w:val="0"/>
          <w:numId w:val="43"/>
        </w:numPr>
        <w:tabs>
          <w:tab w:val="clear" w:pos="2835"/>
        </w:tabs>
        <w:ind w:left="1134"/>
      </w:pPr>
      <w:r w:rsidRPr="005D5D0C">
        <w:t>While noting the statistical data</w:t>
      </w:r>
      <w:r w:rsidR="007A5D73">
        <w:t>,</w:t>
      </w:r>
      <w:r w:rsidRPr="005D5D0C">
        <w:t xml:space="preserve"> based on the April 2011 </w:t>
      </w:r>
      <w:r w:rsidR="00C67304">
        <w:t>c</w:t>
      </w:r>
      <w:r w:rsidRPr="005D5D0C">
        <w:t>ensus</w:t>
      </w:r>
      <w:r w:rsidR="007A5D73">
        <w:t xml:space="preserve">, </w:t>
      </w:r>
      <w:r w:rsidRPr="005D5D0C">
        <w:t xml:space="preserve">provided orally by the </w:t>
      </w:r>
      <w:r w:rsidR="007A5D73">
        <w:t xml:space="preserve">delegation of the </w:t>
      </w:r>
      <w:r w:rsidRPr="005D5D0C">
        <w:t>State party, the Committee regrets the</w:t>
      </w:r>
      <w:r>
        <w:t xml:space="preserve"> delay in the processing of the data obtained from the </w:t>
      </w:r>
      <w:r w:rsidR="00C67304">
        <w:t>c</w:t>
      </w:r>
      <w:r>
        <w:t xml:space="preserve">ensus and the </w:t>
      </w:r>
      <w:r w:rsidR="003660A3">
        <w:t>absence</w:t>
      </w:r>
      <w:r w:rsidRPr="005D5D0C">
        <w:t xml:space="preserve"> of disaggregated data it </w:t>
      </w:r>
      <w:r w:rsidR="003660A3">
        <w:t xml:space="preserve">had </w:t>
      </w:r>
      <w:r w:rsidRPr="005D5D0C">
        <w:t>requested previously</w:t>
      </w:r>
      <w:r w:rsidR="00A31CA5">
        <w:t xml:space="preserve"> </w:t>
      </w:r>
      <w:r w:rsidRPr="005D5D0C">
        <w:t xml:space="preserve">on the socioeconomic situation </w:t>
      </w:r>
      <w:r w:rsidR="00A31CA5">
        <w:t>and</w:t>
      </w:r>
      <w:r w:rsidR="003660A3">
        <w:t>,</w:t>
      </w:r>
      <w:r w:rsidR="00A31CA5">
        <w:t xml:space="preserve"> in </w:t>
      </w:r>
      <w:r w:rsidRPr="005D5D0C">
        <w:t>particular</w:t>
      </w:r>
      <w:r w:rsidR="003660A3">
        <w:t>,</w:t>
      </w:r>
      <w:r w:rsidRPr="005D5D0C">
        <w:t xml:space="preserve"> </w:t>
      </w:r>
      <w:r w:rsidR="00A31CA5">
        <w:t xml:space="preserve">the </w:t>
      </w:r>
      <w:r w:rsidRPr="005D5D0C">
        <w:t xml:space="preserve">situation of </w:t>
      </w:r>
      <w:r w:rsidR="003660A3">
        <w:t xml:space="preserve">the </w:t>
      </w:r>
      <w:r w:rsidRPr="005D5D0C">
        <w:t>various ethnic minorities</w:t>
      </w:r>
      <w:r w:rsidR="007D1CB9">
        <w:t xml:space="preserve"> (art. </w:t>
      </w:r>
      <w:r>
        <w:t>2)</w:t>
      </w:r>
      <w:r w:rsidR="007D1CB9">
        <w:t>.</w:t>
      </w:r>
    </w:p>
    <w:p w:rsidR="00F02544" w:rsidRPr="005D5D0C" w:rsidRDefault="00F02544" w:rsidP="00F02544">
      <w:pPr>
        <w:pStyle w:val="SingleTxtG"/>
        <w:rPr>
          <w:b/>
          <w:bCs/>
          <w:sz w:val="24"/>
          <w:szCs w:val="24"/>
        </w:rPr>
      </w:pPr>
      <w:r w:rsidRPr="005D5D0C">
        <w:rPr>
          <w:b/>
        </w:rPr>
        <w:t xml:space="preserve">Recalling its revised reporting guidelines (CERD/C/2007/1), the Committee </w:t>
      </w:r>
      <w:r>
        <w:rPr>
          <w:b/>
        </w:rPr>
        <w:t>reiterates</w:t>
      </w:r>
      <w:r w:rsidRPr="005D5D0C">
        <w:rPr>
          <w:b/>
        </w:rPr>
        <w:t xml:space="preserve"> that disaggregated data </w:t>
      </w:r>
      <w:r>
        <w:rPr>
          <w:b/>
        </w:rPr>
        <w:t>on the</w:t>
      </w:r>
      <w:r w:rsidRPr="005D5D0C">
        <w:rPr>
          <w:b/>
        </w:rPr>
        <w:t xml:space="preserve"> ethnic or national origin </w:t>
      </w:r>
      <w:r>
        <w:rPr>
          <w:b/>
        </w:rPr>
        <w:t xml:space="preserve">and </w:t>
      </w:r>
      <w:r w:rsidRPr="005D5D0C">
        <w:rPr>
          <w:b/>
        </w:rPr>
        <w:t>on the socioeconomic and cultural status of different groups are useful tool</w:t>
      </w:r>
      <w:r w:rsidRPr="005D5D0C">
        <w:rPr>
          <w:b/>
          <w:lang w:val="en-US"/>
        </w:rPr>
        <w:t>s</w:t>
      </w:r>
      <w:r w:rsidRPr="005D5D0C">
        <w:rPr>
          <w:b/>
        </w:rPr>
        <w:t xml:space="preserve"> for </w:t>
      </w:r>
      <w:r>
        <w:rPr>
          <w:b/>
        </w:rPr>
        <w:t>assess</w:t>
      </w:r>
      <w:r w:rsidR="003660A3">
        <w:rPr>
          <w:b/>
        </w:rPr>
        <w:t>ing</w:t>
      </w:r>
      <w:r>
        <w:rPr>
          <w:b/>
        </w:rPr>
        <w:t xml:space="preserve"> the representation of the various minority groups in public bodies and institutions that </w:t>
      </w:r>
      <w:r w:rsidR="003660A3">
        <w:rPr>
          <w:b/>
        </w:rPr>
        <w:t>would enable</w:t>
      </w:r>
      <w:r>
        <w:rPr>
          <w:b/>
        </w:rPr>
        <w:t xml:space="preserve"> the </w:t>
      </w:r>
      <w:r w:rsidRPr="005D5D0C">
        <w:rPr>
          <w:b/>
        </w:rPr>
        <w:t>State party to enhance the equal enjoyment by all of the rights enshrined</w:t>
      </w:r>
      <w:r>
        <w:rPr>
          <w:b/>
        </w:rPr>
        <w:t xml:space="preserve"> </w:t>
      </w:r>
      <w:r w:rsidRPr="005D5D0C">
        <w:rPr>
          <w:b/>
        </w:rPr>
        <w:t>in the Convention. The Committee r</w:t>
      </w:r>
      <w:r>
        <w:rPr>
          <w:b/>
        </w:rPr>
        <w:t xml:space="preserve">ecommends that the </w:t>
      </w:r>
      <w:r w:rsidRPr="005D5D0C">
        <w:rPr>
          <w:b/>
        </w:rPr>
        <w:t xml:space="preserve">State party </w:t>
      </w:r>
      <w:r>
        <w:rPr>
          <w:b/>
        </w:rPr>
        <w:t xml:space="preserve">analyse the data obtained during the 2011 </w:t>
      </w:r>
      <w:r w:rsidR="00C67304">
        <w:rPr>
          <w:b/>
        </w:rPr>
        <w:t>c</w:t>
      </w:r>
      <w:r>
        <w:rPr>
          <w:b/>
        </w:rPr>
        <w:t xml:space="preserve">ensus and provide the Committee with information on the ethnic composition of the population, </w:t>
      </w:r>
      <w:r w:rsidRPr="005D5D0C">
        <w:rPr>
          <w:b/>
        </w:rPr>
        <w:t xml:space="preserve">disaggregated data on the </w:t>
      </w:r>
      <w:r w:rsidR="00A31CA5">
        <w:rPr>
          <w:b/>
        </w:rPr>
        <w:t>socioeconomic situation</w:t>
      </w:r>
      <w:r w:rsidR="003660A3">
        <w:rPr>
          <w:b/>
        </w:rPr>
        <w:t xml:space="preserve"> in the State party</w:t>
      </w:r>
      <w:r w:rsidR="00A31CA5">
        <w:rPr>
          <w:b/>
        </w:rPr>
        <w:t xml:space="preserve">, in particular </w:t>
      </w:r>
      <w:r w:rsidR="00C67304">
        <w:rPr>
          <w:b/>
        </w:rPr>
        <w:t xml:space="preserve">with regard to </w:t>
      </w:r>
      <w:r w:rsidRPr="005D5D0C">
        <w:rPr>
          <w:b/>
        </w:rPr>
        <w:t xml:space="preserve">the </w:t>
      </w:r>
      <w:r>
        <w:rPr>
          <w:b/>
        </w:rPr>
        <w:t>different ethnic groups</w:t>
      </w:r>
      <w:r w:rsidR="003660A3">
        <w:rPr>
          <w:b/>
        </w:rPr>
        <w:t>,</w:t>
      </w:r>
      <w:r>
        <w:rPr>
          <w:b/>
        </w:rPr>
        <w:t xml:space="preserve"> including </w:t>
      </w:r>
      <w:r w:rsidR="00D647E6">
        <w:rPr>
          <w:b/>
        </w:rPr>
        <w:t>persons of</w:t>
      </w:r>
      <w:r>
        <w:rPr>
          <w:b/>
        </w:rPr>
        <w:t xml:space="preserve"> Roma, </w:t>
      </w:r>
      <w:proofErr w:type="spellStart"/>
      <w:r>
        <w:rPr>
          <w:b/>
        </w:rPr>
        <w:t>Ashkali</w:t>
      </w:r>
      <w:proofErr w:type="spellEnd"/>
      <w:r>
        <w:rPr>
          <w:b/>
        </w:rPr>
        <w:t xml:space="preserve"> and Egyptian </w:t>
      </w:r>
      <w:r w:rsidR="00D647E6">
        <w:rPr>
          <w:b/>
        </w:rPr>
        <w:t>origin</w:t>
      </w:r>
      <w:r w:rsidRPr="005D5D0C">
        <w:rPr>
          <w:b/>
        </w:rPr>
        <w:t xml:space="preserve">. </w:t>
      </w:r>
    </w:p>
    <w:p w:rsidR="00F02544" w:rsidRDefault="00F02544" w:rsidP="00F02544">
      <w:pPr>
        <w:pStyle w:val="H23G"/>
      </w:pPr>
      <w:r w:rsidRPr="005D5D0C">
        <w:tab/>
      </w:r>
      <w:r>
        <w:tab/>
        <w:t>Harmonization of national legislation with the Con</w:t>
      </w:r>
      <w:r w:rsidR="00A31CA5">
        <w:t>vention</w:t>
      </w:r>
      <w:r>
        <w:t xml:space="preserve"> and international law</w:t>
      </w:r>
    </w:p>
    <w:p w:rsidR="00F02544" w:rsidRPr="005D5D0C" w:rsidRDefault="00F02544" w:rsidP="00323DD7">
      <w:pPr>
        <w:pStyle w:val="SingleTxtG"/>
        <w:numPr>
          <w:ilvl w:val="0"/>
          <w:numId w:val="43"/>
        </w:numPr>
        <w:tabs>
          <w:tab w:val="clear" w:pos="2835"/>
        </w:tabs>
        <w:ind w:left="1134"/>
      </w:pPr>
      <w:r>
        <w:t>While noting the primacy of international law over national legislation, the Committee is concerned that the Parliament of Montenegro has not harmonized national legislation with the Convention (art.</w:t>
      </w:r>
      <w:r w:rsidR="007D1CB9">
        <w:t> </w:t>
      </w:r>
      <w:r>
        <w:t>2)</w:t>
      </w:r>
      <w:r w:rsidR="009B0F9D">
        <w:t>.</w:t>
      </w:r>
    </w:p>
    <w:p w:rsidR="00F02544" w:rsidRPr="00374B20" w:rsidRDefault="00F02544" w:rsidP="00F02544">
      <w:pPr>
        <w:pStyle w:val="SingleTxtG"/>
        <w:rPr>
          <w:b/>
        </w:rPr>
      </w:pPr>
      <w:r>
        <w:rPr>
          <w:b/>
        </w:rPr>
        <w:t xml:space="preserve">The </w:t>
      </w:r>
      <w:r w:rsidR="009B0F9D">
        <w:rPr>
          <w:b/>
        </w:rPr>
        <w:t xml:space="preserve">Committee encourages the </w:t>
      </w:r>
      <w:r>
        <w:rPr>
          <w:b/>
        </w:rPr>
        <w:t>State party to bring national legislation in</w:t>
      </w:r>
      <w:r w:rsidR="009B0F9D">
        <w:rPr>
          <w:b/>
        </w:rPr>
        <w:t>to</w:t>
      </w:r>
      <w:r>
        <w:rPr>
          <w:b/>
        </w:rPr>
        <w:t xml:space="preserve"> line with international standards, in particular those enshrined in the Convention.</w:t>
      </w:r>
      <w:r w:rsidR="004B1BEB">
        <w:rPr>
          <w:b/>
        </w:rPr>
        <w:t xml:space="preserve"> </w:t>
      </w:r>
      <w:r>
        <w:rPr>
          <w:b/>
        </w:rPr>
        <w:t>The Committee requests the State party to provide it with information on cases whe</w:t>
      </w:r>
      <w:r w:rsidR="009B0F9D">
        <w:rPr>
          <w:b/>
        </w:rPr>
        <w:t>re</w:t>
      </w:r>
      <w:r>
        <w:rPr>
          <w:b/>
        </w:rPr>
        <w:t xml:space="preserve"> the Convention has been invoked directly in national courts.</w:t>
      </w:r>
    </w:p>
    <w:p w:rsidR="00F02544" w:rsidRPr="00DD4ECD" w:rsidRDefault="00063EB2" w:rsidP="00063EB2">
      <w:pPr>
        <w:pStyle w:val="H23G"/>
      </w:pPr>
      <w:r>
        <w:tab/>
      </w:r>
      <w:r>
        <w:tab/>
      </w:r>
      <w:r w:rsidR="00F02544" w:rsidRPr="00DD4ECD">
        <w:t>Legislation prohibiting racist organizations</w:t>
      </w:r>
    </w:p>
    <w:p w:rsidR="00F02544" w:rsidRDefault="00F02544" w:rsidP="00323DD7">
      <w:pPr>
        <w:pStyle w:val="SingleTxtG"/>
        <w:numPr>
          <w:ilvl w:val="0"/>
          <w:numId w:val="43"/>
        </w:numPr>
        <w:tabs>
          <w:tab w:val="clear" w:pos="2835"/>
        </w:tabs>
        <w:ind w:left="1134"/>
      </w:pPr>
      <w:r>
        <w:t xml:space="preserve">The Committee notes the absence of legislation in the State party declaring  </w:t>
      </w:r>
      <w:r w:rsidR="007D1CB9">
        <w:t>o</w:t>
      </w:r>
      <w:r>
        <w:t>rganizations which promote and incite racial discrimination</w:t>
      </w:r>
      <w:r w:rsidR="009B0F9D">
        <w:t xml:space="preserve"> illegal</w:t>
      </w:r>
      <w:r>
        <w:t xml:space="preserve"> (arts. 2 and 4 (b))</w:t>
      </w:r>
      <w:r w:rsidR="009B0F9D">
        <w:t>.</w:t>
      </w:r>
    </w:p>
    <w:p w:rsidR="00F02544" w:rsidRDefault="00F02544" w:rsidP="00F02544">
      <w:pPr>
        <w:pStyle w:val="SingleTxtG"/>
        <w:rPr>
          <w:b/>
        </w:rPr>
      </w:pPr>
      <w:r w:rsidRPr="00036C1E">
        <w:rPr>
          <w:b/>
        </w:rPr>
        <w:t>The</w:t>
      </w:r>
      <w:r>
        <w:rPr>
          <w:b/>
        </w:rPr>
        <w:t xml:space="preserve"> Committee recommends that the</w:t>
      </w:r>
      <w:r w:rsidRPr="00036C1E">
        <w:rPr>
          <w:b/>
        </w:rPr>
        <w:t xml:space="preserve"> State party</w:t>
      </w:r>
      <w:r>
        <w:rPr>
          <w:b/>
        </w:rPr>
        <w:t xml:space="preserve"> amend its l</w:t>
      </w:r>
      <w:r w:rsidRPr="00036C1E">
        <w:rPr>
          <w:b/>
        </w:rPr>
        <w:t xml:space="preserve">egislation to </w:t>
      </w:r>
      <w:r>
        <w:rPr>
          <w:b/>
        </w:rPr>
        <w:t xml:space="preserve">declare </w:t>
      </w:r>
      <w:r w:rsidR="007D1CB9">
        <w:rPr>
          <w:b/>
        </w:rPr>
        <w:t>o</w:t>
      </w:r>
      <w:r w:rsidRPr="00036C1E">
        <w:rPr>
          <w:b/>
        </w:rPr>
        <w:t xml:space="preserve">rganizations </w:t>
      </w:r>
      <w:r>
        <w:rPr>
          <w:b/>
        </w:rPr>
        <w:t>that promote and incite racial discrimination</w:t>
      </w:r>
      <w:r w:rsidR="009B0F9D">
        <w:rPr>
          <w:b/>
        </w:rPr>
        <w:t xml:space="preserve"> illegal</w:t>
      </w:r>
      <w:r>
        <w:rPr>
          <w:b/>
        </w:rPr>
        <w:t>.</w:t>
      </w:r>
    </w:p>
    <w:p w:rsidR="00F02544" w:rsidRDefault="00063EB2" w:rsidP="00063EB2">
      <w:pPr>
        <w:pStyle w:val="H23G"/>
      </w:pPr>
      <w:r>
        <w:tab/>
      </w:r>
      <w:r>
        <w:tab/>
      </w:r>
      <w:r w:rsidR="00F02544">
        <w:t>Racist motivation as an aggravating circumstance</w:t>
      </w:r>
    </w:p>
    <w:p w:rsidR="00F02544" w:rsidRDefault="00F02544" w:rsidP="00323DD7">
      <w:pPr>
        <w:pStyle w:val="SingleTxtG"/>
        <w:numPr>
          <w:ilvl w:val="0"/>
          <w:numId w:val="43"/>
        </w:numPr>
        <w:tabs>
          <w:tab w:val="clear" w:pos="2835"/>
        </w:tabs>
        <w:ind w:left="1134"/>
      </w:pPr>
      <w:r>
        <w:t>The Committee is concerned</w:t>
      </w:r>
      <w:r w:rsidRPr="00BD2113">
        <w:t xml:space="preserve"> </w:t>
      </w:r>
      <w:r>
        <w:t>that racial,</w:t>
      </w:r>
      <w:r w:rsidR="004B1BEB">
        <w:t xml:space="preserve"> </w:t>
      </w:r>
      <w:r>
        <w:t>national</w:t>
      </w:r>
      <w:r w:rsidR="00B2095B">
        <w:t>,</w:t>
      </w:r>
      <w:r w:rsidR="004B1BEB">
        <w:t xml:space="preserve"> </w:t>
      </w:r>
      <w:r>
        <w:t>ethnic</w:t>
      </w:r>
      <w:r w:rsidR="00B2095B">
        <w:t xml:space="preserve"> or ethno-religious</w:t>
      </w:r>
      <w:r w:rsidR="004B1BEB">
        <w:t xml:space="preserve"> </w:t>
      </w:r>
      <w:r w:rsidR="00B2095B">
        <w:t>motivation</w:t>
      </w:r>
      <w:r>
        <w:t xml:space="preserve"> </w:t>
      </w:r>
      <w:r w:rsidR="009B0F9D">
        <w:t xml:space="preserve">is </w:t>
      </w:r>
      <w:r>
        <w:t xml:space="preserve">not regarded as </w:t>
      </w:r>
      <w:r w:rsidR="009B0F9D">
        <w:t xml:space="preserve">an </w:t>
      </w:r>
      <w:r>
        <w:t>aggravating circumstance in determining the punishment of crimes (a</w:t>
      </w:r>
      <w:r w:rsidRPr="005D5D0C">
        <w:t xml:space="preserve">rt. </w:t>
      </w:r>
      <w:r>
        <w:t>4)</w:t>
      </w:r>
      <w:r w:rsidR="009B0F9D">
        <w:t>.</w:t>
      </w:r>
    </w:p>
    <w:p w:rsidR="00F02544" w:rsidRPr="00BD2113" w:rsidRDefault="00F02544" w:rsidP="00F02544">
      <w:pPr>
        <w:pStyle w:val="SingleTxtG"/>
        <w:rPr>
          <w:b/>
        </w:rPr>
      </w:pPr>
      <w:r w:rsidRPr="00036C1E">
        <w:rPr>
          <w:b/>
        </w:rPr>
        <w:t xml:space="preserve">The </w:t>
      </w:r>
      <w:r>
        <w:rPr>
          <w:b/>
        </w:rPr>
        <w:t xml:space="preserve">Committee recommends that the </w:t>
      </w:r>
      <w:r w:rsidRPr="00036C1E">
        <w:rPr>
          <w:b/>
        </w:rPr>
        <w:t xml:space="preserve">State </w:t>
      </w:r>
      <w:r>
        <w:rPr>
          <w:b/>
        </w:rPr>
        <w:t xml:space="preserve">amend the Criminal Code to include </w:t>
      </w:r>
      <w:r w:rsidRPr="00BD2113">
        <w:rPr>
          <w:b/>
        </w:rPr>
        <w:t>racial, national</w:t>
      </w:r>
      <w:r w:rsidR="00B2095B">
        <w:rPr>
          <w:b/>
        </w:rPr>
        <w:t>,</w:t>
      </w:r>
      <w:r w:rsidR="004B1BEB">
        <w:rPr>
          <w:b/>
        </w:rPr>
        <w:t xml:space="preserve"> </w:t>
      </w:r>
      <w:r w:rsidRPr="00BD2113">
        <w:rPr>
          <w:b/>
        </w:rPr>
        <w:t>ethnic</w:t>
      </w:r>
      <w:r w:rsidR="00B2095B">
        <w:rPr>
          <w:b/>
        </w:rPr>
        <w:t xml:space="preserve"> or ethno-religious</w:t>
      </w:r>
      <w:r>
        <w:rPr>
          <w:b/>
        </w:rPr>
        <w:t xml:space="preserve"> motivation</w:t>
      </w:r>
      <w:r w:rsidRPr="00BD2113">
        <w:rPr>
          <w:b/>
        </w:rPr>
        <w:t xml:space="preserve"> as </w:t>
      </w:r>
      <w:r w:rsidR="009B0F9D">
        <w:rPr>
          <w:b/>
        </w:rPr>
        <w:t xml:space="preserve">an </w:t>
      </w:r>
      <w:r w:rsidRPr="00BD2113">
        <w:rPr>
          <w:b/>
        </w:rPr>
        <w:t xml:space="preserve">aggravating circumstance </w:t>
      </w:r>
      <w:r>
        <w:rPr>
          <w:b/>
        </w:rPr>
        <w:t>when determining the punishment of crimes</w:t>
      </w:r>
      <w:r w:rsidRPr="00BD2113">
        <w:rPr>
          <w:b/>
        </w:rPr>
        <w:t>.</w:t>
      </w:r>
    </w:p>
    <w:p w:rsidR="00F02544" w:rsidRPr="005D5D0C" w:rsidRDefault="007D1CB9" w:rsidP="00F02544">
      <w:pPr>
        <w:pStyle w:val="H23G"/>
      </w:pPr>
      <w:r>
        <w:tab/>
      </w:r>
      <w:r>
        <w:tab/>
      </w:r>
      <w:r w:rsidR="00F02544" w:rsidRPr="005D5D0C">
        <w:t xml:space="preserve">Enforcement of the Law on Prohibition of Discrimination </w:t>
      </w:r>
    </w:p>
    <w:p w:rsidR="00F02544" w:rsidRDefault="00F02544" w:rsidP="00323DD7">
      <w:pPr>
        <w:pStyle w:val="SingleTxtG"/>
        <w:numPr>
          <w:ilvl w:val="0"/>
          <w:numId w:val="43"/>
        </w:numPr>
        <w:tabs>
          <w:tab w:val="clear" w:pos="2835"/>
        </w:tabs>
        <w:ind w:left="1134"/>
      </w:pPr>
      <w:r>
        <w:t>T</w:t>
      </w:r>
      <w:r w:rsidRPr="005D5D0C">
        <w:t>he Committee is concerned a</w:t>
      </w:r>
      <w:r>
        <w:t>bout</w:t>
      </w:r>
      <w:r w:rsidRPr="005D5D0C">
        <w:t xml:space="preserve"> the </w:t>
      </w:r>
      <w:r>
        <w:t>small</w:t>
      </w:r>
      <w:r w:rsidRPr="005D5D0C">
        <w:t xml:space="preserve"> number of</w:t>
      </w:r>
      <w:r>
        <w:t xml:space="preserve"> </w:t>
      </w:r>
      <w:r w:rsidRPr="005D5D0C">
        <w:t xml:space="preserve">cases of </w:t>
      </w:r>
      <w:r>
        <w:t>racial discrimination before the courts and about the</w:t>
      </w:r>
      <w:r w:rsidRPr="005D5D0C">
        <w:t xml:space="preserve"> </w:t>
      </w:r>
      <w:r>
        <w:t xml:space="preserve">low </w:t>
      </w:r>
      <w:r w:rsidRPr="005D5D0C">
        <w:t>n</w:t>
      </w:r>
      <w:r>
        <w:t>umber of convictions</w:t>
      </w:r>
      <w:r w:rsidRPr="005D5D0C">
        <w:t xml:space="preserve"> </w:t>
      </w:r>
      <w:r>
        <w:t>in such cases.</w:t>
      </w:r>
      <w:r w:rsidR="004B1BEB">
        <w:t xml:space="preserve"> </w:t>
      </w:r>
      <w:r>
        <w:t>It is also concerned at information that</w:t>
      </w:r>
      <w:r w:rsidR="00AE65E2">
        <w:t xml:space="preserve"> even very serious</w:t>
      </w:r>
      <w:r>
        <w:t xml:space="preserve"> cases of incitement to racial hatred are treated as misdemeanours and that they seldom result in convictions (arts. 2, 4, 5, 6 and</w:t>
      </w:r>
      <w:r w:rsidR="00CF7932">
        <w:t> </w:t>
      </w:r>
      <w:r>
        <w:t>7)</w:t>
      </w:r>
      <w:r w:rsidR="009B0F9D">
        <w:t>.</w:t>
      </w:r>
      <w:r>
        <w:t xml:space="preserve"> </w:t>
      </w:r>
    </w:p>
    <w:p w:rsidR="00F02544" w:rsidRDefault="00F02544" w:rsidP="00363D50">
      <w:pPr>
        <w:pStyle w:val="SingleTxtG"/>
        <w:tabs>
          <w:tab w:val="left" w:pos="1701"/>
        </w:tabs>
      </w:pPr>
      <w:r w:rsidRPr="005D5D0C">
        <w:rPr>
          <w:b/>
        </w:rPr>
        <w:t>Recalling its</w:t>
      </w:r>
      <w:r>
        <w:rPr>
          <w:b/>
        </w:rPr>
        <w:t xml:space="preserve"> general recommendation No. 31 (2005) on the prevention of racial discrimination in the administration and functioning of the criminal justice system, the Committee recommends that the State party:</w:t>
      </w:r>
    </w:p>
    <w:p w:rsidR="00F02544" w:rsidRDefault="007C1F90" w:rsidP="007C1F90">
      <w:pPr>
        <w:pStyle w:val="SingleTxtG"/>
        <w:ind w:firstLine="567"/>
        <w:rPr>
          <w:b/>
        </w:rPr>
      </w:pPr>
      <w:r>
        <w:rPr>
          <w:b/>
        </w:rPr>
        <w:t>(a)</w:t>
      </w:r>
      <w:r>
        <w:rPr>
          <w:b/>
        </w:rPr>
        <w:tab/>
      </w:r>
      <w:r w:rsidR="00F02544">
        <w:rPr>
          <w:b/>
        </w:rPr>
        <w:t>Conduct broad awareness-raising campaigns at the local and national level</w:t>
      </w:r>
      <w:r w:rsidR="009B0F9D">
        <w:rPr>
          <w:b/>
        </w:rPr>
        <w:t>s</w:t>
      </w:r>
      <w:r w:rsidR="00F02544">
        <w:rPr>
          <w:b/>
        </w:rPr>
        <w:t xml:space="preserve"> on </w:t>
      </w:r>
      <w:r w:rsidR="00F02544" w:rsidRPr="00036C1E">
        <w:rPr>
          <w:b/>
        </w:rPr>
        <w:t xml:space="preserve">how to </w:t>
      </w:r>
      <w:r w:rsidR="00F02544">
        <w:rPr>
          <w:b/>
        </w:rPr>
        <w:t xml:space="preserve">report cases of racial discrimination and incitement to racial hatred to the Ombudsman and </w:t>
      </w:r>
      <w:r w:rsidR="00C45D7D">
        <w:rPr>
          <w:b/>
        </w:rPr>
        <w:t xml:space="preserve">other relevant authorities and </w:t>
      </w:r>
      <w:r w:rsidR="00F02544">
        <w:rPr>
          <w:b/>
        </w:rPr>
        <w:t xml:space="preserve">how to </w:t>
      </w:r>
      <w:r w:rsidR="00F02544" w:rsidRPr="00036C1E">
        <w:rPr>
          <w:b/>
        </w:rPr>
        <w:t xml:space="preserve">bring </w:t>
      </w:r>
      <w:r w:rsidR="00F02544">
        <w:rPr>
          <w:b/>
        </w:rPr>
        <w:t xml:space="preserve">them </w:t>
      </w:r>
      <w:r w:rsidR="00F02544" w:rsidRPr="00036C1E">
        <w:rPr>
          <w:b/>
        </w:rPr>
        <w:t>before courts</w:t>
      </w:r>
      <w:r w:rsidR="00F02544">
        <w:rPr>
          <w:b/>
        </w:rPr>
        <w:t>;</w:t>
      </w:r>
    </w:p>
    <w:p w:rsidR="00F02544" w:rsidRDefault="007C1F90" w:rsidP="007C1F90">
      <w:pPr>
        <w:pStyle w:val="SingleTxtG"/>
        <w:ind w:firstLine="567"/>
        <w:rPr>
          <w:b/>
        </w:rPr>
      </w:pPr>
      <w:r>
        <w:rPr>
          <w:b/>
        </w:rPr>
        <w:t>(b)</w:t>
      </w:r>
      <w:r>
        <w:rPr>
          <w:b/>
        </w:rPr>
        <w:tab/>
      </w:r>
      <w:r w:rsidR="00F02544">
        <w:rPr>
          <w:b/>
        </w:rPr>
        <w:t xml:space="preserve">Strengthen initial and in-service training </w:t>
      </w:r>
      <w:r w:rsidR="00C67304">
        <w:rPr>
          <w:b/>
        </w:rPr>
        <w:t>of</w:t>
      </w:r>
      <w:r w:rsidR="00F02544">
        <w:rPr>
          <w:b/>
        </w:rPr>
        <w:t xml:space="preserve"> judges, prosecutors, lawyers and police offic</w:t>
      </w:r>
      <w:r w:rsidR="00E335F2">
        <w:rPr>
          <w:b/>
        </w:rPr>
        <w:t>ers</w:t>
      </w:r>
      <w:r w:rsidR="00F02544">
        <w:rPr>
          <w:b/>
        </w:rPr>
        <w:t xml:space="preserve"> on how to identify and sanction racially motivated offences</w:t>
      </w:r>
      <w:r w:rsidR="007D1CB9">
        <w:rPr>
          <w:b/>
        </w:rPr>
        <w:t>;</w:t>
      </w:r>
    </w:p>
    <w:p w:rsidR="00F02544" w:rsidRDefault="007C1F90" w:rsidP="007C1F90">
      <w:pPr>
        <w:pStyle w:val="SingleTxtG"/>
        <w:ind w:firstLine="567"/>
        <w:rPr>
          <w:b/>
        </w:rPr>
      </w:pPr>
      <w:r w:rsidRPr="007600F2">
        <w:rPr>
          <w:b/>
        </w:rPr>
        <w:t>(c)</w:t>
      </w:r>
      <w:r w:rsidRPr="007600F2">
        <w:rPr>
          <w:b/>
        </w:rPr>
        <w:tab/>
      </w:r>
      <w:r w:rsidR="00F02544" w:rsidRPr="007600F2">
        <w:rPr>
          <w:b/>
        </w:rPr>
        <w:t xml:space="preserve">Provide training </w:t>
      </w:r>
      <w:r w:rsidR="00C659C9" w:rsidRPr="007600F2">
        <w:rPr>
          <w:b/>
        </w:rPr>
        <w:t xml:space="preserve">to judges, prosecutors, lawyers and police officers </w:t>
      </w:r>
      <w:r w:rsidR="00F02544" w:rsidRPr="007600F2">
        <w:rPr>
          <w:b/>
        </w:rPr>
        <w:t>on</w:t>
      </w:r>
      <w:r w:rsidR="00C659C9" w:rsidRPr="007600F2">
        <w:rPr>
          <w:b/>
        </w:rPr>
        <w:t xml:space="preserve"> the</w:t>
      </w:r>
      <w:r w:rsidR="00F02544" w:rsidRPr="007600F2">
        <w:rPr>
          <w:b/>
        </w:rPr>
        <w:t xml:space="preserve"> provisions in criminal legislation relating to racism, equal treatment and non-discrimination and provide an evaluation of such training in the next periodic report;</w:t>
      </w:r>
    </w:p>
    <w:p w:rsidR="00F02544" w:rsidRDefault="007C1F90" w:rsidP="007C1F90">
      <w:pPr>
        <w:pStyle w:val="SingleTxtG"/>
        <w:ind w:firstLine="567"/>
        <w:rPr>
          <w:b/>
        </w:rPr>
      </w:pPr>
      <w:r>
        <w:rPr>
          <w:b/>
        </w:rPr>
        <w:t>(d)</w:t>
      </w:r>
      <w:r>
        <w:rPr>
          <w:b/>
        </w:rPr>
        <w:tab/>
      </w:r>
      <w:r w:rsidR="00F02544">
        <w:rPr>
          <w:b/>
        </w:rPr>
        <w:t>Ensure that criminal acts relating to racial discrimination, incitement to racial hatred and racially motivated hate crimes are</w:t>
      </w:r>
      <w:r w:rsidR="004B1BEB">
        <w:rPr>
          <w:b/>
        </w:rPr>
        <w:t xml:space="preserve"> </w:t>
      </w:r>
      <w:r w:rsidR="003D0E2C">
        <w:rPr>
          <w:b/>
        </w:rPr>
        <w:t>prosecuted at a level commensurate with their seriousness,</w:t>
      </w:r>
      <w:r w:rsidR="00F02544">
        <w:rPr>
          <w:b/>
        </w:rPr>
        <w:t xml:space="preserve"> and expedite such cases;</w:t>
      </w:r>
    </w:p>
    <w:p w:rsidR="00F02544" w:rsidRDefault="007C1F90" w:rsidP="007C1F90">
      <w:pPr>
        <w:pStyle w:val="SingleTxtG"/>
        <w:ind w:firstLine="567"/>
        <w:rPr>
          <w:b/>
        </w:rPr>
      </w:pPr>
      <w:r>
        <w:rPr>
          <w:b/>
        </w:rPr>
        <w:t>(e)</w:t>
      </w:r>
      <w:r>
        <w:rPr>
          <w:b/>
        </w:rPr>
        <w:tab/>
      </w:r>
      <w:r w:rsidR="00F02544">
        <w:rPr>
          <w:b/>
        </w:rPr>
        <w:t xml:space="preserve">Establish a mechanism to </w:t>
      </w:r>
      <w:r w:rsidR="00A71D7F">
        <w:rPr>
          <w:b/>
        </w:rPr>
        <w:t>recognize</w:t>
      </w:r>
      <w:r w:rsidR="00E335F2">
        <w:rPr>
          <w:b/>
        </w:rPr>
        <w:t>,</w:t>
      </w:r>
      <w:r w:rsidR="00F02544">
        <w:rPr>
          <w:b/>
        </w:rPr>
        <w:t xml:space="preserve"> record and analyse such cases and provide information on their incidence in the next periodic report.</w:t>
      </w:r>
    </w:p>
    <w:p w:rsidR="00F02544" w:rsidRDefault="00F02544" w:rsidP="00F02544">
      <w:pPr>
        <w:pStyle w:val="H23G"/>
      </w:pPr>
      <w:r>
        <w:tab/>
      </w:r>
      <w:r>
        <w:tab/>
      </w:r>
      <w:r w:rsidRPr="005D5D0C">
        <w:t xml:space="preserve">Protector of Human Rights and Freedoms </w:t>
      </w:r>
      <w:r w:rsidR="00E335F2">
        <w:t>(Ombudsman)</w:t>
      </w:r>
    </w:p>
    <w:p w:rsidR="00F02544" w:rsidRDefault="00F02544" w:rsidP="00323DD7">
      <w:pPr>
        <w:pStyle w:val="SingleTxtG"/>
        <w:numPr>
          <w:ilvl w:val="0"/>
          <w:numId w:val="43"/>
        </w:numPr>
        <w:tabs>
          <w:tab w:val="clear" w:pos="2835"/>
        </w:tabs>
        <w:ind w:left="1134"/>
      </w:pPr>
      <w:r>
        <w:t>W</w:t>
      </w:r>
      <w:r w:rsidRPr="005D5D0C">
        <w:t xml:space="preserve">hile </w:t>
      </w:r>
      <w:r>
        <w:t>appreciating</w:t>
      </w:r>
      <w:r w:rsidRPr="005D5D0C">
        <w:t xml:space="preserve"> </w:t>
      </w:r>
      <w:r>
        <w:t>the increase in the staff and budget for the Protector of Human Rights and Freedoms (Ombudsman)</w:t>
      </w:r>
      <w:r w:rsidR="0069548F">
        <w:t xml:space="preserve"> and noting that the </w:t>
      </w:r>
      <w:r w:rsidR="00E335F2">
        <w:t>o</w:t>
      </w:r>
      <w:r w:rsidR="0069548F">
        <w:t xml:space="preserve">ffice has </w:t>
      </w:r>
      <w:r w:rsidR="00E335F2">
        <w:t xml:space="preserve">already </w:t>
      </w:r>
      <w:r w:rsidR="0069548F">
        <w:t>dealt with a certain number of cases of discrimination</w:t>
      </w:r>
      <w:r>
        <w:t>, the Committee is concerned that the Ombudsman still lack</w:t>
      </w:r>
      <w:r w:rsidR="00E335F2">
        <w:t>s</w:t>
      </w:r>
      <w:r>
        <w:t xml:space="preserve"> the necessary human, technical and financial resources to fulfil his mandate, given his recent designation as the institutional mechanism for protection against discrimination and as the national preventive mechanism under the Optional Protocol to the Convention against Torture</w:t>
      </w:r>
      <w:r w:rsidR="00E335F2">
        <w:t xml:space="preserve"> and Other Cruel or Degrading Treatment or Punishment</w:t>
      </w:r>
      <w:r>
        <w:t>.</w:t>
      </w:r>
      <w:r w:rsidR="004B1BEB">
        <w:t xml:space="preserve"> </w:t>
      </w:r>
      <w:r>
        <w:t xml:space="preserve">It is also concerned that the Ombudsman does not have investigative powers or the </w:t>
      </w:r>
      <w:r w:rsidR="00E335F2">
        <w:t>authority</w:t>
      </w:r>
      <w:r>
        <w:t xml:space="preserve"> to initiate and participate in court proceedings re</w:t>
      </w:r>
      <w:r w:rsidR="00550A4B">
        <w:t>lating to discrimination (art. </w:t>
      </w:r>
      <w:r>
        <w:t>2)</w:t>
      </w:r>
      <w:r w:rsidR="00E335F2">
        <w:t>.</w:t>
      </w:r>
    </w:p>
    <w:p w:rsidR="00F02544" w:rsidRDefault="00F02544" w:rsidP="00F02544">
      <w:pPr>
        <w:pStyle w:val="SingleTxtG"/>
        <w:rPr>
          <w:b/>
        </w:rPr>
      </w:pPr>
      <w:r>
        <w:rPr>
          <w:b/>
        </w:rPr>
        <w:t xml:space="preserve">In </w:t>
      </w:r>
      <w:r w:rsidR="00E335F2">
        <w:rPr>
          <w:b/>
        </w:rPr>
        <w:t xml:space="preserve">the </w:t>
      </w:r>
      <w:r>
        <w:rPr>
          <w:b/>
        </w:rPr>
        <w:t xml:space="preserve">light of </w:t>
      </w:r>
      <w:r w:rsidRPr="005D5D0C">
        <w:rPr>
          <w:b/>
        </w:rPr>
        <w:t>its</w:t>
      </w:r>
      <w:r>
        <w:rPr>
          <w:b/>
        </w:rPr>
        <w:t xml:space="preserve"> general recommendation No.</w:t>
      </w:r>
      <w:r w:rsidR="005E2F16">
        <w:rPr>
          <w:b/>
        </w:rPr>
        <w:t> </w:t>
      </w:r>
      <w:r>
        <w:rPr>
          <w:b/>
        </w:rPr>
        <w:t>17 (1993) on the establishment of national institutions to facilitate the implementation of the Convention, t</w:t>
      </w:r>
      <w:r w:rsidRPr="00D0211C">
        <w:rPr>
          <w:b/>
        </w:rPr>
        <w:t xml:space="preserve">he </w:t>
      </w:r>
      <w:r>
        <w:rPr>
          <w:b/>
        </w:rPr>
        <w:t>Committee requests that the State party:</w:t>
      </w:r>
    </w:p>
    <w:p w:rsidR="00F02544" w:rsidRDefault="00844687" w:rsidP="00844687">
      <w:pPr>
        <w:pStyle w:val="SingleTxtG"/>
        <w:ind w:firstLine="567"/>
        <w:rPr>
          <w:b/>
        </w:rPr>
      </w:pPr>
      <w:r>
        <w:rPr>
          <w:b/>
        </w:rPr>
        <w:t>(a)</w:t>
      </w:r>
      <w:r>
        <w:rPr>
          <w:b/>
        </w:rPr>
        <w:tab/>
      </w:r>
      <w:r w:rsidR="00F02544">
        <w:rPr>
          <w:b/>
        </w:rPr>
        <w:t xml:space="preserve">Provide the Ombudsman with the </w:t>
      </w:r>
      <w:r w:rsidR="00E335F2">
        <w:rPr>
          <w:b/>
        </w:rPr>
        <w:t xml:space="preserve">necessary </w:t>
      </w:r>
      <w:r w:rsidR="00F02544">
        <w:rPr>
          <w:b/>
        </w:rPr>
        <w:t>human, technical and financial resources to fulfil the recently expanded mandate of the office;</w:t>
      </w:r>
    </w:p>
    <w:p w:rsidR="00F02544" w:rsidRDefault="00844687" w:rsidP="00844687">
      <w:pPr>
        <w:pStyle w:val="SingleTxtG"/>
        <w:ind w:firstLine="567"/>
        <w:rPr>
          <w:b/>
        </w:rPr>
      </w:pPr>
      <w:r>
        <w:rPr>
          <w:b/>
        </w:rPr>
        <w:t>(b)</w:t>
      </w:r>
      <w:r>
        <w:rPr>
          <w:b/>
        </w:rPr>
        <w:tab/>
      </w:r>
      <w:r w:rsidR="00F02544">
        <w:rPr>
          <w:b/>
        </w:rPr>
        <w:t>Conduct a broad campaign at the national and local level</w:t>
      </w:r>
      <w:r w:rsidR="00E335F2">
        <w:rPr>
          <w:b/>
        </w:rPr>
        <w:t>s</w:t>
      </w:r>
      <w:r w:rsidR="00F02544">
        <w:rPr>
          <w:b/>
        </w:rPr>
        <w:t xml:space="preserve"> to raise awareness about the Ombudsman’s mandate and competence;</w:t>
      </w:r>
    </w:p>
    <w:p w:rsidR="00F02544" w:rsidRDefault="00844687" w:rsidP="00844687">
      <w:pPr>
        <w:pStyle w:val="SingleTxtG"/>
        <w:ind w:firstLine="567"/>
        <w:rPr>
          <w:b/>
        </w:rPr>
      </w:pPr>
      <w:r>
        <w:rPr>
          <w:b/>
        </w:rPr>
        <w:t>(c)</w:t>
      </w:r>
      <w:r>
        <w:rPr>
          <w:b/>
        </w:rPr>
        <w:tab/>
      </w:r>
      <w:r w:rsidR="00F02544">
        <w:rPr>
          <w:b/>
        </w:rPr>
        <w:t xml:space="preserve">Evaluate </w:t>
      </w:r>
      <w:r w:rsidR="00F02544" w:rsidRPr="00D0211C">
        <w:rPr>
          <w:b/>
        </w:rPr>
        <w:t xml:space="preserve">the effectiveness of the </w:t>
      </w:r>
      <w:r w:rsidR="00F02544">
        <w:rPr>
          <w:b/>
        </w:rPr>
        <w:t xml:space="preserve">Ombudsman’s </w:t>
      </w:r>
      <w:r w:rsidR="00F02544" w:rsidRPr="00D0211C">
        <w:rPr>
          <w:b/>
        </w:rPr>
        <w:t xml:space="preserve">activities </w:t>
      </w:r>
      <w:r w:rsidR="00F02544">
        <w:rPr>
          <w:b/>
        </w:rPr>
        <w:t>and include the findings in the next periodic report;</w:t>
      </w:r>
    </w:p>
    <w:p w:rsidR="00F02544" w:rsidRDefault="00844687" w:rsidP="00844687">
      <w:pPr>
        <w:pStyle w:val="SingleTxtG"/>
        <w:ind w:firstLine="567"/>
        <w:rPr>
          <w:b/>
        </w:rPr>
      </w:pPr>
      <w:r>
        <w:rPr>
          <w:b/>
        </w:rPr>
        <w:t>(d)</w:t>
      </w:r>
      <w:r>
        <w:rPr>
          <w:b/>
        </w:rPr>
        <w:tab/>
      </w:r>
      <w:r w:rsidR="001A0A79">
        <w:rPr>
          <w:b/>
        </w:rPr>
        <w:t>Consider b</w:t>
      </w:r>
      <w:r w:rsidR="00F02544">
        <w:rPr>
          <w:b/>
        </w:rPr>
        <w:t>roaden</w:t>
      </w:r>
      <w:r w:rsidR="001A0A79">
        <w:rPr>
          <w:b/>
        </w:rPr>
        <w:t>ing</w:t>
      </w:r>
      <w:r w:rsidR="00F02544">
        <w:rPr>
          <w:b/>
        </w:rPr>
        <w:t xml:space="preserve"> the mandate of the Ombudsman to include investigative powers and the </w:t>
      </w:r>
      <w:r w:rsidR="00E335F2">
        <w:rPr>
          <w:b/>
        </w:rPr>
        <w:t>authority</w:t>
      </w:r>
      <w:r w:rsidR="00F02544">
        <w:rPr>
          <w:b/>
        </w:rPr>
        <w:t xml:space="preserve"> to initiate and participate in judicial proceedings relating to discrimination;</w:t>
      </w:r>
    </w:p>
    <w:p w:rsidR="00F02544" w:rsidRPr="00D0211C" w:rsidRDefault="00844687" w:rsidP="00844687">
      <w:pPr>
        <w:pStyle w:val="SingleTxtG"/>
        <w:ind w:firstLine="567"/>
        <w:rPr>
          <w:b/>
        </w:rPr>
      </w:pPr>
      <w:r>
        <w:rPr>
          <w:b/>
        </w:rPr>
        <w:t>(e)</w:t>
      </w:r>
      <w:r>
        <w:rPr>
          <w:b/>
        </w:rPr>
        <w:tab/>
      </w:r>
      <w:r w:rsidR="00F02544">
        <w:rPr>
          <w:b/>
        </w:rPr>
        <w:t xml:space="preserve">Encourage the Ombudsman to apply to the International Coordinating Committee of National Human Rights Institutions for accreditation as the national institution for the promotion and protection of human rights, in accordance with the </w:t>
      </w:r>
      <w:r w:rsidR="00F02544" w:rsidRPr="00131EE3">
        <w:rPr>
          <w:b/>
        </w:rPr>
        <w:t xml:space="preserve">Principles relating to the </w:t>
      </w:r>
      <w:r w:rsidR="00C659C9">
        <w:rPr>
          <w:b/>
        </w:rPr>
        <w:t>s</w:t>
      </w:r>
      <w:r w:rsidR="00F02544" w:rsidRPr="00131EE3">
        <w:rPr>
          <w:b/>
        </w:rPr>
        <w:t xml:space="preserve">tatus of </w:t>
      </w:r>
      <w:r w:rsidR="00C659C9">
        <w:rPr>
          <w:b/>
        </w:rPr>
        <w:t>n</w:t>
      </w:r>
      <w:r w:rsidR="00F02544" w:rsidRPr="00131EE3">
        <w:rPr>
          <w:b/>
        </w:rPr>
        <w:t xml:space="preserve">ational </w:t>
      </w:r>
      <w:r w:rsidR="00C659C9">
        <w:rPr>
          <w:b/>
        </w:rPr>
        <w:t>i</w:t>
      </w:r>
      <w:r w:rsidR="00F02544" w:rsidRPr="00131EE3">
        <w:rPr>
          <w:b/>
        </w:rPr>
        <w:t>nstitutions (</w:t>
      </w:r>
      <w:r w:rsidR="003E699F">
        <w:rPr>
          <w:b/>
        </w:rPr>
        <w:t>t</w:t>
      </w:r>
      <w:r w:rsidR="00F02544" w:rsidRPr="00131EE3">
        <w:rPr>
          <w:b/>
        </w:rPr>
        <w:t xml:space="preserve">he </w:t>
      </w:r>
      <w:smartTag w:uri="urn:schemas-microsoft-com:office:smarttags" w:element="City">
        <w:smartTag w:uri="urn:schemas-microsoft-com:office:smarttags" w:element="place">
          <w:r w:rsidR="00F02544" w:rsidRPr="00131EE3">
            <w:rPr>
              <w:b/>
            </w:rPr>
            <w:t>Paris</w:t>
          </w:r>
        </w:smartTag>
      </w:smartTag>
      <w:r w:rsidR="00F02544" w:rsidRPr="00131EE3">
        <w:rPr>
          <w:b/>
        </w:rPr>
        <w:t xml:space="preserve"> Principles)</w:t>
      </w:r>
      <w:r w:rsidR="00F02544">
        <w:rPr>
          <w:b/>
        </w:rPr>
        <w:t>.</w:t>
      </w:r>
    </w:p>
    <w:p w:rsidR="00F02544" w:rsidRPr="00722251" w:rsidRDefault="00F02544" w:rsidP="00F02544">
      <w:pPr>
        <w:pStyle w:val="H23G"/>
      </w:pPr>
      <w:r>
        <w:tab/>
      </w:r>
      <w:r>
        <w:tab/>
        <w:t>Stigmatization</w:t>
      </w:r>
      <w:r w:rsidRPr="005D5D0C">
        <w:t xml:space="preserve"> of and discrimination against</w:t>
      </w:r>
      <w:r>
        <w:t xml:space="preserve"> </w:t>
      </w:r>
      <w:r w:rsidR="000D2A7C">
        <w:t>persons of</w:t>
      </w:r>
      <w:r>
        <w:t xml:space="preserve"> Roma, </w:t>
      </w:r>
      <w:proofErr w:type="spellStart"/>
      <w:r>
        <w:t>Ashkali</w:t>
      </w:r>
      <w:proofErr w:type="spellEnd"/>
      <w:r>
        <w:t xml:space="preserve"> and Egyptian </w:t>
      </w:r>
      <w:r w:rsidR="000D2A7C">
        <w:t>origin</w:t>
      </w:r>
    </w:p>
    <w:p w:rsidR="00F02544" w:rsidRPr="005D5D0C" w:rsidRDefault="00F02544" w:rsidP="00323DD7">
      <w:pPr>
        <w:pStyle w:val="SingleTxtG"/>
        <w:numPr>
          <w:ilvl w:val="0"/>
          <w:numId w:val="43"/>
        </w:numPr>
        <w:tabs>
          <w:tab w:val="clear" w:pos="2835"/>
        </w:tabs>
        <w:ind w:left="1134"/>
      </w:pPr>
      <w:r w:rsidRPr="008F68D8">
        <w:t xml:space="preserve">The Committee is concerned at the negative attitudes, stigmatization and discrimination against </w:t>
      </w:r>
      <w:r w:rsidR="00C67304">
        <w:t xml:space="preserve">people of </w:t>
      </w:r>
      <w:r w:rsidRPr="008F68D8">
        <w:t>Roma</w:t>
      </w:r>
      <w:r>
        <w:t xml:space="preserve">, </w:t>
      </w:r>
      <w:proofErr w:type="spellStart"/>
      <w:r>
        <w:t>Ashkali</w:t>
      </w:r>
      <w:proofErr w:type="spellEnd"/>
      <w:r w:rsidRPr="008F68D8">
        <w:t xml:space="preserve"> and Egyptian </w:t>
      </w:r>
      <w:r w:rsidR="00C67304">
        <w:t>origin</w:t>
      </w:r>
      <w:r w:rsidRPr="008F68D8">
        <w:t xml:space="preserve">, in particular </w:t>
      </w:r>
      <w:r>
        <w:t>persons</w:t>
      </w:r>
      <w:r w:rsidRPr="008F68D8">
        <w:t xml:space="preserve"> from Kosovo (arts.</w:t>
      </w:r>
      <w:r w:rsidR="00325732">
        <w:t> </w:t>
      </w:r>
      <w:r>
        <w:t xml:space="preserve">2, </w:t>
      </w:r>
      <w:r w:rsidRPr="008F68D8">
        <w:t>5 and</w:t>
      </w:r>
      <w:r w:rsidR="00325732">
        <w:t> </w:t>
      </w:r>
      <w:r w:rsidRPr="008F68D8">
        <w:t>7)</w:t>
      </w:r>
      <w:r w:rsidR="00E539E7">
        <w:t>.</w:t>
      </w:r>
    </w:p>
    <w:p w:rsidR="00F02544" w:rsidRDefault="00F02544" w:rsidP="00F02544">
      <w:pPr>
        <w:pStyle w:val="SingleTxtG"/>
        <w:rPr>
          <w:b/>
          <w:bCs/>
          <w:lang w:val="en-US"/>
        </w:rPr>
      </w:pPr>
      <w:r w:rsidRPr="005D5D0C">
        <w:rPr>
          <w:b/>
        </w:rPr>
        <w:t>In accordance with its general recommendations No. 7 (1985) on legislation to eradicate racial discrimination</w:t>
      </w:r>
      <w:r w:rsidR="00812049">
        <w:rPr>
          <w:b/>
        </w:rPr>
        <w:t xml:space="preserve"> (art. 4)</w:t>
      </w:r>
      <w:r w:rsidRPr="005D5D0C">
        <w:rPr>
          <w:b/>
        </w:rPr>
        <w:t>, No. 15 (1993)</w:t>
      </w:r>
      <w:r w:rsidR="007B3CCB">
        <w:rPr>
          <w:b/>
        </w:rPr>
        <w:t xml:space="preserve"> on </w:t>
      </w:r>
      <w:r w:rsidR="00812049">
        <w:rPr>
          <w:b/>
        </w:rPr>
        <w:t>organized violence based on ethnic origin (art. 4)</w:t>
      </w:r>
      <w:r>
        <w:rPr>
          <w:b/>
        </w:rPr>
        <w:t xml:space="preserve">, </w:t>
      </w:r>
      <w:r w:rsidR="00556684" w:rsidRPr="005D5D0C">
        <w:rPr>
          <w:b/>
          <w:bCs/>
          <w:lang w:val="en-US"/>
        </w:rPr>
        <w:t>No. 27 (2000) on discrimination against Roma</w:t>
      </w:r>
      <w:r w:rsidR="00556684" w:rsidRPr="005D5D0C">
        <w:rPr>
          <w:b/>
        </w:rPr>
        <w:t xml:space="preserve"> </w:t>
      </w:r>
      <w:r w:rsidR="00556684">
        <w:rPr>
          <w:b/>
        </w:rPr>
        <w:t xml:space="preserve">and </w:t>
      </w:r>
      <w:r w:rsidRPr="005D5D0C">
        <w:rPr>
          <w:b/>
        </w:rPr>
        <w:t>No. 30 (200</w:t>
      </w:r>
      <w:r w:rsidR="00812049">
        <w:rPr>
          <w:b/>
        </w:rPr>
        <w:t>5</w:t>
      </w:r>
      <w:r w:rsidRPr="005D5D0C">
        <w:rPr>
          <w:b/>
        </w:rPr>
        <w:t>) on discrimination against</w:t>
      </w:r>
      <w:r w:rsidR="00556684">
        <w:rPr>
          <w:b/>
        </w:rPr>
        <w:t xml:space="preserve"> </w:t>
      </w:r>
      <w:r w:rsidRPr="005D5D0C">
        <w:rPr>
          <w:b/>
        </w:rPr>
        <w:t>non</w:t>
      </w:r>
      <w:r w:rsidR="00556684">
        <w:rPr>
          <w:b/>
        </w:rPr>
        <w:t>-</w:t>
      </w:r>
      <w:r w:rsidRPr="005D5D0C">
        <w:rPr>
          <w:b/>
        </w:rPr>
        <w:t>citizens</w:t>
      </w:r>
      <w:r w:rsidRPr="005D5D0C">
        <w:rPr>
          <w:b/>
          <w:bCs/>
          <w:lang w:val="en-US"/>
        </w:rPr>
        <w:t>,</w:t>
      </w:r>
      <w:r w:rsidRPr="005D5D0C">
        <w:rPr>
          <w:b/>
          <w:bCs/>
        </w:rPr>
        <w:t xml:space="preserve"> the Committee </w:t>
      </w:r>
      <w:r>
        <w:rPr>
          <w:b/>
          <w:bCs/>
          <w:lang w:val="en-US"/>
        </w:rPr>
        <w:t>recommends that the</w:t>
      </w:r>
      <w:r w:rsidRPr="005D5D0C">
        <w:rPr>
          <w:b/>
          <w:bCs/>
          <w:lang w:val="en-US"/>
        </w:rPr>
        <w:t xml:space="preserve"> State party</w:t>
      </w:r>
      <w:r>
        <w:rPr>
          <w:b/>
          <w:bCs/>
          <w:lang w:val="en-US"/>
        </w:rPr>
        <w:t>:</w:t>
      </w:r>
    </w:p>
    <w:p w:rsidR="00F02544" w:rsidRDefault="00EE3DB7" w:rsidP="00EE3DB7">
      <w:pPr>
        <w:pStyle w:val="SingleTxtG"/>
        <w:ind w:firstLine="567"/>
        <w:rPr>
          <w:b/>
        </w:rPr>
      </w:pPr>
      <w:r>
        <w:rPr>
          <w:b/>
        </w:rPr>
        <w:t>(a)</w:t>
      </w:r>
      <w:r>
        <w:rPr>
          <w:b/>
        </w:rPr>
        <w:tab/>
      </w:r>
      <w:r w:rsidR="00F02544" w:rsidRPr="0065510C">
        <w:rPr>
          <w:b/>
        </w:rPr>
        <w:t>O</w:t>
      </w:r>
      <w:r w:rsidR="00F02544" w:rsidRPr="005D5D0C">
        <w:rPr>
          <w:b/>
        </w:rPr>
        <w:t>rganize human rights training</w:t>
      </w:r>
      <w:r w:rsidR="00F02544">
        <w:rPr>
          <w:b/>
        </w:rPr>
        <w:t xml:space="preserve"> for </w:t>
      </w:r>
      <w:r w:rsidR="00F02544" w:rsidRPr="005D5D0C">
        <w:rPr>
          <w:b/>
        </w:rPr>
        <w:t>law enforcement officials, judges, teachers, medical staff</w:t>
      </w:r>
      <w:r w:rsidR="00F02544">
        <w:rPr>
          <w:b/>
        </w:rPr>
        <w:t xml:space="preserve"> and social workers in order</w:t>
      </w:r>
      <w:r w:rsidR="00F02544" w:rsidRPr="005D5D0C">
        <w:rPr>
          <w:b/>
        </w:rPr>
        <w:t xml:space="preserve"> to foster an awareness of</w:t>
      </w:r>
      <w:r w:rsidR="00F02544">
        <w:rPr>
          <w:b/>
        </w:rPr>
        <w:t xml:space="preserve"> </w:t>
      </w:r>
      <w:r w:rsidR="00F02544" w:rsidRPr="005D5D0C">
        <w:rPr>
          <w:b/>
        </w:rPr>
        <w:t>tolerance, interethnic dialogue and harmony</w:t>
      </w:r>
      <w:r w:rsidR="00F02544">
        <w:rPr>
          <w:b/>
        </w:rPr>
        <w:t>, on the basis of the Convention and relevant national legislation;</w:t>
      </w:r>
    </w:p>
    <w:p w:rsidR="00F02544" w:rsidRDefault="00EE3DB7" w:rsidP="00EE3DB7">
      <w:pPr>
        <w:pStyle w:val="SingleTxtG"/>
        <w:ind w:firstLine="567"/>
        <w:rPr>
          <w:b/>
        </w:rPr>
      </w:pPr>
      <w:r>
        <w:rPr>
          <w:b/>
        </w:rPr>
        <w:t>(b)</w:t>
      </w:r>
      <w:r>
        <w:rPr>
          <w:b/>
        </w:rPr>
        <w:tab/>
      </w:r>
      <w:r w:rsidR="00F02544">
        <w:rPr>
          <w:b/>
        </w:rPr>
        <w:t xml:space="preserve">Conduct information campaigns for the general public focusing on the prevention of discrimination against </w:t>
      </w:r>
      <w:r w:rsidR="000D2A7C">
        <w:rPr>
          <w:b/>
        </w:rPr>
        <w:t>persons of</w:t>
      </w:r>
      <w:r w:rsidR="00F02544">
        <w:rPr>
          <w:b/>
        </w:rPr>
        <w:t xml:space="preserve"> Roma, </w:t>
      </w:r>
      <w:proofErr w:type="spellStart"/>
      <w:r w:rsidR="00F02544">
        <w:rPr>
          <w:b/>
        </w:rPr>
        <w:t>Ashkali</w:t>
      </w:r>
      <w:proofErr w:type="spellEnd"/>
      <w:r w:rsidR="00F02544">
        <w:rPr>
          <w:b/>
        </w:rPr>
        <w:t xml:space="preserve"> and Egyptian </w:t>
      </w:r>
      <w:r w:rsidR="000D2A7C">
        <w:rPr>
          <w:b/>
        </w:rPr>
        <w:t>origin</w:t>
      </w:r>
      <w:r w:rsidR="00F02544">
        <w:rPr>
          <w:b/>
        </w:rPr>
        <w:t>;</w:t>
      </w:r>
    </w:p>
    <w:p w:rsidR="00F02544" w:rsidRDefault="00EE3DB7" w:rsidP="00EE3DB7">
      <w:pPr>
        <w:pStyle w:val="SingleTxtG"/>
        <w:ind w:firstLine="567"/>
        <w:rPr>
          <w:b/>
          <w:bCs/>
          <w:lang w:val="en-US"/>
        </w:rPr>
      </w:pPr>
      <w:r>
        <w:rPr>
          <w:b/>
          <w:bCs/>
          <w:lang w:val="en-US"/>
        </w:rPr>
        <w:t>(c)</w:t>
      </w:r>
      <w:r>
        <w:rPr>
          <w:b/>
          <w:bCs/>
          <w:lang w:val="en-US"/>
        </w:rPr>
        <w:tab/>
      </w:r>
      <w:r w:rsidR="00F02544">
        <w:rPr>
          <w:b/>
          <w:bCs/>
          <w:lang w:val="en-US"/>
        </w:rPr>
        <w:t>Intensify</w:t>
      </w:r>
      <w:r w:rsidR="00F02544" w:rsidRPr="005D5D0C">
        <w:rPr>
          <w:b/>
          <w:bCs/>
          <w:lang w:val="en-US"/>
        </w:rPr>
        <w:t xml:space="preserve"> efforts </w:t>
      </w:r>
      <w:r w:rsidR="00F02544">
        <w:rPr>
          <w:b/>
          <w:bCs/>
          <w:lang w:val="en-US"/>
        </w:rPr>
        <w:t>to end</w:t>
      </w:r>
      <w:r w:rsidR="00F02544" w:rsidRPr="005D5D0C">
        <w:rPr>
          <w:b/>
          <w:bCs/>
          <w:lang w:val="en-US"/>
        </w:rPr>
        <w:t xml:space="preserve"> discrimination against </w:t>
      </w:r>
      <w:r w:rsidR="000D2A7C">
        <w:rPr>
          <w:b/>
          <w:bCs/>
          <w:lang w:val="en-US"/>
        </w:rPr>
        <w:t>persons of</w:t>
      </w:r>
      <w:r w:rsidR="00F02544">
        <w:rPr>
          <w:b/>
          <w:bCs/>
          <w:lang w:val="en-US"/>
        </w:rPr>
        <w:t xml:space="preserve"> </w:t>
      </w:r>
      <w:r w:rsidR="00F02544" w:rsidRPr="005D5D0C">
        <w:rPr>
          <w:b/>
          <w:bCs/>
          <w:lang w:val="en-US"/>
        </w:rPr>
        <w:t>Roma</w:t>
      </w:r>
      <w:r w:rsidR="00F02544">
        <w:rPr>
          <w:b/>
          <w:bCs/>
          <w:lang w:val="en-US"/>
        </w:rPr>
        <w:t xml:space="preserve">, </w:t>
      </w:r>
      <w:proofErr w:type="spellStart"/>
      <w:r w:rsidR="00F02544">
        <w:rPr>
          <w:b/>
          <w:bCs/>
          <w:lang w:val="en-US"/>
        </w:rPr>
        <w:t>Ashkali</w:t>
      </w:r>
      <w:proofErr w:type="spellEnd"/>
      <w:r w:rsidR="00F02544">
        <w:rPr>
          <w:b/>
          <w:bCs/>
          <w:lang w:val="en-US"/>
        </w:rPr>
        <w:t xml:space="preserve"> and Egyptian </w:t>
      </w:r>
      <w:r w:rsidR="000D2A7C">
        <w:rPr>
          <w:b/>
          <w:bCs/>
          <w:lang w:val="en-US"/>
        </w:rPr>
        <w:t>origin</w:t>
      </w:r>
      <w:r w:rsidR="00F02544">
        <w:rPr>
          <w:b/>
          <w:bCs/>
          <w:lang w:val="en-US"/>
        </w:rPr>
        <w:t>, in particular those from Kosovo, in all spheres of public life.</w:t>
      </w:r>
    </w:p>
    <w:p w:rsidR="00F02544" w:rsidRDefault="00F02544" w:rsidP="00F02544">
      <w:pPr>
        <w:pStyle w:val="H23G"/>
      </w:pPr>
      <w:r>
        <w:tab/>
      </w:r>
      <w:r>
        <w:tab/>
        <w:t>Legal status of “displaced” and “internally displaced” persons</w:t>
      </w:r>
    </w:p>
    <w:p w:rsidR="00F02544" w:rsidRPr="005D5D0C" w:rsidRDefault="00F02544" w:rsidP="00323DD7">
      <w:pPr>
        <w:pStyle w:val="SingleTxtG"/>
        <w:numPr>
          <w:ilvl w:val="0"/>
          <w:numId w:val="43"/>
        </w:numPr>
        <w:tabs>
          <w:tab w:val="clear" w:pos="2835"/>
        </w:tabs>
        <w:ind w:left="1134"/>
      </w:pPr>
      <w:r>
        <w:t xml:space="preserve">While taking note of the strategies and action plans adopted by the State party to find a durable solution to the uncertain legal status of “displaced” </w:t>
      </w:r>
      <w:r w:rsidR="008D5B43">
        <w:t xml:space="preserve">persons </w:t>
      </w:r>
      <w:r>
        <w:t xml:space="preserve">(from </w:t>
      </w:r>
      <w:r w:rsidR="00556684">
        <w:t xml:space="preserve">the </w:t>
      </w:r>
      <w:r>
        <w:t>former Yugoslav</w:t>
      </w:r>
      <w:r w:rsidR="008D5B43">
        <w:t xml:space="preserve"> republics</w:t>
      </w:r>
      <w:r>
        <w:t xml:space="preserve">) and “internally displaced” persons (from </w:t>
      </w:r>
      <w:r w:rsidRPr="00C67304">
        <w:t>Kosovo</w:t>
      </w:r>
      <w:r>
        <w:t>) in Montenegro, the Committee is concerned that many such persons are at risk of becoming stateless.</w:t>
      </w:r>
      <w:r w:rsidR="004B1BEB">
        <w:t xml:space="preserve"> </w:t>
      </w:r>
      <w:r>
        <w:t>It is concerned that a number of “internally displaced” pe</w:t>
      </w:r>
      <w:r w:rsidR="00A56ADC">
        <w:t>rsons of</w:t>
      </w:r>
      <w:r>
        <w:t xml:space="preserve"> Roma</w:t>
      </w:r>
      <w:r w:rsidR="00A56ADC">
        <w:t xml:space="preserve">, </w:t>
      </w:r>
      <w:proofErr w:type="spellStart"/>
      <w:r w:rsidR="00A56ADC">
        <w:t>Ashkali</w:t>
      </w:r>
      <w:proofErr w:type="spellEnd"/>
      <w:r>
        <w:t xml:space="preserve"> and Egyptian </w:t>
      </w:r>
      <w:r w:rsidR="00A56ADC">
        <w:t>origin</w:t>
      </w:r>
      <w:r>
        <w:t xml:space="preserve"> have difficulty </w:t>
      </w:r>
      <w:r w:rsidR="008D5B43">
        <w:t xml:space="preserve">obtaining </w:t>
      </w:r>
      <w:r>
        <w:t>certain personal documents</w:t>
      </w:r>
      <w:r w:rsidRPr="00687F1C">
        <w:t xml:space="preserve"> </w:t>
      </w:r>
      <w:r>
        <w:t xml:space="preserve">required to apply for the status of foreigner under the Law on Amendments </w:t>
      </w:r>
      <w:r w:rsidR="00556684">
        <w:t>to</w:t>
      </w:r>
      <w:r>
        <w:t xml:space="preserve"> the Law on Foreigners (arts. 2, 4, 5, 6 and</w:t>
      </w:r>
      <w:r w:rsidR="00CF7932">
        <w:t> </w:t>
      </w:r>
      <w:r>
        <w:t>7)</w:t>
      </w:r>
      <w:r w:rsidR="00556684">
        <w:t>.</w:t>
      </w:r>
    </w:p>
    <w:p w:rsidR="00F02544" w:rsidRDefault="00F02544" w:rsidP="00F02544">
      <w:pPr>
        <w:pStyle w:val="SingleTxtG"/>
        <w:rPr>
          <w:b/>
        </w:rPr>
      </w:pPr>
      <w:r>
        <w:rPr>
          <w:b/>
        </w:rPr>
        <w:t>Recalling its general recommendation No.</w:t>
      </w:r>
      <w:r w:rsidR="00325732">
        <w:rPr>
          <w:b/>
        </w:rPr>
        <w:t> </w:t>
      </w:r>
      <w:r>
        <w:rPr>
          <w:b/>
        </w:rPr>
        <w:t xml:space="preserve">30 on </w:t>
      </w:r>
      <w:r w:rsidR="00556684">
        <w:rPr>
          <w:b/>
        </w:rPr>
        <w:t xml:space="preserve">discrimination against </w:t>
      </w:r>
      <w:r>
        <w:rPr>
          <w:b/>
        </w:rPr>
        <w:t>non</w:t>
      </w:r>
      <w:r w:rsidR="00556684">
        <w:rPr>
          <w:b/>
        </w:rPr>
        <w:t>-</w:t>
      </w:r>
      <w:r>
        <w:rPr>
          <w:b/>
        </w:rPr>
        <w:t>citizens, the Committee recommends that the State party:</w:t>
      </w:r>
    </w:p>
    <w:p w:rsidR="00F02544" w:rsidRDefault="00EE3DB7" w:rsidP="00EE3DB7">
      <w:pPr>
        <w:pStyle w:val="SingleTxtG"/>
        <w:ind w:firstLine="567"/>
        <w:rPr>
          <w:b/>
        </w:rPr>
      </w:pPr>
      <w:r>
        <w:rPr>
          <w:b/>
        </w:rPr>
        <w:t>(a)</w:t>
      </w:r>
      <w:r>
        <w:rPr>
          <w:b/>
        </w:rPr>
        <w:tab/>
      </w:r>
      <w:r w:rsidR="00F02544">
        <w:rPr>
          <w:b/>
        </w:rPr>
        <w:t xml:space="preserve">Simplify the procedure for </w:t>
      </w:r>
      <w:r w:rsidR="00F02544" w:rsidRPr="00A94288">
        <w:rPr>
          <w:b/>
        </w:rPr>
        <w:t xml:space="preserve">“displaced” and “internally displaced” persons to </w:t>
      </w:r>
      <w:r w:rsidR="00F02544">
        <w:rPr>
          <w:b/>
        </w:rPr>
        <w:t xml:space="preserve">qualify for the status of foreigner under the </w:t>
      </w:r>
      <w:r w:rsidR="00F02544" w:rsidRPr="004A2DCA">
        <w:rPr>
          <w:b/>
        </w:rPr>
        <w:t xml:space="preserve">Law on Amendments </w:t>
      </w:r>
      <w:r w:rsidR="00556684">
        <w:rPr>
          <w:b/>
        </w:rPr>
        <w:t>to</w:t>
      </w:r>
      <w:r w:rsidR="00F02544" w:rsidRPr="004A2DCA">
        <w:rPr>
          <w:b/>
        </w:rPr>
        <w:t xml:space="preserve"> the Law on Foreigners</w:t>
      </w:r>
      <w:r w:rsidR="00F02544">
        <w:rPr>
          <w:b/>
        </w:rPr>
        <w:t>;</w:t>
      </w:r>
    </w:p>
    <w:p w:rsidR="00F02544" w:rsidRPr="004A2DCA" w:rsidRDefault="00EE3DB7" w:rsidP="00EE3DB7">
      <w:pPr>
        <w:pStyle w:val="SingleTxtG"/>
        <w:ind w:firstLine="567"/>
        <w:rPr>
          <w:b/>
        </w:rPr>
      </w:pPr>
      <w:r>
        <w:rPr>
          <w:b/>
        </w:rPr>
        <w:t>(b)</w:t>
      </w:r>
      <w:r>
        <w:rPr>
          <w:b/>
        </w:rPr>
        <w:tab/>
      </w:r>
      <w:r w:rsidR="00F02544">
        <w:rPr>
          <w:b/>
        </w:rPr>
        <w:t xml:space="preserve">Raise the awareness of the persons concerned in a simple, accessible and well-publicized manner about the importance of registering, having proof of registration or </w:t>
      </w:r>
      <w:r w:rsidR="00B32B0A">
        <w:rPr>
          <w:b/>
        </w:rPr>
        <w:t xml:space="preserve">having </w:t>
      </w:r>
      <w:r w:rsidR="00F02544">
        <w:rPr>
          <w:b/>
        </w:rPr>
        <w:t>document</w:t>
      </w:r>
      <w:r w:rsidR="00B32B0A">
        <w:rPr>
          <w:b/>
        </w:rPr>
        <w:t>s for</w:t>
      </w:r>
      <w:r w:rsidR="00F02544">
        <w:rPr>
          <w:b/>
        </w:rPr>
        <w:t xml:space="preserve"> themselves and their children</w:t>
      </w:r>
      <w:r w:rsidR="00F02544" w:rsidRPr="004A2DCA">
        <w:rPr>
          <w:b/>
        </w:rPr>
        <w:t>;</w:t>
      </w:r>
    </w:p>
    <w:p w:rsidR="00F02544" w:rsidRDefault="00EE3DB7" w:rsidP="00EE3DB7">
      <w:pPr>
        <w:pStyle w:val="SingleTxtG"/>
        <w:ind w:firstLine="567"/>
        <w:rPr>
          <w:b/>
        </w:rPr>
      </w:pPr>
      <w:r>
        <w:rPr>
          <w:b/>
        </w:rPr>
        <w:t>(c)</w:t>
      </w:r>
      <w:r>
        <w:rPr>
          <w:b/>
        </w:rPr>
        <w:tab/>
      </w:r>
      <w:r w:rsidR="00F02544">
        <w:rPr>
          <w:b/>
        </w:rPr>
        <w:t xml:space="preserve">Enhance assistance to persons facing problems with the payment of administration fees and continue to organize bus visits in order to help them </w:t>
      </w:r>
      <w:r w:rsidR="00B32B0A">
        <w:rPr>
          <w:b/>
        </w:rPr>
        <w:t>obtain</w:t>
      </w:r>
      <w:r w:rsidR="00F02544">
        <w:rPr>
          <w:b/>
        </w:rPr>
        <w:t xml:space="preserve"> the documents required to apply for foreigner status in Montenegro;</w:t>
      </w:r>
    </w:p>
    <w:p w:rsidR="00F02544" w:rsidRDefault="00EE3DB7" w:rsidP="00EE3DB7">
      <w:pPr>
        <w:pStyle w:val="SingleTxtG"/>
        <w:ind w:firstLine="567"/>
        <w:rPr>
          <w:b/>
        </w:rPr>
      </w:pPr>
      <w:r>
        <w:rPr>
          <w:b/>
        </w:rPr>
        <w:t>(d)</w:t>
      </w:r>
      <w:r>
        <w:rPr>
          <w:b/>
        </w:rPr>
        <w:tab/>
      </w:r>
      <w:r w:rsidR="00F02544">
        <w:rPr>
          <w:b/>
        </w:rPr>
        <w:t>Establish a simplified birth registration procedure and issue document</w:t>
      </w:r>
      <w:r w:rsidR="00B32B0A">
        <w:rPr>
          <w:b/>
        </w:rPr>
        <w:t>s</w:t>
      </w:r>
      <w:r w:rsidR="00F02544">
        <w:rPr>
          <w:b/>
        </w:rPr>
        <w:t xml:space="preserve"> to all persons born in the territory of the State party;</w:t>
      </w:r>
    </w:p>
    <w:p w:rsidR="00F02544" w:rsidRDefault="00EE3DB7" w:rsidP="00EE3DB7">
      <w:pPr>
        <w:pStyle w:val="SingleTxtG"/>
        <w:ind w:firstLine="567"/>
        <w:rPr>
          <w:b/>
        </w:rPr>
      </w:pPr>
      <w:r>
        <w:rPr>
          <w:b/>
        </w:rPr>
        <w:t>(e)</w:t>
      </w:r>
      <w:r>
        <w:rPr>
          <w:b/>
        </w:rPr>
        <w:tab/>
      </w:r>
      <w:r w:rsidR="00F02544">
        <w:rPr>
          <w:b/>
        </w:rPr>
        <w:t>Devise a strategy and take administrative and judicial measures to register or retroactively register children born outside of established health institutions.</w:t>
      </w:r>
    </w:p>
    <w:p w:rsidR="00F02544" w:rsidRDefault="00F02544" w:rsidP="00F02544">
      <w:pPr>
        <w:pStyle w:val="H23G"/>
        <w:rPr>
          <w:lang w:eastAsia="en-GB"/>
        </w:rPr>
      </w:pPr>
      <w:r w:rsidRPr="005D5D0C">
        <w:tab/>
      </w:r>
      <w:r w:rsidRPr="005D5D0C">
        <w:tab/>
      </w:r>
      <w:r>
        <w:rPr>
          <w:lang w:eastAsia="en-GB"/>
        </w:rPr>
        <w:t xml:space="preserve">Housing situation of </w:t>
      </w:r>
      <w:r w:rsidR="00B32B0A">
        <w:rPr>
          <w:lang w:eastAsia="en-GB"/>
        </w:rPr>
        <w:t xml:space="preserve">persons of </w:t>
      </w:r>
      <w:r w:rsidRPr="005D5D0C">
        <w:rPr>
          <w:lang w:eastAsia="en-GB"/>
        </w:rPr>
        <w:t>Roma</w:t>
      </w:r>
      <w:r>
        <w:rPr>
          <w:lang w:eastAsia="en-GB"/>
        </w:rPr>
        <w:t xml:space="preserve">, </w:t>
      </w:r>
      <w:proofErr w:type="spellStart"/>
      <w:r>
        <w:rPr>
          <w:lang w:eastAsia="en-GB"/>
        </w:rPr>
        <w:t>Ashkali</w:t>
      </w:r>
      <w:proofErr w:type="spellEnd"/>
      <w:r w:rsidRPr="005D5D0C">
        <w:rPr>
          <w:lang w:eastAsia="en-GB"/>
        </w:rPr>
        <w:t xml:space="preserve"> </w:t>
      </w:r>
      <w:r>
        <w:rPr>
          <w:lang w:eastAsia="en-GB"/>
        </w:rPr>
        <w:t>and Egyptian</w:t>
      </w:r>
      <w:r w:rsidR="00B32B0A">
        <w:rPr>
          <w:lang w:eastAsia="en-GB"/>
        </w:rPr>
        <w:t xml:space="preserve"> origin</w:t>
      </w:r>
      <w:r>
        <w:rPr>
          <w:lang w:eastAsia="en-GB"/>
        </w:rPr>
        <w:t xml:space="preserve"> in the </w:t>
      </w:r>
      <w:proofErr w:type="spellStart"/>
      <w:r>
        <w:rPr>
          <w:lang w:eastAsia="en-GB"/>
        </w:rPr>
        <w:t>Konik</w:t>
      </w:r>
      <w:proofErr w:type="spellEnd"/>
      <w:r>
        <w:rPr>
          <w:lang w:eastAsia="en-GB"/>
        </w:rPr>
        <w:t xml:space="preserve"> camp</w:t>
      </w:r>
    </w:p>
    <w:p w:rsidR="00F02544" w:rsidRDefault="00F02544" w:rsidP="00323DD7">
      <w:pPr>
        <w:pStyle w:val="SingleTxtG"/>
        <w:numPr>
          <w:ilvl w:val="0"/>
          <w:numId w:val="43"/>
        </w:numPr>
        <w:tabs>
          <w:tab w:val="clear" w:pos="2835"/>
        </w:tabs>
        <w:ind w:left="1134"/>
      </w:pPr>
      <w:r>
        <w:t xml:space="preserve">The Committee is seriously concerned that </w:t>
      </w:r>
      <w:r w:rsidR="00C12697">
        <w:t xml:space="preserve">persons of </w:t>
      </w:r>
      <w:r>
        <w:t xml:space="preserve">Roma, </w:t>
      </w:r>
      <w:proofErr w:type="spellStart"/>
      <w:r>
        <w:t>Ashkali</w:t>
      </w:r>
      <w:proofErr w:type="spellEnd"/>
      <w:r>
        <w:t xml:space="preserve"> and Egyptian </w:t>
      </w:r>
      <w:r w:rsidR="00C12697">
        <w:t>origin</w:t>
      </w:r>
      <w:r w:rsidR="00B32B0A">
        <w:t xml:space="preserve"> who were</w:t>
      </w:r>
      <w:r>
        <w:t xml:space="preserve"> “internally displaced” from </w:t>
      </w:r>
      <w:r w:rsidRPr="008D5B43">
        <w:t>Kosovo</w:t>
      </w:r>
      <w:r>
        <w:t xml:space="preserve"> continue to live in deplorable conditions </w:t>
      </w:r>
      <w:r w:rsidR="00BB5557">
        <w:t>in</w:t>
      </w:r>
      <w:r>
        <w:t xml:space="preserve"> the </w:t>
      </w:r>
      <w:proofErr w:type="spellStart"/>
      <w:r>
        <w:t>Konik</w:t>
      </w:r>
      <w:proofErr w:type="spellEnd"/>
      <w:r>
        <w:t xml:space="preserve"> camp near Podgorica</w:t>
      </w:r>
      <w:r w:rsidR="00D647E6">
        <w:t>,</w:t>
      </w:r>
      <w:r>
        <w:t xml:space="preserve"> which is located on </w:t>
      </w:r>
      <w:r w:rsidR="00B32B0A">
        <w:t xml:space="preserve">the site of </w:t>
      </w:r>
      <w:r>
        <w:t>a garbage dump and has been subject to flood and fire in the recent past.</w:t>
      </w:r>
      <w:r w:rsidR="004B1BEB">
        <w:t xml:space="preserve"> </w:t>
      </w:r>
      <w:r w:rsidR="00B32B0A">
        <w:t>The Committee</w:t>
      </w:r>
      <w:r>
        <w:t xml:space="preserve"> is particularly concerned that</w:t>
      </w:r>
      <w:r w:rsidR="008D5B43">
        <w:t>,</w:t>
      </w:r>
      <w:r>
        <w:t xml:space="preserve"> despite the adoption of the strategy for durable solutions in 2011, the camp continues to lack basic utilities and services</w:t>
      </w:r>
      <w:r w:rsidR="00B32B0A">
        <w:t>,</w:t>
      </w:r>
      <w:r>
        <w:t xml:space="preserve"> such as electricity, running water and sanitation</w:t>
      </w:r>
      <w:r w:rsidR="00B32B0A">
        <w:t>,</w:t>
      </w:r>
      <w:r>
        <w:t xml:space="preserve"> and that the construction of housing for the inhabitants of </w:t>
      </w:r>
      <w:r w:rsidR="00BB5557">
        <w:t xml:space="preserve">the </w:t>
      </w:r>
      <w:proofErr w:type="spellStart"/>
      <w:r>
        <w:t>Konik</w:t>
      </w:r>
      <w:proofErr w:type="spellEnd"/>
      <w:r w:rsidR="00B32B0A">
        <w:t xml:space="preserve"> camp</w:t>
      </w:r>
      <w:r>
        <w:t xml:space="preserve"> has still not begun.</w:t>
      </w:r>
      <w:r w:rsidR="004B1BEB">
        <w:t xml:space="preserve"> </w:t>
      </w:r>
      <w:r w:rsidR="00B32B0A">
        <w:t>The Committee</w:t>
      </w:r>
      <w:r>
        <w:t xml:space="preserve"> is also concerned that the inhabitants of the camp live in de facto segregation (arts.</w:t>
      </w:r>
      <w:r w:rsidR="00325732">
        <w:t> </w:t>
      </w:r>
      <w:r>
        <w:t>2, 3</w:t>
      </w:r>
      <w:r w:rsidR="00B32B0A">
        <w:t xml:space="preserve"> and</w:t>
      </w:r>
      <w:r>
        <w:t xml:space="preserve"> 5)</w:t>
      </w:r>
      <w:r w:rsidR="00B32B0A">
        <w:t>.</w:t>
      </w:r>
    </w:p>
    <w:p w:rsidR="00F02544" w:rsidRDefault="00F02544" w:rsidP="00F02544">
      <w:pPr>
        <w:pStyle w:val="SingleTxtG"/>
        <w:rPr>
          <w:b/>
        </w:rPr>
      </w:pPr>
      <w:r>
        <w:rPr>
          <w:b/>
        </w:rPr>
        <w:t xml:space="preserve">Recalling its general recommendations </w:t>
      </w:r>
      <w:r w:rsidRPr="00F55085">
        <w:rPr>
          <w:b/>
        </w:rPr>
        <w:t xml:space="preserve">No. 3 </w:t>
      </w:r>
      <w:r w:rsidR="00812049">
        <w:rPr>
          <w:b/>
        </w:rPr>
        <w:t xml:space="preserve">(1972) </w:t>
      </w:r>
      <w:r w:rsidRPr="00F55085">
        <w:rPr>
          <w:b/>
        </w:rPr>
        <w:t xml:space="preserve">on </w:t>
      </w:r>
      <w:r w:rsidR="00812049">
        <w:rPr>
          <w:b/>
        </w:rPr>
        <w:t>reporting by States parties</w:t>
      </w:r>
      <w:r>
        <w:rPr>
          <w:b/>
        </w:rPr>
        <w:t>,</w:t>
      </w:r>
      <w:r w:rsidRPr="00533343">
        <w:rPr>
          <w:b/>
          <w:bCs/>
          <w:lang w:val="en-US"/>
        </w:rPr>
        <w:t xml:space="preserve"> </w:t>
      </w:r>
      <w:r w:rsidRPr="005D5D0C">
        <w:rPr>
          <w:b/>
          <w:bCs/>
          <w:lang w:val="en-US"/>
        </w:rPr>
        <w:t xml:space="preserve">No. 27 (2000) on discrimination against </w:t>
      </w:r>
      <w:r>
        <w:rPr>
          <w:b/>
          <w:bCs/>
          <w:lang w:val="en-US"/>
        </w:rPr>
        <w:t xml:space="preserve">Roma and </w:t>
      </w:r>
      <w:r w:rsidRPr="005D5D0C">
        <w:rPr>
          <w:b/>
        </w:rPr>
        <w:t>No. 30 (2004) on discrimination against</w:t>
      </w:r>
      <w:r w:rsidR="00D647E6">
        <w:rPr>
          <w:b/>
        </w:rPr>
        <w:t xml:space="preserve"> </w:t>
      </w:r>
      <w:r w:rsidRPr="005D5D0C">
        <w:rPr>
          <w:b/>
        </w:rPr>
        <w:t>non</w:t>
      </w:r>
      <w:r w:rsidR="00D647E6">
        <w:rPr>
          <w:b/>
        </w:rPr>
        <w:t>-</w:t>
      </w:r>
      <w:r w:rsidRPr="005D5D0C">
        <w:rPr>
          <w:b/>
        </w:rPr>
        <w:t>citizens</w:t>
      </w:r>
      <w:r>
        <w:rPr>
          <w:b/>
        </w:rPr>
        <w:t>,</w:t>
      </w:r>
      <w:r w:rsidRPr="005D5D0C">
        <w:rPr>
          <w:b/>
          <w:bCs/>
        </w:rPr>
        <w:t xml:space="preserve"> </w:t>
      </w:r>
      <w:r>
        <w:rPr>
          <w:b/>
        </w:rPr>
        <w:t>the Committee recommends that t</w:t>
      </w:r>
      <w:r w:rsidRPr="003D7C6A">
        <w:rPr>
          <w:b/>
        </w:rPr>
        <w:t xml:space="preserve">he </w:t>
      </w:r>
      <w:r>
        <w:rPr>
          <w:b/>
        </w:rPr>
        <w:t>State party:</w:t>
      </w:r>
    </w:p>
    <w:p w:rsidR="00F02544" w:rsidRDefault="00954FDD" w:rsidP="00002B3E">
      <w:pPr>
        <w:pStyle w:val="SingleTxtG"/>
        <w:ind w:firstLine="567"/>
        <w:rPr>
          <w:b/>
        </w:rPr>
      </w:pPr>
      <w:r>
        <w:rPr>
          <w:b/>
        </w:rPr>
        <w:t>(a)</w:t>
      </w:r>
      <w:r>
        <w:rPr>
          <w:b/>
        </w:rPr>
        <w:tab/>
      </w:r>
      <w:r w:rsidR="00F02544">
        <w:rPr>
          <w:b/>
        </w:rPr>
        <w:t>T</w:t>
      </w:r>
      <w:r w:rsidR="00F02544" w:rsidRPr="003D7C6A">
        <w:rPr>
          <w:b/>
        </w:rPr>
        <w:t xml:space="preserve">ake </w:t>
      </w:r>
      <w:r w:rsidR="00F02544">
        <w:rPr>
          <w:b/>
        </w:rPr>
        <w:t xml:space="preserve">urgent </w:t>
      </w:r>
      <w:r w:rsidR="00F02544" w:rsidRPr="003D7C6A">
        <w:rPr>
          <w:b/>
        </w:rPr>
        <w:t>measures</w:t>
      </w:r>
      <w:r w:rsidR="00F02544">
        <w:rPr>
          <w:b/>
        </w:rPr>
        <w:t xml:space="preserve"> to improve the living conditions in </w:t>
      </w:r>
      <w:r w:rsidR="008D5B43">
        <w:rPr>
          <w:b/>
        </w:rPr>
        <w:t xml:space="preserve">the </w:t>
      </w:r>
      <w:proofErr w:type="spellStart"/>
      <w:r w:rsidR="00F02544">
        <w:rPr>
          <w:b/>
        </w:rPr>
        <w:t>Konik</w:t>
      </w:r>
      <w:proofErr w:type="spellEnd"/>
      <w:r w:rsidR="008D5B43">
        <w:rPr>
          <w:b/>
        </w:rPr>
        <w:t xml:space="preserve"> camp</w:t>
      </w:r>
      <w:r w:rsidR="00F02544">
        <w:rPr>
          <w:b/>
        </w:rPr>
        <w:t xml:space="preserve"> and implement a sustainable strategy aim</w:t>
      </w:r>
      <w:r w:rsidR="008D5B43">
        <w:rPr>
          <w:b/>
        </w:rPr>
        <w:t>ed</w:t>
      </w:r>
      <w:r w:rsidR="00F02544">
        <w:rPr>
          <w:b/>
        </w:rPr>
        <w:t xml:space="preserve"> at its prompt closure;</w:t>
      </w:r>
    </w:p>
    <w:p w:rsidR="00F02544" w:rsidRDefault="00954FDD" w:rsidP="00002B3E">
      <w:pPr>
        <w:pStyle w:val="SingleTxtG"/>
        <w:ind w:firstLine="567"/>
        <w:rPr>
          <w:b/>
        </w:rPr>
      </w:pPr>
      <w:r>
        <w:rPr>
          <w:b/>
        </w:rPr>
        <w:t>(b)</w:t>
      </w:r>
      <w:r>
        <w:rPr>
          <w:b/>
        </w:rPr>
        <w:tab/>
      </w:r>
      <w:r w:rsidR="00F02544">
        <w:rPr>
          <w:b/>
        </w:rPr>
        <w:t>Urgently begin building</w:t>
      </w:r>
      <w:r w:rsidR="00F02544" w:rsidRPr="003D7C6A">
        <w:rPr>
          <w:b/>
        </w:rPr>
        <w:t xml:space="preserve"> </w:t>
      </w:r>
      <w:r w:rsidR="00F02544">
        <w:rPr>
          <w:b/>
        </w:rPr>
        <w:t xml:space="preserve">the 60 </w:t>
      </w:r>
      <w:r w:rsidR="00F02544" w:rsidRPr="003D7C6A">
        <w:rPr>
          <w:b/>
        </w:rPr>
        <w:t xml:space="preserve">housing </w:t>
      </w:r>
      <w:r w:rsidR="00F02544">
        <w:rPr>
          <w:b/>
        </w:rPr>
        <w:t xml:space="preserve">units for </w:t>
      </w:r>
      <w:proofErr w:type="spellStart"/>
      <w:r w:rsidR="00F02544">
        <w:rPr>
          <w:b/>
        </w:rPr>
        <w:t>Konik</w:t>
      </w:r>
      <w:proofErr w:type="spellEnd"/>
      <w:r w:rsidR="00F02544">
        <w:rPr>
          <w:b/>
        </w:rPr>
        <w:t xml:space="preserve"> residents </w:t>
      </w:r>
      <w:r w:rsidR="00F55085">
        <w:rPr>
          <w:b/>
        </w:rPr>
        <w:t>that w</w:t>
      </w:r>
      <w:r w:rsidR="008D5B43">
        <w:rPr>
          <w:b/>
        </w:rPr>
        <w:t>ere</w:t>
      </w:r>
      <w:r w:rsidR="00F55085">
        <w:rPr>
          <w:b/>
        </w:rPr>
        <w:t xml:space="preserve"> </w:t>
      </w:r>
      <w:r w:rsidR="00F02544">
        <w:rPr>
          <w:b/>
        </w:rPr>
        <w:t>announced for 2014 by the</w:t>
      </w:r>
      <w:r w:rsidR="004B1BEB">
        <w:rPr>
          <w:b/>
        </w:rPr>
        <w:t xml:space="preserve"> </w:t>
      </w:r>
      <w:r w:rsidR="00F02544">
        <w:rPr>
          <w:b/>
        </w:rPr>
        <w:t xml:space="preserve">delegation of the State party, start construction of the </w:t>
      </w:r>
      <w:r w:rsidR="00F55085">
        <w:rPr>
          <w:b/>
        </w:rPr>
        <w:t>other</w:t>
      </w:r>
      <w:r w:rsidR="00F02544">
        <w:rPr>
          <w:b/>
        </w:rPr>
        <w:t xml:space="preserve"> several hundred housing units</w:t>
      </w:r>
      <w:r w:rsidR="00BB5557">
        <w:rPr>
          <w:b/>
        </w:rPr>
        <w:t xml:space="preserve"> without delay</w:t>
      </w:r>
      <w:r w:rsidR="00F55085">
        <w:rPr>
          <w:b/>
        </w:rPr>
        <w:t>,</w:t>
      </w:r>
      <w:r w:rsidR="00F02544">
        <w:rPr>
          <w:b/>
        </w:rPr>
        <w:t xml:space="preserve"> and continue to ensure the availability of funds, including through fundraising with donors;</w:t>
      </w:r>
    </w:p>
    <w:p w:rsidR="00F02544" w:rsidRPr="003D7C6A" w:rsidRDefault="00954FDD" w:rsidP="00002B3E">
      <w:pPr>
        <w:pStyle w:val="SingleTxtG"/>
        <w:ind w:firstLine="567"/>
        <w:rPr>
          <w:b/>
        </w:rPr>
      </w:pPr>
      <w:r>
        <w:rPr>
          <w:b/>
        </w:rPr>
        <w:t>(c)</w:t>
      </w:r>
      <w:r>
        <w:rPr>
          <w:b/>
        </w:rPr>
        <w:tab/>
      </w:r>
      <w:r w:rsidR="00F55085">
        <w:rPr>
          <w:b/>
        </w:rPr>
        <w:t>F</w:t>
      </w:r>
      <w:r w:rsidR="00F02544">
        <w:rPr>
          <w:b/>
        </w:rPr>
        <w:t xml:space="preserve">oster the local integration of </w:t>
      </w:r>
      <w:r w:rsidR="00F55085">
        <w:rPr>
          <w:b/>
        </w:rPr>
        <w:t xml:space="preserve">persons of </w:t>
      </w:r>
      <w:r w:rsidR="00F02544">
        <w:rPr>
          <w:b/>
        </w:rPr>
        <w:t xml:space="preserve">Roma, </w:t>
      </w:r>
      <w:proofErr w:type="spellStart"/>
      <w:r w:rsidR="00F02544">
        <w:rPr>
          <w:b/>
        </w:rPr>
        <w:t>Ashkali</w:t>
      </w:r>
      <w:proofErr w:type="spellEnd"/>
      <w:r w:rsidR="00F02544">
        <w:rPr>
          <w:b/>
        </w:rPr>
        <w:t xml:space="preserve"> and Egyptian</w:t>
      </w:r>
      <w:r w:rsidR="00F55085">
        <w:rPr>
          <w:b/>
        </w:rPr>
        <w:t xml:space="preserve"> origin</w:t>
      </w:r>
      <w:r w:rsidR="00F02544">
        <w:rPr>
          <w:b/>
        </w:rPr>
        <w:t xml:space="preserve">, including the residents of </w:t>
      </w:r>
      <w:proofErr w:type="spellStart"/>
      <w:r w:rsidR="00F02544">
        <w:rPr>
          <w:b/>
        </w:rPr>
        <w:t>Konik</w:t>
      </w:r>
      <w:proofErr w:type="spellEnd"/>
      <w:r w:rsidR="00F02544">
        <w:rPr>
          <w:b/>
        </w:rPr>
        <w:t>, in communities throughout the country and ensure that they are provided with adequate living and housing conditions</w:t>
      </w:r>
      <w:r w:rsidR="00F55085">
        <w:rPr>
          <w:b/>
        </w:rPr>
        <w:t>, in order to avoid segregation</w:t>
      </w:r>
      <w:r w:rsidR="00F02544">
        <w:rPr>
          <w:b/>
        </w:rPr>
        <w:t>.</w:t>
      </w:r>
    </w:p>
    <w:p w:rsidR="00F02544" w:rsidRPr="005D5D0C" w:rsidRDefault="00F02544" w:rsidP="00F02544">
      <w:pPr>
        <w:pStyle w:val="H23G"/>
      </w:pPr>
      <w:r w:rsidRPr="005D5D0C">
        <w:tab/>
      </w:r>
      <w:r>
        <w:tab/>
      </w:r>
      <w:r w:rsidR="008D5B43">
        <w:t xml:space="preserve">Children of </w:t>
      </w:r>
      <w:r>
        <w:t xml:space="preserve">Roma, </w:t>
      </w:r>
      <w:proofErr w:type="spellStart"/>
      <w:r>
        <w:t>Ashkali</w:t>
      </w:r>
      <w:proofErr w:type="spellEnd"/>
      <w:r>
        <w:t xml:space="preserve"> and Egyptian </w:t>
      </w:r>
      <w:r w:rsidR="008D5B43">
        <w:t>origin</w:t>
      </w:r>
      <w:r>
        <w:t xml:space="preserve"> in </w:t>
      </w:r>
      <w:r w:rsidRPr="005D5D0C">
        <w:t>the education</w:t>
      </w:r>
      <w:r>
        <w:t>al</w:t>
      </w:r>
      <w:r w:rsidRPr="005D5D0C">
        <w:t xml:space="preserve"> system</w:t>
      </w:r>
    </w:p>
    <w:p w:rsidR="00F02544" w:rsidRDefault="00F02544" w:rsidP="00323DD7">
      <w:pPr>
        <w:pStyle w:val="SingleTxtG"/>
        <w:numPr>
          <w:ilvl w:val="0"/>
          <w:numId w:val="43"/>
        </w:numPr>
        <w:tabs>
          <w:tab w:val="clear" w:pos="2835"/>
        </w:tabs>
        <w:ind w:left="1134"/>
      </w:pPr>
      <w:r>
        <w:t xml:space="preserve">The Committee is concerned about the low rate of enrolment, low school attendance and high drop-out rate among children </w:t>
      </w:r>
      <w:r w:rsidR="00C12697">
        <w:t>of</w:t>
      </w:r>
      <w:r>
        <w:t xml:space="preserve"> Roma, </w:t>
      </w:r>
      <w:proofErr w:type="spellStart"/>
      <w:r>
        <w:t>Ashkali</w:t>
      </w:r>
      <w:proofErr w:type="spellEnd"/>
      <w:r>
        <w:t xml:space="preserve"> and Egyptian </w:t>
      </w:r>
      <w:r w:rsidR="00C12697">
        <w:t>origin</w:t>
      </w:r>
      <w:r>
        <w:t>, especially after the age of 11, including</w:t>
      </w:r>
      <w:r w:rsidR="00F55085">
        <w:t xml:space="preserve"> for</w:t>
      </w:r>
      <w:r w:rsidR="004B1BEB">
        <w:t xml:space="preserve"> </w:t>
      </w:r>
      <w:r>
        <w:t>reasons</w:t>
      </w:r>
      <w:r w:rsidR="00F55085">
        <w:t xml:space="preserve"> of</w:t>
      </w:r>
      <w:r w:rsidR="00323DD7">
        <w:t xml:space="preserve"> </w:t>
      </w:r>
      <w:r>
        <w:t>child labour, child marriage and forced marriage in the case of girls.</w:t>
      </w:r>
      <w:r w:rsidR="004B1BEB">
        <w:t xml:space="preserve"> </w:t>
      </w:r>
      <w:r w:rsidR="00F55085">
        <w:t>The Committee</w:t>
      </w:r>
      <w:r>
        <w:t xml:space="preserve"> is also concerned at the high number of Roma children living and working in the streets</w:t>
      </w:r>
      <w:r w:rsidR="00F55085">
        <w:t>,</w:t>
      </w:r>
      <w:r>
        <w:t xml:space="preserve"> which makes them vulnerable to trafficking and economic and sexual exploitation.</w:t>
      </w:r>
      <w:r w:rsidR="004B1BEB">
        <w:t xml:space="preserve"> </w:t>
      </w:r>
      <w:r>
        <w:t xml:space="preserve">In addition, the Committee is concerned at the lack of instruction in the Roma language and the de facto segregation of </w:t>
      </w:r>
      <w:r w:rsidR="008D5B43">
        <w:t xml:space="preserve">children of </w:t>
      </w:r>
      <w:r>
        <w:t xml:space="preserve">Roma, </w:t>
      </w:r>
      <w:proofErr w:type="spellStart"/>
      <w:r>
        <w:t>Ashkali</w:t>
      </w:r>
      <w:proofErr w:type="spellEnd"/>
      <w:r>
        <w:t xml:space="preserve"> and Egyptian </w:t>
      </w:r>
      <w:r w:rsidR="008D5B43">
        <w:t xml:space="preserve">origin </w:t>
      </w:r>
      <w:r>
        <w:t xml:space="preserve">studying at the </w:t>
      </w:r>
      <w:proofErr w:type="spellStart"/>
      <w:r>
        <w:t>Konik</w:t>
      </w:r>
      <w:proofErr w:type="spellEnd"/>
      <w:r>
        <w:t xml:space="preserve"> branch of the </w:t>
      </w:r>
      <w:proofErr w:type="spellStart"/>
      <w:r w:rsidRPr="00CC5DFB">
        <w:t>Božidar</w:t>
      </w:r>
      <w:proofErr w:type="spellEnd"/>
      <w:r w:rsidRPr="00CC5DFB">
        <w:t xml:space="preserve"> </w:t>
      </w:r>
      <w:proofErr w:type="spellStart"/>
      <w:r w:rsidRPr="00CC5DFB">
        <w:t>Vuković</w:t>
      </w:r>
      <w:proofErr w:type="spellEnd"/>
      <w:r w:rsidRPr="00CC5DFB">
        <w:t xml:space="preserve"> </w:t>
      </w:r>
      <w:proofErr w:type="spellStart"/>
      <w:r w:rsidRPr="00CC5DFB">
        <w:t>Podgoričanin</w:t>
      </w:r>
      <w:proofErr w:type="spellEnd"/>
      <w:r>
        <w:t xml:space="preserve"> school (arts.</w:t>
      </w:r>
      <w:r w:rsidR="00325732">
        <w:t> </w:t>
      </w:r>
      <w:r>
        <w:t>2, 3, 5 and</w:t>
      </w:r>
      <w:r w:rsidR="00325732">
        <w:t> </w:t>
      </w:r>
      <w:r>
        <w:t>7)</w:t>
      </w:r>
      <w:r w:rsidR="00F55085">
        <w:t>.</w:t>
      </w:r>
    </w:p>
    <w:p w:rsidR="00F02544" w:rsidRDefault="00F02544" w:rsidP="00F02544">
      <w:pPr>
        <w:pStyle w:val="SingleTxtG"/>
        <w:rPr>
          <w:b/>
        </w:rPr>
      </w:pPr>
      <w:r>
        <w:rPr>
          <w:b/>
        </w:rPr>
        <w:t xml:space="preserve">In </w:t>
      </w:r>
      <w:r w:rsidR="00F55085">
        <w:rPr>
          <w:b/>
        </w:rPr>
        <w:t xml:space="preserve">the </w:t>
      </w:r>
      <w:r>
        <w:rPr>
          <w:b/>
        </w:rPr>
        <w:t>light of its general recommendations</w:t>
      </w:r>
      <w:r w:rsidR="00825468">
        <w:rPr>
          <w:b/>
        </w:rPr>
        <w:t xml:space="preserve"> No. </w:t>
      </w:r>
      <w:r>
        <w:rPr>
          <w:b/>
        </w:rPr>
        <w:t>19 (1995) on racial segregation and</w:t>
      </w:r>
      <w:r w:rsidR="00812049">
        <w:rPr>
          <w:b/>
        </w:rPr>
        <w:t xml:space="preserve"> apartheid and</w:t>
      </w:r>
      <w:r>
        <w:rPr>
          <w:b/>
        </w:rPr>
        <w:t xml:space="preserve"> No. 27 (2000) on discrimination against Roma, the Committee recommends that the State party:</w:t>
      </w:r>
    </w:p>
    <w:p w:rsidR="00F02544" w:rsidRPr="001E0481" w:rsidRDefault="004F3157" w:rsidP="004F3157">
      <w:pPr>
        <w:pStyle w:val="SingleTxtG"/>
        <w:ind w:firstLine="567"/>
        <w:rPr>
          <w:b/>
        </w:rPr>
      </w:pPr>
      <w:r>
        <w:rPr>
          <w:b/>
        </w:rPr>
        <w:t>(a)</w:t>
      </w:r>
      <w:r>
        <w:rPr>
          <w:b/>
        </w:rPr>
        <w:tab/>
      </w:r>
      <w:r w:rsidR="00F02544">
        <w:rPr>
          <w:b/>
        </w:rPr>
        <w:t xml:space="preserve">Provide free education, textbooks and transportation to </w:t>
      </w:r>
      <w:r w:rsidR="008D5B43">
        <w:rPr>
          <w:b/>
        </w:rPr>
        <w:t xml:space="preserve">children of </w:t>
      </w:r>
      <w:r w:rsidR="00F02544">
        <w:rPr>
          <w:b/>
        </w:rPr>
        <w:t xml:space="preserve">Roma, </w:t>
      </w:r>
      <w:proofErr w:type="spellStart"/>
      <w:r w:rsidR="00F02544">
        <w:rPr>
          <w:b/>
        </w:rPr>
        <w:t>Ashkali</w:t>
      </w:r>
      <w:proofErr w:type="spellEnd"/>
      <w:r w:rsidR="00F02544">
        <w:rPr>
          <w:b/>
        </w:rPr>
        <w:t xml:space="preserve"> and Egyptian </w:t>
      </w:r>
      <w:r w:rsidR="008D5B43">
        <w:rPr>
          <w:b/>
        </w:rPr>
        <w:t xml:space="preserve">origin </w:t>
      </w:r>
      <w:r w:rsidR="00F02544">
        <w:rPr>
          <w:b/>
        </w:rPr>
        <w:t>in order to avoid segregation</w:t>
      </w:r>
      <w:r w:rsidR="008D5B43">
        <w:rPr>
          <w:b/>
        </w:rPr>
        <w:t>,</w:t>
      </w:r>
      <w:r w:rsidR="00F02544">
        <w:rPr>
          <w:b/>
        </w:rPr>
        <w:t xml:space="preserve"> ensure their integration in local educational facilities and close</w:t>
      </w:r>
      <w:r w:rsidR="00F02544" w:rsidRPr="001E0481">
        <w:t xml:space="preserve"> </w:t>
      </w:r>
      <w:r w:rsidR="00F02544" w:rsidRPr="001E0481">
        <w:rPr>
          <w:b/>
        </w:rPr>
        <w:t xml:space="preserve">the </w:t>
      </w:r>
      <w:proofErr w:type="spellStart"/>
      <w:r w:rsidR="00F02544" w:rsidRPr="001E0481">
        <w:rPr>
          <w:b/>
        </w:rPr>
        <w:t>Konik</w:t>
      </w:r>
      <w:proofErr w:type="spellEnd"/>
      <w:r w:rsidR="00F02544" w:rsidRPr="001E0481">
        <w:rPr>
          <w:b/>
        </w:rPr>
        <w:t xml:space="preserve"> branch of the </w:t>
      </w:r>
      <w:proofErr w:type="spellStart"/>
      <w:r w:rsidR="00F02544" w:rsidRPr="001E0481">
        <w:rPr>
          <w:b/>
        </w:rPr>
        <w:t>Božidar</w:t>
      </w:r>
      <w:proofErr w:type="spellEnd"/>
      <w:r w:rsidR="00F02544" w:rsidRPr="001E0481">
        <w:rPr>
          <w:b/>
        </w:rPr>
        <w:t xml:space="preserve"> </w:t>
      </w:r>
      <w:proofErr w:type="spellStart"/>
      <w:r w:rsidR="00F02544" w:rsidRPr="001E0481">
        <w:rPr>
          <w:b/>
        </w:rPr>
        <w:t>Vuković</w:t>
      </w:r>
      <w:proofErr w:type="spellEnd"/>
      <w:r w:rsidR="00F02544" w:rsidRPr="001E0481">
        <w:rPr>
          <w:b/>
        </w:rPr>
        <w:t xml:space="preserve"> </w:t>
      </w:r>
      <w:proofErr w:type="spellStart"/>
      <w:r w:rsidR="00F02544" w:rsidRPr="001E0481">
        <w:rPr>
          <w:b/>
        </w:rPr>
        <w:t>Podgoričanin</w:t>
      </w:r>
      <w:proofErr w:type="spellEnd"/>
      <w:r w:rsidR="00F02544" w:rsidRPr="001E0481">
        <w:rPr>
          <w:b/>
        </w:rPr>
        <w:t xml:space="preserve"> school;</w:t>
      </w:r>
    </w:p>
    <w:p w:rsidR="00F02544" w:rsidRDefault="004F3157" w:rsidP="004F3157">
      <w:pPr>
        <w:pStyle w:val="SingleTxtG"/>
        <w:ind w:firstLine="567"/>
        <w:rPr>
          <w:b/>
        </w:rPr>
      </w:pPr>
      <w:r>
        <w:rPr>
          <w:b/>
        </w:rPr>
        <w:t>(b)</w:t>
      </w:r>
      <w:r>
        <w:rPr>
          <w:b/>
        </w:rPr>
        <w:tab/>
      </w:r>
      <w:r w:rsidR="00F02544">
        <w:rPr>
          <w:b/>
        </w:rPr>
        <w:t xml:space="preserve">Ensure that </w:t>
      </w:r>
      <w:r w:rsidR="008D5B43">
        <w:rPr>
          <w:b/>
        </w:rPr>
        <w:t xml:space="preserve">children of </w:t>
      </w:r>
      <w:r w:rsidR="00F02544">
        <w:rPr>
          <w:b/>
        </w:rPr>
        <w:t xml:space="preserve">Roma, </w:t>
      </w:r>
      <w:proofErr w:type="spellStart"/>
      <w:r w:rsidR="00F02544">
        <w:rPr>
          <w:b/>
        </w:rPr>
        <w:t>Ashkali</w:t>
      </w:r>
      <w:proofErr w:type="spellEnd"/>
      <w:r w:rsidR="00F02544">
        <w:rPr>
          <w:b/>
        </w:rPr>
        <w:t xml:space="preserve"> and Egyptian </w:t>
      </w:r>
      <w:r w:rsidR="008D5B43">
        <w:rPr>
          <w:b/>
        </w:rPr>
        <w:t xml:space="preserve">origin </w:t>
      </w:r>
      <w:r w:rsidR="00F02544">
        <w:rPr>
          <w:b/>
        </w:rPr>
        <w:t>without birth registration or identity documents do not suffer discrimination in access</w:t>
      </w:r>
      <w:r w:rsidR="001B4955">
        <w:rPr>
          <w:b/>
        </w:rPr>
        <w:t>ing</w:t>
      </w:r>
      <w:r w:rsidR="00F02544">
        <w:rPr>
          <w:b/>
        </w:rPr>
        <w:t xml:space="preserve"> education and in the school environment;</w:t>
      </w:r>
    </w:p>
    <w:p w:rsidR="00F02544" w:rsidRDefault="004F3157" w:rsidP="004F3157">
      <w:pPr>
        <w:pStyle w:val="SingleTxtG"/>
        <w:ind w:firstLine="567"/>
        <w:rPr>
          <w:b/>
        </w:rPr>
      </w:pPr>
      <w:r>
        <w:rPr>
          <w:b/>
        </w:rPr>
        <w:t>(c)</w:t>
      </w:r>
      <w:r>
        <w:rPr>
          <w:b/>
        </w:rPr>
        <w:tab/>
      </w:r>
      <w:r w:rsidR="00F02544">
        <w:rPr>
          <w:b/>
        </w:rPr>
        <w:t xml:space="preserve">Intensify efforts to increase enrolment and reduce the drop-out rate among </w:t>
      </w:r>
      <w:r w:rsidR="008D5B43">
        <w:rPr>
          <w:b/>
        </w:rPr>
        <w:t xml:space="preserve">children of </w:t>
      </w:r>
      <w:r w:rsidR="00F02544">
        <w:rPr>
          <w:b/>
        </w:rPr>
        <w:t xml:space="preserve">Roma, </w:t>
      </w:r>
      <w:proofErr w:type="spellStart"/>
      <w:r w:rsidR="00F02544">
        <w:rPr>
          <w:b/>
        </w:rPr>
        <w:t>Ashkali</w:t>
      </w:r>
      <w:proofErr w:type="spellEnd"/>
      <w:r w:rsidR="00F02544">
        <w:rPr>
          <w:b/>
        </w:rPr>
        <w:t xml:space="preserve"> and Egyptian </w:t>
      </w:r>
      <w:r w:rsidR="008D5B43">
        <w:rPr>
          <w:b/>
        </w:rPr>
        <w:t>origin</w:t>
      </w:r>
      <w:r w:rsidR="00F02544">
        <w:rPr>
          <w:b/>
        </w:rPr>
        <w:t>, by raising the awareness of parents about the value of continued education for their children’s long-term socioeconomic wellbeing and about the adverse consequences to their health and future prospects of</w:t>
      </w:r>
      <w:r w:rsidR="004B1BEB">
        <w:rPr>
          <w:b/>
        </w:rPr>
        <w:t xml:space="preserve"> </w:t>
      </w:r>
      <w:r w:rsidR="00F02544">
        <w:rPr>
          <w:b/>
        </w:rPr>
        <w:t>child labour, child marriage and forced marriage;</w:t>
      </w:r>
    </w:p>
    <w:p w:rsidR="00F02544" w:rsidRDefault="004F3157" w:rsidP="004F3157">
      <w:pPr>
        <w:pStyle w:val="SingleTxtG"/>
        <w:ind w:firstLine="567"/>
        <w:rPr>
          <w:b/>
        </w:rPr>
      </w:pPr>
      <w:r>
        <w:rPr>
          <w:b/>
        </w:rPr>
        <w:t>(d)</w:t>
      </w:r>
      <w:r>
        <w:rPr>
          <w:b/>
        </w:rPr>
        <w:tab/>
      </w:r>
      <w:r w:rsidR="00F02544">
        <w:rPr>
          <w:b/>
        </w:rPr>
        <w:t xml:space="preserve">Enhance the enrolment of </w:t>
      </w:r>
      <w:r w:rsidR="001A4D13">
        <w:rPr>
          <w:b/>
        </w:rPr>
        <w:t xml:space="preserve">children of </w:t>
      </w:r>
      <w:r w:rsidR="00F02544">
        <w:rPr>
          <w:b/>
        </w:rPr>
        <w:t xml:space="preserve">Roma, </w:t>
      </w:r>
      <w:proofErr w:type="spellStart"/>
      <w:r w:rsidR="00F02544">
        <w:rPr>
          <w:b/>
        </w:rPr>
        <w:t>Ashkali</w:t>
      </w:r>
      <w:proofErr w:type="spellEnd"/>
      <w:r w:rsidR="00F02544">
        <w:rPr>
          <w:b/>
        </w:rPr>
        <w:t xml:space="preserve"> and Egyptian </w:t>
      </w:r>
      <w:r w:rsidR="001A4D13">
        <w:rPr>
          <w:b/>
        </w:rPr>
        <w:t xml:space="preserve">origin </w:t>
      </w:r>
      <w:r w:rsidR="00F02544">
        <w:rPr>
          <w:b/>
        </w:rPr>
        <w:t>in kindergartens and other preschool educational facilities in order to improve their knowledge of the Montenegrin language;</w:t>
      </w:r>
    </w:p>
    <w:p w:rsidR="00F02544" w:rsidRDefault="004F3157" w:rsidP="004F3157">
      <w:pPr>
        <w:pStyle w:val="SingleTxtG"/>
        <w:ind w:firstLine="567"/>
        <w:rPr>
          <w:b/>
        </w:rPr>
      </w:pPr>
      <w:r w:rsidRPr="007600F2">
        <w:rPr>
          <w:b/>
        </w:rPr>
        <w:t>(e)</w:t>
      </w:r>
      <w:r w:rsidRPr="007600F2">
        <w:rPr>
          <w:b/>
        </w:rPr>
        <w:tab/>
      </w:r>
      <w:r w:rsidR="00F02544" w:rsidRPr="007600F2">
        <w:rPr>
          <w:b/>
        </w:rPr>
        <w:t>Increase the use of Roma teaching assistants</w:t>
      </w:r>
      <w:r w:rsidR="001B4955" w:rsidRPr="007600F2">
        <w:rPr>
          <w:b/>
        </w:rPr>
        <w:t xml:space="preserve"> and </w:t>
      </w:r>
      <w:r w:rsidR="00F02544" w:rsidRPr="007600F2">
        <w:rPr>
          <w:b/>
        </w:rPr>
        <w:t>mediators in schools and encourage teachers to consider de</w:t>
      </w:r>
      <w:r w:rsidR="00C659C9" w:rsidRPr="007600F2">
        <w:rPr>
          <w:b/>
        </w:rPr>
        <w:t xml:space="preserve">dicating </w:t>
      </w:r>
      <w:r w:rsidR="00030104" w:rsidRPr="007600F2">
        <w:rPr>
          <w:b/>
        </w:rPr>
        <w:t xml:space="preserve">part </w:t>
      </w:r>
      <w:r w:rsidR="00F02544" w:rsidRPr="007600F2">
        <w:rPr>
          <w:b/>
        </w:rPr>
        <w:t xml:space="preserve">of the curriculum </w:t>
      </w:r>
      <w:r w:rsidR="001A4D13" w:rsidRPr="007600F2">
        <w:rPr>
          <w:b/>
        </w:rPr>
        <w:t xml:space="preserve">to </w:t>
      </w:r>
      <w:r w:rsidR="00F02544" w:rsidRPr="007600F2">
        <w:rPr>
          <w:b/>
        </w:rPr>
        <w:t>the Roma language</w:t>
      </w:r>
      <w:r w:rsidR="00325732" w:rsidRPr="007600F2">
        <w:rPr>
          <w:b/>
        </w:rPr>
        <w:t>;</w:t>
      </w:r>
    </w:p>
    <w:p w:rsidR="00F02544" w:rsidRDefault="004F3157" w:rsidP="004F3157">
      <w:pPr>
        <w:pStyle w:val="SingleTxtG"/>
        <w:ind w:firstLine="567"/>
        <w:rPr>
          <w:b/>
        </w:rPr>
      </w:pPr>
      <w:r>
        <w:rPr>
          <w:b/>
        </w:rPr>
        <w:t>(f)</w:t>
      </w:r>
      <w:r>
        <w:rPr>
          <w:b/>
        </w:rPr>
        <w:tab/>
      </w:r>
      <w:r w:rsidR="00F02544">
        <w:rPr>
          <w:b/>
        </w:rPr>
        <w:t xml:space="preserve">Monitor child labour, in particular in the informal and domestic sectors, and provide protection and information to </w:t>
      </w:r>
      <w:r w:rsidR="001A4D13">
        <w:rPr>
          <w:b/>
        </w:rPr>
        <w:t xml:space="preserve">children of </w:t>
      </w:r>
      <w:r w:rsidR="00F02544">
        <w:rPr>
          <w:b/>
        </w:rPr>
        <w:t xml:space="preserve">Roma, </w:t>
      </w:r>
      <w:proofErr w:type="spellStart"/>
      <w:r w:rsidR="00F02544">
        <w:rPr>
          <w:b/>
        </w:rPr>
        <w:t>Ashkali</w:t>
      </w:r>
      <w:proofErr w:type="spellEnd"/>
      <w:r w:rsidR="00F02544">
        <w:rPr>
          <w:b/>
        </w:rPr>
        <w:t xml:space="preserve"> and Egyptian </w:t>
      </w:r>
      <w:r w:rsidR="001A4D13">
        <w:rPr>
          <w:b/>
        </w:rPr>
        <w:t xml:space="preserve">origin </w:t>
      </w:r>
      <w:r w:rsidR="00F02544">
        <w:rPr>
          <w:b/>
        </w:rPr>
        <w:t>living in the street in order to prevent them from becoming victims of trafficking and economic and sexual exploitation.</w:t>
      </w:r>
    </w:p>
    <w:p w:rsidR="00F02544" w:rsidRDefault="00325732" w:rsidP="00325732">
      <w:pPr>
        <w:pStyle w:val="H23G"/>
      </w:pPr>
      <w:r>
        <w:tab/>
      </w:r>
      <w:r>
        <w:tab/>
      </w:r>
      <w:r w:rsidR="00F02544" w:rsidRPr="00BB5557">
        <w:t xml:space="preserve">Socioeconomic situation of </w:t>
      </w:r>
      <w:r w:rsidR="00030104" w:rsidRPr="00BB5557">
        <w:t>persons of</w:t>
      </w:r>
      <w:r w:rsidR="00F02544" w:rsidRPr="00BB5557">
        <w:t xml:space="preserve"> R</w:t>
      </w:r>
      <w:r w:rsidR="00F02544">
        <w:t xml:space="preserve">oma, </w:t>
      </w:r>
      <w:proofErr w:type="spellStart"/>
      <w:r w:rsidR="00F02544">
        <w:t>Ashkali</w:t>
      </w:r>
      <w:proofErr w:type="spellEnd"/>
      <w:r w:rsidR="00F02544">
        <w:t xml:space="preserve"> and Egyptian </w:t>
      </w:r>
      <w:r w:rsidR="00030104">
        <w:t>origin</w:t>
      </w:r>
    </w:p>
    <w:p w:rsidR="00F02544" w:rsidRDefault="00F02544" w:rsidP="00323DD7">
      <w:pPr>
        <w:pStyle w:val="SingleTxtG"/>
        <w:numPr>
          <w:ilvl w:val="0"/>
          <w:numId w:val="43"/>
        </w:numPr>
        <w:tabs>
          <w:tab w:val="clear" w:pos="2835"/>
        </w:tabs>
        <w:ind w:left="1134"/>
      </w:pPr>
      <w:r>
        <w:t>The Committee is concerned at the difficult economic situation and high unemployment rate of</w:t>
      </w:r>
      <w:r w:rsidR="004B1BEB">
        <w:t xml:space="preserve"> </w:t>
      </w:r>
      <w:r w:rsidR="002570C0">
        <w:t>persons of</w:t>
      </w:r>
      <w:r>
        <w:t xml:space="preserve"> Roma, </w:t>
      </w:r>
      <w:proofErr w:type="spellStart"/>
      <w:r>
        <w:t>Ashkali</w:t>
      </w:r>
      <w:proofErr w:type="spellEnd"/>
      <w:r>
        <w:t xml:space="preserve"> and Egyptian </w:t>
      </w:r>
      <w:r w:rsidR="002570C0">
        <w:t>origin</w:t>
      </w:r>
      <w:r>
        <w:t xml:space="preserve"> </w:t>
      </w:r>
      <w:r w:rsidR="00BB5557">
        <w:t xml:space="preserve">in the State party due to </w:t>
      </w:r>
      <w:r w:rsidR="001A4D13">
        <w:t xml:space="preserve">their </w:t>
      </w:r>
      <w:r w:rsidR="00BB5557">
        <w:t>lack</w:t>
      </w:r>
      <w:r>
        <w:t xml:space="preserve"> of qualifications and high levels of illiteracy</w:t>
      </w:r>
      <w:r w:rsidR="00BB5557">
        <w:t xml:space="preserve">, </w:t>
      </w:r>
      <w:r>
        <w:t xml:space="preserve">but also </w:t>
      </w:r>
      <w:r w:rsidR="001A4D13">
        <w:t xml:space="preserve">to </w:t>
      </w:r>
      <w:r>
        <w:t>direct and indirect discrimination.</w:t>
      </w:r>
      <w:r w:rsidR="004B1BEB">
        <w:t xml:space="preserve"> </w:t>
      </w:r>
      <w:r>
        <w:t>While noting that members of th</w:t>
      </w:r>
      <w:r w:rsidR="00BB5557">
        <w:t>ese</w:t>
      </w:r>
      <w:r>
        <w:t xml:space="preserve"> minority</w:t>
      </w:r>
      <w:r w:rsidR="00BB5557">
        <w:t xml:space="preserve"> groups</w:t>
      </w:r>
      <w:r>
        <w:t xml:space="preserve"> are classified as “hard to employ persons” owing to their </w:t>
      </w:r>
      <w:r w:rsidR="00BB5557">
        <w:t>lack</w:t>
      </w:r>
      <w:r>
        <w:t xml:space="preserve"> of qualifications and high </w:t>
      </w:r>
      <w:r w:rsidR="004459A4">
        <w:t xml:space="preserve">illiteracy </w:t>
      </w:r>
      <w:r>
        <w:t>rate, the Committee is concerned that the members of th</w:t>
      </w:r>
      <w:r w:rsidR="004459A4">
        <w:t>ese</w:t>
      </w:r>
      <w:r>
        <w:t xml:space="preserve"> minority</w:t>
      </w:r>
      <w:r w:rsidR="004459A4">
        <w:t xml:space="preserve"> groups</w:t>
      </w:r>
      <w:r>
        <w:t xml:space="preserve"> are also subjected to direct and indirect discrimination (art.</w:t>
      </w:r>
      <w:r w:rsidR="00325732">
        <w:t> </w:t>
      </w:r>
      <w:r>
        <w:t>5)</w:t>
      </w:r>
      <w:r w:rsidR="00325732">
        <w:t>.</w:t>
      </w:r>
    </w:p>
    <w:p w:rsidR="00F02544" w:rsidRDefault="00F02544" w:rsidP="00F02544">
      <w:pPr>
        <w:pStyle w:val="SingleTxtG"/>
        <w:rPr>
          <w:b/>
        </w:rPr>
      </w:pPr>
      <w:r>
        <w:rPr>
          <w:b/>
        </w:rPr>
        <w:t>Recalling its general recommendation No.</w:t>
      </w:r>
      <w:r w:rsidR="00325732">
        <w:rPr>
          <w:b/>
        </w:rPr>
        <w:t> </w:t>
      </w:r>
      <w:r>
        <w:rPr>
          <w:b/>
        </w:rPr>
        <w:t>27 (2000) on discrimination against Roma, the Committee recommends that the State party:</w:t>
      </w:r>
    </w:p>
    <w:p w:rsidR="00F02544" w:rsidRDefault="004F3157" w:rsidP="004F3157">
      <w:pPr>
        <w:pStyle w:val="SingleTxtG"/>
        <w:ind w:firstLine="567"/>
        <w:rPr>
          <w:b/>
        </w:rPr>
      </w:pPr>
      <w:r>
        <w:rPr>
          <w:b/>
        </w:rPr>
        <w:t>(a)</w:t>
      </w:r>
      <w:r>
        <w:rPr>
          <w:b/>
        </w:rPr>
        <w:tab/>
      </w:r>
      <w:r w:rsidR="00F02544">
        <w:rPr>
          <w:b/>
        </w:rPr>
        <w:t xml:space="preserve">Monitor and remedy cases of direct or indirect discrimination against </w:t>
      </w:r>
      <w:r w:rsidR="004D6EC6">
        <w:rPr>
          <w:b/>
        </w:rPr>
        <w:t>persons</w:t>
      </w:r>
      <w:r w:rsidR="00F02544">
        <w:rPr>
          <w:b/>
        </w:rPr>
        <w:t xml:space="preserve"> of Roma, </w:t>
      </w:r>
      <w:proofErr w:type="spellStart"/>
      <w:r w:rsidR="00F02544">
        <w:rPr>
          <w:b/>
        </w:rPr>
        <w:t>Ashkali</w:t>
      </w:r>
      <w:proofErr w:type="spellEnd"/>
      <w:r w:rsidR="00F02544">
        <w:rPr>
          <w:b/>
        </w:rPr>
        <w:t xml:space="preserve"> and Egyptian </w:t>
      </w:r>
      <w:r w:rsidR="004D6EC6">
        <w:rPr>
          <w:b/>
        </w:rPr>
        <w:t>origin</w:t>
      </w:r>
      <w:r w:rsidR="00F02544">
        <w:rPr>
          <w:b/>
        </w:rPr>
        <w:t xml:space="preserve"> and take special measures to achieve equality </w:t>
      </w:r>
      <w:r w:rsidR="00812049">
        <w:rPr>
          <w:b/>
        </w:rPr>
        <w:t xml:space="preserve">for them </w:t>
      </w:r>
      <w:r w:rsidR="00F02544">
        <w:rPr>
          <w:b/>
        </w:rPr>
        <w:t>in keeping with article 5 of the Law on Prohibition of Discrimination;</w:t>
      </w:r>
    </w:p>
    <w:p w:rsidR="00F02544" w:rsidRDefault="004F3157" w:rsidP="004F3157">
      <w:pPr>
        <w:pStyle w:val="SingleTxtG"/>
        <w:ind w:firstLine="567"/>
        <w:rPr>
          <w:b/>
        </w:rPr>
      </w:pPr>
      <w:r>
        <w:rPr>
          <w:b/>
        </w:rPr>
        <w:t>(b)</w:t>
      </w:r>
      <w:r>
        <w:rPr>
          <w:b/>
        </w:rPr>
        <w:tab/>
      </w:r>
      <w:r w:rsidR="00F02544">
        <w:rPr>
          <w:b/>
        </w:rPr>
        <w:t xml:space="preserve">Strengthen efforts to increase </w:t>
      </w:r>
      <w:r w:rsidR="00812049">
        <w:rPr>
          <w:b/>
        </w:rPr>
        <w:t xml:space="preserve">the </w:t>
      </w:r>
      <w:r w:rsidR="00F02544">
        <w:rPr>
          <w:b/>
        </w:rPr>
        <w:t>employability and employment</w:t>
      </w:r>
      <w:r w:rsidR="00812049">
        <w:rPr>
          <w:b/>
        </w:rPr>
        <w:t xml:space="preserve"> of persons of Roma, </w:t>
      </w:r>
      <w:proofErr w:type="spellStart"/>
      <w:r w:rsidR="00812049">
        <w:rPr>
          <w:b/>
        </w:rPr>
        <w:t>Ashkali</w:t>
      </w:r>
      <w:proofErr w:type="spellEnd"/>
      <w:r w:rsidR="00812049">
        <w:rPr>
          <w:b/>
        </w:rPr>
        <w:t xml:space="preserve"> and Egyptian origin</w:t>
      </w:r>
      <w:r w:rsidR="00F02544">
        <w:rPr>
          <w:b/>
        </w:rPr>
        <w:t xml:space="preserve"> through adult literacy and vocational training programmes</w:t>
      </w:r>
      <w:r w:rsidR="00812049">
        <w:rPr>
          <w:b/>
        </w:rPr>
        <w:t>,</w:t>
      </w:r>
      <w:r w:rsidR="00F02544">
        <w:rPr>
          <w:b/>
        </w:rPr>
        <w:t xml:space="preserve"> and enhance affirmative action by implementing the active employment policy as well as </w:t>
      </w:r>
      <w:r w:rsidR="00812049">
        <w:rPr>
          <w:b/>
        </w:rPr>
        <w:t xml:space="preserve">by granting them </w:t>
      </w:r>
      <w:r w:rsidR="00F02544">
        <w:rPr>
          <w:b/>
        </w:rPr>
        <w:t>tax exemptions, subsidies and interest-free loans;</w:t>
      </w:r>
    </w:p>
    <w:p w:rsidR="00F02544" w:rsidRDefault="004F3157" w:rsidP="004F3157">
      <w:pPr>
        <w:pStyle w:val="SingleTxtG"/>
        <w:ind w:firstLine="567"/>
        <w:rPr>
          <w:b/>
        </w:rPr>
      </w:pPr>
      <w:r>
        <w:rPr>
          <w:b/>
        </w:rPr>
        <w:t>(c)</w:t>
      </w:r>
      <w:r>
        <w:rPr>
          <w:b/>
        </w:rPr>
        <w:tab/>
      </w:r>
      <w:r w:rsidR="00F02544">
        <w:rPr>
          <w:b/>
        </w:rPr>
        <w:t xml:space="preserve">Raise awareness about the double discrimination against </w:t>
      </w:r>
      <w:r w:rsidR="00812049">
        <w:rPr>
          <w:b/>
        </w:rPr>
        <w:t xml:space="preserve">women of </w:t>
      </w:r>
      <w:r w:rsidR="00F02544">
        <w:rPr>
          <w:b/>
        </w:rPr>
        <w:t xml:space="preserve">Roma, </w:t>
      </w:r>
      <w:proofErr w:type="spellStart"/>
      <w:r w:rsidR="00F02544">
        <w:rPr>
          <w:b/>
        </w:rPr>
        <w:t>Ashkali</w:t>
      </w:r>
      <w:proofErr w:type="spellEnd"/>
      <w:r w:rsidR="00F02544">
        <w:rPr>
          <w:b/>
        </w:rPr>
        <w:t xml:space="preserve"> and Egyptian </w:t>
      </w:r>
      <w:r w:rsidR="00812049">
        <w:rPr>
          <w:b/>
        </w:rPr>
        <w:t xml:space="preserve">origin </w:t>
      </w:r>
      <w:r w:rsidR="00F02544">
        <w:rPr>
          <w:b/>
        </w:rPr>
        <w:t>in education, employment and health care, and take specific measures to address and overcome this form of discrimination.</w:t>
      </w:r>
    </w:p>
    <w:p w:rsidR="00F02544" w:rsidRDefault="00F02544" w:rsidP="00F02544">
      <w:pPr>
        <w:pStyle w:val="H23G"/>
      </w:pPr>
      <w:r w:rsidRPr="005D5D0C">
        <w:tab/>
      </w:r>
      <w:r w:rsidRPr="005D5D0C">
        <w:tab/>
      </w:r>
      <w:r>
        <w:t xml:space="preserve">Situation of </w:t>
      </w:r>
      <w:r w:rsidR="004459A4">
        <w:t>a</w:t>
      </w:r>
      <w:r>
        <w:t xml:space="preserve">sylum </w:t>
      </w:r>
      <w:r w:rsidR="004459A4">
        <w:t>s</w:t>
      </w:r>
      <w:r>
        <w:t>eekers</w:t>
      </w:r>
    </w:p>
    <w:p w:rsidR="00F02544" w:rsidRDefault="00F02544" w:rsidP="00063EB2">
      <w:pPr>
        <w:pStyle w:val="SingleTxtG"/>
        <w:numPr>
          <w:ilvl w:val="0"/>
          <w:numId w:val="43"/>
        </w:numPr>
        <w:tabs>
          <w:tab w:val="clear" w:pos="2835"/>
        </w:tabs>
        <w:ind w:left="1134"/>
      </w:pPr>
      <w:r>
        <w:t xml:space="preserve">The Committee is concerned at the delay in the opening of the </w:t>
      </w:r>
      <w:r w:rsidR="00812049">
        <w:t>r</w:t>
      </w:r>
      <w:r>
        <w:t xml:space="preserve">eception </w:t>
      </w:r>
      <w:r w:rsidR="00812049">
        <w:t>c</w:t>
      </w:r>
      <w:r>
        <w:t xml:space="preserve">entre for </w:t>
      </w:r>
      <w:r w:rsidR="00812049">
        <w:t>a</w:t>
      </w:r>
      <w:r>
        <w:t xml:space="preserve">sylum </w:t>
      </w:r>
      <w:r w:rsidR="00812049">
        <w:t>s</w:t>
      </w:r>
      <w:r>
        <w:t xml:space="preserve">eekers </w:t>
      </w:r>
      <w:r w:rsidR="009D48FD">
        <w:t>near Podgorica</w:t>
      </w:r>
      <w:r w:rsidR="00812049">
        <w:t>, which</w:t>
      </w:r>
      <w:r>
        <w:t xml:space="preserve"> should have been operational by late 2011 (arts.</w:t>
      </w:r>
      <w:r w:rsidR="004B1BEB">
        <w:t> </w:t>
      </w:r>
      <w:r>
        <w:t>5 and</w:t>
      </w:r>
      <w:r w:rsidR="004B1BEB">
        <w:t> </w:t>
      </w:r>
      <w:r>
        <w:t>6)</w:t>
      </w:r>
      <w:r w:rsidR="004459A4">
        <w:t>.</w:t>
      </w:r>
    </w:p>
    <w:p w:rsidR="00F02544" w:rsidRDefault="00F02544" w:rsidP="00F02544">
      <w:pPr>
        <w:pStyle w:val="SingleTxtG"/>
        <w:rPr>
          <w:b/>
        </w:rPr>
      </w:pPr>
      <w:r>
        <w:rPr>
          <w:b/>
        </w:rPr>
        <w:t xml:space="preserve">In </w:t>
      </w:r>
      <w:r w:rsidR="004459A4">
        <w:rPr>
          <w:b/>
        </w:rPr>
        <w:t xml:space="preserve">the </w:t>
      </w:r>
      <w:r>
        <w:rPr>
          <w:b/>
        </w:rPr>
        <w:t xml:space="preserve">light of its general recommendation No. 22 (1996) on </w:t>
      </w:r>
      <w:r w:rsidR="00812049">
        <w:rPr>
          <w:b/>
        </w:rPr>
        <w:t xml:space="preserve">article 5 and </w:t>
      </w:r>
      <w:r>
        <w:rPr>
          <w:b/>
        </w:rPr>
        <w:t>refugees and displaced persons, the Committee recommends that t</w:t>
      </w:r>
      <w:r w:rsidRPr="005D5D0C">
        <w:rPr>
          <w:b/>
        </w:rPr>
        <w:t xml:space="preserve">he </w:t>
      </w:r>
      <w:r>
        <w:rPr>
          <w:b/>
        </w:rPr>
        <w:t>State party:</w:t>
      </w:r>
    </w:p>
    <w:p w:rsidR="00F02544" w:rsidRDefault="004F3157" w:rsidP="004F3157">
      <w:pPr>
        <w:pStyle w:val="SingleTxtG"/>
        <w:ind w:firstLine="567"/>
        <w:rPr>
          <w:b/>
        </w:rPr>
      </w:pPr>
      <w:r>
        <w:rPr>
          <w:b/>
        </w:rPr>
        <w:t>(a)</w:t>
      </w:r>
      <w:r>
        <w:rPr>
          <w:b/>
        </w:rPr>
        <w:tab/>
      </w:r>
      <w:r w:rsidR="00F02544">
        <w:rPr>
          <w:b/>
        </w:rPr>
        <w:t>Provide asylum seekers currently living in private facilities with sufficient food and basic medical care;</w:t>
      </w:r>
    </w:p>
    <w:p w:rsidR="00F02544" w:rsidRPr="00DE1BBC" w:rsidRDefault="004F3157" w:rsidP="004F3157">
      <w:pPr>
        <w:pStyle w:val="SingleTxtG"/>
        <w:ind w:firstLine="567"/>
      </w:pPr>
      <w:r w:rsidRPr="007600F2">
        <w:rPr>
          <w:b/>
        </w:rPr>
        <w:t>(b)</w:t>
      </w:r>
      <w:r w:rsidRPr="007600F2">
        <w:rPr>
          <w:b/>
        </w:rPr>
        <w:tab/>
      </w:r>
      <w:r w:rsidR="00F02544" w:rsidRPr="007600F2">
        <w:rPr>
          <w:b/>
        </w:rPr>
        <w:t xml:space="preserve">Complete without delay the construction of the </w:t>
      </w:r>
      <w:r w:rsidR="00812049" w:rsidRPr="007600F2">
        <w:rPr>
          <w:b/>
        </w:rPr>
        <w:t>r</w:t>
      </w:r>
      <w:r w:rsidR="00F02544" w:rsidRPr="007600F2">
        <w:rPr>
          <w:b/>
        </w:rPr>
        <w:t xml:space="preserve">eception </w:t>
      </w:r>
      <w:r w:rsidR="00812049" w:rsidRPr="007600F2">
        <w:rPr>
          <w:b/>
        </w:rPr>
        <w:t>c</w:t>
      </w:r>
      <w:r w:rsidR="00F02544" w:rsidRPr="007600F2">
        <w:rPr>
          <w:b/>
        </w:rPr>
        <w:t xml:space="preserve">entre for </w:t>
      </w:r>
      <w:r w:rsidR="00812049" w:rsidRPr="007600F2">
        <w:rPr>
          <w:b/>
        </w:rPr>
        <w:t>a</w:t>
      </w:r>
      <w:r w:rsidR="00F02544" w:rsidRPr="007600F2">
        <w:rPr>
          <w:b/>
        </w:rPr>
        <w:t xml:space="preserve">sylum </w:t>
      </w:r>
      <w:r w:rsidR="00812049" w:rsidRPr="007600F2">
        <w:rPr>
          <w:b/>
        </w:rPr>
        <w:t>s</w:t>
      </w:r>
      <w:r w:rsidR="00F02544" w:rsidRPr="007600F2">
        <w:rPr>
          <w:b/>
        </w:rPr>
        <w:t xml:space="preserve">eekers </w:t>
      </w:r>
      <w:r w:rsidR="009D48FD" w:rsidRPr="007600F2">
        <w:rPr>
          <w:b/>
        </w:rPr>
        <w:t>near Podgorica</w:t>
      </w:r>
      <w:r w:rsidR="00D36961" w:rsidRPr="007600F2">
        <w:rPr>
          <w:b/>
        </w:rPr>
        <w:t xml:space="preserve">, taking into account </w:t>
      </w:r>
      <w:r w:rsidR="00F02544" w:rsidRPr="007600F2">
        <w:rPr>
          <w:b/>
        </w:rPr>
        <w:t xml:space="preserve">current </w:t>
      </w:r>
      <w:r w:rsidR="00D36961" w:rsidRPr="007600F2">
        <w:rPr>
          <w:b/>
        </w:rPr>
        <w:t>numbers,</w:t>
      </w:r>
      <w:r w:rsidR="00F02544" w:rsidRPr="007600F2">
        <w:rPr>
          <w:b/>
        </w:rPr>
        <w:t xml:space="preserve"> and provide </w:t>
      </w:r>
      <w:r w:rsidR="00D36961" w:rsidRPr="007600F2">
        <w:rPr>
          <w:b/>
        </w:rPr>
        <w:t xml:space="preserve">it with </w:t>
      </w:r>
      <w:r w:rsidR="00F02544" w:rsidRPr="007600F2">
        <w:rPr>
          <w:b/>
        </w:rPr>
        <w:t xml:space="preserve">the </w:t>
      </w:r>
      <w:r w:rsidR="004459A4" w:rsidRPr="007600F2">
        <w:rPr>
          <w:b/>
        </w:rPr>
        <w:t xml:space="preserve">necessary </w:t>
      </w:r>
      <w:r w:rsidR="00F02544" w:rsidRPr="007600F2">
        <w:rPr>
          <w:b/>
        </w:rPr>
        <w:t>staff and facilities to enable it to function correctly.</w:t>
      </w:r>
    </w:p>
    <w:p w:rsidR="00F02544" w:rsidRPr="005D5D0C" w:rsidRDefault="00F02544" w:rsidP="00F02544">
      <w:pPr>
        <w:pStyle w:val="H1G"/>
      </w:pPr>
      <w:r w:rsidRPr="005D5D0C">
        <w:tab/>
        <w:t>D.</w:t>
      </w:r>
      <w:r w:rsidRPr="005D5D0C">
        <w:tab/>
        <w:t>Other recommendations</w:t>
      </w:r>
    </w:p>
    <w:p w:rsidR="00F02544" w:rsidRPr="005D5D0C" w:rsidRDefault="00F02544" w:rsidP="00F02544">
      <w:pPr>
        <w:pStyle w:val="H23G"/>
      </w:pPr>
      <w:r w:rsidRPr="005D5D0C">
        <w:tab/>
      </w:r>
      <w:r w:rsidRPr="005D5D0C">
        <w:tab/>
        <w:t>Ratification of other treaties</w:t>
      </w:r>
    </w:p>
    <w:p w:rsidR="00F02544" w:rsidRPr="005D5D0C" w:rsidRDefault="00F02544" w:rsidP="00063EB2">
      <w:pPr>
        <w:pStyle w:val="SingleTxtG"/>
        <w:numPr>
          <w:ilvl w:val="0"/>
          <w:numId w:val="43"/>
        </w:numPr>
        <w:tabs>
          <w:tab w:val="clear" w:pos="2835"/>
        </w:tabs>
        <w:ind w:left="1134"/>
        <w:rPr>
          <w:sz w:val="24"/>
          <w:szCs w:val="24"/>
        </w:rPr>
      </w:pPr>
      <w:r w:rsidRPr="005D5D0C">
        <w:t>Bearing in mind the indivisibility of all human rights, the Committee encourages the State party to consider ratifying international human rights treaties which it has not yet ratified, in particular treaties with provisions that have a direct relevance to communities that may be the subject of racial discrimination, such as the International Convention on the Protection of the Rights of All Migrant Workers and Members of Their Families</w:t>
      </w:r>
      <w:r w:rsidRPr="005D5D0C">
        <w:rPr>
          <w:sz w:val="24"/>
          <w:szCs w:val="24"/>
        </w:rPr>
        <w:t>.</w:t>
      </w:r>
    </w:p>
    <w:p w:rsidR="00F02544" w:rsidRPr="005D5D0C" w:rsidRDefault="00F02544" w:rsidP="00F02544">
      <w:pPr>
        <w:pStyle w:val="H23G"/>
      </w:pPr>
      <w:r w:rsidRPr="005D5D0C">
        <w:tab/>
      </w:r>
      <w:r w:rsidRPr="005D5D0C">
        <w:tab/>
        <w:t xml:space="preserve">Follow-up to </w:t>
      </w:r>
      <w:r w:rsidR="004459A4">
        <w:t>t</w:t>
      </w:r>
      <w:r w:rsidR="00FD4AE0">
        <w:t>he</w:t>
      </w:r>
      <w:r w:rsidR="004459A4">
        <w:t xml:space="preserve"> </w:t>
      </w:r>
      <w:smartTag w:uri="urn:schemas-microsoft-com:office:smarttags" w:element="City">
        <w:smartTag w:uri="urn:schemas-microsoft-com:office:smarttags" w:element="place">
          <w:r w:rsidRPr="005D5D0C">
            <w:t>Durban</w:t>
          </w:r>
        </w:smartTag>
      </w:smartTag>
      <w:r w:rsidRPr="005D5D0C">
        <w:t xml:space="preserve"> Declaration and Programme of Action</w:t>
      </w:r>
    </w:p>
    <w:p w:rsidR="00F02544" w:rsidRDefault="00F02544" w:rsidP="00063EB2">
      <w:pPr>
        <w:pStyle w:val="SingleTxtG"/>
        <w:numPr>
          <w:ilvl w:val="0"/>
          <w:numId w:val="43"/>
        </w:numPr>
        <w:tabs>
          <w:tab w:val="clear" w:pos="2835"/>
        </w:tabs>
        <w:ind w:left="1134"/>
      </w:pPr>
      <w:r w:rsidRPr="005D5D0C">
        <w:t xml:space="preserve">In </w:t>
      </w:r>
      <w:r w:rsidR="004459A4">
        <w:t xml:space="preserve">the </w:t>
      </w:r>
      <w:r w:rsidRPr="005D5D0C">
        <w:t>light of</w:t>
      </w:r>
      <w:r w:rsidR="00325732">
        <w:t xml:space="preserve"> its general recommendation No. </w:t>
      </w:r>
      <w:r w:rsidRPr="005D5D0C">
        <w:t xml:space="preserve">33 (2009) on follow-up to the Durban Review Conference, the Committee recommends that the State party give effect to the Durban Declaration and Programme of Action, adopted in September 2001 by the World Conference against Racism, Racial Discrimination, Xenophobia and Related Intolerance, </w:t>
      </w:r>
      <w:r w:rsidR="004459A4">
        <w:t xml:space="preserve">and </w:t>
      </w:r>
      <w:r w:rsidRPr="005D5D0C">
        <w:t>tak</w:t>
      </w:r>
      <w:r w:rsidR="004459A4">
        <w:t>e</w:t>
      </w:r>
      <w:r w:rsidRPr="005D5D0C">
        <w:t xml:space="preserve"> into account the outcome document of the Durban Review Conference, held in Geneva in April 2009, when implementing the Convention in its domestic legal order. The Committee requests that the State party include in its next periodic report specific information on action plans and other measures taken to implement the Durban Declaration and Programme of Action at the national level.</w:t>
      </w:r>
    </w:p>
    <w:p w:rsidR="00314331" w:rsidRDefault="00314331" w:rsidP="00D13EF5">
      <w:pPr>
        <w:pStyle w:val="H23G"/>
      </w:pPr>
      <w:r>
        <w:tab/>
      </w:r>
      <w:r>
        <w:tab/>
        <w:t>Amendment to article 8 of the Convention</w:t>
      </w:r>
    </w:p>
    <w:p w:rsidR="00F02544" w:rsidRPr="005D5D0C" w:rsidRDefault="00F02544" w:rsidP="00063EB2">
      <w:pPr>
        <w:pStyle w:val="SingleTxtG"/>
        <w:numPr>
          <w:ilvl w:val="0"/>
          <w:numId w:val="43"/>
        </w:numPr>
        <w:tabs>
          <w:tab w:val="clear" w:pos="2835"/>
        </w:tabs>
        <w:ind w:left="1134"/>
      </w:pPr>
      <w:r>
        <w:t>The Committee reiterates its recommendation that the State party ratify the amendments to article 8, paragraph 6, of the Convention, adopted on 15 January 1992 at the Fourteenth Meeting of States Parties to the Convention and endorsed by the General Assembly in its resolution 47/111. In this connection, the Committee refers to General Assembly resolution</w:t>
      </w:r>
      <w:r w:rsidR="003B6244">
        <w:t>s 61/148,</w:t>
      </w:r>
      <w:r>
        <w:t xml:space="preserve"> 63/243</w:t>
      </w:r>
      <w:r w:rsidR="003B6244">
        <w:t>, 65/200 and 67/156</w:t>
      </w:r>
      <w:r>
        <w:t>, in which the Assembly urged States parties to accelerate their domestic ratification procedures with regard to the amendment and to notify the Secretary-General expeditiously in writing of their agreement to the amendment.</w:t>
      </w:r>
    </w:p>
    <w:p w:rsidR="00F02544" w:rsidRPr="005D5D0C" w:rsidRDefault="00325732" w:rsidP="00F02544">
      <w:pPr>
        <w:pStyle w:val="H23G"/>
      </w:pPr>
      <w:r>
        <w:tab/>
      </w:r>
      <w:r>
        <w:tab/>
      </w:r>
      <w:r w:rsidR="00F02544" w:rsidRPr="005D5D0C">
        <w:t>Consultations with organizations of civil society</w:t>
      </w:r>
    </w:p>
    <w:p w:rsidR="00F02544" w:rsidRPr="005D5D0C" w:rsidRDefault="00F02544" w:rsidP="00063EB2">
      <w:pPr>
        <w:pStyle w:val="SingleTxtG"/>
        <w:numPr>
          <w:ilvl w:val="0"/>
          <w:numId w:val="43"/>
        </w:numPr>
        <w:tabs>
          <w:tab w:val="clear" w:pos="2835"/>
        </w:tabs>
        <w:ind w:left="1134"/>
      </w:pPr>
      <w:r w:rsidRPr="005D5D0C">
        <w:t>The Committee recommends that the State party continue consulting and expanding its dialogue with civil society</w:t>
      </w:r>
      <w:r w:rsidR="00D37F55">
        <w:t xml:space="preserve"> organizations</w:t>
      </w:r>
      <w:r w:rsidRPr="005D5D0C">
        <w:t xml:space="preserve"> working in the area of human rights protection, in particular combating racial discrimination, in connection with the preparation of the next periodic report and the follow-up to the</w:t>
      </w:r>
      <w:r w:rsidR="00812049">
        <w:t xml:space="preserve"> present</w:t>
      </w:r>
      <w:r w:rsidRPr="005D5D0C">
        <w:t xml:space="preserve"> concluding observations.</w:t>
      </w:r>
    </w:p>
    <w:p w:rsidR="00F02544" w:rsidRPr="005D5D0C" w:rsidRDefault="00F02544" w:rsidP="00F02544">
      <w:pPr>
        <w:pStyle w:val="H23G"/>
      </w:pPr>
      <w:r w:rsidRPr="005D5D0C">
        <w:tab/>
      </w:r>
      <w:r w:rsidRPr="005D5D0C">
        <w:tab/>
        <w:t>Dissemination</w:t>
      </w:r>
    </w:p>
    <w:p w:rsidR="00F02544" w:rsidRPr="005D5D0C" w:rsidRDefault="00F02544" w:rsidP="00063EB2">
      <w:pPr>
        <w:pStyle w:val="SingleTxtG"/>
        <w:numPr>
          <w:ilvl w:val="0"/>
          <w:numId w:val="43"/>
        </w:numPr>
        <w:tabs>
          <w:tab w:val="clear" w:pos="2835"/>
        </w:tabs>
        <w:ind w:left="1134"/>
        <w:rPr>
          <w:sz w:val="24"/>
          <w:szCs w:val="24"/>
        </w:rPr>
      </w:pPr>
      <w:r w:rsidRPr="005D5D0C">
        <w:t>The Committee recommends that the State party’s reports be made readily available and accessible to the public at the time of their submission, and that the observations of the Committee with respect to th</w:t>
      </w:r>
      <w:r w:rsidR="00D37F55">
        <w:t>o</w:t>
      </w:r>
      <w:r w:rsidRPr="005D5D0C">
        <w:t>se reports be similarly publicized in the official and other commonly used languages,</w:t>
      </w:r>
      <w:r w:rsidR="004B1BEB">
        <w:t xml:space="preserve"> </w:t>
      </w:r>
      <w:r w:rsidRPr="005D5D0C">
        <w:t>as appropriate</w:t>
      </w:r>
      <w:r w:rsidRPr="005D5D0C">
        <w:rPr>
          <w:sz w:val="24"/>
          <w:szCs w:val="24"/>
        </w:rPr>
        <w:t>.</w:t>
      </w:r>
    </w:p>
    <w:p w:rsidR="00F02544" w:rsidRPr="005D5D0C" w:rsidRDefault="00F02544" w:rsidP="00F02544">
      <w:pPr>
        <w:pStyle w:val="H23G"/>
      </w:pPr>
      <w:r w:rsidRPr="005D5D0C">
        <w:tab/>
      </w:r>
      <w:r w:rsidRPr="005D5D0C">
        <w:tab/>
        <w:t>Follow-up to concluding observations</w:t>
      </w:r>
    </w:p>
    <w:p w:rsidR="00F02544" w:rsidRPr="005D5D0C" w:rsidRDefault="00F02544" w:rsidP="00063EB2">
      <w:pPr>
        <w:pStyle w:val="SingleTxtG"/>
        <w:numPr>
          <w:ilvl w:val="0"/>
          <w:numId w:val="43"/>
        </w:numPr>
        <w:tabs>
          <w:tab w:val="clear" w:pos="2835"/>
        </w:tabs>
        <w:ind w:left="1134"/>
      </w:pPr>
      <w:r w:rsidRPr="005D5D0C">
        <w:t xml:space="preserve">In accordance with article 9, paragraph 1, of the Convention and rule 65 of its amended rules of procedure, the Committee requests the State party to provide information, within one year of the adoption of the present concluding observations, on its follow-up to the recommendations contained in paragraphs </w:t>
      </w:r>
      <w:r>
        <w:t>9</w:t>
      </w:r>
      <w:r w:rsidRPr="005D5D0C">
        <w:t xml:space="preserve">, </w:t>
      </w:r>
      <w:r>
        <w:t>12</w:t>
      </w:r>
      <w:r w:rsidR="001D1054">
        <w:t xml:space="preserve"> and</w:t>
      </w:r>
      <w:r w:rsidRPr="005D5D0C">
        <w:t xml:space="preserve"> </w:t>
      </w:r>
      <w:r>
        <w:t>14 (b)</w:t>
      </w:r>
      <w:r w:rsidRPr="005D5D0C">
        <w:t xml:space="preserve"> above.</w:t>
      </w:r>
    </w:p>
    <w:p w:rsidR="00F02544" w:rsidRPr="005D5D0C" w:rsidRDefault="00F02544" w:rsidP="00F02544">
      <w:pPr>
        <w:pStyle w:val="H23G"/>
      </w:pPr>
      <w:r w:rsidRPr="005D5D0C">
        <w:tab/>
      </w:r>
      <w:r w:rsidRPr="005D5D0C">
        <w:tab/>
        <w:t>Paragraphs of particular importance</w:t>
      </w:r>
    </w:p>
    <w:p w:rsidR="00F02544" w:rsidRPr="005D5D0C" w:rsidRDefault="00F02544" w:rsidP="00063EB2">
      <w:pPr>
        <w:pStyle w:val="SingleTxtG"/>
        <w:numPr>
          <w:ilvl w:val="0"/>
          <w:numId w:val="43"/>
        </w:numPr>
        <w:tabs>
          <w:tab w:val="clear" w:pos="2835"/>
        </w:tabs>
        <w:ind w:left="1134"/>
        <w:rPr>
          <w:sz w:val="24"/>
          <w:szCs w:val="24"/>
        </w:rPr>
      </w:pPr>
      <w:r w:rsidRPr="005D5D0C">
        <w:t xml:space="preserve">The Committee also wishes to draw the attention of the State party to the particular importance of the recommendations in paragraphs </w:t>
      </w:r>
      <w:r>
        <w:t>13</w:t>
      </w:r>
      <w:r w:rsidRPr="005D5D0C">
        <w:t xml:space="preserve">, </w:t>
      </w:r>
      <w:r>
        <w:t>14</w:t>
      </w:r>
      <w:r w:rsidRPr="005D5D0C">
        <w:t xml:space="preserve">, </w:t>
      </w:r>
      <w:r>
        <w:t>15</w:t>
      </w:r>
      <w:r w:rsidRPr="005D5D0C">
        <w:t xml:space="preserve"> and </w:t>
      </w:r>
      <w:r>
        <w:t>16</w:t>
      </w:r>
      <w:r w:rsidRPr="005D5D0C">
        <w:t xml:space="preserve"> above and requests the State party to provide detailed information in its next periodic report on concrete measures taken to implement th</w:t>
      </w:r>
      <w:r w:rsidR="00812049">
        <w:t>o</w:t>
      </w:r>
      <w:r w:rsidRPr="005D5D0C">
        <w:t>se recommendations</w:t>
      </w:r>
      <w:r w:rsidRPr="005D5D0C">
        <w:rPr>
          <w:sz w:val="24"/>
          <w:szCs w:val="24"/>
        </w:rPr>
        <w:t>.</w:t>
      </w:r>
    </w:p>
    <w:p w:rsidR="00F02544" w:rsidRPr="005D5D0C" w:rsidRDefault="00F02544" w:rsidP="00F02544">
      <w:pPr>
        <w:pStyle w:val="H23G"/>
      </w:pPr>
      <w:r w:rsidRPr="005D5D0C">
        <w:tab/>
      </w:r>
      <w:r w:rsidRPr="005D5D0C">
        <w:tab/>
        <w:t>Preparation of the next periodic report</w:t>
      </w:r>
    </w:p>
    <w:p w:rsidR="00F02544" w:rsidRDefault="00F02544" w:rsidP="00B06BAD">
      <w:pPr>
        <w:pStyle w:val="SingleTxtG"/>
        <w:numPr>
          <w:ilvl w:val="0"/>
          <w:numId w:val="43"/>
        </w:numPr>
        <w:tabs>
          <w:tab w:val="clear" w:pos="2835"/>
        </w:tabs>
        <w:ind w:left="1134"/>
      </w:pPr>
      <w:r w:rsidRPr="005D5D0C">
        <w:t xml:space="preserve">The Committee recommends that the State party submit its </w:t>
      </w:r>
      <w:r w:rsidR="00D37F55">
        <w:t xml:space="preserve">combined </w:t>
      </w:r>
      <w:r w:rsidRPr="005D5D0C">
        <w:t xml:space="preserve">fourth </w:t>
      </w:r>
      <w:r w:rsidR="00DB666F">
        <w:t>to sixth</w:t>
      </w:r>
      <w:r w:rsidRPr="005D5D0C">
        <w:t xml:space="preserve"> periodic reports</w:t>
      </w:r>
      <w:r w:rsidR="00C659C9">
        <w:t>,</w:t>
      </w:r>
      <w:r w:rsidRPr="005D5D0C">
        <w:t xml:space="preserve"> </w:t>
      </w:r>
      <w:r w:rsidRPr="00812049">
        <w:t xml:space="preserve">in </w:t>
      </w:r>
      <w:r w:rsidR="00C659C9">
        <w:t>one</w:t>
      </w:r>
      <w:r w:rsidRPr="00812049">
        <w:t xml:space="preserve"> document</w:t>
      </w:r>
      <w:r w:rsidR="00C659C9">
        <w:t>,</w:t>
      </w:r>
      <w:r w:rsidRPr="005D5D0C">
        <w:t xml:space="preserve"> by </w:t>
      </w:r>
      <w:r w:rsidR="00DB666F">
        <w:t>3 June 2017</w:t>
      </w:r>
      <w:r w:rsidRPr="005D5D0C">
        <w:t xml:space="preserve">, taking into account the </w:t>
      </w:r>
      <w:r w:rsidRPr="005D5D0C">
        <w:rPr>
          <w:rStyle w:val="SingleTxtGCar"/>
        </w:rPr>
        <w:t>specific reporting</w:t>
      </w:r>
      <w:r w:rsidRPr="005D5D0C">
        <w:t xml:space="preserve"> guidelines adopted by the Committee during its seventy-first session (CERD/C/2007/1) and addressing all the points raised in the present concluding observations. The Committee also urges the State party to observe the page limit of 40 pages for treaty-specific reports and 60</w:t>
      </w:r>
      <w:r w:rsidR="00812049">
        <w:t xml:space="preserve"> to </w:t>
      </w:r>
      <w:r w:rsidRPr="005D5D0C">
        <w:t>80 pages for the common core document (HRI/GEN.2/Rev.6, chap.</w:t>
      </w:r>
      <w:r w:rsidR="00B06BAD">
        <w:t> </w:t>
      </w:r>
      <w:r w:rsidRPr="005D5D0C">
        <w:t>I, para.</w:t>
      </w:r>
      <w:r w:rsidR="00325732">
        <w:t> </w:t>
      </w:r>
      <w:r w:rsidRPr="005D5D0C">
        <w:t>19).</w:t>
      </w:r>
    </w:p>
    <w:p w:rsidR="00325732" w:rsidRPr="00325732" w:rsidRDefault="00325732" w:rsidP="00325732">
      <w:pPr>
        <w:pStyle w:val="SingleTxtG"/>
        <w:spacing w:before="240" w:after="0"/>
        <w:jc w:val="center"/>
        <w:rPr>
          <w:u w:val="single"/>
        </w:rPr>
      </w:pPr>
      <w:r>
        <w:rPr>
          <w:u w:val="single"/>
        </w:rPr>
        <w:tab/>
      </w:r>
      <w:r>
        <w:rPr>
          <w:u w:val="single"/>
        </w:rPr>
        <w:tab/>
      </w:r>
      <w:r>
        <w:rPr>
          <w:u w:val="single"/>
        </w:rPr>
        <w:tab/>
      </w:r>
    </w:p>
    <w:p w:rsidR="00F02544" w:rsidRPr="00F02544" w:rsidRDefault="00F02544" w:rsidP="00325732">
      <w:pPr>
        <w:tabs>
          <w:tab w:val="left" w:pos="1701"/>
        </w:tabs>
      </w:pPr>
    </w:p>
    <w:sectPr w:rsidR="00F02544" w:rsidRPr="00F02544" w:rsidSect="007B2CA0">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2CF" w:rsidRDefault="002D62CF"/>
  </w:endnote>
  <w:endnote w:type="continuationSeparator" w:id="0">
    <w:p w:rsidR="002D62CF" w:rsidRDefault="002D62CF"/>
  </w:endnote>
  <w:endnote w:type="continuationNotice" w:id="1">
    <w:p w:rsidR="002D62CF" w:rsidRDefault="002D62C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2CF" w:rsidRPr="007B2CA0" w:rsidRDefault="002D62CF" w:rsidP="007B2CA0">
    <w:pPr>
      <w:pStyle w:val="Footer"/>
      <w:tabs>
        <w:tab w:val="right" w:pos="9598"/>
      </w:tabs>
    </w:pPr>
    <w:r w:rsidRPr="007B2CA0">
      <w:rPr>
        <w:b/>
        <w:sz w:val="18"/>
      </w:rPr>
      <w:fldChar w:fldCharType="begin"/>
    </w:r>
    <w:r w:rsidRPr="007B2CA0">
      <w:rPr>
        <w:b/>
        <w:sz w:val="18"/>
      </w:rPr>
      <w:instrText xml:space="preserve"> PAGE  \* MERGEFORMAT </w:instrText>
    </w:r>
    <w:r w:rsidRPr="007B2CA0">
      <w:rPr>
        <w:b/>
        <w:sz w:val="18"/>
      </w:rPr>
      <w:fldChar w:fldCharType="separate"/>
    </w:r>
    <w:r>
      <w:rPr>
        <w:b/>
        <w:noProof/>
        <w:sz w:val="18"/>
      </w:rPr>
      <w:t>2</w:t>
    </w:r>
    <w:r w:rsidRPr="007B2CA0">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2CF" w:rsidRPr="007B2CA0" w:rsidRDefault="002D62CF" w:rsidP="007B2CA0">
    <w:pPr>
      <w:pStyle w:val="Footer"/>
      <w:tabs>
        <w:tab w:val="right" w:pos="9598"/>
      </w:tabs>
      <w:rPr>
        <w:b/>
        <w:sz w:val="18"/>
      </w:rPr>
    </w:pPr>
    <w:r>
      <w:tab/>
    </w:r>
    <w:r w:rsidRPr="007B2CA0">
      <w:rPr>
        <w:b/>
        <w:sz w:val="18"/>
      </w:rPr>
      <w:fldChar w:fldCharType="begin"/>
    </w:r>
    <w:r w:rsidRPr="007B2CA0">
      <w:rPr>
        <w:b/>
        <w:sz w:val="18"/>
      </w:rPr>
      <w:instrText xml:space="preserve"> PAGE  \* MERGEFORMAT </w:instrText>
    </w:r>
    <w:r w:rsidRPr="007B2CA0">
      <w:rPr>
        <w:b/>
        <w:sz w:val="18"/>
      </w:rPr>
      <w:fldChar w:fldCharType="separate"/>
    </w:r>
    <w:r>
      <w:rPr>
        <w:b/>
        <w:noProof/>
        <w:sz w:val="18"/>
      </w:rPr>
      <w:t>7</w:t>
    </w:r>
    <w:r w:rsidRPr="007B2CA0">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2CF" w:rsidRPr="009B4A1B" w:rsidRDefault="002D62CF" w:rsidP="009B4A1B">
    <w:pPr>
      <w:pStyle w:val="Footer"/>
    </w:pPr>
    <w:r>
      <w:rPr>
        <w:noProof/>
        <w:sz w:val="20"/>
        <w:lang w:val="en-US"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337.3pt;margin-top:646.25pt;width:73.25pt;height:18.15pt;z-index:1;mso-position-horizontal-relative:margin;mso-position-vertical-relative:margin">
          <v:imagedata r:id="rId1" o:title="recycle_English"/>
          <w10:wrap anchorx="margin" anchory="margin"/>
        </v:shape>
      </w:pict>
    </w:r>
    <w:r>
      <w:rPr>
        <w:sz w:val="20"/>
      </w:rPr>
      <w:t>GE.14-41595</w:t>
    </w:r>
    <w:r>
      <w:rPr>
        <w:sz w:val="20"/>
      </w:rPr>
      <w:br/>
    </w:r>
    <w:r w:rsidRPr="00D0075D">
      <w:rPr>
        <w:rFonts w:ascii="C39T30Lfz" w:hAnsi="C39T30Lfz"/>
        <w:sz w:val="56"/>
      </w:rPr>
      <w:t></w:t>
    </w:r>
    <w:r w:rsidRPr="00D0075D">
      <w:rPr>
        <w:rFonts w:ascii="C39T30Lfz" w:hAnsi="C39T30Lfz"/>
        <w:sz w:val="56"/>
      </w:rPr>
      <w:t></w:t>
    </w:r>
    <w:r w:rsidRPr="00D0075D">
      <w:rPr>
        <w:rFonts w:ascii="C39T30Lfz" w:hAnsi="C39T30Lfz"/>
        <w:sz w:val="56"/>
      </w:rPr>
      <w:t></w:t>
    </w:r>
    <w:r w:rsidRPr="00D0075D">
      <w:rPr>
        <w:rFonts w:ascii="C39T30Lfz" w:hAnsi="C39T30Lfz"/>
        <w:sz w:val="56"/>
      </w:rPr>
      <w:t></w:t>
    </w:r>
    <w:r w:rsidRPr="00D0075D">
      <w:rPr>
        <w:rFonts w:ascii="C39T30Lfz" w:hAnsi="C39T30Lfz"/>
        <w:sz w:val="56"/>
      </w:rPr>
      <w:t></w:t>
    </w:r>
    <w:r w:rsidRPr="00D0075D">
      <w:rPr>
        <w:rFonts w:ascii="C39T30Lfz" w:hAnsi="C39T30Lfz"/>
        <w:sz w:val="56"/>
      </w:rPr>
      <w:t></w:t>
    </w:r>
    <w:r w:rsidRPr="00D0075D">
      <w:rPr>
        <w:rFonts w:ascii="C39T30Lfz" w:hAnsi="C39T30Lfz"/>
        <w:sz w:val="56"/>
      </w:rPr>
      <w:t></w:t>
    </w:r>
    <w:r w:rsidRPr="00D0075D">
      <w:rPr>
        <w:rFonts w:ascii="C39T30Lfz" w:hAnsi="C39T30Lfz"/>
        <w:sz w:val="56"/>
      </w:rPr>
      <w:t></w:t>
    </w:r>
    <w:r w:rsidRPr="00D0075D">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2CF" w:rsidRPr="000B175B" w:rsidRDefault="002D62CF" w:rsidP="000B175B">
      <w:pPr>
        <w:tabs>
          <w:tab w:val="right" w:pos="2155"/>
        </w:tabs>
        <w:spacing w:after="80"/>
        <w:ind w:left="680"/>
        <w:rPr>
          <w:u w:val="single"/>
        </w:rPr>
      </w:pPr>
      <w:r>
        <w:rPr>
          <w:u w:val="single"/>
        </w:rPr>
        <w:tab/>
      </w:r>
    </w:p>
  </w:footnote>
  <w:footnote w:type="continuationSeparator" w:id="0">
    <w:p w:rsidR="002D62CF" w:rsidRPr="00FC68B7" w:rsidRDefault="002D62CF" w:rsidP="00FC68B7">
      <w:pPr>
        <w:tabs>
          <w:tab w:val="left" w:pos="2155"/>
        </w:tabs>
        <w:spacing w:after="80"/>
        <w:ind w:left="680"/>
        <w:rPr>
          <w:u w:val="single"/>
        </w:rPr>
      </w:pPr>
      <w:r>
        <w:rPr>
          <w:u w:val="single"/>
        </w:rPr>
        <w:tab/>
      </w:r>
    </w:p>
  </w:footnote>
  <w:footnote w:type="continuationNotice" w:id="1">
    <w:p w:rsidR="002D62CF" w:rsidRDefault="002D62CF"/>
  </w:footnote>
  <w:footnote w:id="2">
    <w:p w:rsidR="002D62CF" w:rsidRPr="00E057FE" w:rsidRDefault="002D62CF" w:rsidP="005E2F16">
      <w:pPr>
        <w:pStyle w:val="FootnoteText"/>
      </w:pPr>
      <w:r>
        <w:tab/>
      </w:r>
      <w:r w:rsidRPr="0025679D">
        <w:rPr>
          <w:rStyle w:val="FootnoteReference"/>
          <w:sz w:val="20"/>
          <w:vertAlign w:val="baseline"/>
        </w:rPr>
        <w:t>*</w:t>
      </w:r>
      <w:r w:rsidRPr="00E057FE">
        <w:tab/>
        <w:t xml:space="preserve">Adopted by the Committee at its </w:t>
      </w:r>
      <w:r>
        <w:t xml:space="preserve">eighty-fourth </w:t>
      </w:r>
      <w:r w:rsidRPr="00E057FE">
        <w:t xml:space="preserve">session </w:t>
      </w:r>
      <w:r>
        <w:t>(3–21 February 2014)</w:t>
      </w:r>
      <w:r w:rsidRPr="00E057FE">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2CF" w:rsidRPr="007B2CA0" w:rsidRDefault="002D62CF" w:rsidP="007B2CA0">
    <w:pPr>
      <w:pStyle w:val="Header"/>
    </w:pPr>
    <w:r w:rsidRPr="007B2CA0">
      <w:t>CERD/C/</w:t>
    </w:r>
    <w:r>
      <w:t>MNE</w:t>
    </w:r>
    <w:r w:rsidRPr="007B2CA0">
      <w:t>/CO/</w:t>
    </w:r>
    <w:r>
      <w:t>2-3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2CF" w:rsidRPr="007B2CA0" w:rsidRDefault="002D62CF" w:rsidP="007B2CA0">
    <w:pPr>
      <w:pStyle w:val="Header"/>
      <w:jc w:val="right"/>
    </w:pPr>
    <w:r w:rsidRPr="007B2CA0">
      <w:t>CERD/C/</w:t>
    </w:r>
    <w:r>
      <w:t>MNE</w:t>
    </w:r>
    <w:r w:rsidRPr="007B2CA0">
      <w:t>/CO/</w:t>
    </w:r>
    <w:r>
      <w:t>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3D2B31"/>
    <w:multiLevelType w:val="hybridMultilevel"/>
    <w:tmpl w:val="63DC8CC8"/>
    <w:lvl w:ilvl="0" w:tplc="97F29854">
      <w:start w:val="1"/>
      <w:numFmt w:val="lowerLetter"/>
      <w:lvlText w:val="(%1)"/>
      <w:lvlJc w:val="left"/>
      <w:pPr>
        <w:ind w:left="1854" w:hanging="360"/>
      </w:pPr>
      <w:rPr>
        <w:rFonts w:eastAsia="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nsid w:val="0319133B"/>
    <w:multiLevelType w:val="hybridMultilevel"/>
    <w:tmpl w:val="31642E6A"/>
    <w:lvl w:ilvl="0" w:tplc="C63450D4">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07EA3A47"/>
    <w:multiLevelType w:val="hybridMultilevel"/>
    <w:tmpl w:val="103299E0"/>
    <w:lvl w:ilvl="0" w:tplc="97F29854">
      <w:start w:val="1"/>
      <w:numFmt w:val="lowerLetter"/>
      <w:lvlText w:val="(%1)"/>
      <w:lvlJc w:val="left"/>
      <w:pPr>
        <w:ind w:left="1854" w:hanging="360"/>
      </w:pPr>
      <w:rPr>
        <w:rFonts w:eastAsia="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A2E01F2"/>
    <w:multiLevelType w:val="hybridMultilevel"/>
    <w:tmpl w:val="844270CC"/>
    <w:lvl w:ilvl="0" w:tplc="97F29854">
      <w:start w:val="1"/>
      <w:numFmt w:val="lowerLetter"/>
      <w:lvlText w:val="(%1)"/>
      <w:lvlJc w:val="left"/>
      <w:pPr>
        <w:ind w:left="1854" w:hanging="360"/>
      </w:pPr>
      <w:rPr>
        <w:rFonts w:eastAsia="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1DAC1726"/>
    <w:multiLevelType w:val="hybridMultilevel"/>
    <w:tmpl w:val="43BA8BD4"/>
    <w:lvl w:ilvl="0" w:tplc="D56E985A">
      <w:start w:val="1"/>
      <w:numFmt w:val="low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E375F51"/>
    <w:multiLevelType w:val="hybridMultilevel"/>
    <w:tmpl w:val="EA544660"/>
    <w:lvl w:ilvl="0" w:tplc="97F29854">
      <w:start w:val="1"/>
      <w:numFmt w:val="lowerLetter"/>
      <w:lvlText w:val="(%1)"/>
      <w:lvlJc w:val="left"/>
      <w:pPr>
        <w:ind w:left="1854" w:hanging="360"/>
      </w:pPr>
      <w:rPr>
        <w:rFonts w:eastAsia="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nsid w:val="205A66BB"/>
    <w:multiLevelType w:val="hybridMultilevel"/>
    <w:tmpl w:val="13F87CCC"/>
    <w:lvl w:ilvl="0" w:tplc="42FAEF32">
      <w:start w:val="1"/>
      <w:numFmt w:val="lowerLetter"/>
      <w:lvlText w:val="(%1)"/>
      <w:lvlJc w:val="left"/>
      <w:pPr>
        <w:ind w:left="1854" w:hanging="360"/>
      </w:pPr>
      <w:rPr>
        <w:rFonts w:eastAsia="Times New Roman" w:hint="default"/>
        <w:b/>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nsid w:val="2139476C"/>
    <w:multiLevelType w:val="hybridMultilevel"/>
    <w:tmpl w:val="6AB2BAFC"/>
    <w:lvl w:ilvl="0" w:tplc="765630B8">
      <w:start w:val="1"/>
      <w:numFmt w:val="low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nsid w:val="2ECA4960"/>
    <w:multiLevelType w:val="hybridMultilevel"/>
    <w:tmpl w:val="606C9114"/>
    <w:lvl w:ilvl="0" w:tplc="A2120AF2">
      <w:start w:val="1"/>
      <w:numFmt w:val="low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nsid w:val="2FB90847"/>
    <w:multiLevelType w:val="hybridMultilevel"/>
    <w:tmpl w:val="B678D014"/>
    <w:lvl w:ilvl="0" w:tplc="A8A2DE68">
      <w:start w:val="1"/>
      <w:numFmt w:val="low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nsid w:val="309C021B"/>
    <w:multiLevelType w:val="hybridMultilevel"/>
    <w:tmpl w:val="CC625D34"/>
    <w:lvl w:ilvl="0" w:tplc="8EB058EC">
      <w:start w:val="1"/>
      <w:numFmt w:val="low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9D15085"/>
    <w:multiLevelType w:val="hybridMultilevel"/>
    <w:tmpl w:val="64523E62"/>
    <w:lvl w:ilvl="0" w:tplc="97F29854">
      <w:start w:val="1"/>
      <w:numFmt w:val="lowerLetter"/>
      <w:lvlText w:val="(%1)"/>
      <w:lvlJc w:val="left"/>
      <w:pPr>
        <w:ind w:left="1854" w:hanging="360"/>
      </w:pPr>
      <w:rPr>
        <w:rFonts w:eastAsia="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nsid w:val="3D390011"/>
    <w:multiLevelType w:val="hybridMultilevel"/>
    <w:tmpl w:val="522A7E68"/>
    <w:lvl w:ilvl="0" w:tplc="97F29854">
      <w:start w:val="1"/>
      <w:numFmt w:val="lowerLetter"/>
      <w:lvlText w:val="(%1)"/>
      <w:lvlJc w:val="left"/>
      <w:pPr>
        <w:ind w:left="1854" w:hanging="360"/>
      </w:pPr>
      <w:rPr>
        <w:rFonts w:eastAsia="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nsid w:val="3FA85122"/>
    <w:multiLevelType w:val="hybridMultilevel"/>
    <w:tmpl w:val="0AE42F58"/>
    <w:lvl w:ilvl="0" w:tplc="8244017A">
      <w:start w:val="1"/>
      <w:numFmt w:val="low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nsid w:val="43880DA0"/>
    <w:multiLevelType w:val="hybridMultilevel"/>
    <w:tmpl w:val="B534FC1A"/>
    <w:lvl w:ilvl="0" w:tplc="97F29854">
      <w:start w:val="1"/>
      <w:numFmt w:val="lowerLetter"/>
      <w:lvlText w:val="(%1)"/>
      <w:lvlJc w:val="left"/>
      <w:pPr>
        <w:ind w:left="1854" w:hanging="360"/>
      </w:pPr>
      <w:rPr>
        <w:rFonts w:eastAsia="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nsid w:val="48453E4E"/>
    <w:multiLevelType w:val="hybridMultilevel"/>
    <w:tmpl w:val="22AA564C"/>
    <w:lvl w:ilvl="0" w:tplc="0809000F">
      <w:start w:val="1"/>
      <w:numFmt w:val="decimal"/>
      <w:lvlText w:val="%1."/>
      <w:lvlJc w:val="left"/>
      <w:pPr>
        <w:ind w:left="1854" w:hanging="360"/>
      </w:pPr>
    </w:lvl>
    <w:lvl w:ilvl="1" w:tplc="2FCE3A94">
      <w:start w:val="1"/>
      <w:numFmt w:val="lowerLetter"/>
      <w:lvlText w:val="%2)"/>
      <w:lvlJc w:val="left"/>
      <w:pPr>
        <w:ind w:left="3339" w:hanging="1125"/>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nsid w:val="53116E72"/>
    <w:multiLevelType w:val="hybridMultilevel"/>
    <w:tmpl w:val="D52A5868"/>
    <w:lvl w:ilvl="0" w:tplc="97F29854">
      <w:start w:val="1"/>
      <w:numFmt w:val="lowerLetter"/>
      <w:lvlText w:val="(%1)"/>
      <w:lvlJc w:val="left"/>
      <w:pPr>
        <w:ind w:left="1854" w:hanging="360"/>
      </w:pPr>
      <w:rPr>
        <w:rFonts w:eastAsia="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nsid w:val="55864108"/>
    <w:multiLevelType w:val="hybridMultilevel"/>
    <w:tmpl w:val="01849F2E"/>
    <w:lvl w:ilvl="0" w:tplc="B9D0F4B8">
      <w:start w:val="1"/>
      <w:numFmt w:val="low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nsid w:val="57FE0017"/>
    <w:multiLevelType w:val="hybridMultilevel"/>
    <w:tmpl w:val="E8F0018C"/>
    <w:lvl w:ilvl="0" w:tplc="B156BE76">
      <w:start w:val="1"/>
      <w:numFmt w:val="decimal"/>
      <w:lvlText w:val="%1."/>
      <w:lvlJc w:val="left"/>
      <w:pPr>
        <w:tabs>
          <w:tab w:val="num" w:pos="2835"/>
        </w:tabs>
        <w:ind w:left="2268" w:firstLine="0"/>
      </w:pPr>
      <w:rPr>
        <w:rFonts w:hint="default"/>
        <w:sz w:val="20"/>
        <w:szCs w:val="20"/>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34">
    <w:nsid w:val="5CC40994"/>
    <w:multiLevelType w:val="hybridMultilevel"/>
    <w:tmpl w:val="3E909590"/>
    <w:lvl w:ilvl="0" w:tplc="97F29854">
      <w:start w:val="1"/>
      <w:numFmt w:val="lowerLetter"/>
      <w:lvlText w:val="(%1)"/>
      <w:lvlJc w:val="left"/>
      <w:pPr>
        <w:ind w:left="2421" w:hanging="360"/>
      </w:pPr>
      <w:rPr>
        <w:rFonts w:eastAsia="Times New Roman"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nsid w:val="61750DB5"/>
    <w:multiLevelType w:val="hybridMultilevel"/>
    <w:tmpl w:val="F6ACCD34"/>
    <w:lvl w:ilvl="0" w:tplc="97F29854">
      <w:start w:val="1"/>
      <w:numFmt w:val="lowerLetter"/>
      <w:lvlText w:val="(%1)"/>
      <w:lvlJc w:val="left"/>
      <w:pPr>
        <w:ind w:left="1854" w:hanging="360"/>
      </w:pPr>
      <w:rPr>
        <w:rFonts w:eastAsia="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7">
    <w:nsid w:val="6313177E"/>
    <w:multiLevelType w:val="hybridMultilevel"/>
    <w:tmpl w:val="BC7A48EE"/>
    <w:lvl w:ilvl="0" w:tplc="B1AA7848">
      <w:start w:val="1"/>
      <w:numFmt w:val="low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8">
    <w:nsid w:val="694E1C0B"/>
    <w:multiLevelType w:val="hybridMultilevel"/>
    <w:tmpl w:val="084476B8"/>
    <w:lvl w:ilvl="0" w:tplc="97F29854">
      <w:start w:val="1"/>
      <w:numFmt w:val="lowerLetter"/>
      <w:lvlText w:val="(%1)"/>
      <w:lvlJc w:val="left"/>
      <w:pPr>
        <w:ind w:left="1854" w:hanging="360"/>
      </w:pPr>
      <w:rPr>
        <w:rFonts w:eastAsia="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9">
    <w:nsid w:val="70681BDB"/>
    <w:multiLevelType w:val="hybridMultilevel"/>
    <w:tmpl w:val="ACDE5F9E"/>
    <w:lvl w:ilvl="0" w:tplc="97F29854">
      <w:start w:val="1"/>
      <w:numFmt w:val="lowerLetter"/>
      <w:lvlText w:val="(%1)"/>
      <w:lvlJc w:val="left"/>
      <w:pPr>
        <w:ind w:left="2421" w:hanging="360"/>
      </w:pPr>
      <w:rPr>
        <w:rFonts w:eastAsia="Times New Roman" w:hint="default"/>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40">
    <w:nsid w:val="71870AC3"/>
    <w:multiLevelType w:val="hybridMultilevel"/>
    <w:tmpl w:val="FDB229F2"/>
    <w:lvl w:ilvl="0" w:tplc="97F29854">
      <w:start w:val="1"/>
      <w:numFmt w:val="lowerLetter"/>
      <w:lvlText w:val="(%1)"/>
      <w:lvlJc w:val="left"/>
      <w:pPr>
        <w:ind w:left="2421" w:hanging="360"/>
      </w:pPr>
      <w:rPr>
        <w:rFonts w:eastAsia="Times New Roman" w:hint="default"/>
      </w:rPr>
    </w:lvl>
    <w:lvl w:ilvl="1" w:tplc="97F29854">
      <w:start w:val="1"/>
      <w:numFmt w:val="lowerLetter"/>
      <w:lvlText w:val="(%2)"/>
      <w:lvlJc w:val="left"/>
      <w:pPr>
        <w:ind w:left="3141" w:hanging="360"/>
      </w:pPr>
      <w:rPr>
        <w:rFonts w:eastAsia="Times New Roman" w:hint="default"/>
      </w:r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41">
    <w:nsid w:val="7B897A6E"/>
    <w:multiLevelType w:val="hybridMultilevel"/>
    <w:tmpl w:val="4CF4C490"/>
    <w:lvl w:ilvl="0" w:tplc="97F29854">
      <w:start w:val="1"/>
      <w:numFmt w:val="lowerLetter"/>
      <w:lvlText w:val="(%1)"/>
      <w:lvlJc w:val="left"/>
      <w:pPr>
        <w:ind w:left="1854" w:hanging="360"/>
      </w:pPr>
      <w:rPr>
        <w:rFonts w:eastAsia="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2">
    <w:nsid w:val="7D8820EA"/>
    <w:multiLevelType w:val="hybridMultilevel"/>
    <w:tmpl w:val="B8EA6BDE"/>
    <w:lvl w:ilvl="0" w:tplc="97F29854">
      <w:start w:val="1"/>
      <w:numFmt w:val="lowerLetter"/>
      <w:lvlText w:val="(%1)"/>
      <w:lvlJc w:val="left"/>
      <w:pPr>
        <w:ind w:left="1854" w:hanging="360"/>
      </w:pPr>
      <w:rPr>
        <w:rFonts w:eastAsia="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3">
    <w:nsid w:val="7DB27A77"/>
    <w:multiLevelType w:val="hybridMultilevel"/>
    <w:tmpl w:val="D6643BAC"/>
    <w:lvl w:ilvl="0" w:tplc="97F29854">
      <w:start w:val="1"/>
      <w:numFmt w:val="lowerLetter"/>
      <w:lvlText w:val="(%1)"/>
      <w:lvlJc w:val="left"/>
      <w:pPr>
        <w:ind w:left="1854" w:hanging="360"/>
      </w:pPr>
      <w:rPr>
        <w:rFonts w:eastAsia="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5"/>
  </w:num>
  <w:num w:numId="12">
    <w:abstractNumId w:val="18"/>
  </w:num>
  <w:num w:numId="13">
    <w:abstractNumId w:val="10"/>
  </w:num>
  <w:num w:numId="14">
    <w:abstractNumId w:val="35"/>
  </w:num>
  <w:num w:numId="15">
    <w:abstractNumId w:val="15"/>
  </w:num>
  <w:num w:numId="16">
    <w:abstractNumId w:val="13"/>
  </w:num>
  <w:num w:numId="17">
    <w:abstractNumId w:val="14"/>
  </w:num>
  <w:num w:numId="18">
    <w:abstractNumId w:val="27"/>
  </w:num>
  <w:num w:numId="19">
    <w:abstractNumId w:val="19"/>
  </w:num>
  <w:num w:numId="20">
    <w:abstractNumId w:val="36"/>
  </w:num>
  <w:num w:numId="21">
    <w:abstractNumId w:val="34"/>
  </w:num>
  <w:num w:numId="22">
    <w:abstractNumId w:val="42"/>
  </w:num>
  <w:num w:numId="23">
    <w:abstractNumId w:val="41"/>
  </w:num>
  <w:num w:numId="24">
    <w:abstractNumId w:val="30"/>
  </w:num>
  <w:num w:numId="25">
    <w:abstractNumId w:val="39"/>
  </w:num>
  <w:num w:numId="26">
    <w:abstractNumId w:val="40"/>
  </w:num>
  <w:num w:numId="27">
    <w:abstractNumId w:val="31"/>
  </w:num>
  <w:num w:numId="28">
    <w:abstractNumId w:val="21"/>
  </w:num>
  <w:num w:numId="29">
    <w:abstractNumId w:val="29"/>
  </w:num>
  <w:num w:numId="30">
    <w:abstractNumId w:val="22"/>
  </w:num>
  <w:num w:numId="31">
    <w:abstractNumId w:val="16"/>
  </w:num>
  <w:num w:numId="32">
    <w:abstractNumId w:val="17"/>
  </w:num>
  <w:num w:numId="33">
    <w:abstractNumId w:val="11"/>
  </w:num>
  <w:num w:numId="34">
    <w:abstractNumId w:val="24"/>
  </w:num>
  <w:num w:numId="35">
    <w:abstractNumId w:val="38"/>
  </w:num>
  <w:num w:numId="36">
    <w:abstractNumId w:val="28"/>
  </w:num>
  <w:num w:numId="37">
    <w:abstractNumId w:val="43"/>
  </w:num>
  <w:num w:numId="38">
    <w:abstractNumId w:val="37"/>
  </w:num>
  <w:num w:numId="39">
    <w:abstractNumId w:val="26"/>
  </w:num>
  <w:num w:numId="40">
    <w:abstractNumId w:val="23"/>
  </w:num>
  <w:num w:numId="41">
    <w:abstractNumId w:val="20"/>
  </w:num>
  <w:num w:numId="42">
    <w:abstractNumId w:val="32"/>
  </w:num>
  <w:num w:numId="43">
    <w:abstractNumId w:val="33"/>
  </w:num>
  <w:num w:numId="44">
    <w:abstractNumId w:val="1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proofState w:spelling="clean" w:grammar="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468F5"/>
    <w:rsid w:val="00002B3E"/>
    <w:rsid w:val="00003B9C"/>
    <w:rsid w:val="00004918"/>
    <w:rsid w:val="00011343"/>
    <w:rsid w:val="0002670E"/>
    <w:rsid w:val="00030104"/>
    <w:rsid w:val="00032FF2"/>
    <w:rsid w:val="00033FF0"/>
    <w:rsid w:val="00050F6B"/>
    <w:rsid w:val="000551DC"/>
    <w:rsid w:val="00063EB2"/>
    <w:rsid w:val="00072C8C"/>
    <w:rsid w:val="000733B5"/>
    <w:rsid w:val="00077485"/>
    <w:rsid w:val="000814F4"/>
    <w:rsid w:val="000931C0"/>
    <w:rsid w:val="000A5D3B"/>
    <w:rsid w:val="000B175B"/>
    <w:rsid w:val="000B3A0F"/>
    <w:rsid w:val="000B4EF7"/>
    <w:rsid w:val="000C1462"/>
    <w:rsid w:val="000C2D2E"/>
    <w:rsid w:val="000D10AA"/>
    <w:rsid w:val="000D2A7C"/>
    <w:rsid w:val="000E0415"/>
    <w:rsid w:val="000E2576"/>
    <w:rsid w:val="000E282F"/>
    <w:rsid w:val="001001C3"/>
    <w:rsid w:val="001103AA"/>
    <w:rsid w:val="00113A71"/>
    <w:rsid w:val="001205BF"/>
    <w:rsid w:val="00135904"/>
    <w:rsid w:val="00137C19"/>
    <w:rsid w:val="00141FD7"/>
    <w:rsid w:val="001526F8"/>
    <w:rsid w:val="00155467"/>
    <w:rsid w:val="001573BC"/>
    <w:rsid w:val="00180D95"/>
    <w:rsid w:val="00185C7B"/>
    <w:rsid w:val="0018711F"/>
    <w:rsid w:val="001A0A79"/>
    <w:rsid w:val="001A4D13"/>
    <w:rsid w:val="001A68A1"/>
    <w:rsid w:val="001B3B41"/>
    <w:rsid w:val="001B4955"/>
    <w:rsid w:val="001B4B04"/>
    <w:rsid w:val="001B5A11"/>
    <w:rsid w:val="001C4A37"/>
    <w:rsid w:val="001C6663"/>
    <w:rsid w:val="001C7895"/>
    <w:rsid w:val="001D1054"/>
    <w:rsid w:val="001D26DF"/>
    <w:rsid w:val="001E3AF4"/>
    <w:rsid w:val="001E5AA0"/>
    <w:rsid w:val="001E754E"/>
    <w:rsid w:val="00202DA8"/>
    <w:rsid w:val="002032D2"/>
    <w:rsid w:val="00206627"/>
    <w:rsid w:val="00211E0B"/>
    <w:rsid w:val="0023094B"/>
    <w:rsid w:val="002570C0"/>
    <w:rsid w:val="00290367"/>
    <w:rsid w:val="002B0464"/>
    <w:rsid w:val="002C4FF6"/>
    <w:rsid w:val="002C7111"/>
    <w:rsid w:val="002D62CF"/>
    <w:rsid w:val="002F175C"/>
    <w:rsid w:val="00300AF0"/>
    <w:rsid w:val="00314331"/>
    <w:rsid w:val="003229D8"/>
    <w:rsid w:val="00323DD7"/>
    <w:rsid w:val="00325732"/>
    <w:rsid w:val="00326A2C"/>
    <w:rsid w:val="003305AB"/>
    <w:rsid w:val="00337F33"/>
    <w:rsid w:val="00340F38"/>
    <w:rsid w:val="00352709"/>
    <w:rsid w:val="00363D50"/>
    <w:rsid w:val="003660A3"/>
    <w:rsid w:val="00370597"/>
    <w:rsid w:val="00371178"/>
    <w:rsid w:val="00373A19"/>
    <w:rsid w:val="00383684"/>
    <w:rsid w:val="00386E68"/>
    <w:rsid w:val="00395A52"/>
    <w:rsid w:val="003A4810"/>
    <w:rsid w:val="003A6810"/>
    <w:rsid w:val="003B102D"/>
    <w:rsid w:val="003B6244"/>
    <w:rsid w:val="003C2CC4"/>
    <w:rsid w:val="003D0E2C"/>
    <w:rsid w:val="003D4B23"/>
    <w:rsid w:val="003D52FA"/>
    <w:rsid w:val="003E699F"/>
    <w:rsid w:val="003F0FC7"/>
    <w:rsid w:val="00405DDC"/>
    <w:rsid w:val="00410C89"/>
    <w:rsid w:val="00412229"/>
    <w:rsid w:val="00413944"/>
    <w:rsid w:val="00431664"/>
    <w:rsid w:val="004325CB"/>
    <w:rsid w:val="004431E7"/>
    <w:rsid w:val="00444068"/>
    <w:rsid w:val="004459A4"/>
    <w:rsid w:val="00454315"/>
    <w:rsid w:val="0045495B"/>
    <w:rsid w:val="004610FB"/>
    <w:rsid w:val="0046626C"/>
    <w:rsid w:val="0047473B"/>
    <w:rsid w:val="00475077"/>
    <w:rsid w:val="004853C1"/>
    <w:rsid w:val="00496959"/>
    <w:rsid w:val="004978B8"/>
    <w:rsid w:val="00497E0F"/>
    <w:rsid w:val="004B1BEB"/>
    <w:rsid w:val="004D0A2B"/>
    <w:rsid w:val="004D25E4"/>
    <w:rsid w:val="004D6566"/>
    <w:rsid w:val="004D6EC6"/>
    <w:rsid w:val="004F3157"/>
    <w:rsid w:val="00517B36"/>
    <w:rsid w:val="00517E7F"/>
    <w:rsid w:val="00532F7D"/>
    <w:rsid w:val="005420F2"/>
    <w:rsid w:val="00550A4B"/>
    <w:rsid w:val="00556684"/>
    <w:rsid w:val="0056245D"/>
    <w:rsid w:val="0056633A"/>
    <w:rsid w:val="00577865"/>
    <w:rsid w:val="00584045"/>
    <w:rsid w:val="00586A3C"/>
    <w:rsid w:val="00594678"/>
    <w:rsid w:val="005B3DB3"/>
    <w:rsid w:val="005C6A79"/>
    <w:rsid w:val="005C705A"/>
    <w:rsid w:val="005C765B"/>
    <w:rsid w:val="005E2F16"/>
    <w:rsid w:val="005E6271"/>
    <w:rsid w:val="005E6CB9"/>
    <w:rsid w:val="005F4828"/>
    <w:rsid w:val="006001EE"/>
    <w:rsid w:val="006044A9"/>
    <w:rsid w:val="006050D0"/>
    <w:rsid w:val="00611625"/>
    <w:rsid w:val="00611FC4"/>
    <w:rsid w:val="006135BD"/>
    <w:rsid w:val="006176FB"/>
    <w:rsid w:val="00635454"/>
    <w:rsid w:val="00640B26"/>
    <w:rsid w:val="00643B16"/>
    <w:rsid w:val="0068485D"/>
    <w:rsid w:val="006874C7"/>
    <w:rsid w:val="0069548F"/>
    <w:rsid w:val="006D4D9F"/>
    <w:rsid w:val="006E564B"/>
    <w:rsid w:val="006F5FDA"/>
    <w:rsid w:val="007130B5"/>
    <w:rsid w:val="00724546"/>
    <w:rsid w:val="0072632A"/>
    <w:rsid w:val="007600F2"/>
    <w:rsid w:val="00787454"/>
    <w:rsid w:val="00787522"/>
    <w:rsid w:val="007A206A"/>
    <w:rsid w:val="007A5D73"/>
    <w:rsid w:val="007B112D"/>
    <w:rsid w:val="007B2CA0"/>
    <w:rsid w:val="007B3CCB"/>
    <w:rsid w:val="007B6BA5"/>
    <w:rsid w:val="007C1F90"/>
    <w:rsid w:val="007C3390"/>
    <w:rsid w:val="007C4F4B"/>
    <w:rsid w:val="007C5DF9"/>
    <w:rsid w:val="007C7BEE"/>
    <w:rsid w:val="007D1CB9"/>
    <w:rsid w:val="007F0B30"/>
    <w:rsid w:val="007F120D"/>
    <w:rsid w:val="007F6462"/>
    <w:rsid w:val="007F6611"/>
    <w:rsid w:val="00812049"/>
    <w:rsid w:val="00812915"/>
    <w:rsid w:val="008134EF"/>
    <w:rsid w:val="008242D7"/>
    <w:rsid w:val="00825468"/>
    <w:rsid w:val="00827543"/>
    <w:rsid w:val="00832D01"/>
    <w:rsid w:val="00835450"/>
    <w:rsid w:val="00844687"/>
    <w:rsid w:val="008543F2"/>
    <w:rsid w:val="008560AB"/>
    <w:rsid w:val="008637E1"/>
    <w:rsid w:val="008979B1"/>
    <w:rsid w:val="00897DB8"/>
    <w:rsid w:val="008A4CA9"/>
    <w:rsid w:val="008A59FE"/>
    <w:rsid w:val="008A6B25"/>
    <w:rsid w:val="008A6C4F"/>
    <w:rsid w:val="008B2335"/>
    <w:rsid w:val="008C32D9"/>
    <w:rsid w:val="008D5B43"/>
    <w:rsid w:val="00916443"/>
    <w:rsid w:val="0092078F"/>
    <w:rsid w:val="009223CA"/>
    <w:rsid w:val="009369F6"/>
    <w:rsid w:val="00940F93"/>
    <w:rsid w:val="00954FDD"/>
    <w:rsid w:val="009557E5"/>
    <w:rsid w:val="009603EF"/>
    <w:rsid w:val="009860E0"/>
    <w:rsid w:val="00990E55"/>
    <w:rsid w:val="009A3D56"/>
    <w:rsid w:val="009B0F9D"/>
    <w:rsid w:val="009B4A1B"/>
    <w:rsid w:val="009C0EE8"/>
    <w:rsid w:val="009C14AA"/>
    <w:rsid w:val="009D48FD"/>
    <w:rsid w:val="00A01489"/>
    <w:rsid w:val="00A05AFE"/>
    <w:rsid w:val="00A151EF"/>
    <w:rsid w:val="00A31CA5"/>
    <w:rsid w:val="00A502C7"/>
    <w:rsid w:val="00A53E9C"/>
    <w:rsid w:val="00A56ADC"/>
    <w:rsid w:val="00A61CCD"/>
    <w:rsid w:val="00A64909"/>
    <w:rsid w:val="00A71D7F"/>
    <w:rsid w:val="00A72F22"/>
    <w:rsid w:val="00A748A6"/>
    <w:rsid w:val="00A776B4"/>
    <w:rsid w:val="00A84DBE"/>
    <w:rsid w:val="00A94361"/>
    <w:rsid w:val="00AA2CF5"/>
    <w:rsid w:val="00AB5761"/>
    <w:rsid w:val="00AB628B"/>
    <w:rsid w:val="00AC1552"/>
    <w:rsid w:val="00AD690E"/>
    <w:rsid w:val="00AE65E2"/>
    <w:rsid w:val="00B06775"/>
    <w:rsid w:val="00B06BAD"/>
    <w:rsid w:val="00B1484F"/>
    <w:rsid w:val="00B152EE"/>
    <w:rsid w:val="00B17F91"/>
    <w:rsid w:val="00B2095B"/>
    <w:rsid w:val="00B30179"/>
    <w:rsid w:val="00B32B0A"/>
    <w:rsid w:val="00B56E9C"/>
    <w:rsid w:val="00B64B1F"/>
    <w:rsid w:val="00B6553F"/>
    <w:rsid w:val="00B81E12"/>
    <w:rsid w:val="00B938F1"/>
    <w:rsid w:val="00BB5557"/>
    <w:rsid w:val="00BC74E9"/>
    <w:rsid w:val="00BE4456"/>
    <w:rsid w:val="00BF68A8"/>
    <w:rsid w:val="00C112ED"/>
    <w:rsid w:val="00C12697"/>
    <w:rsid w:val="00C24400"/>
    <w:rsid w:val="00C3206E"/>
    <w:rsid w:val="00C45B74"/>
    <w:rsid w:val="00C45D7D"/>
    <w:rsid w:val="00C463DD"/>
    <w:rsid w:val="00C4724C"/>
    <w:rsid w:val="00C475AB"/>
    <w:rsid w:val="00C53A77"/>
    <w:rsid w:val="00C629A0"/>
    <w:rsid w:val="00C659C9"/>
    <w:rsid w:val="00C67304"/>
    <w:rsid w:val="00C745C3"/>
    <w:rsid w:val="00C75FB9"/>
    <w:rsid w:val="00CC00AC"/>
    <w:rsid w:val="00CC24D2"/>
    <w:rsid w:val="00CC3F8B"/>
    <w:rsid w:val="00CD42DC"/>
    <w:rsid w:val="00CE4A8F"/>
    <w:rsid w:val="00CE7DB0"/>
    <w:rsid w:val="00CF413C"/>
    <w:rsid w:val="00CF7862"/>
    <w:rsid w:val="00CF7932"/>
    <w:rsid w:val="00D0075D"/>
    <w:rsid w:val="00D06422"/>
    <w:rsid w:val="00D13EF5"/>
    <w:rsid w:val="00D2031B"/>
    <w:rsid w:val="00D218CB"/>
    <w:rsid w:val="00D2268C"/>
    <w:rsid w:val="00D25FE2"/>
    <w:rsid w:val="00D36961"/>
    <w:rsid w:val="00D36F53"/>
    <w:rsid w:val="00D37F55"/>
    <w:rsid w:val="00D43252"/>
    <w:rsid w:val="00D50B5A"/>
    <w:rsid w:val="00D51E7F"/>
    <w:rsid w:val="00D647E6"/>
    <w:rsid w:val="00D7767E"/>
    <w:rsid w:val="00D82F8C"/>
    <w:rsid w:val="00D867FB"/>
    <w:rsid w:val="00D87255"/>
    <w:rsid w:val="00D91C6A"/>
    <w:rsid w:val="00D978C6"/>
    <w:rsid w:val="00DA235D"/>
    <w:rsid w:val="00DA3C1C"/>
    <w:rsid w:val="00DB666F"/>
    <w:rsid w:val="00DC0922"/>
    <w:rsid w:val="00DC4CDE"/>
    <w:rsid w:val="00DC7AE7"/>
    <w:rsid w:val="00DE4B32"/>
    <w:rsid w:val="00DF1870"/>
    <w:rsid w:val="00E109FB"/>
    <w:rsid w:val="00E335F2"/>
    <w:rsid w:val="00E468F5"/>
    <w:rsid w:val="00E539E7"/>
    <w:rsid w:val="00E63389"/>
    <w:rsid w:val="00E66F76"/>
    <w:rsid w:val="00E71BC8"/>
    <w:rsid w:val="00E7260F"/>
    <w:rsid w:val="00E96630"/>
    <w:rsid w:val="00EA1AB4"/>
    <w:rsid w:val="00EC5C64"/>
    <w:rsid w:val="00ED32A3"/>
    <w:rsid w:val="00ED616A"/>
    <w:rsid w:val="00ED7A2A"/>
    <w:rsid w:val="00EE1315"/>
    <w:rsid w:val="00EE3DB7"/>
    <w:rsid w:val="00EE665A"/>
    <w:rsid w:val="00EF1D7F"/>
    <w:rsid w:val="00EF6E3A"/>
    <w:rsid w:val="00F01EDD"/>
    <w:rsid w:val="00F02544"/>
    <w:rsid w:val="00F32B3C"/>
    <w:rsid w:val="00F34583"/>
    <w:rsid w:val="00F37E35"/>
    <w:rsid w:val="00F504DF"/>
    <w:rsid w:val="00F55085"/>
    <w:rsid w:val="00FA271C"/>
    <w:rsid w:val="00FB2C91"/>
    <w:rsid w:val="00FC68B7"/>
    <w:rsid w:val="00FD05BE"/>
    <w:rsid w:val="00FD4AE0"/>
    <w:rsid w:val="00FE24EB"/>
    <w:rsid w:val="00FE3725"/>
    <w:rsid w:val="00FE4166"/>
    <w:rsid w:val="00FE4BD5"/>
    <w:rsid w:val="00FE56E5"/>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ar"/>
    <w:pPr>
      <w:spacing w:after="120"/>
      <w:ind w:left="1134" w:right="1134"/>
      <w:jc w:val="both"/>
    </w:pPr>
    <w:rPr>
      <w:lang/>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rsid w:val="00C3206E"/>
    <w:pPr>
      <w:tabs>
        <w:tab w:val="right" w:pos="1021"/>
      </w:tabs>
      <w:spacing w:line="220" w:lineRule="exact"/>
      <w:ind w:left="1134" w:right="1134" w:hanging="1134"/>
    </w:pPr>
    <w:rPr>
      <w:sz w:val="18"/>
      <w:lang/>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uiPriority w:val="9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504D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SingleTxtGCar">
    <w:name w:val="_ Single Txt_G Car"/>
    <w:link w:val="SingleTxtG"/>
    <w:locked/>
    <w:rsid w:val="006044A9"/>
    <w:rPr>
      <w:lang w:eastAsia="en-US"/>
    </w:rPr>
  </w:style>
  <w:style w:type="character" w:customStyle="1" w:styleId="FootnoteTextChar">
    <w:name w:val="Footnote Text Char"/>
    <w:aliases w:val="5_G Char"/>
    <w:link w:val="FootnoteText"/>
    <w:rsid w:val="006044A9"/>
    <w:rPr>
      <w:sz w:val="18"/>
      <w:lang w:eastAsia="en-US"/>
    </w:rPr>
  </w:style>
  <w:style w:type="paragraph" w:styleId="BalloonText">
    <w:name w:val="Balloon Text"/>
    <w:basedOn w:val="Normal"/>
    <w:link w:val="BalloonTextChar"/>
    <w:rsid w:val="0023094B"/>
    <w:pPr>
      <w:spacing w:line="240" w:lineRule="auto"/>
    </w:pPr>
    <w:rPr>
      <w:rFonts w:ascii="Tahoma" w:hAnsi="Tahoma"/>
      <w:sz w:val="16"/>
      <w:szCs w:val="16"/>
      <w:lang/>
    </w:rPr>
  </w:style>
  <w:style w:type="character" w:customStyle="1" w:styleId="BalloonTextChar">
    <w:name w:val="Balloon Text Char"/>
    <w:link w:val="BalloonText"/>
    <w:rsid w:val="0023094B"/>
    <w:rPr>
      <w:rFonts w:ascii="Tahoma" w:hAnsi="Tahoma" w:cs="Tahoma"/>
      <w:sz w:val="16"/>
      <w:szCs w:val="16"/>
      <w:lang w:eastAsia="en-US"/>
    </w:rPr>
  </w:style>
  <w:style w:type="paragraph" w:styleId="CommentSubject">
    <w:name w:val="annotation subject"/>
    <w:basedOn w:val="CommentText"/>
    <w:next w:val="CommentText"/>
    <w:semiHidden/>
    <w:rsid w:val="00C6730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Template>
  <TotalTime>2</TotalTime>
  <Pages>8</Pages>
  <Words>3488</Words>
  <Characters>19489</Characters>
  <Application>Microsoft Office Outlook</Application>
  <DocSecurity>4</DocSecurity>
  <Lines>337</Lines>
  <Paragraphs>117</Paragraphs>
  <ScaleCrop>false</ScaleCrop>
  <HeadingPairs>
    <vt:vector size="2" baseType="variant">
      <vt:variant>
        <vt:lpstr>Title</vt:lpstr>
      </vt:variant>
      <vt:variant>
        <vt:i4>1</vt:i4>
      </vt:variant>
    </vt:vector>
  </HeadingPairs>
  <TitlesOfParts>
    <vt:vector size="1" baseType="lpstr">
      <vt:lpstr>1363908</vt:lpstr>
    </vt:vector>
  </TitlesOfParts>
  <Company>CSD</Company>
  <LinksUpToDate>false</LinksUpToDate>
  <CharactersWithSpaces>22915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1363908</dc:title>
  <dc:subject>CERD/C/XXX/CO/R.Y</dc:subject>
  <dc:creator>Morris</dc:creator>
  <cp:keywords/>
  <dc:description>Final</dc:description>
  <cp:lastModifiedBy>Brigoli</cp:lastModifiedBy>
  <cp:revision>2</cp:revision>
  <cp:lastPrinted>2014-03-14T07:33:00Z</cp:lastPrinted>
  <dcterms:created xsi:type="dcterms:W3CDTF">2014-03-14T11:49:00Z</dcterms:created>
  <dcterms:modified xsi:type="dcterms:W3CDTF">2014-03-14T11:49:00Z</dcterms:modified>
</cp:coreProperties>
</file>