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DA159A8" w14:textId="77777777" w:rsidTr="008F3CA0">
        <w:trPr>
          <w:trHeight w:hRule="exact" w:val="851"/>
        </w:trPr>
        <w:tc>
          <w:tcPr>
            <w:tcW w:w="1276" w:type="dxa"/>
            <w:tcBorders>
              <w:bottom w:val="single" w:sz="4" w:space="0" w:color="auto"/>
            </w:tcBorders>
          </w:tcPr>
          <w:p w14:paraId="2A200BE2" w14:textId="77777777" w:rsidR="000354E9" w:rsidRPr="00DB58B5" w:rsidRDefault="000354E9" w:rsidP="004F7501"/>
        </w:tc>
        <w:tc>
          <w:tcPr>
            <w:tcW w:w="2268" w:type="dxa"/>
            <w:tcBorders>
              <w:bottom w:val="single" w:sz="4" w:space="0" w:color="auto"/>
            </w:tcBorders>
            <w:vAlign w:val="bottom"/>
          </w:tcPr>
          <w:p w14:paraId="2A74A8D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7EA589" w14:textId="6DE67D6D" w:rsidR="000354E9" w:rsidRPr="00DB58B5" w:rsidRDefault="004F7501" w:rsidP="004F7501">
            <w:pPr>
              <w:jc w:val="right"/>
            </w:pPr>
            <w:r w:rsidRPr="004F7501">
              <w:rPr>
                <w:sz w:val="40"/>
              </w:rPr>
              <w:t>CRC</w:t>
            </w:r>
            <w:r>
              <w:t>/C/86/D/82/2019</w:t>
            </w:r>
          </w:p>
        </w:tc>
      </w:tr>
      <w:tr w:rsidR="000354E9" w:rsidRPr="00DB58B5" w14:paraId="59D4AFBF" w14:textId="77777777" w:rsidTr="008F3CA0">
        <w:trPr>
          <w:trHeight w:hRule="exact" w:val="2835"/>
        </w:trPr>
        <w:tc>
          <w:tcPr>
            <w:tcW w:w="1276" w:type="dxa"/>
            <w:tcBorders>
              <w:top w:val="single" w:sz="4" w:space="0" w:color="auto"/>
              <w:bottom w:val="single" w:sz="12" w:space="0" w:color="auto"/>
            </w:tcBorders>
          </w:tcPr>
          <w:p w14:paraId="01F93031" w14:textId="77777777" w:rsidR="000354E9" w:rsidRPr="00DB58B5" w:rsidRDefault="000354E9" w:rsidP="008F3CA0">
            <w:pPr>
              <w:spacing w:before="120"/>
              <w:jc w:val="center"/>
            </w:pPr>
            <w:r>
              <w:rPr>
                <w:noProof/>
                <w:lang w:eastAsia="fr-CH"/>
              </w:rPr>
              <w:drawing>
                <wp:inline distT="0" distB="0" distL="0" distR="0" wp14:anchorId="0EEFC53A" wp14:editId="1F6DFF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BA7714"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6A8C87F" w14:textId="20CA078E" w:rsidR="000354E9" w:rsidRDefault="004F7501" w:rsidP="008F3CA0">
            <w:pPr>
              <w:spacing w:before="240"/>
            </w:pPr>
            <w:proofErr w:type="spellStart"/>
            <w:r>
              <w:t>Distr</w:t>
            </w:r>
            <w:proofErr w:type="spellEnd"/>
            <w:r w:rsidR="00B5418D" w:rsidRPr="00B5418D">
              <w:t>.</w:t>
            </w:r>
            <w:r>
              <w:t xml:space="preserve"> générale</w:t>
            </w:r>
          </w:p>
          <w:p w14:paraId="3F8DDE00" w14:textId="77777777" w:rsidR="004F7501" w:rsidRDefault="004F7501" w:rsidP="004F7501">
            <w:pPr>
              <w:spacing w:line="240" w:lineRule="exact"/>
            </w:pPr>
            <w:r>
              <w:t>2 mars 2021</w:t>
            </w:r>
          </w:p>
          <w:p w14:paraId="77030BC5" w14:textId="77777777" w:rsidR="004F7501" w:rsidRDefault="004F7501" w:rsidP="004F7501">
            <w:pPr>
              <w:spacing w:line="240" w:lineRule="exact"/>
            </w:pPr>
            <w:r>
              <w:t>Français</w:t>
            </w:r>
          </w:p>
          <w:p w14:paraId="3F772BB6" w14:textId="2EB7ED12" w:rsidR="004F7501" w:rsidRPr="00DB58B5" w:rsidRDefault="004F7501" w:rsidP="004F7501">
            <w:pPr>
              <w:spacing w:line="240" w:lineRule="exact"/>
            </w:pPr>
            <w:r>
              <w:t>Original : anglais</w:t>
            </w:r>
          </w:p>
        </w:tc>
      </w:tr>
    </w:tbl>
    <w:p w14:paraId="4F6708EE" w14:textId="77777777" w:rsidR="002D14A3" w:rsidRDefault="002D14A3" w:rsidP="002D14A3">
      <w:pPr>
        <w:spacing w:before="120"/>
        <w:rPr>
          <w:b/>
          <w:sz w:val="24"/>
          <w:szCs w:val="24"/>
        </w:rPr>
      </w:pPr>
      <w:r w:rsidRPr="00DA3BE9">
        <w:rPr>
          <w:b/>
          <w:sz w:val="24"/>
          <w:szCs w:val="24"/>
        </w:rPr>
        <w:t>Comité des droits de l’enfant</w:t>
      </w:r>
    </w:p>
    <w:p w14:paraId="6D569822" w14:textId="324C9623" w:rsidR="004F7501" w:rsidRPr="00BD7862" w:rsidRDefault="004F7501" w:rsidP="004F7501">
      <w:pPr>
        <w:pStyle w:val="HChG"/>
        <w:rPr>
          <w:lang w:val="fr-FR" w:eastAsia="zh-CN"/>
        </w:rPr>
      </w:pPr>
      <w:r w:rsidRPr="00BD7862">
        <w:rPr>
          <w:lang w:val="fr-FR" w:eastAsia="zh-CN"/>
        </w:rPr>
        <w:tab/>
      </w:r>
      <w:r w:rsidRPr="00BD7862">
        <w:rPr>
          <w:lang w:val="fr-FR" w:eastAsia="zh-CN"/>
        </w:rPr>
        <w:tab/>
        <w:t xml:space="preserve">Décision adoptée par le </w:t>
      </w:r>
      <w:r>
        <w:rPr>
          <w:lang w:val="fr-FR" w:eastAsia="zh-CN"/>
        </w:rPr>
        <w:t xml:space="preserve">Comité au titre du Protocole facultatif à la Convention relative aux droits de </w:t>
      </w:r>
      <w:r w:rsidR="00B5418D">
        <w:rPr>
          <w:lang w:val="fr-FR" w:eastAsia="zh-CN"/>
        </w:rPr>
        <w:br/>
      </w:r>
      <w:r>
        <w:rPr>
          <w:lang w:val="fr-FR" w:eastAsia="zh-CN"/>
        </w:rPr>
        <w:t xml:space="preserve">l’enfant établissant une procédure de présentation de communications, concernant la communication </w:t>
      </w:r>
      <w:r w:rsidRPr="004F7501">
        <w:rPr>
          <w:rFonts w:eastAsia="MS Mincho"/>
          <w:lang w:val="fr-FR" w:eastAsia="zh-CN"/>
        </w:rPr>
        <w:t>n</w:t>
      </w:r>
      <w:r w:rsidRPr="004F7501">
        <w:rPr>
          <w:rFonts w:eastAsia="MS Mincho"/>
          <w:vertAlign w:val="superscript"/>
          <w:lang w:val="fr-FR" w:eastAsia="zh-CN"/>
        </w:rPr>
        <w:t>o</w:t>
      </w:r>
      <w:r>
        <w:rPr>
          <w:lang w:val="fr-FR" w:eastAsia="zh-CN"/>
        </w:rPr>
        <w:t> </w:t>
      </w:r>
      <w:r w:rsidRPr="00BD7862">
        <w:rPr>
          <w:lang w:val="fr-FR" w:eastAsia="zh-CN"/>
        </w:rPr>
        <w:t>82/2019</w:t>
      </w:r>
      <w:r w:rsidRPr="002512B1">
        <w:rPr>
          <w:rStyle w:val="Appelnotedebasdep"/>
          <w:b w:val="0"/>
          <w:bCs/>
          <w:sz w:val="20"/>
          <w:vertAlign w:val="baseline"/>
          <w:lang w:val="fr-FR" w:eastAsia="zh-CN"/>
        </w:rPr>
        <w:footnoteReference w:customMarkFollows="1" w:id="2"/>
        <w:t>*</w:t>
      </w:r>
      <w:r w:rsidRPr="002512B1">
        <w:rPr>
          <w:b w:val="0"/>
          <w:bCs/>
          <w:position w:val="8"/>
          <w:sz w:val="20"/>
          <w:szCs w:val="14"/>
          <w:lang w:val="fr-FR" w:eastAsia="zh-CN"/>
        </w:rPr>
        <w:t>,</w:t>
      </w:r>
      <w:r w:rsidRPr="00BD7862">
        <w:rPr>
          <w:b w:val="0"/>
          <w:bCs/>
          <w:sz w:val="20"/>
          <w:szCs w:val="14"/>
          <w:lang w:val="fr-FR" w:eastAsia="zh-CN"/>
        </w:rPr>
        <w:t xml:space="preserve"> </w:t>
      </w:r>
      <w:r w:rsidRPr="00BD7862">
        <w:rPr>
          <w:b w:val="0"/>
          <w:bCs/>
          <w:sz w:val="20"/>
          <w:szCs w:val="14"/>
          <w:lang w:val="fr-FR" w:eastAsia="zh-CN"/>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737"/>
        <w:gridCol w:w="4068"/>
      </w:tblGrid>
      <w:tr w:rsidR="004F7501" w:rsidRPr="002512B1" w14:paraId="112729DB" w14:textId="77777777" w:rsidTr="004F7501">
        <w:tc>
          <w:tcPr>
            <w:tcW w:w="2737" w:type="dxa"/>
          </w:tcPr>
          <w:p w14:paraId="2E17405F" w14:textId="77777777" w:rsidR="004F7501" w:rsidRDefault="004F7501" w:rsidP="009D7378">
            <w:pPr>
              <w:pStyle w:val="SingleTxtG"/>
              <w:ind w:left="0" w:right="0"/>
              <w:jc w:val="left"/>
              <w:rPr>
                <w:i/>
              </w:rPr>
            </w:pPr>
            <w:r>
              <w:rPr>
                <w:i/>
              </w:rPr>
              <w:t>Communication présentée par</w:t>
            </w:r>
            <w:r>
              <w:t> :</w:t>
            </w:r>
          </w:p>
        </w:tc>
        <w:tc>
          <w:tcPr>
            <w:tcW w:w="4068" w:type="dxa"/>
          </w:tcPr>
          <w:p w14:paraId="4D0D4544" w14:textId="6C9F1AF1" w:rsidR="004F7501" w:rsidRPr="002512B1" w:rsidRDefault="004F7501" w:rsidP="009D7378">
            <w:pPr>
              <w:pStyle w:val="SingleTxtG"/>
              <w:ind w:left="0" w:right="0"/>
              <w:jc w:val="left"/>
            </w:pPr>
            <w:r w:rsidRPr="00BD7862">
              <w:rPr>
                <w:lang w:val="fr-FR"/>
              </w:rPr>
              <w:t>Z</w:t>
            </w:r>
            <w:r w:rsidR="00B5418D" w:rsidRPr="00B5418D">
              <w:rPr>
                <w:lang w:val="fr-FR"/>
              </w:rPr>
              <w:t>.</w:t>
            </w:r>
            <w:r>
              <w:rPr>
                <w:lang w:val="fr-FR"/>
              </w:rPr>
              <w:t> </w:t>
            </w:r>
            <w:r w:rsidRPr="00BD7862">
              <w:rPr>
                <w:lang w:val="fr-FR"/>
              </w:rPr>
              <w:t>A</w:t>
            </w:r>
            <w:r w:rsidR="00B5418D" w:rsidRPr="00B5418D">
              <w:rPr>
                <w:lang w:val="fr-FR"/>
              </w:rPr>
              <w:t>.</w:t>
            </w:r>
            <w:r w:rsidRPr="00BD7862">
              <w:rPr>
                <w:lang w:val="fr-FR"/>
              </w:rPr>
              <w:t xml:space="preserve"> (</w:t>
            </w:r>
            <w:r>
              <w:rPr>
                <w:lang w:val="fr-FR"/>
              </w:rPr>
              <w:t>représenté par un conseil</w:t>
            </w:r>
            <w:r w:rsidRPr="00BD7862">
              <w:rPr>
                <w:lang w:val="fr-FR"/>
              </w:rPr>
              <w:t xml:space="preserve">, </w:t>
            </w:r>
            <w:proofErr w:type="spellStart"/>
            <w:r w:rsidRPr="00BD7862">
              <w:rPr>
                <w:lang w:val="fr-FR"/>
              </w:rPr>
              <w:t>Dominik</w:t>
            </w:r>
            <w:proofErr w:type="spellEnd"/>
            <w:r w:rsidRPr="00BD7862">
              <w:rPr>
                <w:lang w:val="fr-FR"/>
              </w:rPr>
              <w:t xml:space="preserve"> Andreas</w:t>
            </w:r>
            <w:r w:rsidR="00B5418D">
              <w:rPr>
                <w:lang w:val="fr-FR"/>
              </w:rPr>
              <w:t> </w:t>
            </w:r>
            <w:r w:rsidRPr="00BD7862">
              <w:rPr>
                <w:lang w:val="fr-FR"/>
              </w:rPr>
              <w:t>Bender)</w:t>
            </w:r>
          </w:p>
        </w:tc>
      </w:tr>
      <w:tr w:rsidR="004F7501" w14:paraId="66F6340B" w14:textId="77777777" w:rsidTr="004F7501">
        <w:tc>
          <w:tcPr>
            <w:tcW w:w="2737" w:type="dxa"/>
          </w:tcPr>
          <w:p w14:paraId="267D7C78" w14:textId="77777777" w:rsidR="004F7501" w:rsidRDefault="004F7501" w:rsidP="009D7378">
            <w:pPr>
              <w:pStyle w:val="SingleTxtG"/>
              <w:ind w:left="0" w:right="0"/>
              <w:jc w:val="left"/>
              <w:rPr>
                <w:i/>
              </w:rPr>
            </w:pPr>
            <w:r>
              <w:rPr>
                <w:i/>
                <w:iCs/>
                <w:lang w:val="fr-FR"/>
              </w:rPr>
              <w:t>Victime(s) présumée(s) </w:t>
            </w:r>
            <w:r>
              <w:t>:</w:t>
            </w:r>
          </w:p>
        </w:tc>
        <w:tc>
          <w:tcPr>
            <w:tcW w:w="4068" w:type="dxa"/>
          </w:tcPr>
          <w:p w14:paraId="371CCD21" w14:textId="77777777" w:rsidR="004F7501" w:rsidRDefault="004F7501" w:rsidP="009D7378">
            <w:pPr>
              <w:pStyle w:val="SingleTxtG"/>
              <w:ind w:left="0" w:right="0"/>
              <w:jc w:val="left"/>
            </w:pPr>
            <w:r>
              <w:rPr>
                <w:lang w:val="fr-FR"/>
              </w:rPr>
              <w:t>L’auteur</w:t>
            </w:r>
          </w:p>
        </w:tc>
      </w:tr>
      <w:tr w:rsidR="004F7501" w14:paraId="06B80653" w14:textId="77777777" w:rsidTr="004F7501">
        <w:tc>
          <w:tcPr>
            <w:tcW w:w="2737" w:type="dxa"/>
          </w:tcPr>
          <w:p w14:paraId="0E3767A9" w14:textId="77777777" w:rsidR="004F7501" w:rsidRDefault="004F7501" w:rsidP="009D7378">
            <w:pPr>
              <w:pStyle w:val="SingleTxtG"/>
              <w:ind w:left="0" w:right="0"/>
              <w:jc w:val="left"/>
              <w:rPr>
                <w:i/>
              </w:rPr>
            </w:pPr>
            <w:r>
              <w:rPr>
                <w:i/>
              </w:rPr>
              <w:t>État partie</w:t>
            </w:r>
            <w:r>
              <w:t> :</w:t>
            </w:r>
          </w:p>
        </w:tc>
        <w:tc>
          <w:tcPr>
            <w:tcW w:w="4068" w:type="dxa"/>
          </w:tcPr>
          <w:p w14:paraId="7E9073D1" w14:textId="77777777" w:rsidR="004F7501" w:rsidRDefault="004F7501" w:rsidP="009D7378">
            <w:pPr>
              <w:pStyle w:val="SingleTxtG"/>
              <w:ind w:left="0" w:right="0"/>
              <w:jc w:val="left"/>
            </w:pPr>
            <w:r>
              <w:rPr>
                <w:lang w:val="fr-FR"/>
              </w:rPr>
              <w:t>Allemagne</w:t>
            </w:r>
          </w:p>
        </w:tc>
      </w:tr>
      <w:tr w:rsidR="004F7501" w14:paraId="51C7DE59" w14:textId="77777777" w:rsidTr="004F7501">
        <w:tc>
          <w:tcPr>
            <w:tcW w:w="2737" w:type="dxa"/>
          </w:tcPr>
          <w:p w14:paraId="5CD7591F" w14:textId="77777777" w:rsidR="004F7501" w:rsidRDefault="004F7501" w:rsidP="009D7378">
            <w:pPr>
              <w:pStyle w:val="SingleTxtG"/>
              <w:ind w:left="0" w:right="0"/>
              <w:jc w:val="left"/>
              <w:rPr>
                <w:i/>
              </w:rPr>
            </w:pPr>
            <w:r>
              <w:rPr>
                <w:i/>
              </w:rPr>
              <w:t>Date de la communication</w:t>
            </w:r>
            <w:r>
              <w:t> :</w:t>
            </w:r>
          </w:p>
        </w:tc>
        <w:tc>
          <w:tcPr>
            <w:tcW w:w="4068" w:type="dxa"/>
          </w:tcPr>
          <w:p w14:paraId="4C82D23A" w14:textId="77777777" w:rsidR="004F7501" w:rsidRDefault="004F7501" w:rsidP="009D7378">
            <w:pPr>
              <w:pStyle w:val="SingleTxtG"/>
              <w:ind w:left="0" w:right="0"/>
              <w:jc w:val="left"/>
            </w:pPr>
            <w:r w:rsidRPr="00BD7862">
              <w:rPr>
                <w:lang w:val="fr-FR"/>
              </w:rPr>
              <w:t xml:space="preserve">6 </w:t>
            </w:r>
            <w:r>
              <w:rPr>
                <w:lang w:val="fr-FR"/>
              </w:rPr>
              <w:t>avril</w:t>
            </w:r>
            <w:r w:rsidRPr="00BD7862">
              <w:rPr>
                <w:lang w:val="fr-FR"/>
              </w:rPr>
              <w:t xml:space="preserve"> 2019</w:t>
            </w:r>
          </w:p>
        </w:tc>
      </w:tr>
      <w:tr w:rsidR="004F7501" w:rsidRPr="002512B1" w14:paraId="1504E5C7" w14:textId="77777777" w:rsidTr="004F7501">
        <w:tc>
          <w:tcPr>
            <w:tcW w:w="2737" w:type="dxa"/>
          </w:tcPr>
          <w:p w14:paraId="7BA9F005" w14:textId="77777777" w:rsidR="004F7501" w:rsidRDefault="004F7501" w:rsidP="009D7378">
            <w:pPr>
              <w:pStyle w:val="SingleTxtG"/>
              <w:ind w:left="0" w:right="0"/>
              <w:jc w:val="left"/>
            </w:pPr>
            <w:r>
              <w:rPr>
                <w:i/>
              </w:rPr>
              <w:t>Objet</w:t>
            </w:r>
            <w:r>
              <w:t> :</w:t>
            </w:r>
          </w:p>
        </w:tc>
        <w:tc>
          <w:tcPr>
            <w:tcW w:w="4068" w:type="dxa"/>
            <w:vAlign w:val="bottom"/>
          </w:tcPr>
          <w:p w14:paraId="4169DB0A" w14:textId="77777777" w:rsidR="004F7501" w:rsidRPr="002512B1" w:rsidRDefault="004F7501" w:rsidP="009D7378">
            <w:pPr>
              <w:pStyle w:val="SingleTxtG"/>
              <w:ind w:left="0" w:right="0"/>
              <w:jc w:val="left"/>
            </w:pPr>
            <w:r>
              <w:rPr>
                <w:lang w:val="fr-FR"/>
              </w:rPr>
              <w:t>Expulsion de l’auteur de l’Allemagne vers la Suède</w:t>
            </w:r>
          </w:p>
        </w:tc>
      </w:tr>
      <w:tr w:rsidR="004F7501" w:rsidRPr="002512B1" w14:paraId="65E406BD" w14:textId="77777777" w:rsidTr="004F7501">
        <w:tc>
          <w:tcPr>
            <w:tcW w:w="2737" w:type="dxa"/>
          </w:tcPr>
          <w:p w14:paraId="77EFC048" w14:textId="77777777" w:rsidR="004F7501" w:rsidRDefault="004F7501" w:rsidP="009D7378">
            <w:pPr>
              <w:pStyle w:val="SingleTxtG"/>
              <w:ind w:left="0" w:right="0"/>
              <w:jc w:val="left"/>
            </w:pPr>
            <w:r>
              <w:rPr>
                <w:i/>
              </w:rPr>
              <w:t>Question(s) de fond</w:t>
            </w:r>
            <w:r>
              <w:t> :</w:t>
            </w:r>
          </w:p>
        </w:tc>
        <w:tc>
          <w:tcPr>
            <w:tcW w:w="4068" w:type="dxa"/>
            <w:vAlign w:val="bottom"/>
          </w:tcPr>
          <w:p w14:paraId="43B084D0" w14:textId="77777777" w:rsidR="004F7501" w:rsidRPr="002512B1" w:rsidRDefault="004F7501" w:rsidP="009D7378">
            <w:pPr>
              <w:pStyle w:val="SingleTxtG"/>
              <w:ind w:left="0" w:right="0"/>
              <w:jc w:val="left"/>
            </w:pPr>
            <w:r w:rsidRPr="00BD7862">
              <w:rPr>
                <w:lang w:val="fr-FR"/>
              </w:rPr>
              <w:t>Non-refoulement</w:t>
            </w:r>
            <w:r>
              <w:rPr>
                <w:lang w:val="fr-FR"/>
              </w:rPr>
              <w:t> ;</w:t>
            </w:r>
            <w:r w:rsidRPr="00BD7862">
              <w:rPr>
                <w:lang w:val="fr-FR"/>
              </w:rPr>
              <w:t xml:space="preserve"> </w:t>
            </w:r>
            <w:r>
              <w:rPr>
                <w:lang w:val="fr-FR"/>
              </w:rPr>
              <w:t>intérêt supérieur de l’enfant ; droit à la vie ; droit à la santé</w:t>
            </w:r>
          </w:p>
        </w:tc>
      </w:tr>
      <w:tr w:rsidR="004F7501" w:rsidRPr="002512B1" w14:paraId="1D6E56C8" w14:textId="77777777" w:rsidTr="004F7501">
        <w:tc>
          <w:tcPr>
            <w:tcW w:w="2737" w:type="dxa"/>
          </w:tcPr>
          <w:p w14:paraId="77E35F11" w14:textId="77777777" w:rsidR="004F7501" w:rsidRPr="002512B1" w:rsidRDefault="004F7501" w:rsidP="009D7378">
            <w:pPr>
              <w:pStyle w:val="SingleTxtG"/>
              <w:ind w:left="0" w:right="0"/>
              <w:jc w:val="left"/>
            </w:pPr>
            <w:r w:rsidRPr="002512B1">
              <w:rPr>
                <w:i/>
              </w:rPr>
              <w:t>Article(s) de la Convention</w:t>
            </w:r>
            <w:r w:rsidRPr="002512B1">
              <w:t> :</w:t>
            </w:r>
          </w:p>
        </w:tc>
        <w:tc>
          <w:tcPr>
            <w:tcW w:w="4068" w:type="dxa"/>
            <w:vAlign w:val="bottom"/>
          </w:tcPr>
          <w:p w14:paraId="68C30A48" w14:textId="50A3ECFD" w:rsidR="004F7501" w:rsidRPr="002512B1" w:rsidRDefault="004F7501" w:rsidP="009D7378">
            <w:pPr>
              <w:pStyle w:val="SingleTxtG"/>
              <w:ind w:left="0" w:right="0"/>
              <w:jc w:val="left"/>
            </w:pPr>
            <w:r w:rsidRPr="00BD7862">
              <w:rPr>
                <w:lang w:val="fr-FR"/>
              </w:rPr>
              <w:t>3 (</w:t>
            </w:r>
            <w:r>
              <w:rPr>
                <w:lang w:val="fr-FR"/>
              </w:rPr>
              <w:t>par</w:t>
            </w:r>
            <w:r w:rsidR="00B5418D" w:rsidRPr="00B5418D">
              <w:rPr>
                <w:lang w:val="fr-FR"/>
              </w:rPr>
              <w:t>.</w:t>
            </w:r>
            <w:r>
              <w:rPr>
                <w:lang w:val="fr-FR"/>
              </w:rPr>
              <w:t xml:space="preserve"> </w:t>
            </w:r>
            <w:r w:rsidRPr="00BD7862">
              <w:rPr>
                <w:lang w:val="fr-FR"/>
              </w:rPr>
              <w:t>1), 6, 23 (</w:t>
            </w:r>
            <w:r>
              <w:rPr>
                <w:lang w:val="fr-FR"/>
              </w:rPr>
              <w:t>par</w:t>
            </w:r>
            <w:r w:rsidR="00B5418D" w:rsidRPr="00B5418D">
              <w:rPr>
                <w:lang w:val="fr-FR"/>
              </w:rPr>
              <w:t>.</w:t>
            </w:r>
            <w:r>
              <w:rPr>
                <w:lang w:val="fr-FR"/>
              </w:rPr>
              <w:t xml:space="preserve"> </w:t>
            </w:r>
            <w:r w:rsidRPr="00BD7862">
              <w:rPr>
                <w:lang w:val="fr-FR"/>
              </w:rPr>
              <w:t xml:space="preserve">1) </w:t>
            </w:r>
            <w:r>
              <w:rPr>
                <w:lang w:val="fr-FR"/>
              </w:rPr>
              <w:t xml:space="preserve">et </w:t>
            </w:r>
            <w:r w:rsidRPr="00BD7862">
              <w:rPr>
                <w:lang w:val="fr-FR"/>
              </w:rPr>
              <w:t>24 (</w:t>
            </w:r>
            <w:r>
              <w:rPr>
                <w:lang w:val="fr-FR"/>
              </w:rPr>
              <w:t>par</w:t>
            </w:r>
            <w:r w:rsidR="00B5418D" w:rsidRPr="00B5418D">
              <w:rPr>
                <w:lang w:val="fr-FR"/>
              </w:rPr>
              <w:t>.</w:t>
            </w:r>
            <w:r>
              <w:rPr>
                <w:lang w:val="fr-FR"/>
              </w:rPr>
              <w:t xml:space="preserve"> </w:t>
            </w:r>
            <w:r w:rsidRPr="00BD7862">
              <w:rPr>
                <w:lang w:val="fr-FR"/>
              </w:rPr>
              <w:t>1)</w:t>
            </w:r>
          </w:p>
        </w:tc>
      </w:tr>
    </w:tbl>
    <w:p w14:paraId="2D03FC57" w14:textId="5E7243B7" w:rsidR="004F7501" w:rsidRPr="00BD7862" w:rsidRDefault="004F7501" w:rsidP="004F7501">
      <w:pPr>
        <w:pStyle w:val="SingleTxtG"/>
        <w:spacing w:before="240"/>
        <w:rPr>
          <w:lang w:val="fr-FR"/>
        </w:rPr>
      </w:pPr>
      <w:r w:rsidRPr="00BD7862">
        <w:rPr>
          <w:lang w:val="fr-FR"/>
        </w:rPr>
        <w:t>1</w:t>
      </w:r>
      <w:r w:rsidR="00B5418D" w:rsidRPr="00B5418D">
        <w:rPr>
          <w:lang w:val="fr-FR"/>
        </w:rPr>
        <w:t>.</w:t>
      </w:r>
      <w:r w:rsidRPr="00BD7862">
        <w:rPr>
          <w:lang w:val="fr-FR"/>
        </w:rPr>
        <w:tab/>
      </w:r>
      <w:r>
        <w:rPr>
          <w:lang w:val="fr-FR"/>
        </w:rPr>
        <w:t xml:space="preserve">L’auteur de la </w:t>
      </w:r>
      <w:r w:rsidRPr="00BD7862">
        <w:rPr>
          <w:lang w:val="fr-FR"/>
        </w:rPr>
        <w:t xml:space="preserve">communication </w:t>
      </w:r>
      <w:r>
        <w:rPr>
          <w:lang w:val="fr-FR"/>
        </w:rPr>
        <w:t xml:space="preserve">est </w:t>
      </w:r>
      <w:r w:rsidRPr="00BD7862">
        <w:rPr>
          <w:lang w:val="fr-FR"/>
        </w:rPr>
        <w:t>Z</w:t>
      </w:r>
      <w:r w:rsidR="00B5418D" w:rsidRPr="00B5418D">
        <w:rPr>
          <w:lang w:val="fr-FR"/>
        </w:rPr>
        <w:t>.</w:t>
      </w:r>
      <w:r w:rsidR="00B5418D">
        <w:rPr>
          <w:lang w:val="fr-FR"/>
        </w:rPr>
        <w:t> </w:t>
      </w:r>
      <w:r w:rsidRPr="00BD7862">
        <w:rPr>
          <w:lang w:val="fr-FR"/>
        </w:rPr>
        <w:t>A</w:t>
      </w:r>
      <w:r w:rsidR="00B5418D" w:rsidRPr="00B5418D">
        <w:rPr>
          <w:lang w:val="fr-FR"/>
        </w:rPr>
        <w:t>.</w:t>
      </w:r>
      <w:r w:rsidRPr="00BD7862">
        <w:rPr>
          <w:lang w:val="fr-FR"/>
        </w:rPr>
        <w:t xml:space="preserve">, </w:t>
      </w:r>
      <w:r>
        <w:rPr>
          <w:lang w:val="fr-FR"/>
        </w:rPr>
        <w:t xml:space="preserve">de nationalité somalienne, né en </w:t>
      </w:r>
      <w:r w:rsidRPr="00BD7862">
        <w:rPr>
          <w:lang w:val="fr-FR"/>
        </w:rPr>
        <w:t>2008</w:t>
      </w:r>
      <w:r w:rsidR="00B5418D" w:rsidRPr="00B5418D">
        <w:rPr>
          <w:lang w:val="fr-FR"/>
        </w:rPr>
        <w:t>.</w:t>
      </w:r>
      <w:r w:rsidRPr="00BD7862">
        <w:rPr>
          <w:lang w:val="fr-FR"/>
        </w:rPr>
        <w:t xml:space="preserve"> </w:t>
      </w:r>
      <w:r>
        <w:rPr>
          <w:lang w:val="fr-FR"/>
        </w:rPr>
        <w:t>Au moment de la présentation de la communication, l’auteur devait être expulsé d’Allemagne vers la Suède, où sa demande d’asile avait été rejetée</w:t>
      </w:r>
      <w:r w:rsidR="00B5418D" w:rsidRPr="00B5418D">
        <w:rPr>
          <w:lang w:val="fr-FR"/>
        </w:rPr>
        <w:t>.</w:t>
      </w:r>
      <w:r>
        <w:rPr>
          <w:lang w:val="fr-FR"/>
        </w:rPr>
        <w:t xml:space="preserve"> L’auteur affirmait que, s’il était renvoyé en Suède, il n’aurait pas accès à l’assistance et aux soins médicaux qui étaient essentiels non seulement à son bien-être, mais aussi à sa survie, et que son renvoi en Suède constituerait par conséquent une violation des droits qu’il tenait des articles </w:t>
      </w:r>
      <w:r w:rsidRPr="00BD7862">
        <w:rPr>
          <w:lang w:val="fr-FR"/>
        </w:rPr>
        <w:t>3 (</w:t>
      </w:r>
      <w:r>
        <w:rPr>
          <w:lang w:val="fr-FR"/>
        </w:rPr>
        <w:t>par</w:t>
      </w:r>
      <w:r w:rsidR="00B5418D" w:rsidRPr="00B5418D">
        <w:rPr>
          <w:lang w:val="fr-FR"/>
        </w:rPr>
        <w:t>.</w:t>
      </w:r>
      <w:r>
        <w:rPr>
          <w:lang w:val="fr-FR"/>
        </w:rPr>
        <w:t> </w:t>
      </w:r>
      <w:r w:rsidRPr="00BD7862">
        <w:rPr>
          <w:lang w:val="fr-FR"/>
        </w:rPr>
        <w:t>1), 6, 23</w:t>
      </w:r>
      <w:r>
        <w:rPr>
          <w:lang w:val="fr-FR"/>
        </w:rPr>
        <w:t> </w:t>
      </w:r>
      <w:r w:rsidRPr="00BD7862">
        <w:rPr>
          <w:lang w:val="fr-FR"/>
        </w:rPr>
        <w:t>(</w:t>
      </w:r>
      <w:r>
        <w:rPr>
          <w:lang w:val="fr-FR"/>
        </w:rPr>
        <w:t>par</w:t>
      </w:r>
      <w:r w:rsidR="00B5418D" w:rsidRPr="00B5418D">
        <w:rPr>
          <w:lang w:val="fr-FR"/>
        </w:rPr>
        <w:t>.</w:t>
      </w:r>
      <w:r>
        <w:rPr>
          <w:lang w:val="fr-FR"/>
        </w:rPr>
        <w:t> </w:t>
      </w:r>
      <w:r w:rsidRPr="00BD7862">
        <w:rPr>
          <w:lang w:val="fr-FR"/>
        </w:rPr>
        <w:t xml:space="preserve">1) </w:t>
      </w:r>
      <w:r>
        <w:rPr>
          <w:lang w:val="fr-FR"/>
        </w:rPr>
        <w:t xml:space="preserve">et </w:t>
      </w:r>
      <w:r w:rsidRPr="00BD7862">
        <w:rPr>
          <w:lang w:val="fr-FR"/>
        </w:rPr>
        <w:t>24 (</w:t>
      </w:r>
      <w:r>
        <w:rPr>
          <w:lang w:val="fr-FR"/>
        </w:rPr>
        <w:t>par</w:t>
      </w:r>
      <w:r w:rsidR="00B5418D" w:rsidRPr="00B5418D">
        <w:rPr>
          <w:lang w:val="fr-FR"/>
        </w:rPr>
        <w:t>.</w:t>
      </w:r>
      <w:r>
        <w:rPr>
          <w:lang w:val="fr-FR"/>
        </w:rPr>
        <w:t> </w:t>
      </w:r>
      <w:r w:rsidRPr="00BD7862">
        <w:rPr>
          <w:lang w:val="fr-FR"/>
        </w:rPr>
        <w:t xml:space="preserve">1) </w:t>
      </w:r>
      <w:r>
        <w:rPr>
          <w:lang w:val="fr-FR"/>
        </w:rPr>
        <w:t xml:space="preserve">de la </w:t>
      </w:r>
      <w:r w:rsidRPr="00BD7862">
        <w:rPr>
          <w:lang w:val="fr-FR"/>
        </w:rPr>
        <w:t>Convention</w:t>
      </w:r>
      <w:r w:rsidR="00B5418D" w:rsidRPr="00B5418D">
        <w:rPr>
          <w:lang w:val="fr-FR"/>
        </w:rPr>
        <w:t>.</w:t>
      </w:r>
      <w:r w:rsidRPr="00BD7862">
        <w:rPr>
          <w:lang w:val="fr-FR"/>
        </w:rPr>
        <w:t xml:space="preserve"> </w:t>
      </w:r>
    </w:p>
    <w:p w14:paraId="0CF46C9A" w14:textId="4313CCD2" w:rsidR="004F7501" w:rsidRPr="00BD7862" w:rsidRDefault="004F7501" w:rsidP="004F7501">
      <w:pPr>
        <w:pStyle w:val="SingleTxtG"/>
        <w:rPr>
          <w:lang w:val="fr-FR"/>
        </w:rPr>
      </w:pPr>
      <w:r w:rsidRPr="00BD7862">
        <w:rPr>
          <w:lang w:val="fr-FR"/>
        </w:rPr>
        <w:t>2</w:t>
      </w:r>
      <w:r w:rsidR="00B5418D" w:rsidRPr="00B5418D">
        <w:rPr>
          <w:lang w:val="fr-FR"/>
        </w:rPr>
        <w:t>.</w:t>
      </w:r>
      <w:r w:rsidRPr="00BD7862">
        <w:rPr>
          <w:lang w:val="fr-FR"/>
        </w:rPr>
        <w:tab/>
      </w:r>
      <w:r>
        <w:rPr>
          <w:lang w:val="fr-FR"/>
        </w:rPr>
        <w:t>L’auteur indiquait qu’il était né en Somalie</w:t>
      </w:r>
      <w:r w:rsidRPr="00BD7862">
        <w:rPr>
          <w:lang w:val="fr-FR"/>
        </w:rPr>
        <w:t xml:space="preserve">, </w:t>
      </w:r>
      <w:r>
        <w:rPr>
          <w:lang w:val="fr-FR"/>
        </w:rPr>
        <w:t>où on lui avait diagnostiqué une paralysie spasmodique sévère</w:t>
      </w:r>
      <w:r w:rsidR="00B5418D" w:rsidRPr="00B5418D">
        <w:rPr>
          <w:lang w:val="fr-FR"/>
        </w:rPr>
        <w:t>.</w:t>
      </w:r>
      <w:r w:rsidRPr="00BD7862">
        <w:rPr>
          <w:lang w:val="fr-FR"/>
        </w:rPr>
        <w:t xml:space="preserve"> </w:t>
      </w:r>
      <w:r>
        <w:rPr>
          <w:lang w:val="fr-FR"/>
        </w:rPr>
        <w:t>Il ne pouvait ni bouger, ni marcher</w:t>
      </w:r>
      <w:r w:rsidR="00B5418D" w:rsidRPr="00B5418D">
        <w:rPr>
          <w:lang w:val="fr-FR"/>
        </w:rPr>
        <w:t>.</w:t>
      </w:r>
      <w:r>
        <w:rPr>
          <w:lang w:val="fr-FR"/>
        </w:rPr>
        <w:t xml:space="preserve"> En août 2015, les demandes d’asile que l’auteur et sa mère avaient présentées en Suède avaient été rejetées par décision définitive</w:t>
      </w:r>
      <w:r w:rsidR="00B5418D" w:rsidRPr="00B5418D">
        <w:rPr>
          <w:lang w:val="fr-FR"/>
        </w:rPr>
        <w:t>.</w:t>
      </w:r>
      <w:r>
        <w:rPr>
          <w:lang w:val="fr-FR"/>
        </w:rPr>
        <w:t xml:space="preserve"> En février 2018, ils avaient quitté la Suède pour l’Allemagne</w:t>
      </w:r>
      <w:r w:rsidRPr="00BD7862">
        <w:rPr>
          <w:lang w:val="fr-FR"/>
        </w:rPr>
        <w:t xml:space="preserve">, </w:t>
      </w:r>
      <w:r>
        <w:rPr>
          <w:lang w:val="fr-FR"/>
        </w:rPr>
        <w:t>où ils avaient demandé l’asile</w:t>
      </w:r>
      <w:r w:rsidR="00B5418D" w:rsidRPr="00B5418D">
        <w:rPr>
          <w:lang w:val="fr-FR"/>
        </w:rPr>
        <w:t>.</w:t>
      </w:r>
      <w:r w:rsidRPr="00BD7862">
        <w:rPr>
          <w:lang w:val="fr-FR"/>
        </w:rPr>
        <w:t xml:space="preserve"> </w:t>
      </w:r>
      <w:r>
        <w:rPr>
          <w:lang w:val="fr-FR"/>
        </w:rPr>
        <w:t>Par décision de l’Office fédéral pour les migrations et les réfugiés</w:t>
      </w:r>
      <w:r w:rsidRPr="00EB3E87">
        <w:rPr>
          <w:lang w:val="fr-FR"/>
        </w:rPr>
        <w:t xml:space="preserve"> </w:t>
      </w:r>
      <w:r>
        <w:rPr>
          <w:lang w:val="fr-FR"/>
        </w:rPr>
        <w:t>en date du 4 avril 2018, leurs demandes d’asile avaient été déclarées irrecevables en vertu du règlement (UE) n</w:t>
      </w:r>
      <w:r w:rsidRPr="00F86DF4">
        <w:rPr>
          <w:vertAlign w:val="superscript"/>
          <w:lang w:val="fr-FR"/>
        </w:rPr>
        <w:t>o</w:t>
      </w:r>
      <w:r>
        <w:rPr>
          <w:lang w:val="fr-FR"/>
        </w:rPr>
        <w:t xml:space="preserve"> 604/2013 du Parlement européen et du Conseil du 26 juin 2013 </w:t>
      </w:r>
      <w:r w:rsidRPr="00BD7862">
        <w:rPr>
          <w:lang w:val="fr-FR"/>
        </w:rPr>
        <w:t>(</w:t>
      </w:r>
      <w:r w:rsidRPr="00F86DF4">
        <w:rPr>
          <w:lang w:val="fr-FR"/>
        </w:rPr>
        <w:t>règlement Dublin III</w:t>
      </w:r>
      <w:r w:rsidRPr="00BD7862">
        <w:rPr>
          <w:lang w:val="fr-FR"/>
        </w:rPr>
        <w:t>)</w:t>
      </w:r>
      <w:r w:rsidR="00B5418D" w:rsidRPr="00B5418D">
        <w:rPr>
          <w:lang w:val="fr-FR"/>
        </w:rPr>
        <w:t>.</w:t>
      </w:r>
      <w:r w:rsidRPr="00BD7862">
        <w:rPr>
          <w:lang w:val="fr-FR"/>
        </w:rPr>
        <w:t xml:space="preserve"> </w:t>
      </w:r>
      <w:r>
        <w:rPr>
          <w:lang w:val="fr-FR"/>
        </w:rPr>
        <w:t>L’auteur et sa mère avaient été expulsés vers la Suède le 21 août 2018</w:t>
      </w:r>
      <w:r w:rsidR="00B5418D" w:rsidRPr="00B5418D">
        <w:rPr>
          <w:lang w:val="fr-FR"/>
        </w:rPr>
        <w:t>.</w:t>
      </w:r>
      <w:r>
        <w:rPr>
          <w:lang w:val="fr-FR"/>
        </w:rPr>
        <w:t xml:space="preserve"> L’auteur affirmait qu’en Suède, sa mère et lui n’avaient bénéficié d’aucune aide, ni pour se loger, ni pour se nourrir</w:t>
      </w:r>
      <w:r w:rsidR="00B5418D" w:rsidRPr="00B5418D">
        <w:rPr>
          <w:lang w:val="fr-FR"/>
        </w:rPr>
        <w:t>.</w:t>
      </w:r>
      <w:r w:rsidRPr="00BD7862">
        <w:rPr>
          <w:lang w:val="fr-FR"/>
        </w:rPr>
        <w:t xml:space="preserve"> </w:t>
      </w:r>
      <w:r>
        <w:rPr>
          <w:lang w:val="fr-FR"/>
        </w:rPr>
        <w:t>Le 4 septembre 2018</w:t>
      </w:r>
      <w:r w:rsidRPr="00BD7862">
        <w:rPr>
          <w:lang w:val="fr-FR"/>
        </w:rPr>
        <w:t xml:space="preserve">, </w:t>
      </w:r>
      <w:r>
        <w:rPr>
          <w:lang w:val="fr-FR"/>
        </w:rPr>
        <w:t>ils étaient donc repartis en Allemagne, où ils avaient de nouveau demandé l’asile</w:t>
      </w:r>
      <w:r w:rsidR="00B5418D" w:rsidRPr="00B5418D">
        <w:rPr>
          <w:lang w:val="fr-FR"/>
        </w:rPr>
        <w:t>.</w:t>
      </w:r>
      <w:r w:rsidRPr="00BD7862">
        <w:rPr>
          <w:lang w:val="fr-FR"/>
        </w:rPr>
        <w:t xml:space="preserve"> </w:t>
      </w:r>
      <w:r>
        <w:rPr>
          <w:lang w:val="fr-FR"/>
        </w:rPr>
        <w:t xml:space="preserve">Le 19 décembre 2018, l’Office fédéral pour les migrations et les </w:t>
      </w:r>
      <w:r>
        <w:rPr>
          <w:lang w:val="fr-FR"/>
        </w:rPr>
        <w:lastRenderedPageBreak/>
        <w:t>réfugiés avait, comme précédemment, rejeté leur demande au motif qu’elle était irrecevable en vertu du règlement Dublin III</w:t>
      </w:r>
      <w:r w:rsidR="00B5418D" w:rsidRPr="00B5418D">
        <w:rPr>
          <w:lang w:val="fr-FR"/>
        </w:rPr>
        <w:t>.</w:t>
      </w:r>
      <w:r w:rsidRPr="00BD7862">
        <w:rPr>
          <w:lang w:val="fr-FR"/>
        </w:rPr>
        <w:t xml:space="preserve"> </w:t>
      </w:r>
    </w:p>
    <w:p w14:paraId="17F6FF01" w14:textId="7286374E" w:rsidR="004F7501" w:rsidRPr="00BD7862" w:rsidRDefault="004F7501" w:rsidP="004F7501">
      <w:pPr>
        <w:pStyle w:val="SingleTxtG"/>
        <w:rPr>
          <w:lang w:val="fr-FR"/>
        </w:rPr>
      </w:pPr>
      <w:r w:rsidRPr="00BD7862">
        <w:rPr>
          <w:lang w:val="fr-FR"/>
        </w:rPr>
        <w:t>3</w:t>
      </w:r>
      <w:r w:rsidR="00B5418D" w:rsidRPr="00B5418D">
        <w:rPr>
          <w:lang w:val="fr-FR"/>
        </w:rPr>
        <w:t>.</w:t>
      </w:r>
      <w:r w:rsidRPr="00BD7862">
        <w:rPr>
          <w:lang w:val="fr-FR"/>
        </w:rPr>
        <w:tab/>
      </w:r>
      <w:r>
        <w:rPr>
          <w:lang w:val="fr-FR"/>
        </w:rPr>
        <w:t>Le</w:t>
      </w:r>
      <w:r w:rsidRPr="00BD7862">
        <w:rPr>
          <w:lang w:val="fr-FR"/>
        </w:rPr>
        <w:t xml:space="preserve"> 7 </w:t>
      </w:r>
      <w:r>
        <w:rPr>
          <w:lang w:val="fr-FR"/>
        </w:rPr>
        <w:t xml:space="preserve">juin </w:t>
      </w:r>
      <w:r w:rsidRPr="00BD7862">
        <w:rPr>
          <w:lang w:val="fr-FR"/>
        </w:rPr>
        <w:t xml:space="preserve">2019, </w:t>
      </w:r>
      <w:r>
        <w:rPr>
          <w:lang w:val="fr-FR"/>
        </w:rPr>
        <w:t>l’État partie a communiqué ses observations sur la recevabilité de la plainte</w:t>
      </w:r>
      <w:r w:rsidR="00B5418D" w:rsidRPr="00B5418D">
        <w:rPr>
          <w:lang w:val="fr-FR"/>
        </w:rPr>
        <w:t>.</w:t>
      </w:r>
      <w:r w:rsidRPr="00BD7862">
        <w:rPr>
          <w:lang w:val="fr-FR"/>
        </w:rPr>
        <w:t xml:space="preserve"> </w:t>
      </w:r>
      <w:r>
        <w:rPr>
          <w:lang w:val="fr-FR"/>
        </w:rPr>
        <w:t>Il y faisait valoir que la communication devait être déclarée irrecevable pour non-épuisement des recours internes étant donné que, au moment où celle-ci avait été soumise, la Cour constitutionnelle fédérale n’avait pas encore statué sur le recours formé par l’auteur</w:t>
      </w:r>
      <w:r w:rsidR="00B5418D" w:rsidRPr="00B5418D">
        <w:rPr>
          <w:lang w:val="fr-FR"/>
        </w:rPr>
        <w:t>.</w:t>
      </w:r>
      <w:r>
        <w:rPr>
          <w:lang w:val="fr-FR"/>
        </w:rPr>
        <w:t xml:space="preserve"> L’État partie faisait observer en outre que, dans les renseignements qu’elles avaient fournis à son ambassade à Stockholm, les autorités suédoises avaient indiqué que les enfants avaient pleinement accès aux soins de santé, qu’ils soient ou non en possession d’un titre de séjour</w:t>
      </w:r>
      <w:r w:rsidR="00B5418D" w:rsidRPr="00B5418D">
        <w:rPr>
          <w:lang w:val="fr-FR"/>
        </w:rPr>
        <w:t>.</w:t>
      </w:r>
      <w:r w:rsidRPr="00BD7862">
        <w:rPr>
          <w:lang w:val="fr-FR"/>
        </w:rPr>
        <w:t xml:space="preserve"> </w:t>
      </w:r>
      <w:r>
        <w:rPr>
          <w:lang w:val="fr-FR"/>
        </w:rPr>
        <w:t>L’État partie signalait également que les griefs de l’auteur avaient été examinés par les autorités nationales, qui avaient conclu qu’il n’avait pas été établi que l’auteur ou sa mère risquaient d’être soumis à un traitement inhumain ou dégradant s’ils étaient renvoyés en Suède</w:t>
      </w:r>
      <w:r w:rsidR="00B5418D" w:rsidRPr="00B5418D">
        <w:rPr>
          <w:lang w:val="fr-FR"/>
        </w:rPr>
        <w:t>.</w:t>
      </w:r>
      <w:r w:rsidRPr="00BD7862">
        <w:rPr>
          <w:lang w:val="fr-FR"/>
        </w:rPr>
        <w:t xml:space="preserve"> </w:t>
      </w:r>
      <w:r>
        <w:rPr>
          <w:lang w:val="fr-FR"/>
        </w:rPr>
        <w:t>L’État partie affirmait par conséquent que la plainte était sans fondement</w:t>
      </w:r>
      <w:r w:rsidR="00B5418D" w:rsidRPr="00B5418D">
        <w:rPr>
          <w:lang w:val="fr-FR"/>
        </w:rPr>
        <w:t>.</w:t>
      </w:r>
    </w:p>
    <w:p w14:paraId="79A17F89" w14:textId="7398A19E" w:rsidR="004F7501" w:rsidRPr="00BD7862" w:rsidRDefault="004F7501" w:rsidP="004F7501">
      <w:pPr>
        <w:pStyle w:val="SingleTxtG"/>
        <w:rPr>
          <w:lang w:val="fr-FR"/>
        </w:rPr>
      </w:pPr>
      <w:r w:rsidRPr="00BD7862">
        <w:rPr>
          <w:lang w:val="fr-FR"/>
        </w:rPr>
        <w:t>4</w:t>
      </w:r>
      <w:r w:rsidR="00B5418D" w:rsidRPr="00B5418D">
        <w:rPr>
          <w:lang w:val="fr-FR"/>
        </w:rPr>
        <w:t>.</w:t>
      </w:r>
      <w:r w:rsidRPr="00BD7862">
        <w:rPr>
          <w:lang w:val="fr-FR"/>
        </w:rPr>
        <w:tab/>
      </w:r>
      <w:r>
        <w:rPr>
          <w:lang w:val="fr-FR"/>
        </w:rPr>
        <w:t xml:space="preserve">Le 2 juin </w:t>
      </w:r>
      <w:r w:rsidRPr="00BD7862">
        <w:rPr>
          <w:lang w:val="fr-FR"/>
        </w:rPr>
        <w:t xml:space="preserve">2020, </w:t>
      </w:r>
      <w:r>
        <w:rPr>
          <w:lang w:val="fr-FR"/>
        </w:rPr>
        <w:t>l’auteur a communiqué ses commentaires sur les observations de l’État partie</w:t>
      </w:r>
      <w:r w:rsidR="00B5418D" w:rsidRPr="00B5418D">
        <w:rPr>
          <w:lang w:val="fr-FR"/>
        </w:rPr>
        <w:t>.</w:t>
      </w:r>
      <w:r>
        <w:rPr>
          <w:lang w:val="fr-FR"/>
        </w:rPr>
        <w:t xml:space="preserve"> Il y maintenait que la communication était recevable</w:t>
      </w:r>
      <w:r w:rsidR="00B5418D" w:rsidRPr="00B5418D">
        <w:rPr>
          <w:lang w:val="fr-FR"/>
        </w:rPr>
        <w:t>.</w:t>
      </w:r>
      <w:r>
        <w:rPr>
          <w:lang w:val="fr-FR"/>
        </w:rPr>
        <w:t xml:space="preserve"> Il informait toutefois le Comité qu’il retirait sa plainte car il ne risquait plus d’être expulsé vers la Suède, le délai imparti pour son transfert conformément au règlement Dublin III ayant expiré</w:t>
      </w:r>
      <w:r w:rsidR="00B5418D" w:rsidRPr="00B5418D">
        <w:rPr>
          <w:lang w:val="fr-FR"/>
        </w:rPr>
        <w:t>.</w:t>
      </w:r>
    </w:p>
    <w:p w14:paraId="3927AE11" w14:textId="7AB29DDC" w:rsidR="007341B7" w:rsidRDefault="004F7501" w:rsidP="004F7501">
      <w:pPr>
        <w:pStyle w:val="SingleTxtG"/>
        <w:rPr>
          <w:lang w:val="fr-FR"/>
        </w:rPr>
      </w:pPr>
      <w:r w:rsidRPr="00BD7862">
        <w:rPr>
          <w:lang w:val="fr-FR"/>
        </w:rPr>
        <w:t>5</w:t>
      </w:r>
      <w:r w:rsidR="00B5418D" w:rsidRPr="00B5418D">
        <w:rPr>
          <w:lang w:val="fr-FR"/>
        </w:rPr>
        <w:t>.</w:t>
      </w:r>
      <w:r w:rsidRPr="00BD7862">
        <w:rPr>
          <w:lang w:val="fr-FR"/>
        </w:rPr>
        <w:tab/>
      </w:r>
      <w:r>
        <w:rPr>
          <w:lang w:val="fr-FR"/>
        </w:rPr>
        <w:t>Réuni le</w:t>
      </w:r>
      <w:r w:rsidRPr="00BD7862">
        <w:rPr>
          <w:lang w:val="fr-FR"/>
        </w:rPr>
        <w:t xml:space="preserve"> 4 </w:t>
      </w:r>
      <w:r>
        <w:rPr>
          <w:lang w:val="fr-FR"/>
        </w:rPr>
        <w:t xml:space="preserve">février </w:t>
      </w:r>
      <w:r w:rsidRPr="00BD7862">
        <w:rPr>
          <w:lang w:val="fr-FR"/>
        </w:rPr>
        <w:t xml:space="preserve">2021, </w:t>
      </w:r>
      <w:r>
        <w:rPr>
          <w:lang w:val="fr-FR"/>
        </w:rPr>
        <w:t>le Comité</w:t>
      </w:r>
      <w:r w:rsidRPr="00BD7862">
        <w:rPr>
          <w:lang w:val="fr-FR"/>
        </w:rPr>
        <w:t xml:space="preserve">, </w:t>
      </w:r>
      <w:r>
        <w:rPr>
          <w:lang w:val="fr-FR"/>
        </w:rPr>
        <w:t xml:space="preserve">à la lumière de la note de l’auteur l’informant du retrait </w:t>
      </w:r>
      <w:r w:rsidR="00B5418D">
        <w:rPr>
          <w:lang w:val="fr-FR"/>
        </w:rPr>
        <w:t xml:space="preserve">de </w:t>
      </w:r>
      <w:r>
        <w:rPr>
          <w:lang w:val="fr-FR"/>
        </w:rPr>
        <w:t>sa plainte</w:t>
      </w:r>
      <w:r w:rsidRPr="00BD7862">
        <w:rPr>
          <w:lang w:val="fr-FR"/>
        </w:rPr>
        <w:t xml:space="preserve">, </w:t>
      </w:r>
      <w:r>
        <w:rPr>
          <w:lang w:val="fr-FR"/>
        </w:rPr>
        <w:t xml:space="preserve">a estimé que </w:t>
      </w:r>
      <w:r w:rsidRPr="00430D94">
        <w:rPr>
          <w:lang w:val="fr-FR"/>
        </w:rPr>
        <w:t>l</w:t>
      </w:r>
      <w:r>
        <w:rPr>
          <w:lang w:val="fr-FR"/>
        </w:rPr>
        <w:t>’</w:t>
      </w:r>
      <w:r w:rsidRPr="00430D94">
        <w:rPr>
          <w:lang w:val="fr-FR"/>
        </w:rPr>
        <w:t>affaire avait perdu son objet</w:t>
      </w:r>
      <w:r>
        <w:rPr>
          <w:lang w:val="fr-FR"/>
        </w:rPr>
        <w:t xml:space="preserve"> et a décidé de mettre fin à l’examen de la </w:t>
      </w:r>
      <w:r w:rsidRPr="00BD7862">
        <w:rPr>
          <w:lang w:val="fr-FR"/>
        </w:rPr>
        <w:t xml:space="preserve">communication </w:t>
      </w:r>
      <w:r>
        <w:rPr>
          <w:lang w:val="fr-FR"/>
        </w:rPr>
        <w:t>n</w:t>
      </w:r>
      <w:r w:rsidRPr="000E43FF">
        <w:rPr>
          <w:vertAlign w:val="superscript"/>
          <w:lang w:val="fr-FR"/>
        </w:rPr>
        <w:t>o</w:t>
      </w:r>
      <w:r>
        <w:rPr>
          <w:lang w:val="fr-FR"/>
        </w:rPr>
        <w:t> </w:t>
      </w:r>
      <w:r w:rsidRPr="00BD7862">
        <w:rPr>
          <w:lang w:val="fr-FR"/>
        </w:rPr>
        <w:t>82/2019</w:t>
      </w:r>
      <w:r>
        <w:rPr>
          <w:lang w:val="fr-FR"/>
        </w:rPr>
        <w:t>, conformément à l’article </w:t>
      </w:r>
      <w:r w:rsidRPr="00BD7862">
        <w:rPr>
          <w:lang w:val="fr-FR"/>
        </w:rPr>
        <w:t xml:space="preserve">26 </w:t>
      </w:r>
      <w:r>
        <w:rPr>
          <w:lang w:val="fr-FR"/>
        </w:rPr>
        <w:t>de son règlement intérieur au titre du Protocole facultatif à la Convention relative aux droits de l’enfant établissant une procédure de présentation de communications</w:t>
      </w:r>
      <w:r w:rsidR="00B5418D" w:rsidRPr="00B5418D">
        <w:rPr>
          <w:lang w:val="fr-FR"/>
        </w:rPr>
        <w:t>.</w:t>
      </w:r>
    </w:p>
    <w:p w14:paraId="4ACD4790" w14:textId="403F43DE" w:rsidR="004F7501" w:rsidRPr="004F7501" w:rsidRDefault="004F7501" w:rsidP="004F7501">
      <w:pPr>
        <w:pStyle w:val="SingleTxtG"/>
        <w:spacing w:before="240" w:after="0"/>
        <w:jc w:val="center"/>
        <w:rPr>
          <w:u w:val="single"/>
        </w:rPr>
      </w:pPr>
      <w:r>
        <w:rPr>
          <w:u w:val="single"/>
        </w:rPr>
        <w:tab/>
      </w:r>
      <w:r>
        <w:rPr>
          <w:u w:val="single"/>
        </w:rPr>
        <w:tab/>
      </w:r>
      <w:r>
        <w:rPr>
          <w:u w:val="single"/>
        </w:rPr>
        <w:tab/>
      </w:r>
    </w:p>
    <w:sectPr w:rsidR="004F7501" w:rsidRPr="004F7501" w:rsidSect="004F75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F105B" w14:textId="77777777" w:rsidR="003377E2" w:rsidRDefault="003377E2" w:rsidP="00F95C08">
      <w:pPr>
        <w:spacing w:line="240" w:lineRule="auto"/>
      </w:pPr>
    </w:p>
  </w:endnote>
  <w:endnote w:type="continuationSeparator" w:id="0">
    <w:p w14:paraId="633EC72A" w14:textId="77777777" w:rsidR="003377E2" w:rsidRPr="00AC3823" w:rsidRDefault="003377E2" w:rsidP="00AC3823">
      <w:pPr>
        <w:pStyle w:val="Pieddepage"/>
      </w:pPr>
    </w:p>
  </w:endnote>
  <w:endnote w:type="continuationNotice" w:id="1">
    <w:p w14:paraId="0A2AB90E" w14:textId="77777777" w:rsidR="003377E2" w:rsidRDefault="00337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ACB0" w14:textId="42B8FC50" w:rsidR="004F7501" w:rsidRPr="004F7501" w:rsidRDefault="004F7501" w:rsidP="004F7501">
    <w:pPr>
      <w:pStyle w:val="Pieddepage"/>
      <w:tabs>
        <w:tab w:val="right" w:pos="9638"/>
      </w:tabs>
    </w:pPr>
    <w:r w:rsidRPr="004F7501">
      <w:rPr>
        <w:b/>
        <w:sz w:val="18"/>
      </w:rPr>
      <w:fldChar w:fldCharType="begin"/>
    </w:r>
    <w:r w:rsidRPr="004F7501">
      <w:rPr>
        <w:b/>
        <w:sz w:val="18"/>
      </w:rPr>
      <w:instrText xml:space="preserve"> PAGE  \* MERGEFORMAT </w:instrText>
    </w:r>
    <w:r w:rsidRPr="004F7501">
      <w:rPr>
        <w:b/>
        <w:sz w:val="18"/>
      </w:rPr>
      <w:fldChar w:fldCharType="separate"/>
    </w:r>
    <w:r w:rsidRPr="004F7501">
      <w:rPr>
        <w:b/>
        <w:noProof/>
        <w:sz w:val="18"/>
      </w:rPr>
      <w:t>2</w:t>
    </w:r>
    <w:r w:rsidRPr="004F7501">
      <w:rPr>
        <w:b/>
        <w:sz w:val="18"/>
      </w:rPr>
      <w:fldChar w:fldCharType="end"/>
    </w:r>
    <w:r>
      <w:rPr>
        <w:b/>
        <w:sz w:val="18"/>
      </w:rPr>
      <w:tab/>
    </w:r>
    <w:r>
      <w:t>GE</w:t>
    </w:r>
    <w:r w:rsidR="00B5418D" w:rsidRPr="00B5418D">
      <w:t>.</w:t>
    </w:r>
    <w:r>
      <w:t>21-02858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0C6" w14:textId="1B40553B" w:rsidR="004F7501" w:rsidRPr="004F7501" w:rsidRDefault="004F7501" w:rsidP="004F7501">
    <w:pPr>
      <w:pStyle w:val="Pieddepage"/>
      <w:tabs>
        <w:tab w:val="right" w:pos="9638"/>
      </w:tabs>
      <w:rPr>
        <w:b/>
        <w:sz w:val="18"/>
      </w:rPr>
    </w:pPr>
    <w:r>
      <w:t>GE</w:t>
    </w:r>
    <w:r w:rsidR="00B5418D" w:rsidRPr="00B5418D">
      <w:t>.</w:t>
    </w:r>
    <w:r>
      <w:t>21-02858</w:t>
    </w:r>
    <w:r>
      <w:tab/>
    </w:r>
    <w:r w:rsidRPr="004F7501">
      <w:rPr>
        <w:b/>
        <w:sz w:val="18"/>
      </w:rPr>
      <w:fldChar w:fldCharType="begin"/>
    </w:r>
    <w:r w:rsidRPr="004F7501">
      <w:rPr>
        <w:b/>
        <w:sz w:val="18"/>
      </w:rPr>
      <w:instrText xml:space="preserve"> PAGE  \* MERGEFORMAT </w:instrText>
    </w:r>
    <w:r w:rsidRPr="004F7501">
      <w:rPr>
        <w:b/>
        <w:sz w:val="18"/>
      </w:rPr>
      <w:fldChar w:fldCharType="separate"/>
    </w:r>
    <w:r w:rsidRPr="004F7501">
      <w:rPr>
        <w:b/>
        <w:noProof/>
        <w:sz w:val="18"/>
      </w:rPr>
      <w:t>3</w:t>
    </w:r>
    <w:r w:rsidRPr="004F75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0236" w14:textId="77886FDC" w:rsidR="002D14A3" w:rsidRPr="004F7501" w:rsidRDefault="004F7501" w:rsidP="004F7501">
    <w:pPr>
      <w:pStyle w:val="Pieddepage"/>
      <w:spacing w:before="120"/>
      <w:rPr>
        <w:sz w:val="20"/>
      </w:rPr>
    </w:pPr>
    <w:r>
      <w:rPr>
        <w:sz w:val="20"/>
      </w:rPr>
      <w:t>GE</w:t>
    </w:r>
    <w:r w:rsidR="00B5418D" w:rsidRPr="00B5418D">
      <w:rPr>
        <w:sz w:val="20"/>
      </w:rPr>
      <w:t>.</w:t>
    </w:r>
    <w:r w:rsidR="002D14A3">
      <w:rPr>
        <w:noProof/>
        <w:lang w:eastAsia="fr-CH"/>
      </w:rPr>
      <w:drawing>
        <wp:anchor distT="0" distB="0" distL="114300" distR="114300" simplePos="0" relativeHeight="251659264" behindDoc="0" locked="0" layoutInCell="1" allowOverlap="0" wp14:anchorId="34E5917A" wp14:editId="310B8FE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21-02858  (F)</w:t>
    </w:r>
    <w:r>
      <w:rPr>
        <w:noProof/>
        <w:sz w:val="20"/>
      </w:rPr>
      <w:drawing>
        <wp:anchor distT="0" distB="0" distL="114300" distR="114300" simplePos="0" relativeHeight="251660288" behindDoc="0" locked="0" layoutInCell="1" allowOverlap="1" wp14:anchorId="2F1E2FE9" wp14:editId="4BFB16E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300721    300721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9BD0" w14:textId="77777777" w:rsidR="003377E2" w:rsidRPr="00AC3823" w:rsidRDefault="003377E2" w:rsidP="00AC3823">
      <w:pPr>
        <w:pStyle w:val="Pieddepage"/>
        <w:tabs>
          <w:tab w:val="right" w:pos="2155"/>
        </w:tabs>
        <w:spacing w:after="80" w:line="240" w:lineRule="atLeast"/>
        <w:ind w:left="680"/>
        <w:rPr>
          <w:u w:val="single"/>
        </w:rPr>
      </w:pPr>
      <w:r>
        <w:rPr>
          <w:u w:val="single"/>
        </w:rPr>
        <w:tab/>
      </w:r>
    </w:p>
  </w:footnote>
  <w:footnote w:type="continuationSeparator" w:id="0">
    <w:p w14:paraId="1163531E" w14:textId="77777777" w:rsidR="003377E2" w:rsidRPr="00AC3823" w:rsidRDefault="003377E2" w:rsidP="00AC3823">
      <w:pPr>
        <w:pStyle w:val="Pieddepage"/>
        <w:tabs>
          <w:tab w:val="right" w:pos="2155"/>
        </w:tabs>
        <w:spacing w:after="80" w:line="240" w:lineRule="atLeast"/>
        <w:ind w:left="680"/>
        <w:rPr>
          <w:u w:val="single"/>
        </w:rPr>
      </w:pPr>
      <w:r>
        <w:rPr>
          <w:u w:val="single"/>
        </w:rPr>
        <w:tab/>
      </w:r>
    </w:p>
  </w:footnote>
  <w:footnote w:type="continuationNotice" w:id="1">
    <w:p w14:paraId="665CE5CB" w14:textId="77777777" w:rsidR="003377E2" w:rsidRPr="00AC3823" w:rsidRDefault="003377E2">
      <w:pPr>
        <w:spacing w:line="240" w:lineRule="auto"/>
        <w:rPr>
          <w:sz w:val="2"/>
          <w:szCs w:val="2"/>
        </w:rPr>
      </w:pPr>
    </w:p>
  </w:footnote>
  <w:footnote w:id="2">
    <w:p w14:paraId="681A30E5" w14:textId="24C39A10" w:rsidR="004F7501" w:rsidRPr="002512B1" w:rsidRDefault="004F7501" w:rsidP="004F7501">
      <w:pPr>
        <w:pStyle w:val="Notedebasdepage"/>
      </w:pPr>
      <w:r w:rsidRPr="002512B1">
        <w:rPr>
          <w:rStyle w:val="Appelnotedebasdep"/>
        </w:rPr>
        <w:tab/>
      </w:r>
      <w:r w:rsidRPr="002512B1">
        <w:rPr>
          <w:rStyle w:val="Appelnotedebasdep"/>
          <w:sz w:val="20"/>
          <w:vertAlign w:val="baseline"/>
        </w:rPr>
        <w:t>*</w:t>
      </w:r>
      <w:r w:rsidRPr="002512B1">
        <w:rPr>
          <w:rStyle w:val="Appelnotedebasdep"/>
          <w:sz w:val="20"/>
        </w:rPr>
        <w:tab/>
      </w:r>
      <w:r w:rsidRPr="00BD7862">
        <w:rPr>
          <w:lang w:val="fr-FR"/>
        </w:rPr>
        <w:t>Adopt</w:t>
      </w:r>
      <w:r>
        <w:rPr>
          <w:lang w:val="fr-FR"/>
        </w:rPr>
        <w:t xml:space="preserve">ée par le Comité à sa quatre-vingt-sixième </w:t>
      </w:r>
      <w:r w:rsidRPr="00BD7862">
        <w:rPr>
          <w:lang w:val="fr-FR"/>
        </w:rPr>
        <w:t xml:space="preserve">session (18 </w:t>
      </w:r>
      <w:r>
        <w:rPr>
          <w:lang w:val="fr-FR"/>
        </w:rPr>
        <w:t>janvier</w:t>
      </w:r>
      <w:r>
        <w:rPr>
          <w:lang w:val="fr-FR"/>
        </w:rPr>
        <w:t>-</w:t>
      </w:r>
      <w:r w:rsidRPr="00BD7862">
        <w:rPr>
          <w:lang w:val="fr-FR"/>
        </w:rPr>
        <w:t xml:space="preserve">5 </w:t>
      </w:r>
      <w:r>
        <w:rPr>
          <w:lang w:val="fr-FR"/>
        </w:rPr>
        <w:t xml:space="preserve">février </w:t>
      </w:r>
      <w:r w:rsidRPr="00BD7862">
        <w:rPr>
          <w:lang w:val="fr-FR"/>
        </w:rPr>
        <w:t>2021)</w:t>
      </w:r>
      <w:r w:rsidR="00B5418D" w:rsidRPr="00B5418D">
        <w:rPr>
          <w:lang w:val="fr-FR"/>
        </w:rPr>
        <w:t>.</w:t>
      </w:r>
    </w:p>
  </w:footnote>
  <w:footnote w:id="3">
    <w:p w14:paraId="4FD2AAD7" w14:textId="215AD6F6" w:rsidR="004F7501" w:rsidRPr="00BD7862" w:rsidRDefault="004F7501" w:rsidP="004F7501">
      <w:pPr>
        <w:pStyle w:val="Notedebasdepage"/>
        <w:rPr>
          <w:lang w:val="fr-FR"/>
        </w:rPr>
      </w:pPr>
      <w:r w:rsidRPr="00BD7862">
        <w:rPr>
          <w:sz w:val="20"/>
          <w:szCs w:val="22"/>
          <w:lang w:val="fr-FR"/>
        </w:rPr>
        <w:tab/>
        <w:t>**</w:t>
      </w:r>
      <w:r w:rsidRPr="00BD7862">
        <w:rPr>
          <w:sz w:val="20"/>
          <w:szCs w:val="22"/>
          <w:lang w:val="fr-FR"/>
        </w:rPr>
        <w:tab/>
      </w:r>
      <w:r w:rsidRPr="00BD7862">
        <w:rPr>
          <w:lang w:val="fr-FR"/>
        </w:rPr>
        <w:t>Les membres du</w:t>
      </w:r>
      <w:r>
        <w:rPr>
          <w:lang w:val="fr-FR"/>
        </w:rPr>
        <w:t xml:space="preserve"> Comité dont le nom suit ont participé à l’examen de la communication</w:t>
      </w:r>
      <w:r>
        <w:rPr>
          <w:lang w:val="fr-FR"/>
        </w:rPr>
        <w:t> </w:t>
      </w:r>
      <w:r w:rsidRPr="00BD7862">
        <w:rPr>
          <w:lang w:val="fr-FR"/>
        </w:rPr>
        <w:t xml:space="preserve">: Suzanne Aho </w:t>
      </w:r>
      <w:proofErr w:type="spellStart"/>
      <w:r w:rsidRPr="00BD7862">
        <w:rPr>
          <w:lang w:val="fr-FR"/>
        </w:rPr>
        <w:t>Assouma</w:t>
      </w:r>
      <w:proofErr w:type="spellEnd"/>
      <w:r w:rsidRPr="00BD7862">
        <w:rPr>
          <w:lang w:val="fr-FR"/>
        </w:rPr>
        <w:t xml:space="preserve">, Hynd </w:t>
      </w:r>
      <w:proofErr w:type="spellStart"/>
      <w:r w:rsidRPr="00BD7862">
        <w:rPr>
          <w:lang w:val="fr-FR"/>
        </w:rPr>
        <w:t>Ayoubi</w:t>
      </w:r>
      <w:proofErr w:type="spellEnd"/>
      <w:r w:rsidRPr="00BD7862">
        <w:rPr>
          <w:lang w:val="fr-FR"/>
        </w:rPr>
        <w:t xml:space="preserve"> Idrissi, Bragi </w:t>
      </w:r>
      <w:proofErr w:type="spellStart"/>
      <w:r w:rsidRPr="00BD7862">
        <w:rPr>
          <w:lang w:val="fr-FR"/>
        </w:rPr>
        <w:t>Gudbrandsson</w:t>
      </w:r>
      <w:proofErr w:type="spellEnd"/>
      <w:r w:rsidRPr="00BD7862">
        <w:rPr>
          <w:lang w:val="fr-FR"/>
        </w:rPr>
        <w:t>, Philip Jaffé, Olga A</w:t>
      </w:r>
      <w:r w:rsidR="00B5418D" w:rsidRPr="00B5418D">
        <w:rPr>
          <w:lang w:val="fr-FR"/>
        </w:rPr>
        <w:t>.</w:t>
      </w:r>
      <w:r w:rsidRPr="00BD7862">
        <w:rPr>
          <w:lang w:val="fr-FR"/>
        </w:rPr>
        <w:t xml:space="preserve"> </w:t>
      </w:r>
      <w:proofErr w:type="spellStart"/>
      <w:r w:rsidRPr="00BD7862">
        <w:rPr>
          <w:lang w:val="fr-FR"/>
        </w:rPr>
        <w:t>Khazova</w:t>
      </w:r>
      <w:proofErr w:type="spellEnd"/>
      <w:r w:rsidRPr="00BD7862">
        <w:rPr>
          <w:lang w:val="fr-FR"/>
        </w:rPr>
        <w:t xml:space="preserve">, </w:t>
      </w:r>
      <w:proofErr w:type="spellStart"/>
      <w:r w:rsidRPr="00BD7862">
        <w:rPr>
          <w:lang w:val="fr-FR"/>
        </w:rPr>
        <w:t>Gehad</w:t>
      </w:r>
      <w:proofErr w:type="spellEnd"/>
      <w:r w:rsidRPr="00BD7862">
        <w:rPr>
          <w:lang w:val="fr-FR"/>
        </w:rPr>
        <w:t xml:space="preserve"> Madi, </w:t>
      </w:r>
      <w:proofErr w:type="spellStart"/>
      <w:r w:rsidRPr="00BD7862">
        <w:rPr>
          <w:lang w:val="fr-FR"/>
        </w:rPr>
        <w:t>Benyam</w:t>
      </w:r>
      <w:proofErr w:type="spellEnd"/>
      <w:r w:rsidRPr="00BD7862">
        <w:rPr>
          <w:lang w:val="fr-FR"/>
        </w:rPr>
        <w:t xml:space="preserve"> </w:t>
      </w:r>
      <w:proofErr w:type="spellStart"/>
      <w:r w:rsidRPr="00BD7862">
        <w:rPr>
          <w:lang w:val="fr-FR"/>
        </w:rPr>
        <w:t>Dawit</w:t>
      </w:r>
      <w:proofErr w:type="spellEnd"/>
      <w:r w:rsidRPr="00BD7862">
        <w:rPr>
          <w:lang w:val="fr-FR"/>
        </w:rPr>
        <w:t xml:space="preserve"> </w:t>
      </w:r>
      <w:proofErr w:type="spellStart"/>
      <w:r w:rsidRPr="00BD7862">
        <w:rPr>
          <w:lang w:val="fr-FR"/>
        </w:rPr>
        <w:t>Mezmur</w:t>
      </w:r>
      <w:proofErr w:type="spellEnd"/>
      <w:r w:rsidRPr="00BD7862">
        <w:rPr>
          <w:lang w:val="fr-FR"/>
        </w:rPr>
        <w:t xml:space="preserve">, </w:t>
      </w:r>
      <w:proofErr w:type="spellStart"/>
      <w:r w:rsidRPr="00BD7862">
        <w:rPr>
          <w:lang w:val="fr-FR"/>
        </w:rPr>
        <w:t>Otani</w:t>
      </w:r>
      <w:proofErr w:type="spellEnd"/>
      <w:r w:rsidRPr="00BD7862">
        <w:rPr>
          <w:lang w:val="fr-FR"/>
        </w:rPr>
        <w:t xml:space="preserve"> </w:t>
      </w:r>
      <w:proofErr w:type="spellStart"/>
      <w:r w:rsidRPr="00BD7862">
        <w:rPr>
          <w:lang w:val="fr-FR"/>
        </w:rPr>
        <w:t>Mikiko</w:t>
      </w:r>
      <w:proofErr w:type="spellEnd"/>
      <w:r w:rsidRPr="00BD7862">
        <w:rPr>
          <w:lang w:val="fr-FR"/>
        </w:rPr>
        <w:t xml:space="preserve">, Luis Ernesto </w:t>
      </w:r>
      <w:proofErr w:type="spellStart"/>
      <w:r w:rsidRPr="00BD7862">
        <w:rPr>
          <w:lang w:val="fr-FR"/>
        </w:rPr>
        <w:t>Pedernera</w:t>
      </w:r>
      <w:proofErr w:type="spellEnd"/>
      <w:r w:rsidRPr="00BD7862">
        <w:rPr>
          <w:lang w:val="fr-FR"/>
        </w:rPr>
        <w:t xml:space="preserve"> </w:t>
      </w:r>
      <w:proofErr w:type="spellStart"/>
      <w:r w:rsidRPr="00BD7862">
        <w:rPr>
          <w:lang w:val="fr-FR"/>
        </w:rPr>
        <w:t>Reyna</w:t>
      </w:r>
      <w:proofErr w:type="spellEnd"/>
      <w:r w:rsidRPr="00BD7862">
        <w:rPr>
          <w:lang w:val="fr-FR"/>
        </w:rPr>
        <w:t xml:space="preserve">, José </w:t>
      </w:r>
      <w:proofErr w:type="spellStart"/>
      <w:r w:rsidRPr="00BD7862">
        <w:rPr>
          <w:lang w:val="fr-FR"/>
        </w:rPr>
        <w:t>Ángel</w:t>
      </w:r>
      <w:proofErr w:type="spellEnd"/>
      <w:r w:rsidRPr="00BD7862">
        <w:rPr>
          <w:lang w:val="fr-FR"/>
        </w:rPr>
        <w:t xml:space="preserve"> </w:t>
      </w:r>
      <w:proofErr w:type="spellStart"/>
      <w:r w:rsidRPr="00BD7862">
        <w:rPr>
          <w:lang w:val="fr-FR"/>
        </w:rPr>
        <w:t>Rodríguez</w:t>
      </w:r>
      <w:proofErr w:type="spellEnd"/>
      <w:r w:rsidRPr="00BD7862">
        <w:rPr>
          <w:lang w:val="fr-FR"/>
        </w:rPr>
        <w:t xml:space="preserve"> Reyes, Ann Marie Skelton, Velina </w:t>
      </w:r>
      <w:proofErr w:type="spellStart"/>
      <w:r w:rsidRPr="00BD7862">
        <w:rPr>
          <w:lang w:val="fr-FR"/>
        </w:rPr>
        <w:t>Todorova</w:t>
      </w:r>
      <w:proofErr w:type="spellEnd"/>
      <w:r w:rsidRPr="00BD7862">
        <w:rPr>
          <w:lang w:val="fr-FR"/>
        </w:rPr>
        <w:t xml:space="preserve"> </w:t>
      </w:r>
      <w:r>
        <w:rPr>
          <w:lang w:val="fr-FR"/>
        </w:rPr>
        <w:t>et</w:t>
      </w:r>
      <w:r w:rsidRPr="00BD7862">
        <w:rPr>
          <w:lang w:val="fr-FR"/>
        </w:rPr>
        <w:t xml:space="preserve"> Renate Winter</w:t>
      </w:r>
      <w:r w:rsidR="00B5418D" w:rsidRPr="00B5418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716E" w14:textId="1A4D93B8" w:rsidR="004F7501" w:rsidRPr="004F7501" w:rsidRDefault="004F7501">
    <w:pPr>
      <w:pStyle w:val="En-tte"/>
    </w:pPr>
    <w:fldSimple w:instr=" TITLE  \* MERGEFORMAT ">
      <w:r w:rsidR="00017B82">
        <w:t>CRC/C/86/D/82/2019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FB14" w14:textId="0C1AF9A3" w:rsidR="004F7501" w:rsidRPr="004F7501" w:rsidRDefault="004F7501" w:rsidP="004F7501">
    <w:pPr>
      <w:pStyle w:val="En-tte"/>
      <w:jc w:val="right"/>
    </w:pPr>
    <w:fldSimple w:instr=" TITLE  \* MERGEFORMAT ">
      <w:r w:rsidR="00017B82">
        <w:t>CRC/C/86/D/82/2019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E2"/>
    <w:rsid w:val="00017B82"/>
    <w:rsid w:val="00017F94"/>
    <w:rsid w:val="00023842"/>
    <w:rsid w:val="000334F9"/>
    <w:rsid w:val="000354E9"/>
    <w:rsid w:val="0007796D"/>
    <w:rsid w:val="000B7790"/>
    <w:rsid w:val="00111F2F"/>
    <w:rsid w:val="0014365E"/>
    <w:rsid w:val="00176178"/>
    <w:rsid w:val="001F525A"/>
    <w:rsid w:val="00223272"/>
    <w:rsid w:val="0024779E"/>
    <w:rsid w:val="00260A30"/>
    <w:rsid w:val="002D14A3"/>
    <w:rsid w:val="00311E81"/>
    <w:rsid w:val="003377E2"/>
    <w:rsid w:val="00340ED0"/>
    <w:rsid w:val="003F6EAF"/>
    <w:rsid w:val="00411C8E"/>
    <w:rsid w:val="00446FE5"/>
    <w:rsid w:val="00452396"/>
    <w:rsid w:val="00485B35"/>
    <w:rsid w:val="004D7A2C"/>
    <w:rsid w:val="004F7501"/>
    <w:rsid w:val="005505B7"/>
    <w:rsid w:val="00573BE5"/>
    <w:rsid w:val="00586ED3"/>
    <w:rsid w:val="00596AA9"/>
    <w:rsid w:val="0071601D"/>
    <w:rsid w:val="007341B7"/>
    <w:rsid w:val="00760CBC"/>
    <w:rsid w:val="007A62E6"/>
    <w:rsid w:val="007F61AD"/>
    <w:rsid w:val="0080684C"/>
    <w:rsid w:val="00840413"/>
    <w:rsid w:val="00866184"/>
    <w:rsid w:val="00871C75"/>
    <w:rsid w:val="008776DC"/>
    <w:rsid w:val="008C54BD"/>
    <w:rsid w:val="008F3CA0"/>
    <w:rsid w:val="009705C8"/>
    <w:rsid w:val="00A30353"/>
    <w:rsid w:val="00AC3823"/>
    <w:rsid w:val="00AE323C"/>
    <w:rsid w:val="00B00181"/>
    <w:rsid w:val="00B24A9B"/>
    <w:rsid w:val="00B5418D"/>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235A5"/>
  <w15:docId w15:val="{5659C883-F9EA-45EA-BF9B-F8B9C1DD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F750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Pages>
  <Words>645</Words>
  <Characters>3673</Characters>
  <Application>Microsoft Office Word</Application>
  <DocSecurity>0</DocSecurity>
  <Lines>408</Lines>
  <Paragraphs>172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CRC/C/86/D/82/2019</dc:title>
  <dc:subject/>
  <dc:creator>Maud DARICHE</dc:creator>
  <cp:keywords/>
  <cp:lastModifiedBy>Maud Dariche</cp:lastModifiedBy>
  <cp:revision>3</cp:revision>
  <cp:lastPrinted>2021-07-30T14:47:00Z</cp:lastPrinted>
  <dcterms:created xsi:type="dcterms:W3CDTF">2021-07-30T14:47:00Z</dcterms:created>
  <dcterms:modified xsi:type="dcterms:W3CDTF">2021-07-30T14:48:00Z</dcterms:modified>
</cp:coreProperties>
</file>