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F966BD5" w14:textId="77777777" w:rsidTr="008F3CA0">
        <w:trPr>
          <w:trHeight w:hRule="exact" w:val="851"/>
        </w:trPr>
        <w:tc>
          <w:tcPr>
            <w:tcW w:w="1276" w:type="dxa"/>
            <w:tcBorders>
              <w:bottom w:val="single" w:sz="4" w:space="0" w:color="auto"/>
            </w:tcBorders>
          </w:tcPr>
          <w:p w14:paraId="69372CFE" w14:textId="77777777" w:rsidR="000354E9" w:rsidRPr="00DB58B5" w:rsidRDefault="000354E9" w:rsidP="00E21629"/>
        </w:tc>
        <w:tc>
          <w:tcPr>
            <w:tcW w:w="2268" w:type="dxa"/>
            <w:tcBorders>
              <w:bottom w:val="single" w:sz="4" w:space="0" w:color="auto"/>
            </w:tcBorders>
            <w:vAlign w:val="bottom"/>
          </w:tcPr>
          <w:p w14:paraId="04C60A4F"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8619BE" w14:textId="4DE00C46" w:rsidR="000354E9" w:rsidRPr="00DB58B5" w:rsidRDefault="00E21629" w:rsidP="00E21629">
            <w:pPr>
              <w:jc w:val="right"/>
            </w:pPr>
            <w:r w:rsidRPr="00E21629">
              <w:rPr>
                <w:sz w:val="40"/>
              </w:rPr>
              <w:t>CRC</w:t>
            </w:r>
            <w:r>
              <w:t>/C/UZB/RQ/5</w:t>
            </w:r>
          </w:p>
        </w:tc>
      </w:tr>
      <w:tr w:rsidR="000354E9" w:rsidRPr="00DB58B5" w14:paraId="3D9C0592" w14:textId="77777777" w:rsidTr="008F3CA0">
        <w:trPr>
          <w:trHeight w:hRule="exact" w:val="2835"/>
        </w:trPr>
        <w:tc>
          <w:tcPr>
            <w:tcW w:w="1276" w:type="dxa"/>
            <w:tcBorders>
              <w:top w:val="single" w:sz="4" w:space="0" w:color="auto"/>
              <w:bottom w:val="single" w:sz="12" w:space="0" w:color="auto"/>
            </w:tcBorders>
          </w:tcPr>
          <w:p w14:paraId="48B3B41A" w14:textId="77777777" w:rsidR="000354E9" w:rsidRPr="00DB58B5" w:rsidRDefault="000354E9" w:rsidP="008F3CA0">
            <w:pPr>
              <w:spacing w:before="120"/>
              <w:jc w:val="center"/>
            </w:pPr>
            <w:r>
              <w:rPr>
                <w:noProof/>
                <w:lang w:eastAsia="fr-CH"/>
              </w:rPr>
              <w:drawing>
                <wp:inline distT="0" distB="0" distL="0" distR="0" wp14:anchorId="4FBF5F41" wp14:editId="7BB632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112EAD"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8778A24" w14:textId="77777777" w:rsidR="000354E9" w:rsidRDefault="00E21629" w:rsidP="008F3CA0">
            <w:pPr>
              <w:spacing w:before="240"/>
            </w:pPr>
            <w:proofErr w:type="spellStart"/>
            <w:r>
              <w:t>Distr</w:t>
            </w:r>
            <w:proofErr w:type="spellEnd"/>
            <w:r>
              <w:t>. générale</w:t>
            </w:r>
          </w:p>
          <w:p w14:paraId="087A073A" w14:textId="77777777" w:rsidR="00E21629" w:rsidRDefault="00E21629" w:rsidP="00E21629">
            <w:pPr>
              <w:spacing w:line="240" w:lineRule="exact"/>
            </w:pPr>
            <w:r>
              <w:t>13 juin 2022</w:t>
            </w:r>
          </w:p>
          <w:p w14:paraId="61D3BEE6" w14:textId="77777777" w:rsidR="00E21629" w:rsidRDefault="00E21629" w:rsidP="00E21629">
            <w:pPr>
              <w:spacing w:line="240" w:lineRule="exact"/>
            </w:pPr>
            <w:r>
              <w:t>Français</w:t>
            </w:r>
          </w:p>
          <w:p w14:paraId="2C202043" w14:textId="545AF78D" w:rsidR="00E21629" w:rsidRDefault="00E21629" w:rsidP="00E21629">
            <w:pPr>
              <w:spacing w:line="240" w:lineRule="exact"/>
            </w:pPr>
            <w:r>
              <w:t>Original</w:t>
            </w:r>
            <w:r w:rsidR="005579CA">
              <w:t> :</w:t>
            </w:r>
            <w:r>
              <w:t xml:space="preserve"> russe</w:t>
            </w:r>
          </w:p>
          <w:p w14:paraId="7B386588" w14:textId="5626DE04" w:rsidR="00E21629" w:rsidRPr="00DB58B5" w:rsidRDefault="00E21629" w:rsidP="00E21629">
            <w:pPr>
              <w:spacing w:line="240" w:lineRule="exact"/>
            </w:pPr>
            <w:r>
              <w:t>Anglais, espagnol, français et russe seulement</w:t>
            </w:r>
          </w:p>
        </w:tc>
      </w:tr>
    </w:tbl>
    <w:p w14:paraId="258E92EC" w14:textId="77777777" w:rsidR="002D14A3" w:rsidRDefault="002D14A3" w:rsidP="002D14A3">
      <w:pPr>
        <w:spacing w:before="120"/>
        <w:rPr>
          <w:b/>
          <w:sz w:val="24"/>
          <w:szCs w:val="24"/>
        </w:rPr>
      </w:pPr>
      <w:r w:rsidRPr="00DA3BE9">
        <w:rPr>
          <w:b/>
          <w:sz w:val="24"/>
          <w:szCs w:val="24"/>
        </w:rPr>
        <w:t>Comité des droits de l’enfant</w:t>
      </w:r>
    </w:p>
    <w:p w14:paraId="17F7937B" w14:textId="77777777" w:rsidR="00161F02" w:rsidRPr="00123FCD" w:rsidRDefault="00161F02" w:rsidP="00161F02">
      <w:pPr>
        <w:rPr>
          <w:b/>
        </w:rPr>
      </w:pPr>
      <w:r>
        <w:rPr>
          <w:b/>
          <w:bCs/>
          <w:lang w:val="fr-FR"/>
        </w:rPr>
        <w:t>Quatre-vingt-onzième session</w:t>
      </w:r>
    </w:p>
    <w:p w14:paraId="0FE199CC" w14:textId="77777777" w:rsidR="00161F02" w:rsidRPr="00123FCD" w:rsidRDefault="00161F02" w:rsidP="00161F02">
      <w:r>
        <w:rPr>
          <w:lang w:val="fr-FR"/>
        </w:rPr>
        <w:t>29 août-23 septembre 2022</w:t>
      </w:r>
    </w:p>
    <w:p w14:paraId="5CD5DEDB" w14:textId="77777777" w:rsidR="00161F02" w:rsidRPr="00123FCD" w:rsidRDefault="00161F02" w:rsidP="00161F02">
      <w:r>
        <w:rPr>
          <w:lang w:val="fr-FR"/>
        </w:rPr>
        <w:t>Point 4 de l’ordre du jour provisoire</w:t>
      </w:r>
    </w:p>
    <w:p w14:paraId="13D356CC" w14:textId="3F77A585" w:rsidR="00161F02" w:rsidRPr="00123FCD" w:rsidRDefault="00161F02" w:rsidP="00161F02">
      <w:pPr>
        <w:rPr>
          <w:b/>
          <w:bCs/>
        </w:rPr>
      </w:pPr>
      <w:r>
        <w:rPr>
          <w:b/>
          <w:bCs/>
          <w:lang w:val="fr-FR"/>
        </w:rPr>
        <w:t>Examen des rapports des États parties</w:t>
      </w:r>
    </w:p>
    <w:p w14:paraId="2DB57E6B" w14:textId="6FD5F24F" w:rsidR="00161F02" w:rsidRPr="00123FCD" w:rsidRDefault="00161F02" w:rsidP="003F6F37">
      <w:pPr>
        <w:pStyle w:val="HMG"/>
        <w:spacing w:before="360"/>
      </w:pPr>
      <w:r>
        <w:rPr>
          <w:lang w:val="fr-FR"/>
        </w:rPr>
        <w:tab/>
      </w:r>
      <w:r>
        <w:rPr>
          <w:lang w:val="fr-FR"/>
        </w:rPr>
        <w:tab/>
        <w:t>Réponses de l’Ouzbékistan à la liste de points concernant son cinquième rapport périodique</w:t>
      </w:r>
      <w:r w:rsidR="00320A2F" w:rsidRPr="00320A2F">
        <w:rPr>
          <w:rStyle w:val="Appelnotedebasdep"/>
          <w:b w:val="0"/>
          <w:bCs/>
          <w:sz w:val="20"/>
          <w:vertAlign w:val="baseline"/>
        </w:rPr>
        <w:footnoteReference w:customMarkFollows="1" w:id="2"/>
        <w:t>*</w:t>
      </w:r>
      <w:r w:rsidR="00320A2F" w:rsidRPr="00320A2F">
        <w:rPr>
          <w:b w:val="0"/>
          <w:bCs/>
          <w:sz w:val="20"/>
          <w:vertAlign w:val="superscript"/>
        </w:rPr>
        <w:t>,</w:t>
      </w:r>
      <w:r w:rsidRPr="001F674D">
        <w:rPr>
          <w:rStyle w:val="Appelnotedebasdep"/>
          <w:b w:val="0"/>
          <w:sz w:val="20"/>
          <w:vertAlign w:val="baseline"/>
          <w:lang w:val="fr-FR"/>
        </w:rPr>
        <w:footnoteReference w:customMarkFollows="1" w:id="3"/>
        <w:t>**</w:t>
      </w:r>
    </w:p>
    <w:p w14:paraId="26BF8C17" w14:textId="2F228D78" w:rsidR="00161F02" w:rsidRPr="00123FCD" w:rsidRDefault="00161F02" w:rsidP="00161F02">
      <w:pPr>
        <w:pStyle w:val="SingleTxtG"/>
        <w:jc w:val="right"/>
      </w:pPr>
      <w:r>
        <w:rPr>
          <w:lang w:val="fr-FR"/>
        </w:rPr>
        <w:t>[Date de réception</w:t>
      </w:r>
      <w:r w:rsidR="005579CA">
        <w:rPr>
          <w:lang w:val="fr-FR"/>
        </w:rPr>
        <w:t> :</w:t>
      </w:r>
      <w:r>
        <w:rPr>
          <w:lang w:val="fr-FR"/>
        </w:rPr>
        <w:t xml:space="preserve"> 5 juin 2022] </w:t>
      </w:r>
    </w:p>
    <w:p w14:paraId="1D6E1132" w14:textId="77777777" w:rsidR="00161F02" w:rsidRPr="00123FCD" w:rsidRDefault="00161F02" w:rsidP="00161F02">
      <w:pPr>
        <w:suppressAutoHyphens w:val="0"/>
        <w:spacing w:after="200" w:line="276" w:lineRule="auto"/>
      </w:pPr>
      <w:r w:rsidRPr="00123FCD">
        <w:br w:type="page"/>
      </w:r>
    </w:p>
    <w:p w14:paraId="22965F8B" w14:textId="77777777" w:rsidR="00161F02" w:rsidRPr="00123FCD" w:rsidRDefault="00161F02" w:rsidP="00356817">
      <w:pPr>
        <w:pStyle w:val="H1G"/>
      </w:pPr>
      <w:r>
        <w:rPr>
          <w:lang w:val="fr-FR"/>
        </w:rPr>
        <w:lastRenderedPageBreak/>
        <w:tab/>
      </w:r>
      <w:r>
        <w:rPr>
          <w:lang w:val="fr-FR"/>
        </w:rPr>
        <w:tab/>
        <w:t>Première partie</w:t>
      </w:r>
    </w:p>
    <w:p w14:paraId="7DDC09B2" w14:textId="1D291488" w:rsidR="00161F02" w:rsidRPr="00123FCD" w:rsidRDefault="00161F02" w:rsidP="000C7C04">
      <w:pPr>
        <w:pStyle w:val="H23G"/>
      </w:pPr>
      <w:r>
        <w:rPr>
          <w:lang w:val="fr-FR"/>
        </w:rPr>
        <w:tab/>
      </w:r>
      <w:r>
        <w:rPr>
          <w:lang w:val="fr-FR"/>
        </w:rPr>
        <w:tab/>
        <w:t>Renseignements concernant le paragraphe</w:t>
      </w:r>
      <w:r w:rsidR="000C7C04">
        <w:rPr>
          <w:lang w:val="fr-FR"/>
        </w:rPr>
        <w:t> </w:t>
      </w:r>
      <w:r>
        <w:rPr>
          <w:lang w:val="fr-FR"/>
        </w:rPr>
        <w:t>2</w:t>
      </w:r>
      <w:r w:rsidR="000C7C04">
        <w:rPr>
          <w:lang w:val="fr-FR"/>
        </w:rPr>
        <w:t> </w:t>
      </w:r>
      <w:r>
        <w:rPr>
          <w:lang w:val="fr-FR"/>
        </w:rPr>
        <w:t xml:space="preserve">a) de la liste de points </w:t>
      </w:r>
      <w:r w:rsidR="000C7C04">
        <w:rPr>
          <w:lang w:val="fr-FR"/>
        </w:rPr>
        <w:br/>
      </w:r>
      <w:r>
        <w:rPr>
          <w:lang w:val="fr-FR"/>
        </w:rPr>
        <w:t>(CRC/C/UZB/Q/5)</w:t>
      </w:r>
    </w:p>
    <w:p w14:paraId="7D6CE653" w14:textId="7D8D3FBD" w:rsidR="00161F02" w:rsidRPr="00123FCD" w:rsidRDefault="00161F02" w:rsidP="00161F02">
      <w:pPr>
        <w:pStyle w:val="SingleTxtG"/>
      </w:pPr>
      <w:r>
        <w:rPr>
          <w:lang w:val="fr-FR"/>
        </w:rPr>
        <w:t>1.</w:t>
      </w:r>
      <w:r>
        <w:rPr>
          <w:lang w:val="fr-FR"/>
        </w:rPr>
        <w:tab/>
        <w:t>L’Ouzbékistan s’est doté d’un cadre juridique permettant de garantir les droits des enfants avant et après la pandémie. En mars 2020, un fonds de lutte contre la crise financé à hauteur de 10</w:t>
      </w:r>
      <w:r w:rsidR="00B0330A">
        <w:rPr>
          <w:lang w:val="fr-FR"/>
        </w:rPr>
        <w:t> </w:t>
      </w:r>
      <w:r>
        <w:rPr>
          <w:lang w:val="fr-FR"/>
        </w:rPr>
        <w:t xml:space="preserve">trillions de </w:t>
      </w:r>
      <w:proofErr w:type="spellStart"/>
      <w:r>
        <w:rPr>
          <w:lang w:val="fr-FR"/>
        </w:rPr>
        <w:t>sum</w:t>
      </w:r>
      <w:proofErr w:type="spellEnd"/>
      <w:r>
        <w:rPr>
          <w:lang w:val="fr-FR"/>
        </w:rPr>
        <w:t xml:space="preserve"> a été créé. Des allocations pour incapacité temporaire de gain équivalant à 100</w:t>
      </w:r>
      <w:r w:rsidR="00B0330A">
        <w:rPr>
          <w:lang w:val="fr-FR"/>
        </w:rPr>
        <w:t> %</w:t>
      </w:r>
      <w:r>
        <w:rPr>
          <w:lang w:val="fr-FR"/>
        </w:rPr>
        <w:t xml:space="preserve"> du salaire moyen sont accordées aux personnes qui ont des enfants et aux tuteurs d’enfants placés en quarantaine ainsi qu’aux personnes qui gardent leurs enfants, si ces derniers ont moins de 14 ans. Des dispositions ont été adoptées afin d’interdire le licenciement d’employés qui sont parents ou qui sont le tuteur d’un enfant de moins de 14</w:t>
      </w:r>
      <w:r w:rsidR="00B0330A">
        <w:rPr>
          <w:lang w:val="fr-FR"/>
        </w:rPr>
        <w:t> </w:t>
      </w:r>
      <w:r>
        <w:rPr>
          <w:lang w:val="fr-FR"/>
        </w:rPr>
        <w:t>ans infecté par le coronavirus ou placé en quarantaine.</w:t>
      </w:r>
    </w:p>
    <w:p w14:paraId="55CCF74F" w14:textId="1F392314" w:rsidR="00161F02" w:rsidRPr="00123FCD" w:rsidRDefault="00161F02" w:rsidP="00161F02">
      <w:pPr>
        <w:pStyle w:val="SingleTxtG"/>
      </w:pPr>
      <w:r>
        <w:rPr>
          <w:lang w:val="fr-FR"/>
        </w:rPr>
        <w:t>2.</w:t>
      </w:r>
      <w:r>
        <w:rPr>
          <w:lang w:val="fr-FR"/>
        </w:rPr>
        <w:tab/>
        <w:t>Le décret présidentiel du 3</w:t>
      </w:r>
      <w:r w:rsidR="00B0330A">
        <w:rPr>
          <w:lang w:val="fr-FR"/>
        </w:rPr>
        <w:t> </w:t>
      </w:r>
      <w:r>
        <w:rPr>
          <w:lang w:val="fr-FR"/>
        </w:rPr>
        <w:t>avril 2020 prévoit l’allocation de prestations aux familles avec enfants, de prestations pour frais de garderie ainsi que d’aides financières et complète la liste des produits alimentaires et d’hygiène de base fournis aux personnes dépendantes. Conformément au décret présidentiel du 18</w:t>
      </w:r>
      <w:r w:rsidR="00D217CA">
        <w:rPr>
          <w:lang w:val="fr-FR"/>
        </w:rPr>
        <w:t> </w:t>
      </w:r>
      <w:r>
        <w:rPr>
          <w:lang w:val="fr-FR"/>
        </w:rPr>
        <w:t>mai 2020, le nombre de bénéficiaires de prestations et d’aides financières destinées aux familles qui ont des enfants de moins 14</w:t>
      </w:r>
      <w:r w:rsidR="00B0330A">
        <w:rPr>
          <w:lang w:val="fr-FR"/>
        </w:rPr>
        <w:t> </w:t>
      </w:r>
      <w:r>
        <w:rPr>
          <w:lang w:val="fr-FR"/>
        </w:rPr>
        <w:t>ans et d’aides destinées aux personnes qui s’occupent d’enfants de moins de 2</w:t>
      </w:r>
      <w:r w:rsidR="00B0330A">
        <w:rPr>
          <w:lang w:val="fr-FR"/>
        </w:rPr>
        <w:t> </w:t>
      </w:r>
      <w:r>
        <w:rPr>
          <w:lang w:val="fr-FR"/>
        </w:rPr>
        <w:t>ans a augmenté de 10</w:t>
      </w:r>
      <w:r w:rsidR="00B0330A">
        <w:rPr>
          <w:lang w:val="fr-FR"/>
        </w:rPr>
        <w:t> %</w:t>
      </w:r>
      <w:r>
        <w:rPr>
          <w:lang w:val="fr-FR"/>
        </w:rPr>
        <w:t>.</w:t>
      </w:r>
    </w:p>
    <w:p w14:paraId="333886F7" w14:textId="7B3374E8" w:rsidR="00161F02" w:rsidRPr="00123FCD" w:rsidRDefault="00161F02" w:rsidP="00161F02">
      <w:pPr>
        <w:pStyle w:val="SingleTxtG"/>
      </w:pPr>
      <w:r>
        <w:rPr>
          <w:lang w:val="fr-FR"/>
        </w:rPr>
        <w:t>3.</w:t>
      </w:r>
      <w:r>
        <w:rPr>
          <w:lang w:val="fr-FR"/>
        </w:rPr>
        <w:tab/>
        <w:t>Depuis juillet 2020, les polycliniques sont dotées d’unités mobiles de prévention de la propagation de la maladie à coronavirus (</w:t>
      </w:r>
      <w:r w:rsidR="00B0330A">
        <w:rPr>
          <w:lang w:val="fr-FR"/>
        </w:rPr>
        <w:t>COVID</w:t>
      </w:r>
      <w:r w:rsidR="00B0330A">
        <w:rPr>
          <w:lang w:val="fr-FR"/>
        </w:rPr>
        <w:noBreakHyphen/>
        <w:t>19</w:t>
      </w:r>
      <w:r>
        <w:rPr>
          <w:lang w:val="fr-FR"/>
        </w:rPr>
        <w:t xml:space="preserve">) dans la population, qui pratiquent des tests rapides et des tests </w:t>
      </w:r>
      <w:proofErr w:type="spellStart"/>
      <w:r>
        <w:rPr>
          <w:lang w:val="fr-FR"/>
        </w:rPr>
        <w:t>immuno</w:t>
      </w:r>
      <w:proofErr w:type="spellEnd"/>
      <w:r>
        <w:rPr>
          <w:lang w:val="fr-FR"/>
        </w:rPr>
        <w:t xml:space="preserve">-enzymatiques. Un service chargé de la protection sanitaire et épidémiologique et de la santé publique a été mis en place et le fonds </w:t>
      </w:r>
      <w:r w:rsidR="00B0330A">
        <w:rPr>
          <w:lang w:val="fr-FR"/>
        </w:rPr>
        <w:t>« </w:t>
      </w:r>
      <w:r>
        <w:rPr>
          <w:lang w:val="fr-FR"/>
        </w:rPr>
        <w:t>Charité et soutien</w:t>
      </w:r>
      <w:r w:rsidR="00B0330A">
        <w:rPr>
          <w:lang w:val="fr-FR"/>
        </w:rPr>
        <w:t> »</w:t>
      </w:r>
      <w:r>
        <w:rPr>
          <w:lang w:val="fr-FR"/>
        </w:rPr>
        <w:t xml:space="preserve"> a été créé afin de soutenir financièrement les familles à faible revenu et les familles nombreuses dans le besoin.</w:t>
      </w:r>
    </w:p>
    <w:p w14:paraId="1A9E6F79" w14:textId="1ADE4B0B" w:rsidR="00161F02" w:rsidRPr="00123FCD" w:rsidRDefault="00161F02" w:rsidP="00161F02">
      <w:pPr>
        <w:pStyle w:val="SingleTxtG"/>
      </w:pPr>
      <w:r>
        <w:rPr>
          <w:lang w:val="fr-FR"/>
        </w:rPr>
        <w:t>4.</w:t>
      </w:r>
      <w:r>
        <w:rPr>
          <w:lang w:val="fr-FR"/>
        </w:rPr>
        <w:tab/>
        <w:t xml:space="preserve">Les enfants atteints de </w:t>
      </w:r>
      <w:r w:rsidR="00B0330A">
        <w:rPr>
          <w:lang w:val="fr-FR"/>
        </w:rPr>
        <w:t>COVID</w:t>
      </w:r>
      <w:r w:rsidR="00B0330A">
        <w:rPr>
          <w:lang w:val="fr-FR"/>
        </w:rPr>
        <w:noBreakHyphen/>
        <w:t>19</w:t>
      </w:r>
      <w:r>
        <w:rPr>
          <w:lang w:val="fr-FR"/>
        </w:rPr>
        <w:t xml:space="preserve"> bénéficient gratuitement de soins médicaux (ce qui englobe les médicaments et le matériel de laboratoire, entre autres). Un certain nombre d’établissements médicaux ont été transformés et dotés de suffisamment de lits pédiatriques individuels afin que des enfants atteints de </w:t>
      </w:r>
      <w:r w:rsidR="00B0330A">
        <w:rPr>
          <w:lang w:val="fr-FR"/>
        </w:rPr>
        <w:t>COVID</w:t>
      </w:r>
      <w:r w:rsidR="00B0330A">
        <w:rPr>
          <w:lang w:val="fr-FR"/>
        </w:rPr>
        <w:noBreakHyphen/>
        <w:t>19</w:t>
      </w:r>
      <w:r>
        <w:rPr>
          <w:lang w:val="fr-FR"/>
        </w:rPr>
        <w:t xml:space="preserve"> puissent y être hospitalisés.</w:t>
      </w:r>
    </w:p>
    <w:p w14:paraId="4B274235" w14:textId="3A88E62B" w:rsidR="00161F02" w:rsidRPr="00123FCD" w:rsidRDefault="00161F02" w:rsidP="00161F02">
      <w:pPr>
        <w:pStyle w:val="SingleTxtG"/>
      </w:pPr>
      <w:r>
        <w:rPr>
          <w:lang w:val="fr-FR"/>
        </w:rPr>
        <w:t>5.</w:t>
      </w:r>
      <w:r>
        <w:rPr>
          <w:lang w:val="fr-FR"/>
        </w:rPr>
        <w:tab/>
        <w:t xml:space="preserve">Des orientations provisoires ont été élaborées concernant le traitement des patients infectés par la maladie à coronavirus 2019, l’accompagnement des femmes enceintes et des parturientes atteintes de </w:t>
      </w:r>
      <w:r w:rsidR="00B0330A">
        <w:rPr>
          <w:lang w:val="fr-FR"/>
        </w:rPr>
        <w:t>COVID</w:t>
      </w:r>
      <w:r w:rsidR="00B0330A">
        <w:rPr>
          <w:lang w:val="fr-FR"/>
        </w:rPr>
        <w:noBreakHyphen/>
        <w:t>19</w:t>
      </w:r>
      <w:r>
        <w:rPr>
          <w:lang w:val="fr-FR"/>
        </w:rPr>
        <w:t xml:space="preserve"> ainsi que les soins aux nouveau-nés dont la mère est infectée par le coronavirus. </w:t>
      </w:r>
    </w:p>
    <w:p w14:paraId="3C23CF82" w14:textId="22A7D618" w:rsidR="00161F02" w:rsidRPr="00123FCD" w:rsidRDefault="00161F02" w:rsidP="00161F02">
      <w:pPr>
        <w:pStyle w:val="SingleTxtG"/>
      </w:pPr>
      <w:r>
        <w:rPr>
          <w:lang w:val="fr-FR"/>
        </w:rPr>
        <w:t>6.</w:t>
      </w:r>
      <w:r>
        <w:rPr>
          <w:lang w:val="fr-FR"/>
        </w:rPr>
        <w:tab/>
        <w:t>Pendant le confinement et la période de fermeture des écoles, 96</w:t>
      </w:r>
      <w:r w:rsidR="00B0330A">
        <w:rPr>
          <w:lang w:val="fr-FR"/>
        </w:rPr>
        <w:t> %</w:t>
      </w:r>
      <w:r>
        <w:rPr>
          <w:lang w:val="fr-FR"/>
        </w:rPr>
        <w:t xml:space="preserve"> des élèves ont continué de suivre des cours. Des méthodes d’enseignement à distance et d’enseignement hybride ont été introduites afin que les élèves puissent poursuivre leur cursus scolaire.</w:t>
      </w:r>
    </w:p>
    <w:p w14:paraId="44DC896A" w14:textId="08642259" w:rsidR="00161F02" w:rsidRPr="00123FCD" w:rsidRDefault="00161F02" w:rsidP="00161F02">
      <w:pPr>
        <w:pStyle w:val="H23G"/>
        <w:rPr>
          <w:i/>
        </w:rPr>
      </w:pPr>
      <w:r>
        <w:rPr>
          <w:lang w:val="fr-FR"/>
        </w:rPr>
        <w:tab/>
      </w:r>
      <w:r>
        <w:rPr>
          <w:lang w:val="fr-FR"/>
        </w:rPr>
        <w:tab/>
      </w:r>
      <w:r>
        <w:rPr>
          <w:bCs/>
          <w:lang w:val="fr-FR"/>
        </w:rPr>
        <w:t>Renseignements concernant le paragraphe</w:t>
      </w:r>
      <w:r w:rsidR="0088272C">
        <w:rPr>
          <w:lang w:val="fr-FR"/>
        </w:rPr>
        <w:t> </w:t>
      </w:r>
      <w:r>
        <w:rPr>
          <w:bCs/>
          <w:lang w:val="fr-FR"/>
        </w:rPr>
        <w:t>2</w:t>
      </w:r>
      <w:r w:rsidR="0088272C">
        <w:rPr>
          <w:lang w:val="fr-FR"/>
        </w:rPr>
        <w:t> </w:t>
      </w:r>
      <w:r>
        <w:rPr>
          <w:bCs/>
          <w:lang w:val="fr-FR"/>
        </w:rPr>
        <w:t>b) de la liste de points</w:t>
      </w:r>
      <w:r>
        <w:rPr>
          <w:lang w:val="fr-FR"/>
        </w:rPr>
        <w:t xml:space="preserve"> </w:t>
      </w:r>
    </w:p>
    <w:p w14:paraId="5B908385" w14:textId="353C5084" w:rsidR="00161F02" w:rsidRPr="00123FCD" w:rsidRDefault="00161F02" w:rsidP="00161F02">
      <w:pPr>
        <w:pStyle w:val="SingleTxtG"/>
      </w:pPr>
      <w:r>
        <w:rPr>
          <w:lang w:val="fr-FR"/>
        </w:rPr>
        <w:t>7.</w:t>
      </w:r>
      <w:r>
        <w:rPr>
          <w:lang w:val="fr-FR"/>
        </w:rPr>
        <w:tab/>
        <w:t>L’Ouzbékistan est partie à 11</w:t>
      </w:r>
      <w:r w:rsidR="0088272C">
        <w:rPr>
          <w:lang w:val="fr-FR"/>
        </w:rPr>
        <w:t> </w:t>
      </w:r>
      <w:r>
        <w:rPr>
          <w:lang w:val="fr-FR"/>
        </w:rPr>
        <w:t>instruments internationaux relatifs aux droits de l’homme. Les autorités compétentes prennent de mesures pour harmoniser la législation interne avec ces instruments, y compris ceux relatifs aux droits de l’enfant. Une fois incorporées, les normes internationales font partie intégrante du droit interne et doivent obligatoirement être appliquées.</w:t>
      </w:r>
    </w:p>
    <w:p w14:paraId="52126141" w14:textId="77777777" w:rsidR="00161F02" w:rsidRPr="00123FCD" w:rsidRDefault="00161F02" w:rsidP="00161F02">
      <w:pPr>
        <w:pStyle w:val="SingleTxtG"/>
      </w:pPr>
      <w:r>
        <w:rPr>
          <w:lang w:val="fr-FR"/>
        </w:rPr>
        <w:t>8.</w:t>
      </w:r>
      <w:r>
        <w:rPr>
          <w:lang w:val="fr-FR"/>
        </w:rPr>
        <w:tab/>
        <w:t>Les juges s’appuient sur les dispositions du droit interne, lesquelles tiennent pleinement compte des dispositions de la Convention relative aux droits de l’enfant. Il est prévu que, dans le cadre de la mise en œuvre de la Stratégie nationale relative aux droits de l’homme, l’assemblée plénière de la Cour suprême rende un arrêt concernant l’application par les juridictions internes des principes et des normes du droit international ainsi que des dispositions des instruments internationaux ratifiés par l’Ouzbékistan.</w:t>
      </w:r>
    </w:p>
    <w:p w14:paraId="2629CF95" w14:textId="77777777" w:rsidR="00161F02" w:rsidRPr="00123FCD" w:rsidRDefault="00161F02" w:rsidP="00161F02">
      <w:pPr>
        <w:pStyle w:val="SingleTxtG"/>
      </w:pPr>
      <w:r>
        <w:rPr>
          <w:lang w:val="fr-FR"/>
        </w:rPr>
        <w:t>9.</w:t>
      </w:r>
      <w:r>
        <w:rPr>
          <w:lang w:val="fr-FR"/>
        </w:rPr>
        <w:tab/>
        <w:t>Un projet de cadre pour le renforcement du système de justice pour mineurs et pour une application plus efficace du principe de l’intérêt supérieur de l’enfant dans la pratique a été élaboré, de même qu’un cadre visant à assurer l’efficacité du contrôle parlementaire et public de l’application de la législation pertinente.</w:t>
      </w:r>
    </w:p>
    <w:p w14:paraId="2D0D6038" w14:textId="4220238A" w:rsidR="00161F02" w:rsidRPr="00123FCD" w:rsidRDefault="00161F02" w:rsidP="00161F02">
      <w:pPr>
        <w:pStyle w:val="SingleTxtG"/>
      </w:pPr>
      <w:r>
        <w:rPr>
          <w:lang w:val="fr-FR"/>
        </w:rPr>
        <w:lastRenderedPageBreak/>
        <w:t>10.</w:t>
      </w:r>
      <w:r>
        <w:rPr>
          <w:lang w:val="fr-FR"/>
        </w:rPr>
        <w:tab/>
        <w:t>En 2020, une série d’ateliers pratiques consacrés à la prise en compte des dispositions des conventions des Nations Unies relatives aux droits de l’homme dans les décisions rendues par les tribunaux administratifs, pénaux et civils ont été organisés dans plusieurs villes (Tachkent, Khiva, Noukous, Ourguentch, Samar</w:t>
      </w:r>
      <w:r w:rsidR="00FC0905">
        <w:rPr>
          <w:lang w:val="fr-FR"/>
        </w:rPr>
        <w:t>cande</w:t>
      </w:r>
      <w:r>
        <w:rPr>
          <w:lang w:val="fr-FR"/>
        </w:rPr>
        <w:t xml:space="preserve"> et Djizak) par la Cour suprême, le Programme des Nations Unies pour le développement (PNUD), l’Agence des États-Unis pour le développement international (USAID), le coordonnateur de projet de l’Organisation pour la sécurité et la coopération en Europe (OSCE) et le Centre national des droits de l’homme.</w:t>
      </w:r>
    </w:p>
    <w:p w14:paraId="75311D0E" w14:textId="77777777" w:rsidR="00161F02" w:rsidRPr="00123FCD" w:rsidRDefault="00161F02" w:rsidP="00161F02">
      <w:pPr>
        <w:pStyle w:val="H23G"/>
        <w:rPr>
          <w:b w:val="0"/>
          <w:i/>
        </w:rPr>
      </w:pPr>
      <w:r>
        <w:rPr>
          <w:lang w:val="fr-FR"/>
        </w:rPr>
        <w:tab/>
      </w:r>
      <w:r>
        <w:rPr>
          <w:lang w:val="fr-FR"/>
        </w:rPr>
        <w:tab/>
      </w:r>
      <w:r>
        <w:rPr>
          <w:bCs/>
          <w:lang w:val="fr-FR"/>
        </w:rPr>
        <w:t>Renseignements concernant le paragraphe 2 c) de la liste de points</w:t>
      </w:r>
    </w:p>
    <w:p w14:paraId="7834A4AF" w14:textId="3C4BB67C" w:rsidR="00161F02" w:rsidRPr="00806E3F" w:rsidRDefault="00161F02" w:rsidP="004B14A6">
      <w:pPr>
        <w:pStyle w:val="SingleTxtG"/>
        <w:keepNext/>
      </w:pPr>
      <w:r>
        <w:rPr>
          <w:lang w:val="fr-FR"/>
        </w:rPr>
        <w:t>11.</w:t>
      </w:r>
      <w:r>
        <w:rPr>
          <w:lang w:val="fr-FR"/>
        </w:rPr>
        <w:tab/>
        <w:t>Des mesures systémiques sont prises dans le pays pour renforcer les mécanismes organisationnels et juridiques de surveillance et de protection des droits de l’enfant. À cette fin, plusieurs documents ont été adoptés, dont</w:t>
      </w:r>
      <w:r w:rsidR="005579CA">
        <w:rPr>
          <w:lang w:val="fr-FR"/>
        </w:rPr>
        <w:t> :</w:t>
      </w:r>
    </w:p>
    <w:p w14:paraId="169EBE7E" w14:textId="36D226BB" w:rsidR="00161F02" w:rsidRPr="00123FCD" w:rsidRDefault="00161F02" w:rsidP="00161F02">
      <w:pPr>
        <w:pStyle w:val="Bullet1G"/>
        <w:numPr>
          <w:ilvl w:val="0"/>
          <w:numId w:val="0"/>
        </w:numPr>
        <w:tabs>
          <w:tab w:val="left" w:pos="1701"/>
        </w:tabs>
        <w:ind w:left="1701" w:hanging="170"/>
      </w:pPr>
      <w:r w:rsidRPr="00123FCD">
        <w:t>•</w:t>
      </w:r>
      <w:r w:rsidRPr="00123FCD">
        <w:tab/>
      </w:r>
      <w:r>
        <w:rPr>
          <w:lang w:val="fr-FR"/>
        </w:rPr>
        <w:t>Le Cadre pour le renforcement de l’institution de la famille (adopté le 29 juin 2018)</w:t>
      </w:r>
      <w:r w:rsidR="005579CA">
        <w:rPr>
          <w:lang w:val="fr-FR"/>
        </w:rPr>
        <w:t> ;</w:t>
      </w:r>
      <w:r>
        <w:rPr>
          <w:lang w:val="fr-FR"/>
        </w:rPr>
        <w:t xml:space="preserve"> </w:t>
      </w:r>
    </w:p>
    <w:p w14:paraId="62FEB76C" w14:textId="14735EE2" w:rsidR="00161F02" w:rsidRPr="00123FCD" w:rsidRDefault="00161F02" w:rsidP="00161F02">
      <w:pPr>
        <w:pStyle w:val="Bullet1G"/>
        <w:numPr>
          <w:ilvl w:val="0"/>
          <w:numId w:val="0"/>
        </w:numPr>
        <w:tabs>
          <w:tab w:val="left" w:pos="1701"/>
        </w:tabs>
        <w:ind w:left="1701" w:hanging="170"/>
      </w:pPr>
      <w:r w:rsidRPr="00123FCD">
        <w:t>•</w:t>
      </w:r>
      <w:r w:rsidRPr="00123FCD">
        <w:tab/>
      </w:r>
      <w:r>
        <w:rPr>
          <w:lang w:val="fr-FR"/>
        </w:rPr>
        <w:t>La Stratégie nationale relative aux droits de l’homme (adoptée le 22 juin 2020)</w:t>
      </w:r>
      <w:r w:rsidR="005579CA">
        <w:rPr>
          <w:lang w:val="fr-FR"/>
        </w:rPr>
        <w:t> ;</w:t>
      </w:r>
    </w:p>
    <w:p w14:paraId="60CF874B" w14:textId="40C5437E" w:rsidR="00161F02" w:rsidRPr="00123FCD" w:rsidRDefault="00161F02" w:rsidP="00161F02">
      <w:pPr>
        <w:pStyle w:val="Bullet1G"/>
        <w:numPr>
          <w:ilvl w:val="0"/>
          <w:numId w:val="0"/>
        </w:numPr>
        <w:tabs>
          <w:tab w:val="left" w:pos="1701"/>
        </w:tabs>
        <w:ind w:left="1701" w:hanging="170"/>
      </w:pPr>
      <w:r w:rsidRPr="00123FCD">
        <w:t>•</w:t>
      </w:r>
      <w:r w:rsidRPr="00123FCD">
        <w:tab/>
      </w:r>
      <w:r>
        <w:rPr>
          <w:lang w:val="fr-FR"/>
        </w:rPr>
        <w:t>Le Programme-cadre pour le renforcement de la protection des droits, des libertés et des intérêts légitimes de l’enfant</w:t>
      </w:r>
      <w:r w:rsidR="005579CA">
        <w:rPr>
          <w:lang w:val="fr-FR"/>
        </w:rPr>
        <w:t> ;</w:t>
      </w:r>
    </w:p>
    <w:p w14:paraId="14863904" w14:textId="22F1834D" w:rsidR="00161F02" w:rsidRPr="00123FCD" w:rsidRDefault="00161F02" w:rsidP="00161F02">
      <w:pPr>
        <w:pStyle w:val="Bullet1G"/>
        <w:numPr>
          <w:ilvl w:val="0"/>
          <w:numId w:val="0"/>
        </w:numPr>
        <w:tabs>
          <w:tab w:val="left" w:pos="1701"/>
        </w:tabs>
        <w:ind w:left="1701" w:hanging="170"/>
      </w:pPr>
      <w:r w:rsidRPr="00123FCD">
        <w:t>•</w:t>
      </w:r>
      <w:r w:rsidRPr="00123FCD">
        <w:tab/>
      </w:r>
      <w:r>
        <w:rPr>
          <w:lang w:val="fr-FR"/>
        </w:rPr>
        <w:t>Le Plan d’action pour le renforcement du système de protection des droits de l’enfant (adopté le 9 août 2021)</w:t>
      </w:r>
      <w:r w:rsidR="005579CA">
        <w:rPr>
          <w:lang w:val="fr-FR"/>
        </w:rPr>
        <w:t> ;</w:t>
      </w:r>
    </w:p>
    <w:p w14:paraId="7C461016" w14:textId="77777777" w:rsidR="00161F02" w:rsidRPr="00123FCD" w:rsidRDefault="00161F02" w:rsidP="00161F02">
      <w:pPr>
        <w:pStyle w:val="Bullet1G"/>
        <w:numPr>
          <w:ilvl w:val="0"/>
          <w:numId w:val="0"/>
        </w:numPr>
        <w:tabs>
          <w:tab w:val="left" w:pos="1701"/>
        </w:tabs>
        <w:ind w:left="1701" w:hanging="170"/>
      </w:pPr>
      <w:r w:rsidRPr="00123FCD">
        <w:t>•</w:t>
      </w:r>
      <w:r w:rsidRPr="00123FCD">
        <w:tab/>
      </w:r>
      <w:r>
        <w:rPr>
          <w:lang w:val="fr-FR"/>
        </w:rPr>
        <w:t>Le document d’orientation pour l’introduction d’un tout nouveau système pédagogique destiné aux orphelins et aux enfants privés de soins parentaux.</w:t>
      </w:r>
    </w:p>
    <w:p w14:paraId="26E420B1" w14:textId="436BFF8E" w:rsidR="00161F02" w:rsidRPr="00123FCD" w:rsidRDefault="00161F02" w:rsidP="00161F02">
      <w:pPr>
        <w:pStyle w:val="H23G"/>
        <w:rPr>
          <w:b w:val="0"/>
          <w:i/>
        </w:rPr>
      </w:pPr>
      <w:r>
        <w:rPr>
          <w:lang w:val="fr-FR"/>
        </w:rPr>
        <w:tab/>
      </w:r>
      <w:r>
        <w:rPr>
          <w:lang w:val="fr-FR"/>
        </w:rPr>
        <w:tab/>
      </w:r>
      <w:r>
        <w:rPr>
          <w:bCs/>
          <w:lang w:val="fr-FR"/>
        </w:rPr>
        <w:t>Renseignements concernant le paragraphe</w:t>
      </w:r>
      <w:r w:rsidR="004B14A6">
        <w:rPr>
          <w:bCs/>
          <w:lang w:val="fr-FR"/>
        </w:rPr>
        <w:t> </w:t>
      </w:r>
      <w:r>
        <w:rPr>
          <w:bCs/>
          <w:lang w:val="fr-FR"/>
        </w:rPr>
        <w:t>2</w:t>
      </w:r>
      <w:r w:rsidR="004B14A6">
        <w:rPr>
          <w:bCs/>
          <w:lang w:val="fr-FR"/>
        </w:rPr>
        <w:t> </w:t>
      </w:r>
      <w:r>
        <w:rPr>
          <w:bCs/>
          <w:lang w:val="fr-FR"/>
        </w:rPr>
        <w:t>d) de la liste de points</w:t>
      </w:r>
      <w:r>
        <w:rPr>
          <w:lang w:val="fr-FR"/>
        </w:rPr>
        <w:t xml:space="preserve"> </w:t>
      </w:r>
    </w:p>
    <w:p w14:paraId="18C6F427" w14:textId="77777777" w:rsidR="00161F02" w:rsidRPr="00123FCD" w:rsidRDefault="00161F02" w:rsidP="00911A79">
      <w:pPr>
        <w:pStyle w:val="SingleTxtG"/>
      </w:pPr>
      <w:r>
        <w:rPr>
          <w:lang w:val="fr-FR"/>
        </w:rPr>
        <w:t>12.</w:t>
      </w:r>
      <w:r>
        <w:rPr>
          <w:lang w:val="fr-FR"/>
        </w:rPr>
        <w:tab/>
        <w:t xml:space="preserve">La Commission nationale des droits de l’enfant et ses sections territoriales ont été créées en août 2021. Présidée par le Vice-Premier Ministre et le Médiateur des enfants, la Commission coordonne les activités des organes et des organismes publics chargés des droits de l’enfant et surveille et évalue l’application des mesures prises dans le domaine de la protection des droits de l’enfant. Chaque année, la Commission et ses sections rendent compte de leurs activités au Sénat, au </w:t>
      </w:r>
      <w:proofErr w:type="spellStart"/>
      <w:r>
        <w:rPr>
          <w:lang w:val="fr-FR"/>
        </w:rPr>
        <w:t>Jokarguy</w:t>
      </w:r>
      <w:proofErr w:type="spellEnd"/>
      <w:r>
        <w:rPr>
          <w:lang w:val="fr-FR"/>
        </w:rPr>
        <w:t xml:space="preserve"> </w:t>
      </w:r>
      <w:proofErr w:type="spellStart"/>
      <w:r>
        <w:rPr>
          <w:lang w:val="fr-FR"/>
        </w:rPr>
        <w:t>Kenes</w:t>
      </w:r>
      <w:proofErr w:type="spellEnd"/>
      <w:r>
        <w:rPr>
          <w:lang w:val="fr-FR"/>
        </w:rPr>
        <w:t xml:space="preserve"> de la République du </w:t>
      </w:r>
      <w:proofErr w:type="spellStart"/>
      <w:r>
        <w:rPr>
          <w:lang w:val="fr-FR"/>
        </w:rPr>
        <w:t>Karakalpakstan</w:t>
      </w:r>
      <w:proofErr w:type="spellEnd"/>
      <w:r>
        <w:rPr>
          <w:lang w:val="fr-FR"/>
        </w:rPr>
        <w:t xml:space="preserve"> et aux </w:t>
      </w:r>
      <w:proofErr w:type="spellStart"/>
      <w:r w:rsidRPr="00F51769">
        <w:rPr>
          <w:i/>
          <w:iCs/>
          <w:lang w:val="fr-FR"/>
        </w:rPr>
        <w:t>kengachs</w:t>
      </w:r>
      <w:proofErr w:type="spellEnd"/>
      <w:r>
        <w:rPr>
          <w:lang w:val="fr-FR"/>
        </w:rPr>
        <w:t xml:space="preserve"> (conseils) des députés du peuple. </w:t>
      </w:r>
    </w:p>
    <w:p w14:paraId="23914B72" w14:textId="77777777" w:rsidR="00161F02" w:rsidRPr="00123FCD" w:rsidRDefault="00161F02" w:rsidP="00911A79">
      <w:pPr>
        <w:pStyle w:val="SingleTxtG"/>
        <w:rPr>
          <w:bCs/>
        </w:rPr>
      </w:pPr>
      <w:r>
        <w:rPr>
          <w:lang w:val="fr-FR"/>
        </w:rPr>
        <w:t>13.</w:t>
      </w:r>
      <w:r>
        <w:rPr>
          <w:lang w:val="fr-FR"/>
        </w:rPr>
        <w:tab/>
        <w:t xml:space="preserve">Afin de garantir l’application des recommandations émanant d’organisations internationales et l’incorporation dans la législation interne des normes internationales relatives aux droits de l’homme, une commission parlementaire chargée de surveiller le respect des obligations internationales contractées par l’Ouzbékistan en matière de droits de l’homme a été créée. </w:t>
      </w:r>
    </w:p>
    <w:p w14:paraId="18080EA3" w14:textId="133BCD49" w:rsidR="00161F02" w:rsidRPr="00123FCD" w:rsidRDefault="00161F02" w:rsidP="00911A79">
      <w:pPr>
        <w:pStyle w:val="H23G"/>
        <w:rPr>
          <w:i/>
        </w:rPr>
      </w:pPr>
      <w:r>
        <w:rPr>
          <w:lang w:val="fr-FR"/>
        </w:rPr>
        <w:tab/>
      </w:r>
      <w:r>
        <w:rPr>
          <w:lang w:val="fr-FR"/>
        </w:rPr>
        <w:tab/>
        <w:t>Renseignements concernant le paragraphe</w:t>
      </w:r>
      <w:r w:rsidR="00F51769">
        <w:rPr>
          <w:lang w:val="fr-FR"/>
        </w:rPr>
        <w:t> </w:t>
      </w:r>
      <w:r>
        <w:rPr>
          <w:lang w:val="fr-FR"/>
        </w:rPr>
        <w:t>2</w:t>
      </w:r>
      <w:r w:rsidR="00F51769">
        <w:rPr>
          <w:lang w:val="fr-FR"/>
        </w:rPr>
        <w:t> </w:t>
      </w:r>
      <w:r>
        <w:rPr>
          <w:lang w:val="fr-FR"/>
        </w:rPr>
        <w:t>e) de la liste de points</w:t>
      </w:r>
    </w:p>
    <w:p w14:paraId="08263BDD" w14:textId="5A5F3F06" w:rsidR="00161F02" w:rsidRPr="00123FCD" w:rsidRDefault="00161F02" w:rsidP="00911A79">
      <w:pPr>
        <w:pStyle w:val="SingleTxtG"/>
      </w:pPr>
      <w:r>
        <w:rPr>
          <w:lang w:val="fr-FR"/>
        </w:rPr>
        <w:t>14.</w:t>
      </w:r>
      <w:r>
        <w:rPr>
          <w:lang w:val="fr-FR"/>
        </w:rPr>
        <w:tab/>
        <w:t>En avril 2019, les services du Médiateur parlementaire ont été étoffés par la création d’un poste de Commissaire adjoint aux droits de l’homme (</w:t>
      </w:r>
      <w:r w:rsidR="00F51769">
        <w:rPr>
          <w:lang w:val="fr-FR"/>
        </w:rPr>
        <w:t>M</w:t>
      </w:r>
      <w:r>
        <w:rPr>
          <w:lang w:val="fr-FR"/>
        </w:rPr>
        <w:t>édiateur) de l’</w:t>
      </w:r>
      <w:proofErr w:type="spellStart"/>
      <w:r>
        <w:rPr>
          <w:lang w:val="fr-FR"/>
        </w:rPr>
        <w:t>Oliy</w:t>
      </w:r>
      <w:proofErr w:type="spellEnd"/>
      <w:r>
        <w:rPr>
          <w:lang w:val="fr-FR"/>
        </w:rPr>
        <w:t xml:space="preserve"> </w:t>
      </w:r>
      <w:proofErr w:type="spellStart"/>
      <w:r>
        <w:rPr>
          <w:lang w:val="fr-FR"/>
        </w:rPr>
        <w:t>Majlis</w:t>
      </w:r>
      <w:proofErr w:type="spellEnd"/>
      <w:r>
        <w:rPr>
          <w:lang w:val="fr-FR"/>
        </w:rPr>
        <w:t>, qui assume la fonction de Commissaire aux droits de l’enfant, ainsi que d’un service chargé de la protection des droits de l’enfant. Le mandat et les principaux domaines de compétence du Commissaire aux droits de l’enfant sont définis dans l’ordonnance présidentielle du 29</w:t>
      </w:r>
      <w:r w:rsidR="00B708B2">
        <w:rPr>
          <w:lang w:val="fr-FR"/>
        </w:rPr>
        <w:t> </w:t>
      </w:r>
      <w:r>
        <w:rPr>
          <w:lang w:val="fr-FR"/>
        </w:rPr>
        <w:t>mai 2020.</w:t>
      </w:r>
    </w:p>
    <w:p w14:paraId="3DD34D0D" w14:textId="2A9561CA" w:rsidR="00161F02" w:rsidRPr="00123FCD" w:rsidRDefault="00161F02" w:rsidP="00911A79">
      <w:pPr>
        <w:pStyle w:val="SingleTxtG"/>
      </w:pPr>
      <w:r>
        <w:rPr>
          <w:lang w:val="fr-FR"/>
        </w:rPr>
        <w:t>15.</w:t>
      </w:r>
      <w:r>
        <w:rPr>
          <w:lang w:val="fr-FR"/>
        </w:rPr>
        <w:tab/>
        <w:t xml:space="preserve">En août 2021, dans le cadre de réformes visant à renforcer le système de protection des droits de l’enfant, le poste de médiateur adjoint a été supprimé et une nouvelle institution indépendante, le Commissaire aux droits de l’enfant </w:t>
      </w:r>
      <w:r w:rsidR="00B708B2">
        <w:rPr>
          <w:lang w:val="fr-FR"/>
        </w:rPr>
        <w:t>(Médiateur des enfants)</w:t>
      </w:r>
      <w:r w:rsidR="00B708B2">
        <w:rPr>
          <w:lang w:val="fr-FR"/>
        </w:rPr>
        <w:t xml:space="preserve"> </w:t>
      </w:r>
      <w:r>
        <w:rPr>
          <w:lang w:val="fr-FR"/>
        </w:rPr>
        <w:t>de l’</w:t>
      </w:r>
      <w:proofErr w:type="spellStart"/>
      <w:r>
        <w:rPr>
          <w:lang w:val="fr-FR"/>
        </w:rPr>
        <w:t>Oliy</w:t>
      </w:r>
      <w:proofErr w:type="spellEnd"/>
      <w:r>
        <w:rPr>
          <w:lang w:val="fr-FR"/>
        </w:rPr>
        <w:t xml:space="preserve"> </w:t>
      </w:r>
      <w:proofErr w:type="spellStart"/>
      <w:r>
        <w:rPr>
          <w:lang w:val="fr-FR"/>
        </w:rPr>
        <w:t>Majlis</w:t>
      </w:r>
      <w:proofErr w:type="spellEnd"/>
      <w:r>
        <w:rPr>
          <w:lang w:val="fr-FR"/>
        </w:rPr>
        <w:t xml:space="preserve">, a été créée. Le Médiateur des enfants est élu par les chambres du Parlement, sur proposition du Président de la République, pour un mandat de cinq ans. </w:t>
      </w:r>
    </w:p>
    <w:p w14:paraId="6E3FB54D" w14:textId="05F19F45" w:rsidR="00161F02" w:rsidRPr="00123FCD" w:rsidRDefault="00161F02" w:rsidP="00911A79">
      <w:pPr>
        <w:pStyle w:val="SingleTxtG"/>
      </w:pPr>
      <w:r>
        <w:rPr>
          <w:lang w:val="fr-FR"/>
        </w:rPr>
        <w:t>16.</w:t>
      </w:r>
      <w:r>
        <w:rPr>
          <w:lang w:val="fr-FR"/>
        </w:rPr>
        <w:tab/>
        <w:t>Un projet de loi sur le Médiateur des enfants a été élaboré avec la participation de représentants de 40</w:t>
      </w:r>
      <w:r w:rsidR="00911A79">
        <w:rPr>
          <w:lang w:val="fr-FR"/>
        </w:rPr>
        <w:t> </w:t>
      </w:r>
      <w:r>
        <w:rPr>
          <w:lang w:val="fr-FR"/>
        </w:rPr>
        <w:t>organes gouvernementaux et organisations non gouvernementales (ONG). Le 20</w:t>
      </w:r>
      <w:r w:rsidR="00911A79">
        <w:rPr>
          <w:lang w:val="fr-FR"/>
        </w:rPr>
        <w:t> </w:t>
      </w:r>
      <w:r>
        <w:rPr>
          <w:lang w:val="fr-FR"/>
        </w:rPr>
        <w:t xml:space="preserve">janvier 2021, une table ronde consacrée à l’examen de ce projet a été organisée avec le soutien du Fonds des Nations Unies pour l’enfance (UNICEF) et avec la participation de Renate Winter, Vice-Présidente du Comité des droits de l’enfant de l’ONU et Commissaire à l’enfance et à la jeunesse de l’Écosse, de Bruce Adams, Président du Réseau </w:t>
      </w:r>
      <w:r>
        <w:rPr>
          <w:lang w:val="fr-FR"/>
        </w:rPr>
        <w:lastRenderedPageBreak/>
        <w:t>européen des médiateurs des enfants (ENOC), et des commissaires aux droits de l’enfant de la Fédération de Russie, du Kazakhstan, du Kirghiz</w:t>
      </w:r>
      <w:r w:rsidR="00A22497">
        <w:rPr>
          <w:lang w:val="fr-FR"/>
        </w:rPr>
        <w:t>i</w:t>
      </w:r>
      <w:r>
        <w:rPr>
          <w:lang w:val="fr-FR"/>
        </w:rPr>
        <w:t>stan, du Tadjikistan</w:t>
      </w:r>
      <w:r w:rsidR="00A22497">
        <w:rPr>
          <w:lang w:val="fr-FR"/>
        </w:rPr>
        <w:t xml:space="preserve"> et </w:t>
      </w:r>
      <w:r w:rsidR="00A22497">
        <w:rPr>
          <w:lang w:val="fr-FR"/>
        </w:rPr>
        <w:t>du Turkménistan</w:t>
      </w:r>
      <w:r>
        <w:rPr>
          <w:lang w:val="fr-FR"/>
        </w:rPr>
        <w:t>.</w:t>
      </w:r>
    </w:p>
    <w:p w14:paraId="1D1B330D" w14:textId="6E27FF49" w:rsidR="00161F02" w:rsidRPr="00123FCD" w:rsidRDefault="00161F02" w:rsidP="00911A79">
      <w:pPr>
        <w:pStyle w:val="H23G"/>
        <w:rPr>
          <w:i/>
        </w:rPr>
      </w:pPr>
      <w:r>
        <w:rPr>
          <w:lang w:val="fr-FR"/>
        </w:rPr>
        <w:tab/>
      </w:r>
      <w:r>
        <w:rPr>
          <w:lang w:val="fr-FR"/>
        </w:rPr>
        <w:tab/>
        <w:t>Renseignements concernant le paragraphe</w:t>
      </w:r>
      <w:r w:rsidR="002537BB">
        <w:rPr>
          <w:lang w:val="fr-FR"/>
        </w:rPr>
        <w:t> </w:t>
      </w:r>
      <w:r>
        <w:rPr>
          <w:lang w:val="fr-FR"/>
        </w:rPr>
        <w:t>2</w:t>
      </w:r>
      <w:r w:rsidR="002537BB">
        <w:rPr>
          <w:lang w:val="fr-FR"/>
        </w:rPr>
        <w:t> </w:t>
      </w:r>
      <w:r>
        <w:rPr>
          <w:lang w:val="fr-FR"/>
        </w:rPr>
        <w:t>f) de la liste de points</w:t>
      </w:r>
    </w:p>
    <w:p w14:paraId="378238BD" w14:textId="77777777" w:rsidR="00161F02" w:rsidRPr="00123FCD" w:rsidRDefault="00161F02" w:rsidP="00911A79">
      <w:pPr>
        <w:pStyle w:val="SingleTxtG"/>
      </w:pPr>
      <w:r>
        <w:rPr>
          <w:lang w:val="fr-FR"/>
        </w:rPr>
        <w:t>17.</w:t>
      </w:r>
      <w:r>
        <w:rPr>
          <w:lang w:val="fr-FR"/>
        </w:rPr>
        <w:tab/>
        <w:t xml:space="preserve">Ces dernières années, plusieurs lois ont été adoptées afin de renforcer les mécanismes de surveillance de la corruption à tous les niveaux et dans tous les secteurs. On peut notamment citer la loi relative à la lutte contre la corruption, la loi relative au contrôle parlementaire, la loi relative au contrôle public, la loi relative à la diffusion de l’information juridique et à l’accès à cette information, la loi relative aux procédures administratives, la loi relative à la passation des marchés publics et la loi relative à la protection des victimes, des témoins et des autres parties aux procédures pénales. </w:t>
      </w:r>
    </w:p>
    <w:p w14:paraId="19C77B49" w14:textId="77777777" w:rsidR="00161F02" w:rsidRPr="00123FCD" w:rsidRDefault="00161F02" w:rsidP="00911A79">
      <w:pPr>
        <w:pStyle w:val="SingleTxtG"/>
      </w:pPr>
      <w:r>
        <w:rPr>
          <w:lang w:val="fr-FR"/>
        </w:rPr>
        <w:t>18.</w:t>
      </w:r>
      <w:r>
        <w:rPr>
          <w:lang w:val="fr-FR"/>
        </w:rPr>
        <w:tab/>
        <w:t xml:space="preserve">En 2019, dans le cadre de la réforme globale de la gestion du personnel et de l’administration publique, l’Organisation pour la mise en valeur de la fonction publique près le Président de la République a été créée. Cette organisation a pour mandat d’assurer l’application d’une politique publique unifiée en matière de gestion du personnel et de mise en valeur des ressources humaines au sein des organes et services de l’État. Un programme d’activités prioritaires à mener afin de réformer complètement la politique de gestion du personnel et le système de la fonction publique en Ouzbékistan a été adopté. </w:t>
      </w:r>
    </w:p>
    <w:p w14:paraId="14D16415" w14:textId="74CB87A6" w:rsidR="00161F02" w:rsidRPr="001053F0" w:rsidRDefault="00161F02" w:rsidP="00911A79">
      <w:pPr>
        <w:pStyle w:val="SingleTxtG"/>
        <w:rPr>
          <w:lang w:val="fr-FR"/>
        </w:rPr>
      </w:pPr>
      <w:r>
        <w:rPr>
          <w:lang w:val="fr-FR"/>
        </w:rPr>
        <w:t>19.</w:t>
      </w:r>
      <w:r>
        <w:rPr>
          <w:lang w:val="fr-FR"/>
        </w:rPr>
        <w:tab/>
        <w:t>Depuis le 1</w:t>
      </w:r>
      <w:r w:rsidRPr="001053F0">
        <w:rPr>
          <w:vertAlign w:val="superscript"/>
          <w:lang w:val="fr-FR"/>
        </w:rPr>
        <w:t>er</w:t>
      </w:r>
      <w:r w:rsidR="000763E3">
        <w:rPr>
          <w:lang w:val="fr-FR"/>
        </w:rPr>
        <w:t> </w:t>
      </w:r>
      <w:r>
        <w:rPr>
          <w:lang w:val="fr-FR"/>
        </w:rPr>
        <w:t>septembre 2021, les fonctionnaires des organes et des services de l’État sont recrutés dans le cadre d’un concours public organisé en ligne et, depuis le 1</w:t>
      </w:r>
      <w:r w:rsidRPr="001053F0">
        <w:rPr>
          <w:vertAlign w:val="superscript"/>
          <w:lang w:val="fr-FR"/>
        </w:rPr>
        <w:t>er</w:t>
      </w:r>
      <w:r>
        <w:rPr>
          <w:lang w:val="fr-FR"/>
        </w:rPr>
        <w:t> octobre 2021, tous les organes et services de l’État sont dotés de mécanismes internes de contrôle de la corruption.</w:t>
      </w:r>
    </w:p>
    <w:p w14:paraId="3FF934D3" w14:textId="77777777" w:rsidR="00161F02" w:rsidRPr="00123FCD" w:rsidRDefault="00161F02" w:rsidP="00911A79">
      <w:pPr>
        <w:pStyle w:val="SingleTxtG"/>
      </w:pPr>
      <w:r>
        <w:rPr>
          <w:lang w:val="fr-FR"/>
        </w:rPr>
        <w:t>20.</w:t>
      </w:r>
      <w:r>
        <w:rPr>
          <w:lang w:val="fr-FR"/>
        </w:rPr>
        <w:tab/>
        <w:t>Un mécanisme de rotation périodique des responsables des ressources humaines, des services commerciaux, des départements financiers et économiques, des structures chargées du contrôle et des organes et services de l’État ainsi que d’autres mécanismes visant à prévenir les malversations a été mis en place.</w:t>
      </w:r>
    </w:p>
    <w:p w14:paraId="566C4929" w14:textId="6D085FBA" w:rsidR="00161F02" w:rsidRPr="00123FCD" w:rsidRDefault="00161F02" w:rsidP="00161F02">
      <w:pPr>
        <w:pStyle w:val="SingleTxtG"/>
      </w:pPr>
      <w:r>
        <w:rPr>
          <w:lang w:val="fr-FR"/>
        </w:rPr>
        <w:t>21.</w:t>
      </w:r>
      <w:r>
        <w:rPr>
          <w:lang w:val="fr-FR"/>
        </w:rPr>
        <w:tab/>
        <w:t>Le 1</w:t>
      </w:r>
      <w:r w:rsidRPr="006B6060">
        <w:rPr>
          <w:vertAlign w:val="superscript"/>
          <w:lang w:val="fr-FR"/>
        </w:rPr>
        <w:t>er</w:t>
      </w:r>
      <w:r w:rsidR="000763E3">
        <w:rPr>
          <w:lang w:val="fr-FR"/>
        </w:rPr>
        <w:t> </w:t>
      </w:r>
      <w:r>
        <w:rPr>
          <w:lang w:val="fr-FR"/>
        </w:rPr>
        <w:t>janvier 2022, un système a été mis en place afin de rendre obligatoire la déclaration des revenus et des biens des fonctionnaires, des directeurs et des directeurs adjoints d’organisations qui détiennent plus de 50</w:t>
      </w:r>
      <w:r w:rsidR="00B0330A">
        <w:rPr>
          <w:lang w:val="fr-FR"/>
        </w:rPr>
        <w:t> %</w:t>
      </w:r>
      <w:r>
        <w:rPr>
          <w:lang w:val="fr-FR"/>
        </w:rPr>
        <w:t xml:space="preserve"> des parts d’entreprises et d’institutions publiques, ainsi que des revenus et biens de leur conjoint et de leurs enfants mineurs. Les</w:t>
      </w:r>
      <w:r w:rsidR="000763E3">
        <w:rPr>
          <w:lang w:val="fr-FR"/>
        </w:rPr>
        <w:t> </w:t>
      </w:r>
      <w:r>
        <w:rPr>
          <w:lang w:val="fr-FR"/>
        </w:rPr>
        <w:t xml:space="preserve">fonctionnaires ont l’interdiction d’ouvrir et de détenir des comptes à l’étranger, d’y avoir des espèces et d’être propriétaires de biens immobiliers et d’autres biens dans un autre pays. </w:t>
      </w:r>
    </w:p>
    <w:p w14:paraId="133F80D0" w14:textId="334C2944" w:rsidR="00161F02" w:rsidRPr="00123FCD" w:rsidRDefault="00161F02" w:rsidP="00161F02">
      <w:pPr>
        <w:pStyle w:val="SingleTxtG"/>
      </w:pPr>
      <w:r>
        <w:rPr>
          <w:lang w:val="fr-FR"/>
        </w:rPr>
        <w:t>22.</w:t>
      </w:r>
      <w:r>
        <w:rPr>
          <w:lang w:val="fr-FR"/>
        </w:rPr>
        <w:tab/>
        <w:t>Le Bureau de lutte contre la corruption près la présidence de la République a été créé en application du décret présidentiel du 29</w:t>
      </w:r>
      <w:r w:rsidR="000763E3">
        <w:rPr>
          <w:lang w:val="fr-FR"/>
        </w:rPr>
        <w:t> </w:t>
      </w:r>
      <w:r>
        <w:rPr>
          <w:lang w:val="fr-FR"/>
        </w:rPr>
        <w:t>juin 2020 relatif aux mesures complémentaires visant à renforcer le système de lutte contre la corruption en Ouzbékistan. Cet organe est chargé d’élaborer et d’appliquer la politique publique visant à prévenir et combattre la corruption et rend compte de ses activités au Président de la République et aux chambres du Parlement.</w:t>
      </w:r>
    </w:p>
    <w:p w14:paraId="063D7A04" w14:textId="77777777" w:rsidR="00161F02" w:rsidRPr="00123FCD" w:rsidRDefault="00161F02" w:rsidP="00161F02">
      <w:pPr>
        <w:pStyle w:val="SingleTxtG"/>
      </w:pPr>
      <w:r>
        <w:rPr>
          <w:lang w:val="fr-FR"/>
        </w:rPr>
        <w:t>23.</w:t>
      </w:r>
      <w:r>
        <w:rPr>
          <w:lang w:val="fr-FR"/>
        </w:rPr>
        <w:tab/>
        <w:t>La Commission interministérielle nationale de lutte contre la corruption et ses commissions territoriales ont été réformées et sont devenues le Conseil national chargé de la lutte contre la corruption et ses conseils territoriaux.</w:t>
      </w:r>
    </w:p>
    <w:p w14:paraId="7F7EA5BE" w14:textId="77777777" w:rsidR="00161F02" w:rsidRPr="00123FCD" w:rsidRDefault="00161F02" w:rsidP="00161F02">
      <w:pPr>
        <w:pStyle w:val="SingleTxtG"/>
      </w:pPr>
      <w:r>
        <w:rPr>
          <w:lang w:val="fr-FR"/>
        </w:rPr>
        <w:t>24.</w:t>
      </w:r>
      <w:r>
        <w:rPr>
          <w:lang w:val="fr-FR"/>
        </w:rPr>
        <w:tab/>
        <w:t>Des commissions chargées de la lutte contre la corruption et des affaires juridiques et judiciaires ont été constituées au sein des chambres de l’</w:t>
      </w:r>
      <w:proofErr w:type="spellStart"/>
      <w:r>
        <w:rPr>
          <w:lang w:val="fr-FR"/>
        </w:rPr>
        <w:t>Oliy</w:t>
      </w:r>
      <w:proofErr w:type="spellEnd"/>
      <w:r>
        <w:rPr>
          <w:lang w:val="fr-FR"/>
        </w:rPr>
        <w:t xml:space="preserve"> </w:t>
      </w:r>
      <w:proofErr w:type="spellStart"/>
      <w:r>
        <w:rPr>
          <w:lang w:val="fr-FR"/>
        </w:rPr>
        <w:t>Majlis</w:t>
      </w:r>
      <w:proofErr w:type="spellEnd"/>
      <w:r>
        <w:rPr>
          <w:lang w:val="fr-FR"/>
        </w:rPr>
        <w:t>.</w:t>
      </w:r>
    </w:p>
    <w:p w14:paraId="38A9765D" w14:textId="46B76AAE" w:rsidR="00161F02" w:rsidRPr="00123FCD" w:rsidRDefault="00161F02" w:rsidP="00161F02">
      <w:pPr>
        <w:pStyle w:val="SingleTxtG"/>
      </w:pPr>
      <w:r>
        <w:rPr>
          <w:lang w:val="fr-FR"/>
        </w:rPr>
        <w:t>25.</w:t>
      </w:r>
      <w:r>
        <w:rPr>
          <w:lang w:val="fr-FR"/>
        </w:rPr>
        <w:tab/>
        <w:t>Conformément au décret présidentiel du 6</w:t>
      </w:r>
      <w:r w:rsidR="000763E3">
        <w:rPr>
          <w:lang w:val="fr-FR"/>
        </w:rPr>
        <w:t> </w:t>
      </w:r>
      <w:r>
        <w:rPr>
          <w:lang w:val="fr-FR"/>
        </w:rPr>
        <w:t>juillet 2021, un registre électronique public des personnes condamnées pour corruption est en cours de création et il est prévu de publier chaque année les résultats des appels d’offres lancés aux fins de la passation de marchés publics, et de procéder à une évaluation de l’efficacité des activités de lutte contre la corruption dans tous les organes et services publics. Depuis le 1</w:t>
      </w:r>
      <w:r w:rsidRPr="005F02E4">
        <w:rPr>
          <w:vertAlign w:val="superscript"/>
          <w:lang w:val="fr-FR"/>
        </w:rPr>
        <w:t>er</w:t>
      </w:r>
      <w:r w:rsidR="000763E3">
        <w:rPr>
          <w:lang w:val="fr-FR"/>
        </w:rPr>
        <w:t> </w:t>
      </w:r>
      <w:r>
        <w:rPr>
          <w:lang w:val="fr-FR"/>
        </w:rPr>
        <w:t xml:space="preserve">août 2021, les résultats des appels d’offres lancés en vue de la passation de marchés publics sont librement accessibles. </w:t>
      </w:r>
    </w:p>
    <w:p w14:paraId="582EAFDD" w14:textId="77777777" w:rsidR="00161F02" w:rsidRPr="00551EB5" w:rsidRDefault="00161F02" w:rsidP="00161F02">
      <w:pPr>
        <w:pStyle w:val="SingleTxtG"/>
        <w:rPr>
          <w:lang w:val="fr-FR"/>
        </w:rPr>
      </w:pPr>
      <w:r>
        <w:rPr>
          <w:lang w:val="fr-FR"/>
        </w:rPr>
        <w:t>26.</w:t>
      </w:r>
      <w:r>
        <w:rPr>
          <w:lang w:val="fr-FR"/>
        </w:rPr>
        <w:tab/>
        <w:t xml:space="preserve">Le programme national de lutte contre la corruption 2021-2022, qui prévoit 44 mesures, a été approuvé. Des projets de loi relatifs à la déclaration des revenus et des biens des fonctionnaires et à la gestion des conflits d’intérêts ont été élaborés, de même qu’un projet de loi visant à modifier le Code pénal par l’incorporation d’une liste détaillée d’infractions liées à la corruption, de peines réprimant plus sévèrement les infractions liées à </w:t>
      </w:r>
      <w:r>
        <w:rPr>
          <w:lang w:val="fr-FR"/>
        </w:rPr>
        <w:lastRenderedPageBreak/>
        <w:t>la corruption, de dispositions rendant passible de poursuites l’enrichissement illégal lorsqu’il ressort de l’examen d’une déclaration de revenus et de biens que ceux-ci ont été acquis illégalement, et de dispositions limitant les possibilités qu’une personne condamnée pour les infractions susmentionnées bénéficie de mesures d’allégement de la peine. Un projet de texte normatif et juridique a été élaboré afin que le Bureau de la lutte contre la corruption ait compétence pour suspendre l’exécution de contrats, d’ordonnances et d’autres documents ou demander à un tribunal de déclarer ceux-ci nuls, lorsque l’existence d’un conflit d’intérêts a été établie.</w:t>
      </w:r>
    </w:p>
    <w:p w14:paraId="121DA893" w14:textId="259265B5" w:rsidR="00161F02" w:rsidRPr="00123FCD" w:rsidRDefault="00161F02" w:rsidP="00161F02">
      <w:pPr>
        <w:pStyle w:val="SingleTxtG"/>
      </w:pPr>
      <w:r>
        <w:rPr>
          <w:lang w:val="fr-FR"/>
        </w:rPr>
        <w:t>27.</w:t>
      </w:r>
      <w:r>
        <w:rPr>
          <w:lang w:val="fr-FR"/>
        </w:rPr>
        <w:tab/>
        <w:t>Ces trois dernières années, dans le contexte de la lutte contre la corruption, 3 441 procédures pénales ont été intentées, dans le cadre desquelles 4 969 fonctionnaires ont été poursuivis. Parmi ces fonctionnaires, qui travaillaient pour des ministères, départements et organes public, 97 étaient employés dans l’administration nationale, 351 dans une administration régionale et 4</w:t>
      </w:r>
      <w:r w:rsidR="000763E3">
        <w:rPr>
          <w:lang w:val="fr-FR"/>
        </w:rPr>
        <w:t> </w:t>
      </w:r>
      <w:r>
        <w:rPr>
          <w:lang w:val="fr-FR"/>
        </w:rPr>
        <w:t>521 dans une administration de district (municipale). De 2018 à 2020, 2</w:t>
      </w:r>
      <w:r w:rsidR="000763E3">
        <w:rPr>
          <w:lang w:val="fr-FR"/>
        </w:rPr>
        <w:t> </w:t>
      </w:r>
      <w:r>
        <w:rPr>
          <w:lang w:val="fr-FR"/>
        </w:rPr>
        <w:t>trillions 626</w:t>
      </w:r>
      <w:r w:rsidR="000763E3">
        <w:rPr>
          <w:lang w:val="fr-FR"/>
        </w:rPr>
        <w:t> </w:t>
      </w:r>
      <w:r>
        <w:rPr>
          <w:lang w:val="fr-FR"/>
        </w:rPr>
        <w:t>milliards 528</w:t>
      </w:r>
      <w:r w:rsidR="000763E3">
        <w:rPr>
          <w:lang w:val="fr-FR"/>
        </w:rPr>
        <w:t> </w:t>
      </w:r>
      <w:r>
        <w:rPr>
          <w:lang w:val="fr-FR"/>
        </w:rPr>
        <w:t xml:space="preserve">millions de </w:t>
      </w:r>
      <w:proofErr w:type="spellStart"/>
      <w:r>
        <w:rPr>
          <w:lang w:val="fr-FR"/>
        </w:rPr>
        <w:t>sum</w:t>
      </w:r>
      <w:proofErr w:type="spellEnd"/>
      <w:r>
        <w:rPr>
          <w:lang w:val="fr-FR"/>
        </w:rPr>
        <w:t xml:space="preserve"> de dommages et intérêts ont été accordés, soit une somme équivalant à 90</w:t>
      </w:r>
      <w:r w:rsidR="00B0330A">
        <w:rPr>
          <w:lang w:val="fr-FR"/>
        </w:rPr>
        <w:t> %</w:t>
      </w:r>
      <w:r>
        <w:rPr>
          <w:lang w:val="fr-FR"/>
        </w:rPr>
        <w:t xml:space="preserve"> du montant de l’ensemble des préjudices causés.</w:t>
      </w:r>
    </w:p>
    <w:p w14:paraId="16D8C97A" w14:textId="0C85AE25" w:rsidR="00161F02" w:rsidRPr="00123FCD" w:rsidRDefault="00161F02" w:rsidP="000763E3">
      <w:pPr>
        <w:pStyle w:val="H23G"/>
        <w:rPr>
          <w:i/>
        </w:rPr>
      </w:pPr>
      <w:r>
        <w:rPr>
          <w:lang w:val="fr-FR"/>
        </w:rPr>
        <w:tab/>
      </w:r>
      <w:r>
        <w:rPr>
          <w:lang w:val="fr-FR"/>
        </w:rPr>
        <w:tab/>
        <w:t>Renseignements concernant le paragraphe</w:t>
      </w:r>
      <w:r w:rsidR="003C3703">
        <w:rPr>
          <w:lang w:val="fr-FR"/>
        </w:rPr>
        <w:t> </w:t>
      </w:r>
      <w:r>
        <w:rPr>
          <w:lang w:val="fr-FR"/>
        </w:rPr>
        <w:t>3</w:t>
      </w:r>
      <w:r w:rsidR="003C3703">
        <w:rPr>
          <w:lang w:val="fr-FR"/>
        </w:rPr>
        <w:t> </w:t>
      </w:r>
      <w:r>
        <w:rPr>
          <w:lang w:val="fr-FR"/>
        </w:rPr>
        <w:t xml:space="preserve">a) de la liste de points </w:t>
      </w:r>
    </w:p>
    <w:p w14:paraId="15B5F808" w14:textId="77777777" w:rsidR="00161F02" w:rsidRPr="00123FCD" w:rsidRDefault="00161F02" w:rsidP="000763E3">
      <w:pPr>
        <w:pStyle w:val="SingleTxtG"/>
      </w:pPr>
      <w:r>
        <w:rPr>
          <w:lang w:val="fr-FR"/>
        </w:rPr>
        <w:t>28.</w:t>
      </w:r>
      <w:r>
        <w:rPr>
          <w:lang w:val="fr-FR"/>
        </w:rPr>
        <w:tab/>
        <w:t xml:space="preserve">Le système national de suivi et d’évaluation du respect des droits de l’enfant est incarné par le Médiateur des enfants, institution habilitée à demander des informations et des documents statistiques, analytiques et autres aux organes et services publics, à signaler aux organes publics les violations de la législation relative aux droits de l’enfant, et à soumettre des plaintes aux forces de l’ordre afin que les personnes soupçonnées de violations des droits et libertés des enfants soient poursuivies. Un Conseil public pour la protection des droits de l’enfant a été mis en place au sein des services du Médiateur des enfants. </w:t>
      </w:r>
    </w:p>
    <w:p w14:paraId="00F912EB" w14:textId="77777777" w:rsidR="00161F02" w:rsidRPr="00123FCD" w:rsidRDefault="00161F02" w:rsidP="000763E3">
      <w:pPr>
        <w:pStyle w:val="SingleTxtG"/>
      </w:pPr>
      <w:r>
        <w:rPr>
          <w:lang w:val="fr-FR"/>
        </w:rPr>
        <w:t>29.</w:t>
      </w:r>
      <w:r>
        <w:rPr>
          <w:lang w:val="fr-FR"/>
        </w:rPr>
        <w:tab/>
        <w:t>Le Médiateur des enfant est autorisé à se rendre librement et régulièrement dans les établissements, services et organismes qui assurent la prise en charge et la protection des enfants, dont les établissements d’enseignement, les établissements médicaux, les lieux de garde à vue et les établissements pénitentiaires.</w:t>
      </w:r>
    </w:p>
    <w:p w14:paraId="6E5763D6" w14:textId="77777777" w:rsidR="00161F02" w:rsidRPr="00123FCD" w:rsidRDefault="00161F02" w:rsidP="000763E3">
      <w:pPr>
        <w:pStyle w:val="SingleTxtG"/>
      </w:pPr>
      <w:r>
        <w:rPr>
          <w:lang w:val="fr-FR"/>
        </w:rPr>
        <w:t>30.</w:t>
      </w:r>
      <w:r>
        <w:rPr>
          <w:lang w:val="fr-FR"/>
        </w:rPr>
        <w:tab/>
        <w:t xml:space="preserve">De mars 2020 à mai 2021, le Médiateur a effectué une centaine de visites dans des institutions pour enfants, où il s’est assuré de la conformité des conditions de vie des enfants aux normes internationales relatives aux droits de l’enfant. </w:t>
      </w:r>
    </w:p>
    <w:p w14:paraId="299DF7DD" w14:textId="11EEF1C3" w:rsidR="00161F02" w:rsidRPr="00123FCD" w:rsidRDefault="00161F02" w:rsidP="000763E3">
      <w:pPr>
        <w:pStyle w:val="SingleTxtG"/>
      </w:pPr>
      <w:r>
        <w:rPr>
          <w:lang w:val="fr-FR"/>
        </w:rPr>
        <w:t>31.</w:t>
      </w:r>
      <w:r>
        <w:rPr>
          <w:lang w:val="fr-FR"/>
        </w:rPr>
        <w:tab/>
        <w:t xml:space="preserve">Il s’est rendu dans la colonie pour enfants </w:t>
      </w:r>
      <w:r w:rsidR="000763E3" w:rsidRPr="000763E3">
        <w:rPr>
          <w:rFonts w:eastAsia="MS Mincho"/>
          <w:lang w:val="fr-FR"/>
        </w:rPr>
        <w:t>n</w:t>
      </w:r>
      <w:r w:rsidR="000763E3" w:rsidRPr="000763E3">
        <w:rPr>
          <w:rFonts w:eastAsia="MS Mincho"/>
          <w:vertAlign w:val="superscript"/>
          <w:lang w:val="fr-FR"/>
        </w:rPr>
        <w:t>o</w:t>
      </w:r>
      <w:r w:rsidR="000763E3">
        <w:rPr>
          <w:lang w:val="fr-FR"/>
        </w:rPr>
        <w:t> </w:t>
      </w:r>
      <w:r>
        <w:rPr>
          <w:lang w:val="fr-FR"/>
        </w:rPr>
        <w:t xml:space="preserve">24 </w:t>
      </w:r>
      <w:r w:rsidR="000763E3">
        <w:rPr>
          <w:lang w:val="fr-FR"/>
        </w:rPr>
        <w:t>« </w:t>
      </w:r>
      <w:proofErr w:type="spellStart"/>
      <w:r>
        <w:rPr>
          <w:lang w:val="fr-FR"/>
        </w:rPr>
        <w:t>Mekhribonlik</w:t>
      </w:r>
      <w:proofErr w:type="spellEnd"/>
      <w:r>
        <w:rPr>
          <w:lang w:val="fr-FR"/>
        </w:rPr>
        <w:t xml:space="preserve"> </w:t>
      </w:r>
      <w:proofErr w:type="spellStart"/>
      <w:r>
        <w:rPr>
          <w:lang w:val="fr-FR"/>
        </w:rPr>
        <w:t>ouïlari</w:t>
      </w:r>
      <w:proofErr w:type="spellEnd"/>
      <w:r w:rsidR="000763E3">
        <w:rPr>
          <w:lang w:val="fr-FR"/>
        </w:rPr>
        <w:t> »</w:t>
      </w:r>
      <w:r>
        <w:rPr>
          <w:lang w:val="fr-FR"/>
        </w:rPr>
        <w:t xml:space="preserve">, dans les foyers pour enfants handicapés </w:t>
      </w:r>
      <w:r w:rsidR="008B41FB">
        <w:rPr>
          <w:lang w:val="fr-FR"/>
        </w:rPr>
        <w:t>« </w:t>
      </w:r>
      <w:proofErr w:type="spellStart"/>
      <w:r>
        <w:rPr>
          <w:lang w:val="fr-FR"/>
        </w:rPr>
        <w:t>Mourouvvat</w:t>
      </w:r>
      <w:proofErr w:type="spellEnd"/>
      <w:r w:rsidR="008B41FB">
        <w:rPr>
          <w:lang w:val="fr-FR"/>
        </w:rPr>
        <w:t> »</w:t>
      </w:r>
      <w:r>
        <w:rPr>
          <w:lang w:val="fr-FR"/>
        </w:rPr>
        <w:t xml:space="preserve">, dans des services pédiatriques de cliniques psychoneurologiques, dans des dispensaires psychoneurologiques, dans des orphelinats, dans des centres d’aide sociale et juridique pour mineurs, dans un centre spécial de formation des jeunes filles aux métiers de l’industrie manufacturière légère situé à Kokand, dans des établissements d’enseignement et de formation situés à </w:t>
      </w:r>
      <w:proofErr w:type="spellStart"/>
      <w:r>
        <w:rPr>
          <w:lang w:val="fr-FR"/>
        </w:rPr>
        <w:t>Chinaz</w:t>
      </w:r>
      <w:proofErr w:type="spellEnd"/>
      <w:r>
        <w:rPr>
          <w:lang w:val="fr-FR"/>
        </w:rPr>
        <w:t xml:space="preserve"> et à Bakhta, dans des villages de l’ONG </w:t>
      </w:r>
      <w:r w:rsidR="008B41FB">
        <w:rPr>
          <w:lang w:val="fr-FR"/>
        </w:rPr>
        <w:t>« </w:t>
      </w:r>
      <w:r>
        <w:rPr>
          <w:lang w:val="fr-FR"/>
        </w:rPr>
        <w:t>SOS villages d’enfants</w:t>
      </w:r>
      <w:r w:rsidR="008B41FB">
        <w:rPr>
          <w:lang w:val="fr-FR"/>
        </w:rPr>
        <w:t> »</w:t>
      </w:r>
      <w:r>
        <w:rPr>
          <w:lang w:val="fr-FR"/>
        </w:rPr>
        <w:t>, dans la zone de quarantaine d’</w:t>
      </w:r>
      <w:proofErr w:type="spellStart"/>
      <w:r>
        <w:rPr>
          <w:lang w:val="fr-FR"/>
        </w:rPr>
        <w:t>Ourtasaray</w:t>
      </w:r>
      <w:proofErr w:type="spellEnd"/>
      <w:r>
        <w:rPr>
          <w:lang w:val="fr-FR"/>
        </w:rPr>
        <w:t xml:space="preserve">, dans le centre de détention provisoire </w:t>
      </w:r>
      <w:r w:rsidR="008B41FB" w:rsidRPr="008B41FB">
        <w:rPr>
          <w:rFonts w:eastAsia="MS Mincho"/>
          <w:lang w:val="fr-FR"/>
        </w:rPr>
        <w:t>n</w:t>
      </w:r>
      <w:r w:rsidR="008B41FB" w:rsidRPr="008B41FB">
        <w:rPr>
          <w:rFonts w:eastAsia="MS Mincho"/>
          <w:vertAlign w:val="superscript"/>
          <w:lang w:val="fr-FR"/>
        </w:rPr>
        <w:t>o</w:t>
      </w:r>
      <w:r w:rsidR="008B41FB">
        <w:rPr>
          <w:lang w:val="fr-FR"/>
        </w:rPr>
        <w:t> </w:t>
      </w:r>
      <w:r>
        <w:rPr>
          <w:lang w:val="fr-FR"/>
        </w:rPr>
        <w:t xml:space="preserve">1, dans la colonie pour femmes </w:t>
      </w:r>
      <w:r w:rsidR="008B41FB" w:rsidRPr="008B41FB">
        <w:rPr>
          <w:rFonts w:eastAsia="MS Mincho"/>
          <w:lang w:val="fr-FR"/>
        </w:rPr>
        <w:t>n</w:t>
      </w:r>
      <w:r w:rsidR="008B41FB" w:rsidRPr="008B41FB">
        <w:rPr>
          <w:rFonts w:eastAsia="MS Mincho"/>
          <w:vertAlign w:val="superscript"/>
          <w:lang w:val="fr-FR"/>
        </w:rPr>
        <w:t>o</w:t>
      </w:r>
      <w:r w:rsidR="008B41FB">
        <w:rPr>
          <w:lang w:val="fr-FR"/>
        </w:rPr>
        <w:t> </w:t>
      </w:r>
      <w:r>
        <w:rPr>
          <w:lang w:val="fr-FR"/>
        </w:rPr>
        <w:t xml:space="preserve">21 ainsi que dans un établissement semi-ouvert. </w:t>
      </w:r>
    </w:p>
    <w:p w14:paraId="2C3AA6B0" w14:textId="77777777" w:rsidR="00161F02" w:rsidRPr="00123FCD" w:rsidRDefault="00161F02" w:rsidP="00161F02">
      <w:pPr>
        <w:pStyle w:val="SingleTxtG"/>
      </w:pPr>
      <w:r>
        <w:rPr>
          <w:lang w:val="fr-FR"/>
        </w:rPr>
        <w:t>32.</w:t>
      </w:r>
      <w:r>
        <w:rPr>
          <w:lang w:val="fr-FR"/>
        </w:rPr>
        <w:tab/>
        <w:t>Avec le soutien de l’UNICEF, le Centre national des droits de l’homme s’est employé notamment à surveiller la mise en œuvre du Protocole facultatif à la Convention relative aux droits de l’enfant, concernant l’implication d’enfants dans les conflits armés, à vérifier la compatibilité de la législation relative aux droits de propriété des enfants avec les normes internationales, et à renforcer la participation des ONG s’occupant des droits de l’enfant à la mise en œuvre des instruments internationaux relatifs à ces droits. À la suite de ces activités, plusieurs lois renforçant le statut juridique des enfants et les dispositions relatives à leur protection ont été adoptées.</w:t>
      </w:r>
    </w:p>
    <w:p w14:paraId="611979C3" w14:textId="6EBF84EE" w:rsidR="00161F02" w:rsidRPr="00B91092" w:rsidRDefault="00161F02" w:rsidP="00767C93">
      <w:pPr>
        <w:pStyle w:val="SingleTxtG"/>
        <w:spacing w:line="242" w:lineRule="atLeast"/>
        <w:rPr>
          <w:lang w:val="fr-FR"/>
        </w:rPr>
      </w:pPr>
      <w:r>
        <w:rPr>
          <w:lang w:val="fr-FR"/>
        </w:rPr>
        <w:t>33.</w:t>
      </w:r>
      <w:r>
        <w:rPr>
          <w:lang w:val="fr-FR"/>
        </w:rPr>
        <w:tab/>
        <w:t>Les ONG assurent le contrôle public de l’application des droits de l’enfant. L’Institut pour la démocratie et les droits de l’homme a mené diverses activités afin de surveiller la mise en œuvre du droit des enfants à l’éducation</w:t>
      </w:r>
      <w:r w:rsidR="005579CA">
        <w:rPr>
          <w:lang w:val="fr-FR"/>
        </w:rPr>
        <w:t> :</w:t>
      </w:r>
      <w:r>
        <w:rPr>
          <w:lang w:val="fr-FR"/>
        </w:rPr>
        <w:t xml:space="preserve"> il a examiné la situation dans l’enseignement préscolaire, secondaire et supérieur, a repéré l’existence de lacunes dans la législation et dans la dotation en ressources humaines, matérielles, techniques et financières, et a formulé des recommandations sur les moyens de remédier à ces lacunes, sur la création de partenariats avec la société civile dans les domaines concernés ainsi que sur la </w:t>
      </w:r>
      <w:r>
        <w:rPr>
          <w:lang w:val="fr-FR"/>
        </w:rPr>
        <w:lastRenderedPageBreak/>
        <w:t>participation d’ONG et de parents à la gestion des établissements d’enseignement par la constitution de conseils de surveillance composés de parents et d’observateurs publics et la création de conseils d’étudiants.</w:t>
      </w:r>
    </w:p>
    <w:p w14:paraId="29612727" w14:textId="465CDA72" w:rsidR="00161F02" w:rsidRPr="00123FCD" w:rsidRDefault="00161F02" w:rsidP="008B41FB">
      <w:pPr>
        <w:pStyle w:val="H23G"/>
        <w:rPr>
          <w:i/>
        </w:rPr>
      </w:pPr>
      <w:r>
        <w:rPr>
          <w:lang w:val="fr-FR"/>
        </w:rPr>
        <w:tab/>
      </w:r>
      <w:r>
        <w:rPr>
          <w:lang w:val="fr-FR"/>
        </w:rPr>
        <w:tab/>
        <w:t>Renseignements concernant le paragraphe</w:t>
      </w:r>
      <w:r w:rsidR="00D52077">
        <w:rPr>
          <w:lang w:val="fr-FR"/>
        </w:rPr>
        <w:t> </w:t>
      </w:r>
      <w:r>
        <w:rPr>
          <w:lang w:val="fr-FR"/>
        </w:rPr>
        <w:t>3</w:t>
      </w:r>
      <w:r w:rsidR="00D52077">
        <w:rPr>
          <w:lang w:val="fr-FR"/>
        </w:rPr>
        <w:t> </w:t>
      </w:r>
      <w:r>
        <w:rPr>
          <w:lang w:val="fr-FR"/>
        </w:rPr>
        <w:t xml:space="preserve">b) de la liste de points </w:t>
      </w:r>
    </w:p>
    <w:p w14:paraId="0F27B992" w14:textId="77777777" w:rsidR="00161F02" w:rsidRPr="00123FCD" w:rsidRDefault="00161F02" w:rsidP="008B41FB">
      <w:pPr>
        <w:pStyle w:val="SingleTxtG"/>
      </w:pPr>
      <w:r>
        <w:rPr>
          <w:lang w:val="fr-FR"/>
        </w:rPr>
        <w:t>34.</w:t>
      </w:r>
      <w:r>
        <w:rPr>
          <w:lang w:val="fr-FR"/>
        </w:rPr>
        <w:tab/>
        <w:t xml:space="preserve">La République d’Ouzbékistan met en œuvre un plan global visant à améliorer les évaluations et les indicateurs internationaux relatifs aux questions politico-juridiques. </w:t>
      </w:r>
    </w:p>
    <w:p w14:paraId="0206C493" w14:textId="77777777" w:rsidR="00161F02" w:rsidRPr="00123FCD" w:rsidRDefault="00161F02" w:rsidP="008B41FB">
      <w:pPr>
        <w:pStyle w:val="SingleTxtG"/>
      </w:pPr>
      <w:r>
        <w:rPr>
          <w:lang w:val="fr-FR"/>
        </w:rPr>
        <w:t>35.</w:t>
      </w:r>
      <w:r>
        <w:rPr>
          <w:lang w:val="fr-FR"/>
        </w:rPr>
        <w:tab/>
        <w:t xml:space="preserve">Dans le cadre des mesures visant à renforcer les fondements juridiques de la collecte et de l’analyse de données statistiques, la loi relative aux statistiques officielles a été adoptée. Un système de collecte de données statistiques est en cours d’élaboration et des dispositions institutionnelles sont actuellement prises afin que des données ventilées concernant les enfants soient collectées </w:t>
      </w:r>
      <w:r>
        <w:t xml:space="preserve">et analysées </w:t>
      </w:r>
      <w:r>
        <w:rPr>
          <w:lang w:val="fr-FR"/>
        </w:rPr>
        <w:t>conformément aux normes internationales.</w:t>
      </w:r>
    </w:p>
    <w:p w14:paraId="58AFE729" w14:textId="77777777" w:rsidR="00161F02" w:rsidRPr="00123FCD" w:rsidRDefault="00161F02" w:rsidP="008B41FB">
      <w:pPr>
        <w:pStyle w:val="SingleTxtG"/>
      </w:pPr>
      <w:r>
        <w:rPr>
          <w:lang w:val="fr-FR"/>
        </w:rPr>
        <w:t>36.</w:t>
      </w:r>
      <w:r>
        <w:rPr>
          <w:lang w:val="fr-FR"/>
        </w:rPr>
        <w:tab/>
        <w:t xml:space="preserve">Dans le contexte de l’application des recommandations du Comité pour l’élimination de la discrimination raciale, des données ont été recueillies sur la mise en œuvre du droit à l’éducation des enfants, y compris des enfants </w:t>
      </w:r>
      <w:proofErr w:type="spellStart"/>
      <w:r>
        <w:rPr>
          <w:lang w:val="fr-FR"/>
        </w:rPr>
        <w:t>lyuli</w:t>
      </w:r>
      <w:proofErr w:type="spellEnd"/>
      <w:r>
        <w:rPr>
          <w:lang w:val="fr-FR"/>
        </w:rPr>
        <w:t xml:space="preserve"> (roms), et des formulaires statistiques sur la composition ethnique de la population carcérale ont été introduits. </w:t>
      </w:r>
    </w:p>
    <w:p w14:paraId="6F43ECBB" w14:textId="5FAD7E2F" w:rsidR="00161F02" w:rsidRPr="00123FCD" w:rsidRDefault="00161F02" w:rsidP="008B41FB">
      <w:pPr>
        <w:pStyle w:val="H23G"/>
        <w:rPr>
          <w:i/>
        </w:rPr>
      </w:pPr>
      <w:r>
        <w:rPr>
          <w:lang w:val="fr-FR"/>
        </w:rPr>
        <w:tab/>
      </w:r>
      <w:r>
        <w:rPr>
          <w:lang w:val="fr-FR"/>
        </w:rPr>
        <w:tab/>
        <w:t>Renseignements concernant le paragraphe</w:t>
      </w:r>
      <w:r w:rsidR="00D52077">
        <w:rPr>
          <w:lang w:val="fr-FR"/>
        </w:rPr>
        <w:t> </w:t>
      </w:r>
      <w:r>
        <w:rPr>
          <w:lang w:val="fr-FR"/>
        </w:rPr>
        <w:t>3</w:t>
      </w:r>
      <w:r w:rsidR="00D52077">
        <w:rPr>
          <w:lang w:val="fr-FR"/>
        </w:rPr>
        <w:t> </w:t>
      </w:r>
      <w:r>
        <w:rPr>
          <w:lang w:val="fr-FR"/>
        </w:rPr>
        <w:t xml:space="preserve">c) de la liste de points </w:t>
      </w:r>
    </w:p>
    <w:p w14:paraId="1BDDB4CD" w14:textId="77777777" w:rsidR="00161F02" w:rsidRPr="00123FCD" w:rsidRDefault="00161F02" w:rsidP="008B41FB">
      <w:pPr>
        <w:pStyle w:val="SingleTxtG"/>
      </w:pPr>
      <w:r>
        <w:rPr>
          <w:lang w:val="fr-FR"/>
        </w:rPr>
        <w:t>37.</w:t>
      </w:r>
      <w:r>
        <w:rPr>
          <w:lang w:val="fr-FR"/>
        </w:rPr>
        <w:tab/>
        <w:t xml:space="preserve">En Ouzbékistan, une attention considérable est accordée à la relance des activités des ONG. Une stratégie pour le développement de la société civile pour la période 2021-2025 a été adoptée. Ce document prévoit que l’État apporte un soutien à la création d’ONG s’occupant des enfants, des jeunes, des femmes et des personnes âgées, encourage une plus grande participation des ONG au contrôle public, à la gestion des affaires publiques et aux projets sociaux, et continue de garantir largement la publicité et la transparence des activités des organes de l’État. </w:t>
      </w:r>
    </w:p>
    <w:p w14:paraId="236DE17C" w14:textId="77777777" w:rsidR="00161F02" w:rsidRPr="00123FCD" w:rsidRDefault="00161F02" w:rsidP="008B41FB">
      <w:pPr>
        <w:pStyle w:val="SingleTxtG"/>
      </w:pPr>
      <w:r>
        <w:rPr>
          <w:lang w:val="fr-FR"/>
        </w:rPr>
        <w:t>38.</w:t>
      </w:r>
      <w:r>
        <w:rPr>
          <w:lang w:val="fr-FR"/>
        </w:rPr>
        <w:tab/>
        <w:t>Afin d’assurer la participation de la société civile à la planification, au suivi et à l’évaluation des lois, une procédure prévoyant l’obligation de tenir des consultations publiques sur les projets de lois et de règlements a été adoptée. Ainsi, tout projet de loi touchant les droits et les intérêts légitimes des ONG doit être élaboré en concertation avec l’Association nationale des ONG ouzbèkes.</w:t>
      </w:r>
    </w:p>
    <w:p w14:paraId="497010B0" w14:textId="136D73D9" w:rsidR="00161F02" w:rsidRPr="00123FCD" w:rsidRDefault="00161F02" w:rsidP="00161F02">
      <w:pPr>
        <w:pStyle w:val="SingleTxtG"/>
      </w:pPr>
      <w:r>
        <w:rPr>
          <w:lang w:val="fr-FR"/>
        </w:rPr>
        <w:t>39.</w:t>
      </w:r>
      <w:r>
        <w:rPr>
          <w:lang w:val="fr-FR"/>
        </w:rPr>
        <w:tab/>
        <w:t xml:space="preserve">En 2018, un portail spécial dénommé </w:t>
      </w:r>
      <w:r w:rsidR="008B41FB">
        <w:rPr>
          <w:lang w:val="fr-FR"/>
        </w:rPr>
        <w:t>« </w:t>
      </w:r>
      <w:proofErr w:type="spellStart"/>
      <w:r>
        <w:rPr>
          <w:lang w:val="fr-FR"/>
        </w:rPr>
        <w:t>Mening</w:t>
      </w:r>
      <w:proofErr w:type="spellEnd"/>
      <w:r>
        <w:rPr>
          <w:lang w:val="fr-FR"/>
        </w:rPr>
        <w:t xml:space="preserve"> </w:t>
      </w:r>
      <w:proofErr w:type="spellStart"/>
      <w:r>
        <w:rPr>
          <w:lang w:val="fr-FR"/>
        </w:rPr>
        <w:t>fikrim</w:t>
      </w:r>
      <w:proofErr w:type="spellEnd"/>
      <w:r w:rsidR="008B41FB">
        <w:rPr>
          <w:lang w:val="fr-FR"/>
        </w:rPr>
        <w:t> »</w:t>
      </w:r>
      <w:r>
        <w:rPr>
          <w:lang w:val="fr-FR"/>
        </w:rPr>
        <w:t xml:space="preserve"> (</w:t>
      </w:r>
      <w:r w:rsidR="008B41FB">
        <w:rPr>
          <w:lang w:val="fr-FR"/>
        </w:rPr>
        <w:t>« </w:t>
      </w:r>
      <w:r>
        <w:rPr>
          <w:lang w:val="fr-FR"/>
        </w:rPr>
        <w:t>Mon avis</w:t>
      </w:r>
      <w:r w:rsidR="008B41FB">
        <w:rPr>
          <w:lang w:val="fr-FR"/>
        </w:rPr>
        <w:t> »</w:t>
      </w:r>
      <w:r>
        <w:rPr>
          <w:lang w:val="fr-FR"/>
        </w:rPr>
        <w:t xml:space="preserve"> </w:t>
      </w:r>
      <w:hyperlink r:id="rId8" w:history="1">
        <w:r w:rsidRPr="008B41FB">
          <w:rPr>
            <w:rStyle w:val="Lienhypertexte"/>
            <w:lang w:val="fr-FR"/>
          </w:rPr>
          <w:t>https</w:t>
        </w:r>
        <w:r w:rsidR="005579CA" w:rsidRPr="008B41FB">
          <w:rPr>
            <w:rStyle w:val="Lienhypertexte"/>
            <w:lang w:val="fr-FR"/>
          </w:rPr>
          <w:t>:</w:t>
        </w:r>
        <w:r w:rsidRPr="008B41FB">
          <w:rPr>
            <w:rStyle w:val="Lienhypertexte"/>
            <w:lang w:val="fr-FR"/>
          </w:rPr>
          <w:t>//petition.gov.uz/ru</w:t>
        </w:r>
      </w:hyperlink>
      <w:r>
        <w:rPr>
          <w:lang w:val="fr-FR"/>
        </w:rPr>
        <w:t xml:space="preserve">) a été mis en place afin que les particuliers puissent soumettre des requêtes collectives au Parlement, au Gouvernement ou aux </w:t>
      </w:r>
      <w:proofErr w:type="spellStart"/>
      <w:r w:rsidRPr="008B41FB">
        <w:rPr>
          <w:i/>
          <w:iCs/>
          <w:lang w:val="fr-FR"/>
        </w:rPr>
        <w:t>kengachs</w:t>
      </w:r>
      <w:proofErr w:type="spellEnd"/>
      <w:r>
        <w:rPr>
          <w:lang w:val="fr-FR"/>
        </w:rPr>
        <w:t xml:space="preserve"> des députés du peuple. Ces mécanismes permettent d’assurer la participation des citoyens à la gestion de la société et de l’État. </w:t>
      </w:r>
    </w:p>
    <w:p w14:paraId="6B3D0414" w14:textId="39789081" w:rsidR="00161F02" w:rsidRPr="00123FCD" w:rsidRDefault="00161F02" w:rsidP="00161F02">
      <w:pPr>
        <w:pStyle w:val="SingleTxtG"/>
      </w:pPr>
      <w:r>
        <w:rPr>
          <w:lang w:val="fr-FR"/>
        </w:rPr>
        <w:t>40.</w:t>
      </w:r>
      <w:r>
        <w:rPr>
          <w:lang w:val="fr-FR"/>
        </w:rPr>
        <w:tab/>
        <w:t>Ces quatre dernières années, plus de 1</w:t>
      </w:r>
      <w:r w:rsidR="009A09A8">
        <w:rPr>
          <w:lang w:val="fr-FR"/>
        </w:rPr>
        <w:t> </w:t>
      </w:r>
      <w:r>
        <w:rPr>
          <w:lang w:val="fr-FR"/>
        </w:rPr>
        <w:t>270</w:t>
      </w:r>
      <w:r w:rsidR="009A09A8">
        <w:rPr>
          <w:lang w:val="fr-FR"/>
        </w:rPr>
        <w:t> </w:t>
      </w:r>
      <w:r>
        <w:rPr>
          <w:lang w:val="fr-FR"/>
        </w:rPr>
        <w:t>projets d’ONG ont été subventionnés par l’État et des crédits budgétaires d’un montant total de 117</w:t>
      </w:r>
      <w:r w:rsidR="009A09A8">
        <w:rPr>
          <w:lang w:val="fr-FR"/>
        </w:rPr>
        <w:t> </w:t>
      </w:r>
      <w:r>
        <w:rPr>
          <w:lang w:val="fr-FR"/>
        </w:rPr>
        <w:t xml:space="preserve">milliards de </w:t>
      </w:r>
      <w:proofErr w:type="spellStart"/>
      <w:r>
        <w:rPr>
          <w:lang w:val="fr-FR"/>
        </w:rPr>
        <w:t>sum</w:t>
      </w:r>
      <w:proofErr w:type="spellEnd"/>
      <w:r>
        <w:rPr>
          <w:lang w:val="fr-FR"/>
        </w:rPr>
        <w:t xml:space="preserve"> ont été débloqués à cette fin.</w:t>
      </w:r>
    </w:p>
    <w:p w14:paraId="1ED272CC" w14:textId="77777777" w:rsidR="00161F02" w:rsidRPr="00123FCD" w:rsidRDefault="00161F02" w:rsidP="00161F02">
      <w:pPr>
        <w:pStyle w:val="SingleTxtG"/>
      </w:pPr>
      <w:r>
        <w:rPr>
          <w:lang w:val="fr-FR"/>
        </w:rPr>
        <w:t>41.</w:t>
      </w:r>
      <w:r>
        <w:rPr>
          <w:lang w:val="fr-FR"/>
        </w:rPr>
        <w:tab/>
        <w:t xml:space="preserve">Afin d’encourager le développement des institutions de la société civile, la procédure de création des ONG a été simplifiée, le montant de la taxe d’enregistrement perçue par les autorités a été revu à la baisse, la procédure d’approbation des activités des ONG par les autorités chargées de l’enregistrement a été remplacée par une procédure de notification des activités, et des mesures ont été prises afin que les ONG puissent utiliser librement les ressources qui leur sont allouées par d’autres États, des organisations internationales ou des organisations étrangères. </w:t>
      </w:r>
    </w:p>
    <w:p w14:paraId="0A8AB595" w14:textId="620AD8AC" w:rsidR="00161F02" w:rsidRPr="00123FCD" w:rsidRDefault="00161F02" w:rsidP="00161F02">
      <w:pPr>
        <w:pStyle w:val="SingleTxtG"/>
      </w:pPr>
      <w:r>
        <w:rPr>
          <w:lang w:val="fr-FR"/>
        </w:rPr>
        <w:t>42.</w:t>
      </w:r>
      <w:r>
        <w:rPr>
          <w:lang w:val="fr-FR"/>
        </w:rPr>
        <w:tab/>
        <w:t xml:space="preserve">Un représentant permanent des ONG siège désormais à la chambre basse du Parlement. Des maisons des ONG dotées de matériel moderne ont été mises en place dans huit régions grâce à l’allocation de fonds publics. En 2020, les indicateurs relatifs aux flux de trésorerie des ONG étaient </w:t>
      </w:r>
      <w:r w:rsidR="00B661DA">
        <w:rPr>
          <w:lang w:val="fr-FR"/>
        </w:rPr>
        <w:t>12 </w:t>
      </w:r>
      <w:r>
        <w:rPr>
          <w:lang w:val="fr-FR"/>
        </w:rPr>
        <w:t>fois plus élevés qu’en 2016.</w:t>
      </w:r>
    </w:p>
    <w:p w14:paraId="0664D4D2" w14:textId="652E5A4A" w:rsidR="00161F02" w:rsidRPr="00123FCD" w:rsidRDefault="00161F02" w:rsidP="009A09A8">
      <w:pPr>
        <w:pStyle w:val="H23G"/>
        <w:rPr>
          <w:i/>
        </w:rPr>
      </w:pPr>
      <w:r>
        <w:rPr>
          <w:lang w:val="fr-FR"/>
        </w:rPr>
        <w:tab/>
      </w:r>
      <w:r>
        <w:rPr>
          <w:lang w:val="fr-FR"/>
        </w:rPr>
        <w:tab/>
        <w:t>Renseignements concernant le paragraphe</w:t>
      </w:r>
      <w:r w:rsidR="00B661DA">
        <w:rPr>
          <w:lang w:val="fr-FR"/>
        </w:rPr>
        <w:t> </w:t>
      </w:r>
      <w:r>
        <w:rPr>
          <w:lang w:val="fr-FR"/>
        </w:rPr>
        <w:t>4</w:t>
      </w:r>
      <w:r w:rsidR="00B661DA">
        <w:rPr>
          <w:lang w:val="fr-FR"/>
        </w:rPr>
        <w:t> </w:t>
      </w:r>
      <w:r>
        <w:rPr>
          <w:lang w:val="fr-FR"/>
        </w:rPr>
        <w:t xml:space="preserve">a) de la liste de points </w:t>
      </w:r>
    </w:p>
    <w:p w14:paraId="65453EE6" w14:textId="088F1B92" w:rsidR="00161F02" w:rsidRPr="00123FCD" w:rsidRDefault="00161F02" w:rsidP="00161F02">
      <w:pPr>
        <w:pStyle w:val="SingleTxtG"/>
      </w:pPr>
      <w:r>
        <w:rPr>
          <w:lang w:val="fr-FR"/>
        </w:rPr>
        <w:t>43.</w:t>
      </w:r>
      <w:r>
        <w:rPr>
          <w:lang w:val="fr-FR"/>
        </w:rPr>
        <w:tab/>
        <w:t>Une ordonnance présidentielle visant à renforcer la protection des droits de l’enfant a été adoptée le 24</w:t>
      </w:r>
      <w:r w:rsidR="009A09A8">
        <w:rPr>
          <w:lang w:val="fr-FR"/>
        </w:rPr>
        <w:t> </w:t>
      </w:r>
      <w:r>
        <w:rPr>
          <w:lang w:val="fr-FR"/>
        </w:rPr>
        <w:t>avril 2019. Ce document garantit aux enfants privés de protection parentale de moins de 18</w:t>
      </w:r>
      <w:r w:rsidR="009A09A8">
        <w:rPr>
          <w:lang w:val="fr-FR"/>
        </w:rPr>
        <w:t> </w:t>
      </w:r>
      <w:r>
        <w:rPr>
          <w:lang w:val="fr-FR"/>
        </w:rPr>
        <w:t xml:space="preserve">ans le droit d’être logés dans leur localité de résidence, soit dans un foyer </w:t>
      </w:r>
      <w:r w:rsidR="009A09A8">
        <w:rPr>
          <w:lang w:val="fr-FR"/>
        </w:rPr>
        <w:lastRenderedPageBreak/>
        <w:t>« </w:t>
      </w:r>
      <w:proofErr w:type="spellStart"/>
      <w:r>
        <w:rPr>
          <w:lang w:val="fr-FR"/>
        </w:rPr>
        <w:t>Mekhribonlik</w:t>
      </w:r>
      <w:proofErr w:type="spellEnd"/>
      <w:r w:rsidR="009A09A8">
        <w:rPr>
          <w:lang w:val="fr-FR"/>
        </w:rPr>
        <w:t> »</w:t>
      </w:r>
      <w:r>
        <w:rPr>
          <w:lang w:val="fr-FR"/>
        </w:rPr>
        <w:t>, soit chez un tuteur (curateur), ainsi que le droit des enfants qui ont 14</w:t>
      </w:r>
      <w:r w:rsidR="009A09A8">
        <w:rPr>
          <w:lang w:val="fr-FR"/>
        </w:rPr>
        <w:t> </w:t>
      </w:r>
      <w:r>
        <w:rPr>
          <w:lang w:val="fr-FR"/>
        </w:rPr>
        <w:t>ans révolus de réclamer personnellement une pension alimentaire à leur mère ou à leur père. Les</w:t>
      </w:r>
      <w:r w:rsidR="00BA7040">
        <w:rPr>
          <w:lang w:val="fr-FR"/>
        </w:rPr>
        <w:t> </w:t>
      </w:r>
      <w:r>
        <w:rPr>
          <w:lang w:val="fr-FR"/>
        </w:rPr>
        <w:t xml:space="preserve">personnes qui saisissent un tribunal d’une requête portant sur la protection des droits de l’enfant sont exonérés des taxes et d’autres frais de justice. </w:t>
      </w:r>
    </w:p>
    <w:p w14:paraId="2C8AE9C1" w14:textId="6F7E560D" w:rsidR="00161F02" w:rsidRPr="00123FCD" w:rsidRDefault="00161F02" w:rsidP="00161F02">
      <w:pPr>
        <w:pStyle w:val="SingleTxtG"/>
      </w:pPr>
      <w:r w:rsidRPr="00B96815">
        <w:rPr>
          <w:lang w:val="fr-FR"/>
        </w:rPr>
        <w:t>44.</w:t>
      </w:r>
      <w:r w:rsidRPr="00B96815">
        <w:rPr>
          <w:lang w:val="fr-FR"/>
        </w:rPr>
        <w:tab/>
        <w:t>La loi portant modification du Code de procédure pénale a été adoptée le 6 décembre 2019 afin de renforcer encore davantage la protection des droits de l’enfant. Les</w:t>
      </w:r>
      <w:r w:rsidR="009A09A8" w:rsidRPr="00B96815">
        <w:rPr>
          <w:lang w:val="fr-FR"/>
        </w:rPr>
        <w:t> </w:t>
      </w:r>
      <w:r w:rsidRPr="00B96815">
        <w:rPr>
          <w:lang w:val="fr-FR"/>
        </w:rPr>
        <w:t>modifications apportées par ladite loi visent à renforcer les dispositions garantissant les droits de l’enfant dans le cadre d’une procédure pénale (art.</w:t>
      </w:r>
      <w:r w:rsidR="009A09A8" w:rsidRPr="00B96815">
        <w:rPr>
          <w:lang w:val="fr-FR"/>
        </w:rPr>
        <w:t> </w:t>
      </w:r>
      <w:r w:rsidRPr="00B96815">
        <w:rPr>
          <w:lang w:val="fr-FR"/>
        </w:rPr>
        <w:t>61, 121, 181, 196, 442, 552, 553 et 559), à rendre irrecevable le refus de se faire représenter par un conseil dans une affaire concernant un mineur (art.</w:t>
      </w:r>
      <w:r w:rsidR="009A09A8" w:rsidRPr="00B96815">
        <w:rPr>
          <w:lang w:val="fr-FR"/>
        </w:rPr>
        <w:t> </w:t>
      </w:r>
      <w:r w:rsidRPr="00B96815">
        <w:rPr>
          <w:lang w:val="fr-FR"/>
        </w:rPr>
        <w:t>52) et à accorder la possibilité à un membre de la famille de l’enfant de devenir son représentant légal (art.</w:t>
      </w:r>
      <w:r w:rsidR="009A09A8" w:rsidRPr="00B96815">
        <w:rPr>
          <w:lang w:val="fr-FR"/>
        </w:rPr>
        <w:t> </w:t>
      </w:r>
      <w:r w:rsidRPr="00B96815">
        <w:rPr>
          <w:lang w:val="fr-FR"/>
        </w:rPr>
        <w:t>60). La loi relative à la protection des droits de l’enfant a été complétée par des dispositions visant à protéger les enfants contre la torture et la violence, le harcèlement sexuel et toutes les formes d’exploitation et de violence (art.</w:t>
      </w:r>
      <w:r w:rsidR="009A09A8" w:rsidRPr="00B96815">
        <w:rPr>
          <w:lang w:val="fr-FR"/>
        </w:rPr>
        <w:t> </w:t>
      </w:r>
      <w:r w:rsidRPr="00B96815">
        <w:rPr>
          <w:lang w:val="fr-FR"/>
        </w:rPr>
        <w:t>10).</w:t>
      </w:r>
      <w:r>
        <w:rPr>
          <w:lang w:val="fr-FR"/>
        </w:rPr>
        <w:t xml:space="preserve"> </w:t>
      </w:r>
    </w:p>
    <w:p w14:paraId="68364FAD" w14:textId="5DD2BF11" w:rsidR="00161F02" w:rsidRPr="00123FCD" w:rsidRDefault="00161F02" w:rsidP="00161F02">
      <w:pPr>
        <w:pStyle w:val="SingleTxtG"/>
      </w:pPr>
      <w:r>
        <w:rPr>
          <w:lang w:val="fr-FR"/>
        </w:rPr>
        <w:t>45.</w:t>
      </w:r>
      <w:r>
        <w:rPr>
          <w:lang w:val="fr-FR"/>
        </w:rPr>
        <w:tab/>
        <w:t>En vertu de la loi du 10</w:t>
      </w:r>
      <w:r w:rsidR="009A09A8">
        <w:rPr>
          <w:lang w:val="fr-FR"/>
        </w:rPr>
        <w:t> </w:t>
      </w:r>
      <w:r>
        <w:rPr>
          <w:lang w:val="fr-FR"/>
        </w:rPr>
        <w:t>mars 2020, le Code de la famille a été complété par une disposition précisant quels organes et fonctionnaires sont habilités à prendre des décisions dans le cadre du règlement de questions touchant les intérêts de l’enfant (art.</w:t>
      </w:r>
      <w:r w:rsidR="009A09A8">
        <w:rPr>
          <w:lang w:val="fr-FR"/>
        </w:rPr>
        <w:t> </w:t>
      </w:r>
      <w:r>
        <w:rPr>
          <w:lang w:val="fr-FR"/>
        </w:rPr>
        <w:t>10)</w:t>
      </w:r>
      <w:r w:rsidR="005579CA">
        <w:rPr>
          <w:lang w:val="fr-FR"/>
        </w:rPr>
        <w:t> ;</w:t>
      </w:r>
      <w:r>
        <w:rPr>
          <w:lang w:val="fr-FR"/>
        </w:rPr>
        <w:t xml:space="preserve"> la loi relative à la protection des droits de l’enfant a été complétée par l’ajout d’une disposition garantissant le droit de tout enfant de demander personnellement aux autorités de tutelle et de curatelle ainsi qu’à d’autres organes public de protéger ses droits et intérêts légitimes lorsque ceux-ci sont violés par ses parents (art.</w:t>
      </w:r>
      <w:r w:rsidR="009A09A8">
        <w:rPr>
          <w:lang w:val="fr-FR"/>
        </w:rPr>
        <w:t> </w:t>
      </w:r>
      <w:r>
        <w:rPr>
          <w:lang w:val="fr-FR"/>
        </w:rPr>
        <w:t>11)</w:t>
      </w:r>
      <w:r w:rsidR="005579CA">
        <w:rPr>
          <w:lang w:val="fr-FR"/>
        </w:rPr>
        <w:t> ;</w:t>
      </w:r>
      <w:r>
        <w:rPr>
          <w:lang w:val="fr-FR"/>
        </w:rPr>
        <w:t xml:space="preserve"> une disposition établissant que l’opinion de l’enfant doit être prise en considération quel que soit l’âge de l’intéressé et que l’intérêt supérieur de l’enfant doit être pris en considération dans toute décision le concernant a été introduite (art. 15). La loi relative à la saisine des organes de l’État par les personnes physiques ou morales a été complétée par l’ajout d’une disposition définissant la procédure d’examen des plaintes déposées par les mineurs auprès des organes et des administrations de l’État et d’autres entités (art.</w:t>
      </w:r>
      <w:r w:rsidR="009A09A8">
        <w:rPr>
          <w:lang w:val="fr-FR"/>
        </w:rPr>
        <w:t> </w:t>
      </w:r>
      <w:r>
        <w:rPr>
          <w:lang w:val="fr-FR"/>
        </w:rPr>
        <w:t>24</w:t>
      </w:r>
      <w:r w:rsidRPr="005E1C4C">
        <w:rPr>
          <w:sz w:val="18"/>
          <w:szCs w:val="18"/>
          <w:vertAlign w:val="superscript"/>
          <w:lang w:val="fr-FR"/>
        </w:rPr>
        <w:t>1</w:t>
      </w:r>
      <w:r>
        <w:rPr>
          <w:lang w:val="fr-FR"/>
        </w:rPr>
        <w:t>).</w:t>
      </w:r>
    </w:p>
    <w:p w14:paraId="069B9364" w14:textId="56AF6E2F" w:rsidR="00161F02" w:rsidRPr="00123FCD" w:rsidRDefault="00161F02" w:rsidP="00161F02">
      <w:pPr>
        <w:pStyle w:val="SingleTxtG"/>
        <w:rPr>
          <w:b/>
        </w:rPr>
      </w:pPr>
      <w:r>
        <w:rPr>
          <w:lang w:val="fr-FR"/>
        </w:rPr>
        <w:t>46.</w:t>
      </w:r>
      <w:r>
        <w:rPr>
          <w:lang w:val="fr-FR"/>
        </w:rPr>
        <w:tab/>
        <w:t>En 2021, dans le cadre des efforts déployés pour consolider les fondements juridiques de l’adoption, de nouvelles dispositions ont été introduites dans le Code de la famille (art.</w:t>
      </w:r>
      <w:r w:rsidR="005E1C4C">
        <w:rPr>
          <w:lang w:val="fr-FR"/>
        </w:rPr>
        <w:t> </w:t>
      </w:r>
      <w:r>
        <w:rPr>
          <w:lang w:val="fr-FR"/>
        </w:rPr>
        <w:t>152) et dans la loi relative à la tutelle et à la curatelle (art.</w:t>
      </w:r>
      <w:r w:rsidR="005E1C4C">
        <w:rPr>
          <w:lang w:val="fr-FR"/>
        </w:rPr>
        <w:t> </w:t>
      </w:r>
      <w:r>
        <w:rPr>
          <w:lang w:val="fr-FR"/>
        </w:rPr>
        <w:t>22) concernant les personnes qui sont privées du droit d’adopter des mineurs parce qu’elles ont commis des infractions graves ou particulièrement graves ou parce qu’elles sont atteintes de maladies représentant un obstacle à l’adoption.</w:t>
      </w:r>
    </w:p>
    <w:p w14:paraId="19721A41" w14:textId="77777777" w:rsidR="00161F02" w:rsidRPr="00123FCD" w:rsidRDefault="00161F02" w:rsidP="00161F02">
      <w:pPr>
        <w:pStyle w:val="H23G"/>
      </w:pPr>
      <w:r>
        <w:rPr>
          <w:lang w:val="fr-FR"/>
        </w:rPr>
        <w:tab/>
      </w:r>
      <w:r>
        <w:rPr>
          <w:lang w:val="fr-FR"/>
        </w:rPr>
        <w:tab/>
      </w:r>
      <w:r>
        <w:rPr>
          <w:bCs/>
          <w:lang w:val="fr-FR"/>
        </w:rPr>
        <w:t>Renseignements concernant le paragraphe 4 b) de la liste de points</w:t>
      </w:r>
      <w:r>
        <w:rPr>
          <w:lang w:val="fr-FR"/>
        </w:rPr>
        <w:t xml:space="preserve"> </w:t>
      </w:r>
    </w:p>
    <w:p w14:paraId="4965E88F" w14:textId="0D8DD9A7" w:rsidR="00161F02" w:rsidRPr="00123FCD" w:rsidRDefault="00161F02" w:rsidP="00161F02">
      <w:pPr>
        <w:pStyle w:val="SingleTxtG"/>
      </w:pPr>
      <w:r>
        <w:rPr>
          <w:lang w:val="fr-FR"/>
        </w:rPr>
        <w:t>47.</w:t>
      </w:r>
      <w:r>
        <w:rPr>
          <w:lang w:val="fr-FR"/>
        </w:rPr>
        <w:tab/>
        <w:t>Des mesures ont été prises en Ouzbékistan pour garantir le droit de tous les enfants, y</w:t>
      </w:r>
      <w:r w:rsidR="005E1C4C">
        <w:rPr>
          <w:lang w:val="fr-FR"/>
        </w:rPr>
        <w:t> </w:t>
      </w:r>
      <w:r>
        <w:rPr>
          <w:lang w:val="fr-FR"/>
        </w:rPr>
        <w:t>compris ceux de moins de 10</w:t>
      </w:r>
      <w:r w:rsidR="005E1C4C">
        <w:rPr>
          <w:lang w:val="fr-FR"/>
        </w:rPr>
        <w:t> </w:t>
      </w:r>
      <w:r>
        <w:rPr>
          <w:lang w:val="fr-FR"/>
        </w:rPr>
        <w:t>ans, d’être entendus dans les procédures judiciaires ou administratives qui les concernent, en particulier dans les procédures civiles et les procédures relatives à l’octroi d’une protection de remplacement.</w:t>
      </w:r>
    </w:p>
    <w:p w14:paraId="65979196" w14:textId="77777777" w:rsidR="00161F02" w:rsidRPr="00123FCD" w:rsidRDefault="00161F02" w:rsidP="00161F02">
      <w:pPr>
        <w:pStyle w:val="SingleTxtG"/>
      </w:pPr>
      <w:r>
        <w:rPr>
          <w:lang w:val="fr-FR"/>
        </w:rPr>
        <w:t>48.</w:t>
      </w:r>
      <w:r>
        <w:rPr>
          <w:lang w:val="fr-FR"/>
        </w:rPr>
        <w:tab/>
        <w:t>Des mesures sont prises pour améliorer le système permettant aux enfants d’être gratuitement représentés en justice et pour intégrer le principe de l’intérêt supérieur de l’enfant dans la pratique des tribunaux et dans la législation.</w:t>
      </w:r>
    </w:p>
    <w:p w14:paraId="02B906F4" w14:textId="590DCC8C" w:rsidR="00161F02" w:rsidRPr="00123FCD" w:rsidRDefault="00161F02" w:rsidP="00161F02">
      <w:pPr>
        <w:pStyle w:val="SingleTxtG"/>
      </w:pPr>
      <w:r>
        <w:rPr>
          <w:lang w:val="fr-FR"/>
        </w:rPr>
        <w:t>49.</w:t>
      </w:r>
      <w:r>
        <w:rPr>
          <w:lang w:val="fr-FR"/>
        </w:rPr>
        <w:tab/>
        <w:t>L’ordonnance présidentielle du 22</w:t>
      </w:r>
      <w:r w:rsidR="005E1C4C">
        <w:rPr>
          <w:lang w:val="fr-FR"/>
        </w:rPr>
        <w:t> </w:t>
      </w:r>
      <w:r>
        <w:rPr>
          <w:lang w:val="fr-FR"/>
        </w:rPr>
        <w:t>avril 2019 sur les mesures complémentaires visant à renforcer la protection des droits de l’enfant dispose que les plaintes déposées par les mineurs auprès des organes publics doivent impérativement être examinées et que les enfants jouissent du droit de donner leur avis sur toute question touchant leurs intérêts et d’être entendus dans le cadre de toute procédure judiciaire ou administrative. Ainsi, les autorités ou les personnes habilitées à prendre des décisions et à régler des questions ayant une incidence sur l’intérêt de l’enfant doivent tenir compte de l’opinion de celui-ci quel que soit son âge et se fonder sur le principe de l’intérêt supérieur de l’enfant. Les dispositions pertinentes figurent dans le Code de la famille, le Code de procédure civile, la loi relative à la protection des droits de l’enfant et la loi relative à la saisine des organes de l’État par les personnes physiques ou morales.</w:t>
      </w:r>
    </w:p>
    <w:p w14:paraId="0F4C81DB" w14:textId="00ADF93B" w:rsidR="00161F02" w:rsidRPr="00123FCD" w:rsidRDefault="00161F02" w:rsidP="00161F02">
      <w:pPr>
        <w:pStyle w:val="SingleTxtG"/>
      </w:pPr>
      <w:r>
        <w:rPr>
          <w:lang w:val="fr-FR"/>
        </w:rPr>
        <w:t>50.</w:t>
      </w:r>
      <w:r>
        <w:rPr>
          <w:lang w:val="fr-FR"/>
        </w:rPr>
        <w:tab/>
        <w:t>Pendant la période allant de 2018 à la fin du premier trimestre de 2021, le nombre d’affaires familiales jugées par les tribunaux civils dans lesquelles un mineur avait été entendu s’établissait à 489 au total (128 en 2018</w:t>
      </w:r>
      <w:r w:rsidR="005579CA">
        <w:rPr>
          <w:lang w:val="fr-FR"/>
        </w:rPr>
        <w:t> ;</w:t>
      </w:r>
      <w:r>
        <w:rPr>
          <w:lang w:val="fr-FR"/>
        </w:rPr>
        <w:t xml:space="preserve"> 126 en 2019</w:t>
      </w:r>
      <w:r w:rsidR="005579CA">
        <w:rPr>
          <w:lang w:val="fr-FR"/>
        </w:rPr>
        <w:t> ;</w:t>
      </w:r>
      <w:r>
        <w:rPr>
          <w:lang w:val="fr-FR"/>
        </w:rPr>
        <w:t xml:space="preserve"> 152 en 2020</w:t>
      </w:r>
      <w:r w:rsidR="005579CA">
        <w:rPr>
          <w:lang w:val="fr-FR"/>
        </w:rPr>
        <w:t> ;</w:t>
      </w:r>
      <w:r>
        <w:rPr>
          <w:lang w:val="fr-FR"/>
        </w:rPr>
        <w:t xml:space="preserve"> 83 à la fin du </w:t>
      </w:r>
      <w:r>
        <w:rPr>
          <w:lang w:val="fr-FR"/>
        </w:rPr>
        <w:lastRenderedPageBreak/>
        <w:t>premier trimestre de 2021). Sur ces 489</w:t>
      </w:r>
      <w:r w:rsidR="005E1C4C">
        <w:rPr>
          <w:lang w:val="fr-FR"/>
        </w:rPr>
        <w:t> </w:t>
      </w:r>
      <w:r>
        <w:rPr>
          <w:lang w:val="fr-FR"/>
        </w:rPr>
        <w:t>affaires, 287 concernaient le placement d’un enfant en famille d’accueil (entretien)</w:t>
      </w:r>
      <w:r w:rsidR="005579CA">
        <w:rPr>
          <w:lang w:val="fr-FR"/>
        </w:rPr>
        <w:t> ;</w:t>
      </w:r>
      <w:r>
        <w:rPr>
          <w:lang w:val="fr-FR"/>
        </w:rPr>
        <w:t xml:space="preserve"> 22 portaient sur l’organisation des visites</w:t>
      </w:r>
      <w:r w:rsidR="005579CA">
        <w:rPr>
          <w:lang w:val="fr-FR"/>
        </w:rPr>
        <w:t> ;</w:t>
      </w:r>
      <w:r>
        <w:rPr>
          <w:lang w:val="fr-FR"/>
        </w:rPr>
        <w:t xml:space="preserve"> 1 avait trait à l’obtention d’un accord en vue de la délivrance d’un passeport biométrique</w:t>
      </w:r>
      <w:r w:rsidR="005579CA">
        <w:rPr>
          <w:lang w:val="fr-FR"/>
        </w:rPr>
        <w:t> ;</w:t>
      </w:r>
      <w:r>
        <w:rPr>
          <w:lang w:val="fr-FR"/>
        </w:rPr>
        <w:t xml:space="preserve"> </w:t>
      </w:r>
      <w:r w:rsidRPr="00123FCD">
        <w:t>14</w:t>
      </w:r>
      <w:r>
        <w:t> </w:t>
      </w:r>
      <w:r w:rsidRPr="00123FCD">
        <w:t>portaient</w:t>
      </w:r>
      <w:r>
        <w:rPr>
          <w:lang w:val="fr-FR"/>
        </w:rPr>
        <w:t xml:space="preserve"> sur la détermination du lieu de résidence de l’enfant à la suite de la séparation de ses parents</w:t>
      </w:r>
      <w:r w:rsidR="005579CA">
        <w:rPr>
          <w:lang w:val="fr-FR"/>
        </w:rPr>
        <w:t> ;</w:t>
      </w:r>
      <w:r>
        <w:rPr>
          <w:lang w:val="fr-FR"/>
        </w:rPr>
        <w:t xml:space="preserve"> 150 portaient sur une adoption</w:t>
      </w:r>
      <w:r w:rsidR="005579CA">
        <w:rPr>
          <w:lang w:val="fr-FR"/>
        </w:rPr>
        <w:t> ;</w:t>
      </w:r>
      <w:r>
        <w:rPr>
          <w:lang w:val="fr-FR"/>
        </w:rPr>
        <w:t xml:space="preserve"> 1 concernait l’annulation d’une adoption</w:t>
      </w:r>
      <w:r w:rsidR="005579CA">
        <w:rPr>
          <w:lang w:val="fr-FR"/>
        </w:rPr>
        <w:t> ;</w:t>
      </w:r>
      <w:r>
        <w:rPr>
          <w:lang w:val="fr-FR"/>
        </w:rPr>
        <w:t xml:space="preserve"> 11 portaient sur le retrait de l’autorité parentale</w:t>
      </w:r>
      <w:r w:rsidR="005579CA">
        <w:rPr>
          <w:lang w:val="fr-FR"/>
        </w:rPr>
        <w:t> ;</w:t>
      </w:r>
      <w:r>
        <w:rPr>
          <w:lang w:val="fr-FR"/>
        </w:rPr>
        <w:t xml:space="preserve"> 3 concernaient le rétablissement de l’autorité parentale.</w:t>
      </w:r>
    </w:p>
    <w:p w14:paraId="051E5F6B" w14:textId="77777777" w:rsidR="00161F02" w:rsidRPr="00123FCD" w:rsidRDefault="00161F02" w:rsidP="005E1C4C">
      <w:pPr>
        <w:pStyle w:val="H23G"/>
      </w:pPr>
      <w:r>
        <w:rPr>
          <w:lang w:val="fr-FR"/>
        </w:rPr>
        <w:tab/>
      </w:r>
      <w:r>
        <w:rPr>
          <w:lang w:val="fr-FR"/>
        </w:rPr>
        <w:tab/>
        <w:t>Renseignements concernant le paragraphe 4 c) de la liste de points</w:t>
      </w:r>
    </w:p>
    <w:p w14:paraId="793F4078" w14:textId="77777777" w:rsidR="00161F02" w:rsidRPr="00123FCD" w:rsidRDefault="00161F02" w:rsidP="00161F02">
      <w:pPr>
        <w:pStyle w:val="SingleTxtG"/>
      </w:pPr>
      <w:r>
        <w:rPr>
          <w:lang w:val="fr-FR"/>
        </w:rPr>
        <w:t>51.</w:t>
      </w:r>
      <w:r>
        <w:rPr>
          <w:lang w:val="fr-FR"/>
        </w:rPr>
        <w:tab/>
        <w:t xml:space="preserve">La politique de l’État en faveur de la jeunesse vise à créer des conditions permettant d’apporter une aide sociale aux jeunes et d’assurer la protection et la réalisation des droits personnels, politiques, économiques, sociaux et culturels ainsi que des libertés et des intérêts légitimes des jeunes. </w:t>
      </w:r>
    </w:p>
    <w:p w14:paraId="0A992911" w14:textId="75B14587" w:rsidR="00161F02" w:rsidRPr="00123FCD" w:rsidRDefault="00161F02" w:rsidP="00161F02">
      <w:pPr>
        <w:pStyle w:val="SingleTxtG"/>
      </w:pPr>
      <w:r>
        <w:rPr>
          <w:lang w:val="fr-FR"/>
        </w:rPr>
        <w:t>52.</w:t>
      </w:r>
      <w:r>
        <w:rPr>
          <w:lang w:val="fr-FR"/>
        </w:rPr>
        <w:tab/>
        <w:t xml:space="preserve">En 2018, le Gouvernement a adopté le programme d’État </w:t>
      </w:r>
      <w:r w:rsidR="005E1C4C">
        <w:rPr>
          <w:lang w:val="fr-FR"/>
        </w:rPr>
        <w:t>« </w:t>
      </w:r>
      <w:proofErr w:type="spellStart"/>
      <w:r>
        <w:rPr>
          <w:lang w:val="fr-FR"/>
        </w:rPr>
        <w:t>Yoshlar-kelajagimiz</w:t>
      </w:r>
      <w:proofErr w:type="spellEnd"/>
      <w:r w:rsidR="005E1C4C">
        <w:rPr>
          <w:lang w:val="fr-FR"/>
        </w:rPr>
        <w:t> »</w:t>
      </w:r>
      <w:r>
        <w:rPr>
          <w:lang w:val="fr-FR"/>
        </w:rPr>
        <w:t xml:space="preserve"> et a créé la fondation </w:t>
      </w:r>
      <w:r w:rsidR="005E1C4C">
        <w:rPr>
          <w:lang w:val="fr-FR"/>
        </w:rPr>
        <w:t>« </w:t>
      </w:r>
      <w:proofErr w:type="spellStart"/>
      <w:r>
        <w:rPr>
          <w:lang w:val="fr-FR"/>
        </w:rPr>
        <w:t>Yoshlar-kelajagimiz</w:t>
      </w:r>
      <w:proofErr w:type="spellEnd"/>
      <w:r w:rsidR="005E1C4C">
        <w:rPr>
          <w:lang w:val="fr-FR"/>
        </w:rPr>
        <w:t> »</w:t>
      </w:r>
      <w:r>
        <w:rPr>
          <w:lang w:val="fr-FR"/>
        </w:rPr>
        <w:t>. Dans le cadre de ce programme, 1</w:t>
      </w:r>
      <w:r w:rsidR="0031088A">
        <w:rPr>
          <w:lang w:val="fr-FR"/>
        </w:rPr>
        <w:t> </w:t>
      </w:r>
      <w:r>
        <w:rPr>
          <w:lang w:val="fr-FR"/>
        </w:rPr>
        <w:t>trillion 756,5</w:t>
      </w:r>
      <w:r w:rsidR="0031088A">
        <w:rPr>
          <w:lang w:val="fr-FR"/>
        </w:rPr>
        <w:t> </w:t>
      </w:r>
      <w:r>
        <w:rPr>
          <w:lang w:val="fr-FR"/>
        </w:rPr>
        <w:t xml:space="preserve">milliards de </w:t>
      </w:r>
      <w:proofErr w:type="spellStart"/>
      <w:r>
        <w:rPr>
          <w:lang w:val="fr-FR"/>
        </w:rPr>
        <w:t>sum</w:t>
      </w:r>
      <w:proofErr w:type="spellEnd"/>
      <w:r>
        <w:rPr>
          <w:lang w:val="fr-FR"/>
        </w:rPr>
        <w:t xml:space="preserve"> a été alloué à la création de 8</w:t>
      </w:r>
      <w:r w:rsidR="0031088A">
        <w:rPr>
          <w:lang w:val="fr-FR"/>
        </w:rPr>
        <w:t> </w:t>
      </w:r>
      <w:r>
        <w:rPr>
          <w:lang w:val="fr-FR"/>
        </w:rPr>
        <w:t>380</w:t>
      </w:r>
      <w:r w:rsidR="0031088A">
        <w:rPr>
          <w:lang w:val="fr-FR"/>
        </w:rPr>
        <w:t> </w:t>
      </w:r>
      <w:r>
        <w:rPr>
          <w:lang w:val="fr-FR"/>
        </w:rPr>
        <w:t>entreprises. En tout, 41</w:t>
      </w:r>
      <w:r w:rsidR="0031088A">
        <w:rPr>
          <w:lang w:val="fr-FR"/>
        </w:rPr>
        <w:t> </w:t>
      </w:r>
      <w:r>
        <w:rPr>
          <w:lang w:val="fr-FR"/>
        </w:rPr>
        <w:t>777</w:t>
      </w:r>
      <w:r w:rsidR="0031088A">
        <w:rPr>
          <w:lang w:val="fr-FR"/>
        </w:rPr>
        <w:t> </w:t>
      </w:r>
      <w:r>
        <w:rPr>
          <w:lang w:val="fr-FR"/>
        </w:rPr>
        <w:t xml:space="preserve">emplois ont été créés. Des </w:t>
      </w:r>
      <w:r w:rsidR="0031088A">
        <w:rPr>
          <w:lang w:val="fr-FR"/>
        </w:rPr>
        <w:t>« </w:t>
      </w:r>
      <w:r>
        <w:rPr>
          <w:lang w:val="fr-FR"/>
        </w:rPr>
        <w:t>maisons de la jeunesse</w:t>
      </w:r>
      <w:r w:rsidR="0031088A">
        <w:rPr>
          <w:lang w:val="fr-FR"/>
        </w:rPr>
        <w:t> »</w:t>
      </w:r>
      <w:r>
        <w:rPr>
          <w:lang w:val="fr-FR"/>
        </w:rPr>
        <w:t xml:space="preserve"> ont été réparties entre plus de 3</w:t>
      </w:r>
      <w:r w:rsidR="0031088A">
        <w:rPr>
          <w:lang w:val="fr-FR"/>
        </w:rPr>
        <w:t> </w:t>
      </w:r>
      <w:r>
        <w:rPr>
          <w:lang w:val="fr-FR"/>
        </w:rPr>
        <w:t>300</w:t>
      </w:r>
      <w:r w:rsidR="0031088A">
        <w:rPr>
          <w:lang w:val="fr-FR"/>
        </w:rPr>
        <w:t> </w:t>
      </w:r>
      <w:r>
        <w:rPr>
          <w:lang w:val="fr-FR"/>
        </w:rPr>
        <w:t>jeunes et des apports totalisant plus de 150</w:t>
      </w:r>
      <w:r w:rsidR="0031088A">
        <w:rPr>
          <w:lang w:val="fr-FR"/>
        </w:rPr>
        <w:t> </w:t>
      </w:r>
      <w:r>
        <w:rPr>
          <w:lang w:val="fr-FR"/>
        </w:rPr>
        <w:t xml:space="preserve">milliards de </w:t>
      </w:r>
      <w:proofErr w:type="spellStart"/>
      <w:r>
        <w:rPr>
          <w:lang w:val="fr-FR"/>
        </w:rPr>
        <w:t>sum</w:t>
      </w:r>
      <w:proofErr w:type="spellEnd"/>
      <w:r>
        <w:rPr>
          <w:lang w:val="fr-FR"/>
        </w:rPr>
        <w:t xml:space="preserve"> ont été distribués aux intéressés. En tout, 134</w:t>
      </w:r>
      <w:r w:rsidR="0031088A">
        <w:rPr>
          <w:lang w:val="fr-FR"/>
        </w:rPr>
        <w:t> </w:t>
      </w:r>
      <w:r>
        <w:rPr>
          <w:lang w:val="fr-FR"/>
        </w:rPr>
        <w:t>521</w:t>
      </w:r>
      <w:r w:rsidR="0031088A">
        <w:rPr>
          <w:lang w:val="fr-FR"/>
        </w:rPr>
        <w:t> </w:t>
      </w:r>
      <w:r>
        <w:rPr>
          <w:lang w:val="fr-FR"/>
        </w:rPr>
        <w:t>jeunes sont employés par des ministères, des administrations et des organes de gestion.</w:t>
      </w:r>
    </w:p>
    <w:p w14:paraId="30C93330" w14:textId="0C2CCAC0" w:rsidR="00161F02" w:rsidRPr="00123FCD" w:rsidRDefault="00161F02" w:rsidP="00161F02">
      <w:pPr>
        <w:pStyle w:val="SingleTxtG"/>
      </w:pPr>
      <w:r>
        <w:rPr>
          <w:lang w:val="fr-FR"/>
        </w:rPr>
        <w:t>53.</w:t>
      </w:r>
      <w:r>
        <w:rPr>
          <w:lang w:val="fr-FR"/>
        </w:rPr>
        <w:tab/>
        <w:t>L’État soutient pleinement la participation des jeunes à la gestion des affaires gouvernementales et publiques. La loi du 2</w:t>
      </w:r>
      <w:r w:rsidR="0031088A">
        <w:rPr>
          <w:lang w:val="fr-FR"/>
        </w:rPr>
        <w:t> </w:t>
      </w:r>
      <w:r>
        <w:rPr>
          <w:lang w:val="fr-FR"/>
        </w:rPr>
        <w:t xml:space="preserve">décembre 2019 relative au bénévolat prévoit que les jeunes participent aux activités menées pour venir en aide aux personnes démunies, aux chômeurs, aux familles nombreuses, aux sans-abri, aux personnes en situation de rue ainsi qu’aux personnes seules, âgées et handicapées. Des jeunes ont participé activement à l’élaboration du projet de convention internationale sur les droits des jeunes, qui a pour origine une initiative du Président de la République présentée à la soixante-douzième session de l’Assemblée générale des Nations Unies. </w:t>
      </w:r>
    </w:p>
    <w:p w14:paraId="31BD9340" w14:textId="77777777" w:rsidR="00161F02" w:rsidRPr="00123FCD" w:rsidRDefault="00161F02" w:rsidP="00161F02">
      <w:pPr>
        <w:pStyle w:val="SingleTxtG"/>
      </w:pPr>
      <w:r>
        <w:rPr>
          <w:lang w:val="fr-FR"/>
        </w:rPr>
        <w:t>54.</w:t>
      </w:r>
      <w:r>
        <w:rPr>
          <w:lang w:val="fr-FR"/>
        </w:rPr>
        <w:tab/>
        <w:t xml:space="preserve">Depuis 2017, le Conseil des ministres de la République du </w:t>
      </w:r>
      <w:proofErr w:type="spellStart"/>
      <w:r>
        <w:rPr>
          <w:lang w:val="fr-FR"/>
        </w:rPr>
        <w:t>Karakalpakstan</w:t>
      </w:r>
      <w:proofErr w:type="spellEnd"/>
      <w:r>
        <w:rPr>
          <w:lang w:val="fr-FR"/>
        </w:rPr>
        <w:t xml:space="preserve"> compte parmi ses membres un vice-président chargé des questions touchant la jeunesse. En outre, des </w:t>
      </w:r>
      <w:proofErr w:type="spellStart"/>
      <w:r w:rsidRPr="00BF40DE">
        <w:rPr>
          <w:i/>
          <w:iCs/>
          <w:lang w:val="fr-FR"/>
        </w:rPr>
        <w:t>khokims</w:t>
      </w:r>
      <w:proofErr w:type="spellEnd"/>
      <w:r>
        <w:rPr>
          <w:lang w:val="fr-FR"/>
        </w:rPr>
        <w:t xml:space="preserve"> adjoints chargés de ces questions ont été nommés dans les régions, à Tachkent, dans les districts et les municipalités. Depuis 2018, les établissements d’enseignement supérieur ont un vice-recteur chargé des questions touchant la jeunesse. Depuis 2020, les collectivités locales sont dotées d’un vice-président de l’assemblée des citoyens, qui assume les fonctions de conseiller pour la jeunesse et de conseiller pour les droits des jeunes.</w:t>
      </w:r>
    </w:p>
    <w:p w14:paraId="50C6DDC8" w14:textId="0EE68955" w:rsidR="00161F02" w:rsidRPr="00123FCD" w:rsidRDefault="00161F02" w:rsidP="00161F02">
      <w:pPr>
        <w:pStyle w:val="SingleTxtG"/>
      </w:pPr>
      <w:r>
        <w:rPr>
          <w:lang w:val="fr-FR"/>
        </w:rPr>
        <w:t>55.</w:t>
      </w:r>
      <w:r>
        <w:rPr>
          <w:lang w:val="fr-FR"/>
        </w:rPr>
        <w:tab/>
        <w:t xml:space="preserve">En application d’un décret présidentiel daté du 30 juin 2020, le programme de mesures complémentaires pour le renforcement de la politique publique en faveur de la jeunesse a été adopté et le Bureau pour la jeunesse et l’Institut d’étude des questions touchant la jeunesse et la formation de personnel qualifié, qui relève dudit </w:t>
      </w:r>
      <w:r w:rsidR="00BF40DE">
        <w:rPr>
          <w:lang w:val="fr-FR"/>
        </w:rPr>
        <w:t>b</w:t>
      </w:r>
      <w:r>
        <w:rPr>
          <w:lang w:val="fr-FR"/>
        </w:rPr>
        <w:t>ureau, ont été créés. En application de l’ordonnance présidentielle du 3</w:t>
      </w:r>
      <w:r w:rsidR="00BF40DE">
        <w:rPr>
          <w:lang w:val="fr-FR"/>
        </w:rPr>
        <w:t> </w:t>
      </w:r>
      <w:r>
        <w:rPr>
          <w:lang w:val="fr-FR"/>
        </w:rPr>
        <w:t>décembre 2020, des mesures ont été prises afin de sélectionner les jeunes talents dans les lycées académiques des établissements d’enseignement supérieur et d’améliorer les connaissances des élèves afin que ceux</w:t>
      </w:r>
      <w:r w:rsidR="00BF40DE">
        <w:rPr>
          <w:lang w:val="fr-FR"/>
        </w:rPr>
        <w:noBreakHyphen/>
      </w:r>
      <w:r>
        <w:rPr>
          <w:lang w:val="fr-FR"/>
        </w:rPr>
        <w:t>ci puissent participer activement aux réformes en cours.</w:t>
      </w:r>
    </w:p>
    <w:p w14:paraId="78373232" w14:textId="56E25872" w:rsidR="00161F02" w:rsidRPr="00DD5F1D" w:rsidRDefault="00161F02" w:rsidP="00161F02">
      <w:pPr>
        <w:pStyle w:val="SingleTxtG"/>
      </w:pPr>
      <w:r>
        <w:rPr>
          <w:lang w:val="fr-FR"/>
        </w:rPr>
        <w:t>56.</w:t>
      </w:r>
      <w:r>
        <w:rPr>
          <w:lang w:val="fr-FR"/>
        </w:rPr>
        <w:tab/>
        <w:t>Une commission de la jeunesse, de la culture et des sports a été constituée au sein du Sénat de l’</w:t>
      </w:r>
      <w:proofErr w:type="spellStart"/>
      <w:r>
        <w:rPr>
          <w:lang w:val="fr-FR"/>
        </w:rPr>
        <w:t>Oliy</w:t>
      </w:r>
      <w:proofErr w:type="spellEnd"/>
      <w:r>
        <w:rPr>
          <w:lang w:val="fr-FR"/>
        </w:rPr>
        <w:t xml:space="preserve"> </w:t>
      </w:r>
      <w:proofErr w:type="spellStart"/>
      <w:r>
        <w:rPr>
          <w:lang w:val="fr-FR"/>
        </w:rPr>
        <w:t>Majlis</w:t>
      </w:r>
      <w:proofErr w:type="spellEnd"/>
      <w:r>
        <w:rPr>
          <w:lang w:val="fr-FR"/>
        </w:rPr>
        <w:t xml:space="preserve"> et une commission aux affaires de la jeunesse a été créée au sein de la chambre législative. Des parlements des jeunes comptant 250</w:t>
      </w:r>
      <w:r w:rsidR="00BF40DE">
        <w:rPr>
          <w:lang w:val="fr-FR"/>
        </w:rPr>
        <w:t> </w:t>
      </w:r>
      <w:r>
        <w:rPr>
          <w:lang w:val="fr-FR"/>
        </w:rPr>
        <w:t xml:space="preserve">membres ont été mis en place au sein des chambres du Parlement. </w:t>
      </w:r>
    </w:p>
    <w:p w14:paraId="788DA19F" w14:textId="2507E080" w:rsidR="00161F02" w:rsidRPr="00DD5F1D" w:rsidRDefault="00161F02" w:rsidP="00161F02">
      <w:pPr>
        <w:pStyle w:val="SingleTxtG"/>
      </w:pPr>
      <w:r>
        <w:rPr>
          <w:lang w:val="fr-FR"/>
        </w:rPr>
        <w:t>57.</w:t>
      </w:r>
      <w:r>
        <w:rPr>
          <w:lang w:val="fr-FR"/>
        </w:rPr>
        <w:tab/>
        <w:t xml:space="preserve">Le 30 juin a été déclaré Journée de la jeunesse. Les prix d’État </w:t>
      </w:r>
      <w:r w:rsidR="00E45894">
        <w:rPr>
          <w:lang w:val="fr-FR"/>
        </w:rPr>
        <w:t>« </w:t>
      </w:r>
      <w:proofErr w:type="spellStart"/>
      <w:r>
        <w:rPr>
          <w:lang w:val="fr-FR"/>
        </w:rPr>
        <w:t>Mard</w:t>
      </w:r>
      <w:proofErr w:type="spellEnd"/>
      <w:r>
        <w:rPr>
          <w:lang w:val="fr-FR"/>
        </w:rPr>
        <w:t xml:space="preserve"> </w:t>
      </w:r>
      <w:proofErr w:type="spellStart"/>
      <w:r>
        <w:rPr>
          <w:lang w:val="fr-FR"/>
        </w:rPr>
        <w:t>Ugolon</w:t>
      </w:r>
      <w:proofErr w:type="spellEnd"/>
      <w:r w:rsidR="00E45894">
        <w:rPr>
          <w:lang w:val="fr-FR"/>
        </w:rPr>
        <w:t> »</w:t>
      </w:r>
      <w:r>
        <w:rPr>
          <w:lang w:val="fr-FR"/>
        </w:rPr>
        <w:t xml:space="preserve"> et la médaille </w:t>
      </w:r>
      <w:r w:rsidR="00E45894">
        <w:rPr>
          <w:lang w:val="fr-FR"/>
        </w:rPr>
        <w:t>« </w:t>
      </w:r>
      <w:proofErr w:type="spellStart"/>
      <w:r>
        <w:rPr>
          <w:lang w:val="fr-FR"/>
        </w:rPr>
        <w:t>Kelajak</w:t>
      </w:r>
      <w:proofErr w:type="spellEnd"/>
      <w:r>
        <w:rPr>
          <w:lang w:val="fr-FR"/>
        </w:rPr>
        <w:t xml:space="preserve"> </w:t>
      </w:r>
      <w:proofErr w:type="spellStart"/>
      <w:r>
        <w:rPr>
          <w:lang w:val="fr-FR"/>
        </w:rPr>
        <w:t>bunyodkori</w:t>
      </w:r>
      <w:proofErr w:type="spellEnd"/>
      <w:r w:rsidR="00E45894">
        <w:rPr>
          <w:lang w:val="fr-FR"/>
        </w:rPr>
        <w:t> »</w:t>
      </w:r>
      <w:r>
        <w:rPr>
          <w:lang w:val="fr-FR"/>
        </w:rPr>
        <w:t xml:space="preserve"> sont décernés aux jeunes filles et jeunes gens prometteurs qui ont obtenu d’excellents résultats dans divers domaines.</w:t>
      </w:r>
    </w:p>
    <w:p w14:paraId="6C7E3B88" w14:textId="7027CE90" w:rsidR="00161F02" w:rsidRPr="00DD5F1D" w:rsidRDefault="00161F02" w:rsidP="00161F02">
      <w:pPr>
        <w:pStyle w:val="SingleTxtG"/>
      </w:pPr>
      <w:r>
        <w:rPr>
          <w:lang w:val="fr-FR"/>
        </w:rPr>
        <w:t>58.</w:t>
      </w:r>
      <w:r>
        <w:rPr>
          <w:lang w:val="fr-FR"/>
        </w:rPr>
        <w:tab/>
        <w:t>À l’issue des élections à la chambre législative de l’</w:t>
      </w:r>
      <w:proofErr w:type="spellStart"/>
      <w:r>
        <w:rPr>
          <w:lang w:val="fr-FR"/>
        </w:rPr>
        <w:t>Oliy</w:t>
      </w:r>
      <w:proofErr w:type="spellEnd"/>
      <w:r>
        <w:rPr>
          <w:lang w:val="fr-FR"/>
        </w:rPr>
        <w:t xml:space="preserve"> </w:t>
      </w:r>
      <w:proofErr w:type="spellStart"/>
      <w:r>
        <w:rPr>
          <w:lang w:val="fr-FR"/>
        </w:rPr>
        <w:t>Majlis</w:t>
      </w:r>
      <w:proofErr w:type="spellEnd"/>
      <w:r>
        <w:rPr>
          <w:lang w:val="fr-FR"/>
        </w:rPr>
        <w:t>, neuf jeunes (soit 6</w:t>
      </w:r>
      <w:r w:rsidR="00B0330A">
        <w:rPr>
          <w:lang w:val="fr-FR"/>
        </w:rPr>
        <w:t> %</w:t>
      </w:r>
      <w:r>
        <w:rPr>
          <w:lang w:val="fr-FR"/>
        </w:rPr>
        <w:t xml:space="preserve"> de l’ensemble des députés) ont été élus</w:t>
      </w:r>
      <w:r w:rsidR="005579CA">
        <w:rPr>
          <w:lang w:val="fr-FR"/>
        </w:rPr>
        <w:t> ;</w:t>
      </w:r>
      <w:r>
        <w:rPr>
          <w:lang w:val="fr-FR"/>
        </w:rPr>
        <w:t xml:space="preserve"> les jeunes représentent 10</w:t>
      </w:r>
      <w:r w:rsidR="00B0330A">
        <w:rPr>
          <w:lang w:val="fr-FR"/>
        </w:rPr>
        <w:t> %</w:t>
      </w:r>
      <w:r>
        <w:rPr>
          <w:lang w:val="fr-FR"/>
        </w:rPr>
        <w:t xml:space="preserve"> des membres des </w:t>
      </w:r>
      <w:proofErr w:type="spellStart"/>
      <w:r w:rsidR="00F51769" w:rsidRPr="00F51769">
        <w:rPr>
          <w:i/>
          <w:lang w:val="fr-FR"/>
        </w:rPr>
        <w:t>kengachs</w:t>
      </w:r>
      <w:proofErr w:type="spellEnd"/>
      <w:r>
        <w:rPr>
          <w:lang w:val="fr-FR"/>
        </w:rPr>
        <w:t xml:space="preserve"> locaux. Une académie de la jeunesse a été créée au sein du </w:t>
      </w:r>
      <w:r w:rsidR="00E45894">
        <w:rPr>
          <w:lang w:val="fr-FR"/>
        </w:rPr>
        <w:t>M</w:t>
      </w:r>
      <w:r>
        <w:rPr>
          <w:lang w:val="fr-FR"/>
        </w:rPr>
        <w:t xml:space="preserve">inistère du développement innovant. </w:t>
      </w:r>
    </w:p>
    <w:p w14:paraId="41BECA77" w14:textId="582CD198" w:rsidR="00161F02" w:rsidRPr="00DD5F1D" w:rsidRDefault="00161F02" w:rsidP="00041BB5">
      <w:pPr>
        <w:pStyle w:val="SingleTxtG"/>
        <w:keepLines/>
      </w:pPr>
      <w:r>
        <w:rPr>
          <w:lang w:val="fr-FR"/>
        </w:rPr>
        <w:lastRenderedPageBreak/>
        <w:t>59.</w:t>
      </w:r>
      <w:r>
        <w:rPr>
          <w:lang w:val="fr-FR"/>
        </w:rPr>
        <w:tab/>
        <w:t>L’année 2021 a été déclarée Année de l’aide à la jeunesse et de l’amélioration de la santé publique, des bourses présidentielles ont été accordées à 200 jeunes qui avaient obtenu les meilleurs résultats à l’examen d’entrée dans un établissement d’enseignement supérieur, un crédit étudiant a été consenti aux familles comptant deux enfants ou davantage qui étudiaient dans un établissement d’enseignement supérieur payant, ce crédit devant être remboursé après l’obtention du diplôme, et le montant de la bourse d’État destinée aux jeunes filles démunies qui poursuivent leurs études dans un établissement d’enseignement supérieur a augmenté de 25</w:t>
      </w:r>
      <w:r w:rsidR="00B0330A">
        <w:rPr>
          <w:lang w:val="fr-FR"/>
        </w:rPr>
        <w:t> %</w:t>
      </w:r>
      <w:r>
        <w:rPr>
          <w:lang w:val="fr-FR"/>
        </w:rPr>
        <w:t>.</w:t>
      </w:r>
    </w:p>
    <w:p w14:paraId="4F6A0D06" w14:textId="6CDF6CB7" w:rsidR="00161F02" w:rsidRPr="00DD5F1D" w:rsidRDefault="00161F02" w:rsidP="00161F02">
      <w:pPr>
        <w:pStyle w:val="SingleTxtG"/>
      </w:pPr>
      <w:r>
        <w:rPr>
          <w:lang w:val="fr-FR"/>
        </w:rPr>
        <w:t>60.</w:t>
      </w:r>
      <w:r>
        <w:rPr>
          <w:lang w:val="fr-FR"/>
        </w:rPr>
        <w:tab/>
        <w:t>Le décret présidentiel du 13</w:t>
      </w:r>
      <w:r w:rsidR="007D1123">
        <w:rPr>
          <w:lang w:val="fr-FR"/>
        </w:rPr>
        <w:t> </w:t>
      </w:r>
      <w:r>
        <w:rPr>
          <w:lang w:val="fr-FR"/>
        </w:rPr>
        <w:t>juillet 2021 établit le montant des prestations destinées aux enfants issus de familles à faible revenu, qui couvrent intégralement les frais universitaires pour l’année 2021</w:t>
      </w:r>
      <w:r w:rsidR="002858EE">
        <w:rPr>
          <w:lang w:val="fr-FR"/>
        </w:rPr>
        <w:t>/22</w:t>
      </w:r>
      <w:r w:rsidR="005579CA">
        <w:rPr>
          <w:lang w:val="fr-FR"/>
        </w:rPr>
        <w:t> ;</w:t>
      </w:r>
      <w:r>
        <w:rPr>
          <w:lang w:val="fr-FR"/>
        </w:rPr>
        <w:t xml:space="preserve"> ce décret prévoit en outre d’accorder aux jeunes qui se marient pour la première fois un prêt immobilier pouvant atteindre 33</w:t>
      </w:r>
      <w:r w:rsidR="007D1123">
        <w:rPr>
          <w:lang w:val="fr-FR"/>
        </w:rPr>
        <w:t> </w:t>
      </w:r>
      <w:r>
        <w:rPr>
          <w:lang w:val="fr-FR"/>
        </w:rPr>
        <w:t xml:space="preserve">millions de </w:t>
      </w:r>
      <w:proofErr w:type="spellStart"/>
      <w:r>
        <w:rPr>
          <w:lang w:val="fr-FR"/>
        </w:rPr>
        <w:t>sum</w:t>
      </w:r>
      <w:proofErr w:type="spellEnd"/>
      <w:r>
        <w:rPr>
          <w:lang w:val="fr-FR"/>
        </w:rPr>
        <w:t xml:space="preserve"> et de verser des aides à l’achat d’un logement à 2</w:t>
      </w:r>
      <w:r w:rsidR="007D1123">
        <w:rPr>
          <w:lang w:val="fr-FR"/>
        </w:rPr>
        <w:t> </w:t>
      </w:r>
      <w:r>
        <w:rPr>
          <w:lang w:val="fr-FR"/>
        </w:rPr>
        <w:t>000</w:t>
      </w:r>
      <w:r w:rsidR="007D1123">
        <w:rPr>
          <w:lang w:val="fr-FR"/>
        </w:rPr>
        <w:t> </w:t>
      </w:r>
      <w:r>
        <w:rPr>
          <w:lang w:val="fr-FR"/>
        </w:rPr>
        <w:t>jeunes familles</w:t>
      </w:r>
      <w:r w:rsidR="002858EE">
        <w:rPr>
          <w:lang w:val="fr-FR"/>
        </w:rPr>
        <w:t xml:space="preserve"> </w:t>
      </w:r>
      <w:r>
        <w:rPr>
          <w:lang w:val="fr-FR"/>
        </w:rPr>
        <w:t>ainsi que d’accorder des primes aux jeunes spécialistes qui sont engagés dans l’administration publique après avoir obtenu une licence, une maîtrise ou un diplôme.</w:t>
      </w:r>
    </w:p>
    <w:p w14:paraId="32827832" w14:textId="421A7BBD" w:rsidR="00161F02" w:rsidRPr="00DD5F1D" w:rsidRDefault="00161F02" w:rsidP="007D1123">
      <w:pPr>
        <w:pStyle w:val="H23G"/>
        <w:rPr>
          <w:i/>
        </w:rPr>
      </w:pPr>
      <w:r>
        <w:rPr>
          <w:lang w:val="fr-FR"/>
        </w:rPr>
        <w:tab/>
      </w:r>
      <w:r>
        <w:rPr>
          <w:lang w:val="fr-FR"/>
        </w:rPr>
        <w:tab/>
        <w:t>Renseignements concernant le paragraphe</w:t>
      </w:r>
      <w:r w:rsidR="00497425">
        <w:rPr>
          <w:lang w:val="fr-FR"/>
        </w:rPr>
        <w:t> </w:t>
      </w:r>
      <w:r>
        <w:rPr>
          <w:lang w:val="fr-FR"/>
        </w:rPr>
        <w:t>5</w:t>
      </w:r>
      <w:r w:rsidR="00497425">
        <w:rPr>
          <w:lang w:val="fr-FR"/>
        </w:rPr>
        <w:t> </w:t>
      </w:r>
      <w:r>
        <w:rPr>
          <w:lang w:val="fr-FR"/>
        </w:rPr>
        <w:t xml:space="preserve">a) de la liste de points </w:t>
      </w:r>
    </w:p>
    <w:p w14:paraId="5249E7E9" w14:textId="77777777" w:rsidR="00161F02" w:rsidRPr="00DD5F1D" w:rsidRDefault="00161F02" w:rsidP="00161F02">
      <w:pPr>
        <w:pStyle w:val="SingleTxtG"/>
      </w:pPr>
      <w:r>
        <w:rPr>
          <w:lang w:val="fr-FR"/>
        </w:rPr>
        <w:t>61.</w:t>
      </w:r>
      <w:r>
        <w:rPr>
          <w:lang w:val="fr-FR"/>
        </w:rPr>
        <w:tab/>
        <w:t xml:space="preserve">La loi de 2017 relative à la protection des enfants contre les informations préjudiciables à leur santé ne limite pas le droit de l’enfant à la liberté d’expression et à l’accès à l’information. Le Gouvernement a approuvé des décrets portant respectivement sur les critères et les méthodes à appliquer pour définir les limites d’âge et analyser les publications, sur l’accréditation des experts par un organisme public spécialement chargé de la protection des enfants contre les informations susceptibles de nuire à leur santé, et sur la détermination des besoins en ce qui concerne les mesures administratives et organisationnelles et les logiciels et les moyens techniques permettant de protéger les enfants contre les informations préjudiciables à leur santé. </w:t>
      </w:r>
    </w:p>
    <w:p w14:paraId="7852B600" w14:textId="77777777" w:rsidR="00161F02" w:rsidRPr="00DD5F1D" w:rsidRDefault="00161F02" w:rsidP="00161F02">
      <w:pPr>
        <w:pStyle w:val="SingleTxtG"/>
      </w:pPr>
      <w:r>
        <w:rPr>
          <w:lang w:val="fr-FR"/>
        </w:rPr>
        <w:t>62.</w:t>
      </w:r>
      <w:r>
        <w:rPr>
          <w:lang w:val="fr-FR"/>
        </w:rPr>
        <w:tab/>
        <w:t>Le Bureau de l’information et des médias est chargé de l’analyse des publications et de la définition de la limite d’âge applicable aux publications.</w:t>
      </w:r>
    </w:p>
    <w:p w14:paraId="181D0E78" w14:textId="55613A98" w:rsidR="00161F02" w:rsidRPr="00DD5F1D" w:rsidRDefault="00161F02" w:rsidP="00646E86">
      <w:pPr>
        <w:pStyle w:val="H23G"/>
      </w:pPr>
      <w:r>
        <w:rPr>
          <w:lang w:val="fr-FR"/>
        </w:rPr>
        <w:tab/>
      </w:r>
      <w:r>
        <w:rPr>
          <w:lang w:val="fr-FR"/>
        </w:rPr>
        <w:tab/>
        <w:t>Renseignements concernant le paragraphe</w:t>
      </w:r>
      <w:r w:rsidR="00BD152A">
        <w:rPr>
          <w:lang w:val="fr-FR"/>
        </w:rPr>
        <w:t> </w:t>
      </w:r>
      <w:r>
        <w:rPr>
          <w:lang w:val="fr-FR"/>
        </w:rPr>
        <w:t>5</w:t>
      </w:r>
      <w:r w:rsidR="00BD152A">
        <w:rPr>
          <w:lang w:val="fr-FR"/>
        </w:rPr>
        <w:t> </w:t>
      </w:r>
      <w:r>
        <w:rPr>
          <w:lang w:val="fr-FR"/>
        </w:rPr>
        <w:t xml:space="preserve">b) de la liste de points </w:t>
      </w:r>
    </w:p>
    <w:p w14:paraId="2DC0DDCC" w14:textId="0844401A" w:rsidR="00161F02" w:rsidRPr="00DD5F1D" w:rsidRDefault="00161F02" w:rsidP="00161F02">
      <w:pPr>
        <w:pStyle w:val="SingleTxtG"/>
      </w:pPr>
      <w:r>
        <w:rPr>
          <w:lang w:val="fr-FR"/>
        </w:rPr>
        <w:t>63.</w:t>
      </w:r>
      <w:r>
        <w:rPr>
          <w:lang w:val="fr-FR"/>
        </w:rPr>
        <w:tab/>
        <w:t>Dans le cadre de l’application du Programme pour le renforcement de l’enseignement public 2018-2020 approuvé par l’ordonnance présidentielle du 5</w:t>
      </w:r>
      <w:r w:rsidR="00646E86">
        <w:rPr>
          <w:lang w:val="fr-FR"/>
        </w:rPr>
        <w:t> </w:t>
      </w:r>
      <w:r>
        <w:rPr>
          <w:lang w:val="fr-FR"/>
        </w:rPr>
        <w:t xml:space="preserve">septembre 2018, des activités sont menées afin d’assurer progressivement l’accès à l’Internet à haut débit dans les établissements d’enseignement général grâce à l’installation de la fibre optique. </w:t>
      </w:r>
    </w:p>
    <w:p w14:paraId="5B09AA88" w14:textId="3FA2869C" w:rsidR="00161F02" w:rsidRPr="00DD5F1D" w:rsidRDefault="00161F02" w:rsidP="00161F02">
      <w:pPr>
        <w:pStyle w:val="SingleTxtG"/>
      </w:pPr>
      <w:r>
        <w:rPr>
          <w:lang w:val="fr-FR"/>
        </w:rPr>
        <w:t>64.</w:t>
      </w:r>
      <w:r>
        <w:rPr>
          <w:lang w:val="fr-FR"/>
        </w:rPr>
        <w:tab/>
        <w:t>Actuellement, 9</w:t>
      </w:r>
      <w:r w:rsidR="00BD152A">
        <w:rPr>
          <w:lang w:val="fr-FR"/>
        </w:rPr>
        <w:t> </w:t>
      </w:r>
      <w:r>
        <w:rPr>
          <w:lang w:val="fr-FR"/>
        </w:rPr>
        <w:t>285</w:t>
      </w:r>
      <w:r w:rsidR="00BD152A">
        <w:rPr>
          <w:lang w:val="fr-FR"/>
        </w:rPr>
        <w:t> </w:t>
      </w:r>
      <w:r>
        <w:rPr>
          <w:lang w:val="fr-FR"/>
        </w:rPr>
        <w:t>établissements scolaires (soit 93</w:t>
      </w:r>
      <w:r w:rsidR="00B0330A">
        <w:rPr>
          <w:lang w:val="fr-FR"/>
        </w:rPr>
        <w:t> %</w:t>
      </w:r>
      <w:r>
        <w:rPr>
          <w:lang w:val="fr-FR"/>
        </w:rPr>
        <w:t xml:space="preserve"> des écoles) ont été raccordés à la fibre optique par </w:t>
      </w:r>
      <w:proofErr w:type="spellStart"/>
      <w:r>
        <w:rPr>
          <w:lang w:val="fr-FR"/>
        </w:rPr>
        <w:t>Uzbektelecom</w:t>
      </w:r>
      <w:proofErr w:type="spellEnd"/>
      <w:r>
        <w:rPr>
          <w:lang w:val="fr-FR"/>
        </w:rPr>
        <w:t xml:space="preserve"> et ont désormais accès à l’Internet à haut débit. En 2019 et 2020, le pourcentage d’établissements scolaires qui y avaient accès s’établissait à 30</w:t>
      </w:r>
      <w:r w:rsidR="00B0330A">
        <w:rPr>
          <w:lang w:val="fr-FR"/>
        </w:rPr>
        <w:t> %</w:t>
      </w:r>
      <w:r>
        <w:rPr>
          <w:lang w:val="fr-FR"/>
        </w:rPr>
        <w:t xml:space="preserve"> et 71</w:t>
      </w:r>
      <w:r w:rsidR="00B0330A">
        <w:rPr>
          <w:lang w:val="fr-FR"/>
        </w:rPr>
        <w:t> %</w:t>
      </w:r>
      <w:r>
        <w:rPr>
          <w:lang w:val="fr-FR"/>
        </w:rPr>
        <w:t>, respectivement. Parmi ces établissements, 8</w:t>
      </w:r>
      <w:r w:rsidR="00646E86">
        <w:rPr>
          <w:lang w:val="fr-FR"/>
        </w:rPr>
        <w:t> </w:t>
      </w:r>
      <w:r>
        <w:rPr>
          <w:lang w:val="fr-FR"/>
        </w:rPr>
        <w:t>773</w:t>
      </w:r>
      <w:r w:rsidR="00646E86">
        <w:rPr>
          <w:lang w:val="fr-FR"/>
        </w:rPr>
        <w:t> </w:t>
      </w:r>
      <w:r>
        <w:rPr>
          <w:lang w:val="fr-FR"/>
        </w:rPr>
        <w:t>écoles secondaire (soit 88</w:t>
      </w:r>
      <w:r w:rsidR="00B0330A">
        <w:rPr>
          <w:lang w:val="fr-FR"/>
        </w:rPr>
        <w:t> %</w:t>
      </w:r>
      <w:r>
        <w:rPr>
          <w:lang w:val="fr-FR"/>
        </w:rPr>
        <w:t>) étaient dotées de terminaux (</w:t>
      </w:r>
      <w:proofErr w:type="spellStart"/>
      <w:r>
        <w:rPr>
          <w:lang w:val="fr-FR"/>
        </w:rPr>
        <w:t>FTTx</w:t>
      </w:r>
      <w:proofErr w:type="spellEnd"/>
      <w:r>
        <w:rPr>
          <w:lang w:val="fr-FR"/>
        </w:rPr>
        <w:t>, 6P0Ғ1) permettant d’accéder à l’Internet. Grâce à l’allocation de crédits provenant des budgets locaux, 8</w:t>
      </w:r>
      <w:r w:rsidR="00646E86">
        <w:rPr>
          <w:lang w:val="fr-FR"/>
        </w:rPr>
        <w:t> </w:t>
      </w:r>
      <w:r>
        <w:rPr>
          <w:lang w:val="fr-FR"/>
        </w:rPr>
        <w:t>773</w:t>
      </w:r>
      <w:r w:rsidR="00646E86">
        <w:rPr>
          <w:lang w:val="fr-FR"/>
        </w:rPr>
        <w:t> </w:t>
      </w:r>
      <w:r>
        <w:rPr>
          <w:lang w:val="fr-FR"/>
        </w:rPr>
        <w:t>établissements d’enseignement général (soit 88</w:t>
      </w:r>
      <w:r w:rsidR="00B0330A">
        <w:rPr>
          <w:lang w:val="fr-FR"/>
        </w:rPr>
        <w:t> %</w:t>
      </w:r>
      <w:r>
        <w:rPr>
          <w:lang w:val="fr-FR"/>
        </w:rPr>
        <w:t xml:space="preserve"> des écoles) bénéficient d’un accès à l’Internet au tarif « enseignement». En 2021, toutes les écoles du pays (soit 100</w:t>
      </w:r>
      <w:r w:rsidR="00B0330A">
        <w:rPr>
          <w:lang w:val="fr-FR"/>
        </w:rPr>
        <w:t> %</w:t>
      </w:r>
      <w:r>
        <w:rPr>
          <w:lang w:val="fr-FR"/>
        </w:rPr>
        <w:t>) étaient dotées d’une connexion Internet à haut débit. Aujourd’hui, 5</w:t>
      </w:r>
      <w:r w:rsidR="00646E86">
        <w:rPr>
          <w:lang w:val="fr-FR"/>
        </w:rPr>
        <w:t> </w:t>
      </w:r>
      <w:r>
        <w:rPr>
          <w:lang w:val="fr-FR"/>
        </w:rPr>
        <w:t>300</w:t>
      </w:r>
      <w:r w:rsidR="00646E86">
        <w:rPr>
          <w:lang w:val="fr-FR"/>
        </w:rPr>
        <w:t> </w:t>
      </w:r>
      <w:r>
        <w:rPr>
          <w:lang w:val="fr-FR"/>
        </w:rPr>
        <w:t>écoles sont raccordées à un réseau local.</w:t>
      </w:r>
    </w:p>
    <w:p w14:paraId="1CE011EE" w14:textId="0BB128D0" w:rsidR="00161F02" w:rsidRPr="00DD5F1D" w:rsidRDefault="00161F02" w:rsidP="00161F02">
      <w:pPr>
        <w:pStyle w:val="H23G"/>
        <w:rPr>
          <w:b w:val="0"/>
          <w:i/>
        </w:rPr>
      </w:pPr>
      <w:r>
        <w:rPr>
          <w:lang w:val="fr-FR"/>
        </w:rPr>
        <w:tab/>
      </w:r>
      <w:r>
        <w:rPr>
          <w:lang w:val="fr-FR"/>
        </w:rPr>
        <w:tab/>
      </w:r>
      <w:r>
        <w:rPr>
          <w:bCs/>
          <w:lang w:val="fr-FR"/>
        </w:rPr>
        <w:t>Renseignements concernant le paragraphe</w:t>
      </w:r>
      <w:r w:rsidR="00574819">
        <w:rPr>
          <w:bCs/>
          <w:lang w:val="fr-FR"/>
        </w:rPr>
        <w:t> </w:t>
      </w:r>
      <w:r>
        <w:rPr>
          <w:bCs/>
          <w:lang w:val="fr-FR"/>
        </w:rPr>
        <w:t>6</w:t>
      </w:r>
      <w:r w:rsidR="00574819">
        <w:rPr>
          <w:bCs/>
          <w:lang w:val="fr-FR"/>
        </w:rPr>
        <w:t> </w:t>
      </w:r>
      <w:r>
        <w:rPr>
          <w:bCs/>
          <w:lang w:val="fr-FR"/>
        </w:rPr>
        <w:t>a) de la liste de points</w:t>
      </w:r>
      <w:r>
        <w:rPr>
          <w:lang w:val="fr-FR"/>
        </w:rPr>
        <w:t xml:space="preserve"> </w:t>
      </w:r>
    </w:p>
    <w:p w14:paraId="5B1C87DD" w14:textId="167DC8B7" w:rsidR="00161F02" w:rsidRPr="00DD5F1D" w:rsidRDefault="00161F02" w:rsidP="00161F02">
      <w:pPr>
        <w:pStyle w:val="SingleTxtG"/>
      </w:pPr>
      <w:r>
        <w:rPr>
          <w:lang w:val="fr-FR"/>
        </w:rPr>
        <w:t>65.</w:t>
      </w:r>
      <w:r>
        <w:rPr>
          <w:lang w:val="fr-FR"/>
        </w:rPr>
        <w:tab/>
        <w:t xml:space="preserve">Afin d’aider les femmes et les enfants victimes de harcèlement et de violence, une ligne téléphonique d’urgence (1146) a été mise en service par le Ministère de la promotion des </w:t>
      </w:r>
      <w:proofErr w:type="spellStart"/>
      <w:r w:rsidRPr="00574819">
        <w:rPr>
          <w:i/>
          <w:iCs/>
          <w:lang w:val="fr-FR"/>
        </w:rPr>
        <w:t>makhallas</w:t>
      </w:r>
      <w:proofErr w:type="spellEnd"/>
      <w:r>
        <w:rPr>
          <w:lang w:val="fr-FR"/>
        </w:rPr>
        <w:t xml:space="preserve"> et des familles, la chaîne </w:t>
      </w:r>
      <w:r w:rsidR="00646E86">
        <w:rPr>
          <w:lang w:val="fr-FR"/>
        </w:rPr>
        <w:t>« </w:t>
      </w:r>
      <w:r>
        <w:rPr>
          <w:lang w:val="fr-FR"/>
        </w:rPr>
        <w:t>Voix des jeunes filles</w:t>
      </w:r>
      <w:r w:rsidR="00646E86">
        <w:rPr>
          <w:lang w:val="fr-FR"/>
        </w:rPr>
        <w:t> »</w:t>
      </w:r>
      <w:r>
        <w:rPr>
          <w:lang w:val="fr-FR"/>
        </w:rPr>
        <w:t xml:space="preserve"> a été lancée sur les médias sociaux et nombre de chaînes </w:t>
      </w:r>
      <w:proofErr w:type="spellStart"/>
      <w:r>
        <w:rPr>
          <w:lang w:val="fr-FR"/>
        </w:rPr>
        <w:t>Telegram</w:t>
      </w:r>
      <w:proofErr w:type="spellEnd"/>
      <w:r>
        <w:rPr>
          <w:lang w:val="fr-FR"/>
        </w:rPr>
        <w:t xml:space="preserve"> (@Yosh_oila_toshkentsh, @Yosh_oila_samarkand, @Yosh_oila_toshkentsh, @Yosh_oila_toshvil, @samyoshlar, </w:t>
      </w:r>
      <w:hyperlink r:id="rId9" w:history="1">
        <w:r w:rsidRPr="00646E86">
          <w:rPr>
            <w:rStyle w:val="Lienhypertexte"/>
            <w:lang w:val="fr-FR"/>
          </w:rPr>
          <w:t>https</w:t>
        </w:r>
        <w:r w:rsidR="005579CA" w:rsidRPr="00646E86">
          <w:rPr>
            <w:rStyle w:val="Lienhypertexte"/>
            <w:lang w:val="fr-FR"/>
          </w:rPr>
          <w:t>:</w:t>
        </w:r>
        <w:r w:rsidRPr="00646E86">
          <w:rPr>
            <w:rStyle w:val="Lienhypertexte"/>
            <w:lang w:val="fr-FR"/>
          </w:rPr>
          <w:t>//t.me/seningTashab</w:t>
        </w:r>
      </w:hyperlink>
      <w:r>
        <w:rPr>
          <w:lang w:val="fr-FR"/>
        </w:rPr>
        <w:t>) publiant des commentaires de spécialistes sur les dispositions de la loi relative à la protection des femmes contre le harcèlement et la violence ont été créées.</w:t>
      </w:r>
    </w:p>
    <w:p w14:paraId="70951029" w14:textId="6C2CBA6D" w:rsidR="00161F02" w:rsidRPr="00DD5F1D" w:rsidRDefault="00161F02" w:rsidP="00161F02">
      <w:pPr>
        <w:pStyle w:val="SingleTxtG"/>
      </w:pPr>
      <w:r>
        <w:rPr>
          <w:lang w:val="fr-FR"/>
        </w:rPr>
        <w:t>66.</w:t>
      </w:r>
      <w:r>
        <w:rPr>
          <w:lang w:val="fr-FR"/>
        </w:rPr>
        <w:tab/>
        <w:t>En 2020, le décret sur la procédure de délivrance des ordonnances de protection, la protection des droits et le suivi des femmes et des enfants victimes de harcèlement et de violence a été approuvé. La même année, les organes du Ministère de l’intérieur ont enregistré 8</w:t>
      </w:r>
      <w:r w:rsidR="00FD2028">
        <w:rPr>
          <w:lang w:val="fr-FR"/>
        </w:rPr>
        <w:t> </w:t>
      </w:r>
      <w:r>
        <w:rPr>
          <w:lang w:val="fr-FR"/>
        </w:rPr>
        <w:t>773</w:t>
      </w:r>
      <w:r w:rsidR="00FD2028">
        <w:rPr>
          <w:lang w:val="fr-FR"/>
        </w:rPr>
        <w:t> </w:t>
      </w:r>
      <w:r>
        <w:rPr>
          <w:lang w:val="fr-FR"/>
        </w:rPr>
        <w:t xml:space="preserve">affaires liées à des infractions administratives commises au sein du foyer, </w:t>
      </w:r>
      <w:r>
        <w:rPr>
          <w:lang w:val="fr-FR"/>
        </w:rPr>
        <w:lastRenderedPageBreak/>
        <w:t>contre 16 692 en 2018 (statistiques portant sur huit mois de cette année) et 12 237 en 2019 (statistiques sur huit mois), et 571</w:t>
      </w:r>
      <w:r w:rsidR="00FD2028">
        <w:rPr>
          <w:lang w:val="fr-FR"/>
        </w:rPr>
        <w:t> </w:t>
      </w:r>
      <w:r>
        <w:rPr>
          <w:lang w:val="fr-FR"/>
        </w:rPr>
        <w:t xml:space="preserve">affaires pénales, contre 473 en 2018 (statistiques sur huit mois) et 292 en 2019 (statistiques sur huit mois) concernant des infractions graves et particulièrement graves dont les victimes étaient des femmes et des enfants. </w:t>
      </w:r>
    </w:p>
    <w:p w14:paraId="2199DDCC" w14:textId="6459E16F" w:rsidR="00161F02" w:rsidRPr="00DD5F1D" w:rsidRDefault="00161F02" w:rsidP="00161F02">
      <w:pPr>
        <w:pStyle w:val="SingleTxtG"/>
      </w:pPr>
      <w:r>
        <w:rPr>
          <w:lang w:val="fr-FR"/>
        </w:rPr>
        <w:t>67.</w:t>
      </w:r>
      <w:r>
        <w:rPr>
          <w:lang w:val="fr-FR"/>
        </w:rPr>
        <w:tab/>
        <w:t>Les centres de prise en charge et de réadaptation des victimes de la violence familiale proposent des repas, des médicaments et des produits d’hygiène aux femmes et aux enfants victimes qu’ils accueillent. Les victimes y bénéficient d’une assistance d’ordre psychologique, juridique et médical, qui est fournie dans le respect de leur anonymat, et y</w:t>
      </w:r>
      <w:r w:rsidR="00FD2028">
        <w:rPr>
          <w:lang w:val="fr-FR"/>
        </w:rPr>
        <w:t> </w:t>
      </w:r>
      <w:r>
        <w:rPr>
          <w:lang w:val="fr-FR"/>
        </w:rPr>
        <w:t>reçoivent des informations sur les organisations susceptibles de leur apporter une aide supplémentaire. Une ligne téléphonique d’urgence est disponible 24</w:t>
      </w:r>
      <w:r w:rsidR="00FD2028">
        <w:rPr>
          <w:lang w:val="fr-FR"/>
        </w:rPr>
        <w:t> </w:t>
      </w:r>
      <w:r>
        <w:rPr>
          <w:lang w:val="fr-FR"/>
        </w:rPr>
        <w:t>heures sur 24.</w:t>
      </w:r>
    </w:p>
    <w:p w14:paraId="26DE99FA" w14:textId="5B082C8E" w:rsidR="00161F02" w:rsidRPr="00DD5F1D" w:rsidRDefault="00161F02" w:rsidP="00161F02">
      <w:pPr>
        <w:pStyle w:val="SingleTxtG"/>
      </w:pPr>
      <w:r>
        <w:rPr>
          <w:lang w:val="fr-FR"/>
        </w:rPr>
        <w:t>68.</w:t>
      </w:r>
      <w:r>
        <w:rPr>
          <w:lang w:val="fr-FR"/>
        </w:rPr>
        <w:tab/>
        <w:t>Le système de prévention de la criminalité du Ministère de l’intérieur a été étoffé par la création d’un service spécialement chargé des femmes, qui a notamment pour mission de détecter les femmes qui se trouvent dans une situation difficile. Pendant huit mois de l’année 2020, 4 780</w:t>
      </w:r>
      <w:r w:rsidR="00FD2028">
        <w:rPr>
          <w:lang w:val="fr-FR"/>
        </w:rPr>
        <w:t> </w:t>
      </w:r>
      <w:r>
        <w:rPr>
          <w:lang w:val="fr-FR"/>
        </w:rPr>
        <w:t>femmes et filles (dont 44</w:t>
      </w:r>
      <w:r w:rsidR="00FD2028">
        <w:rPr>
          <w:lang w:val="fr-FR"/>
        </w:rPr>
        <w:t> </w:t>
      </w:r>
      <w:r>
        <w:rPr>
          <w:lang w:val="fr-FR"/>
        </w:rPr>
        <w:t>mineures et 1 222</w:t>
      </w:r>
      <w:r w:rsidR="00FD2028">
        <w:rPr>
          <w:lang w:val="fr-FR"/>
        </w:rPr>
        <w:t> </w:t>
      </w:r>
      <w:r>
        <w:rPr>
          <w:lang w:val="fr-FR"/>
        </w:rPr>
        <w:t>femmes de 18 à 30</w:t>
      </w:r>
      <w:r w:rsidR="00FD2028">
        <w:rPr>
          <w:lang w:val="fr-FR"/>
        </w:rPr>
        <w:t> </w:t>
      </w:r>
      <w:r>
        <w:rPr>
          <w:lang w:val="fr-FR"/>
        </w:rPr>
        <w:t>ans) ont obtenu des ordonnances de protection, dont 2</w:t>
      </w:r>
      <w:r w:rsidR="00FD2028">
        <w:rPr>
          <w:lang w:val="fr-FR"/>
        </w:rPr>
        <w:t> </w:t>
      </w:r>
      <w:r>
        <w:rPr>
          <w:lang w:val="fr-FR"/>
        </w:rPr>
        <w:t>421 pour violence physique, 25 pour violence sexuelle, 1 946 pour violence psychologique, 57 pour violence économique et 398 pour harcèlement. Pendant cette période, le service de prévention du Ministère de l’intérieur a orienté 213</w:t>
      </w:r>
      <w:r w:rsidR="00FD2028">
        <w:rPr>
          <w:lang w:val="fr-FR"/>
        </w:rPr>
        <w:t> </w:t>
      </w:r>
      <w:r>
        <w:rPr>
          <w:lang w:val="fr-FR"/>
        </w:rPr>
        <w:t>femmes et filles en difficulté vers les centres de prévention du suicide et de prise en charge et de réadaptation des victimes de violence.</w:t>
      </w:r>
    </w:p>
    <w:p w14:paraId="44C5CE82" w14:textId="4EACD65C" w:rsidR="00161F02" w:rsidRPr="00DD5F1D" w:rsidRDefault="00161F02" w:rsidP="00161F02">
      <w:pPr>
        <w:pStyle w:val="SingleTxtG"/>
      </w:pPr>
      <w:r>
        <w:rPr>
          <w:lang w:val="fr-FR"/>
        </w:rPr>
        <w:t>69.</w:t>
      </w:r>
      <w:r>
        <w:rPr>
          <w:lang w:val="fr-FR"/>
        </w:rPr>
        <w:tab/>
        <w:t>En 2018, les tribunaux spécialisés dans les affaires de violence fondée sur le genre ont examiné 1 784</w:t>
      </w:r>
      <w:r w:rsidR="00FD2028">
        <w:rPr>
          <w:lang w:val="fr-FR"/>
        </w:rPr>
        <w:t> </w:t>
      </w:r>
      <w:r>
        <w:rPr>
          <w:lang w:val="fr-FR"/>
        </w:rPr>
        <w:t>affaires pénales dans lesquelles 2 053</w:t>
      </w:r>
      <w:r w:rsidR="00FD2028">
        <w:rPr>
          <w:lang w:val="fr-FR"/>
        </w:rPr>
        <w:t> </w:t>
      </w:r>
      <w:r>
        <w:rPr>
          <w:lang w:val="fr-FR"/>
        </w:rPr>
        <w:t>personnes étaient accusées de ce type de violence. En tout, 1</w:t>
      </w:r>
      <w:r w:rsidR="00FD2028">
        <w:rPr>
          <w:lang w:val="fr-FR"/>
        </w:rPr>
        <w:t> </w:t>
      </w:r>
      <w:r>
        <w:rPr>
          <w:lang w:val="fr-FR"/>
        </w:rPr>
        <w:t>377</w:t>
      </w:r>
      <w:r w:rsidR="00FD2028">
        <w:rPr>
          <w:lang w:val="fr-FR"/>
        </w:rPr>
        <w:t> </w:t>
      </w:r>
      <w:r>
        <w:rPr>
          <w:lang w:val="fr-FR"/>
        </w:rPr>
        <w:t>affaires ont abouti à la reconnaissance de la culpabilité de 1</w:t>
      </w:r>
      <w:r w:rsidR="00FD2028">
        <w:rPr>
          <w:lang w:val="fr-FR"/>
        </w:rPr>
        <w:t> </w:t>
      </w:r>
      <w:r>
        <w:rPr>
          <w:lang w:val="fr-FR"/>
        </w:rPr>
        <w:t>586</w:t>
      </w:r>
      <w:r w:rsidR="00FD2028">
        <w:rPr>
          <w:lang w:val="fr-FR"/>
        </w:rPr>
        <w:t> </w:t>
      </w:r>
      <w:r>
        <w:rPr>
          <w:lang w:val="fr-FR"/>
        </w:rPr>
        <w:t xml:space="preserve">accusés. </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1700"/>
        <w:gridCol w:w="1701"/>
        <w:gridCol w:w="1701"/>
      </w:tblGrid>
      <w:tr w:rsidR="00161F02" w:rsidRPr="00FD2028" w14:paraId="7BABCC3D" w14:textId="77777777" w:rsidTr="00FD2028">
        <w:trPr>
          <w:tblHeader/>
        </w:trPr>
        <w:tc>
          <w:tcPr>
            <w:tcW w:w="2268" w:type="dxa"/>
            <w:tcBorders>
              <w:top w:val="single" w:sz="4" w:space="0" w:color="auto"/>
              <w:bottom w:val="single" w:sz="12" w:space="0" w:color="auto"/>
            </w:tcBorders>
            <w:shd w:val="clear" w:color="auto" w:fill="auto"/>
            <w:vAlign w:val="bottom"/>
          </w:tcPr>
          <w:p w14:paraId="73901E06" w14:textId="77777777" w:rsidR="00161F02" w:rsidRPr="00FD2028" w:rsidRDefault="00161F02" w:rsidP="00FD2028">
            <w:pPr>
              <w:suppressAutoHyphens w:val="0"/>
              <w:spacing w:before="80" w:after="80" w:line="200" w:lineRule="exact"/>
              <w:rPr>
                <w:i/>
                <w:sz w:val="16"/>
              </w:rPr>
            </w:pPr>
            <w:r w:rsidRPr="00FD2028">
              <w:rPr>
                <w:i/>
                <w:sz w:val="16"/>
                <w:lang w:val="fr-FR"/>
              </w:rPr>
              <w:t>Types d’infraction</w:t>
            </w:r>
          </w:p>
        </w:tc>
        <w:tc>
          <w:tcPr>
            <w:tcW w:w="1700" w:type="dxa"/>
            <w:tcBorders>
              <w:top w:val="single" w:sz="4" w:space="0" w:color="auto"/>
              <w:bottom w:val="single" w:sz="12" w:space="0" w:color="auto"/>
            </w:tcBorders>
            <w:shd w:val="clear" w:color="auto" w:fill="auto"/>
            <w:vAlign w:val="bottom"/>
          </w:tcPr>
          <w:p w14:paraId="7ADCD359" w14:textId="77777777" w:rsidR="00161F02" w:rsidRPr="00FD2028" w:rsidRDefault="00161F02" w:rsidP="00FD2028">
            <w:pPr>
              <w:suppressAutoHyphens w:val="0"/>
              <w:spacing w:before="80" w:after="80" w:line="200" w:lineRule="exact"/>
              <w:jc w:val="right"/>
              <w:rPr>
                <w:i/>
                <w:sz w:val="16"/>
              </w:rPr>
            </w:pPr>
            <w:r w:rsidRPr="00FD2028">
              <w:rPr>
                <w:i/>
                <w:sz w:val="16"/>
                <w:lang w:val="fr-FR"/>
              </w:rPr>
              <w:t>Affaires pénales jugées</w:t>
            </w:r>
          </w:p>
        </w:tc>
        <w:tc>
          <w:tcPr>
            <w:tcW w:w="1701" w:type="dxa"/>
            <w:tcBorders>
              <w:top w:val="single" w:sz="4" w:space="0" w:color="auto"/>
              <w:bottom w:val="single" w:sz="12" w:space="0" w:color="auto"/>
            </w:tcBorders>
            <w:shd w:val="clear" w:color="auto" w:fill="auto"/>
            <w:vAlign w:val="bottom"/>
          </w:tcPr>
          <w:p w14:paraId="04A4F140" w14:textId="77777777" w:rsidR="00161F02" w:rsidRPr="00FD2028" w:rsidRDefault="00161F02" w:rsidP="00FD2028">
            <w:pPr>
              <w:suppressAutoHyphens w:val="0"/>
              <w:spacing w:before="80" w:after="80" w:line="200" w:lineRule="exact"/>
              <w:jc w:val="right"/>
              <w:rPr>
                <w:i/>
                <w:sz w:val="16"/>
              </w:rPr>
            </w:pPr>
            <w:r w:rsidRPr="00FD2028">
              <w:rPr>
                <w:i/>
                <w:sz w:val="16"/>
                <w:lang w:val="fr-FR"/>
              </w:rPr>
              <w:t>Personnes poursuivies pénalement</w:t>
            </w:r>
          </w:p>
        </w:tc>
        <w:tc>
          <w:tcPr>
            <w:tcW w:w="1701" w:type="dxa"/>
            <w:tcBorders>
              <w:top w:val="single" w:sz="4" w:space="0" w:color="auto"/>
              <w:bottom w:val="single" w:sz="12" w:space="0" w:color="auto"/>
            </w:tcBorders>
            <w:shd w:val="clear" w:color="auto" w:fill="auto"/>
            <w:vAlign w:val="bottom"/>
          </w:tcPr>
          <w:p w14:paraId="46C7D7BA" w14:textId="77777777" w:rsidR="00161F02" w:rsidRPr="00FD2028" w:rsidRDefault="00161F02" w:rsidP="00FD2028">
            <w:pPr>
              <w:suppressAutoHyphens w:val="0"/>
              <w:spacing w:before="80" w:after="80" w:line="200" w:lineRule="exact"/>
              <w:jc w:val="right"/>
              <w:rPr>
                <w:i/>
                <w:sz w:val="16"/>
              </w:rPr>
            </w:pPr>
            <w:r w:rsidRPr="00FD2028">
              <w:rPr>
                <w:i/>
                <w:sz w:val="16"/>
                <w:lang w:val="fr-FR"/>
              </w:rPr>
              <w:t>Personnes reconnues comme victimes</w:t>
            </w:r>
          </w:p>
        </w:tc>
      </w:tr>
      <w:tr w:rsidR="00161F02" w:rsidRPr="00FD2028" w14:paraId="438C899D" w14:textId="77777777" w:rsidTr="00FD2028">
        <w:tc>
          <w:tcPr>
            <w:tcW w:w="2268" w:type="dxa"/>
            <w:tcBorders>
              <w:top w:val="single" w:sz="12" w:space="0" w:color="auto"/>
            </w:tcBorders>
            <w:shd w:val="clear" w:color="auto" w:fill="auto"/>
          </w:tcPr>
          <w:p w14:paraId="08C73FEB" w14:textId="77777777" w:rsidR="00161F02" w:rsidRPr="00FD2028" w:rsidRDefault="00161F02" w:rsidP="00FD2028">
            <w:pPr>
              <w:suppressAutoHyphens w:val="0"/>
              <w:spacing w:before="40" w:after="40" w:line="220" w:lineRule="exact"/>
              <w:rPr>
                <w:sz w:val="18"/>
              </w:rPr>
            </w:pPr>
            <w:r w:rsidRPr="00FD2028">
              <w:rPr>
                <w:sz w:val="18"/>
                <w:lang w:val="fr-FR"/>
              </w:rPr>
              <w:t>Violence familiale</w:t>
            </w:r>
          </w:p>
        </w:tc>
        <w:tc>
          <w:tcPr>
            <w:tcW w:w="1700" w:type="dxa"/>
            <w:tcBorders>
              <w:top w:val="single" w:sz="12" w:space="0" w:color="auto"/>
            </w:tcBorders>
            <w:shd w:val="clear" w:color="auto" w:fill="auto"/>
            <w:vAlign w:val="bottom"/>
          </w:tcPr>
          <w:p w14:paraId="5EEBC24E" w14:textId="77777777" w:rsidR="00161F02" w:rsidRPr="00FD2028" w:rsidRDefault="00161F02" w:rsidP="00FD2028">
            <w:pPr>
              <w:suppressAutoHyphens w:val="0"/>
              <w:spacing w:before="40" w:after="40" w:line="220" w:lineRule="exact"/>
              <w:jc w:val="right"/>
              <w:rPr>
                <w:sz w:val="18"/>
              </w:rPr>
            </w:pPr>
            <w:r w:rsidRPr="00FD2028">
              <w:rPr>
                <w:sz w:val="18"/>
                <w:lang w:val="fr-FR"/>
              </w:rPr>
              <w:t>539</w:t>
            </w:r>
          </w:p>
        </w:tc>
        <w:tc>
          <w:tcPr>
            <w:tcW w:w="1701" w:type="dxa"/>
            <w:tcBorders>
              <w:top w:val="single" w:sz="12" w:space="0" w:color="auto"/>
            </w:tcBorders>
            <w:shd w:val="clear" w:color="auto" w:fill="auto"/>
            <w:vAlign w:val="bottom"/>
          </w:tcPr>
          <w:p w14:paraId="158A236C" w14:textId="77777777" w:rsidR="00161F02" w:rsidRPr="00FD2028" w:rsidRDefault="00161F02" w:rsidP="00FD2028">
            <w:pPr>
              <w:suppressAutoHyphens w:val="0"/>
              <w:spacing w:before="40" w:after="40" w:line="220" w:lineRule="exact"/>
              <w:jc w:val="right"/>
              <w:rPr>
                <w:sz w:val="18"/>
              </w:rPr>
            </w:pPr>
            <w:r w:rsidRPr="00FD2028">
              <w:rPr>
                <w:sz w:val="18"/>
                <w:lang w:val="fr-FR"/>
              </w:rPr>
              <w:t>613</w:t>
            </w:r>
          </w:p>
        </w:tc>
        <w:tc>
          <w:tcPr>
            <w:tcW w:w="1701" w:type="dxa"/>
            <w:tcBorders>
              <w:top w:val="single" w:sz="12" w:space="0" w:color="auto"/>
            </w:tcBorders>
            <w:shd w:val="clear" w:color="auto" w:fill="auto"/>
            <w:vAlign w:val="bottom"/>
          </w:tcPr>
          <w:p w14:paraId="6F7DAE17" w14:textId="77777777" w:rsidR="00161F02" w:rsidRPr="00FD2028" w:rsidRDefault="00161F02" w:rsidP="00FD2028">
            <w:pPr>
              <w:suppressAutoHyphens w:val="0"/>
              <w:spacing w:before="40" w:after="40" w:line="220" w:lineRule="exact"/>
              <w:jc w:val="right"/>
              <w:rPr>
                <w:sz w:val="18"/>
              </w:rPr>
            </w:pPr>
            <w:r w:rsidRPr="00FD2028">
              <w:rPr>
                <w:sz w:val="18"/>
                <w:lang w:val="fr-FR"/>
              </w:rPr>
              <w:t>629</w:t>
            </w:r>
          </w:p>
        </w:tc>
      </w:tr>
      <w:tr w:rsidR="00161F02" w:rsidRPr="00FD2028" w14:paraId="548E8FFB" w14:textId="77777777" w:rsidTr="00FD2028">
        <w:tc>
          <w:tcPr>
            <w:tcW w:w="2268" w:type="dxa"/>
            <w:shd w:val="clear" w:color="auto" w:fill="auto"/>
          </w:tcPr>
          <w:p w14:paraId="01881D30" w14:textId="77777777" w:rsidR="00161F02" w:rsidRPr="00FD2028" w:rsidRDefault="00161F02" w:rsidP="00FD2028">
            <w:pPr>
              <w:suppressAutoHyphens w:val="0"/>
              <w:spacing w:before="40" w:after="40" w:line="220" w:lineRule="exact"/>
              <w:rPr>
                <w:sz w:val="18"/>
              </w:rPr>
            </w:pPr>
            <w:r w:rsidRPr="00FD2028">
              <w:rPr>
                <w:sz w:val="18"/>
                <w:lang w:val="fr-FR"/>
              </w:rPr>
              <w:t>Violence sexuelle</w:t>
            </w:r>
          </w:p>
        </w:tc>
        <w:tc>
          <w:tcPr>
            <w:tcW w:w="1700" w:type="dxa"/>
            <w:shd w:val="clear" w:color="auto" w:fill="auto"/>
            <w:vAlign w:val="bottom"/>
          </w:tcPr>
          <w:p w14:paraId="5DD4630C" w14:textId="77777777" w:rsidR="00161F02" w:rsidRPr="00FD2028" w:rsidRDefault="00161F02" w:rsidP="00FD2028">
            <w:pPr>
              <w:suppressAutoHyphens w:val="0"/>
              <w:spacing w:before="40" w:after="40" w:line="220" w:lineRule="exact"/>
              <w:jc w:val="right"/>
              <w:rPr>
                <w:sz w:val="18"/>
              </w:rPr>
            </w:pPr>
            <w:r w:rsidRPr="00FD2028">
              <w:rPr>
                <w:sz w:val="18"/>
                <w:lang w:val="fr-FR"/>
              </w:rPr>
              <w:t>278</w:t>
            </w:r>
          </w:p>
        </w:tc>
        <w:tc>
          <w:tcPr>
            <w:tcW w:w="1701" w:type="dxa"/>
            <w:shd w:val="clear" w:color="auto" w:fill="auto"/>
            <w:vAlign w:val="bottom"/>
          </w:tcPr>
          <w:p w14:paraId="37E8AE6F" w14:textId="77777777" w:rsidR="00161F02" w:rsidRPr="00FD2028" w:rsidRDefault="00161F02" w:rsidP="00FD2028">
            <w:pPr>
              <w:suppressAutoHyphens w:val="0"/>
              <w:spacing w:before="40" w:after="40" w:line="220" w:lineRule="exact"/>
              <w:jc w:val="right"/>
              <w:rPr>
                <w:sz w:val="18"/>
              </w:rPr>
            </w:pPr>
            <w:r w:rsidRPr="00FD2028">
              <w:rPr>
                <w:sz w:val="18"/>
                <w:lang w:val="fr-FR"/>
              </w:rPr>
              <w:t>321</w:t>
            </w:r>
          </w:p>
        </w:tc>
        <w:tc>
          <w:tcPr>
            <w:tcW w:w="1701" w:type="dxa"/>
            <w:shd w:val="clear" w:color="auto" w:fill="auto"/>
            <w:vAlign w:val="bottom"/>
          </w:tcPr>
          <w:p w14:paraId="7478ACEA" w14:textId="77777777" w:rsidR="00161F02" w:rsidRPr="00FD2028" w:rsidRDefault="00161F02" w:rsidP="00FD2028">
            <w:pPr>
              <w:suppressAutoHyphens w:val="0"/>
              <w:spacing w:before="40" w:after="40" w:line="220" w:lineRule="exact"/>
              <w:jc w:val="right"/>
              <w:rPr>
                <w:sz w:val="18"/>
              </w:rPr>
            </w:pPr>
            <w:r w:rsidRPr="00FD2028">
              <w:rPr>
                <w:sz w:val="18"/>
                <w:lang w:val="fr-FR"/>
              </w:rPr>
              <w:t>348</w:t>
            </w:r>
          </w:p>
        </w:tc>
      </w:tr>
      <w:tr w:rsidR="00161F02" w:rsidRPr="00FD2028" w14:paraId="5910D751" w14:textId="77777777" w:rsidTr="00433C03">
        <w:tc>
          <w:tcPr>
            <w:tcW w:w="2268" w:type="dxa"/>
            <w:shd w:val="clear" w:color="auto" w:fill="auto"/>
          </w:tcPr>
          <w:p w14:paraId="7C367D80" w14:textId="77777777" w:rsidR="00161F02" w:rsidRPr="00FD2028" w:rsidRDefault="00161F02" w:rsidP="00FD2028">
            <w:pPr>
              <w:suppressAutoHyphens w:val="0"/>
              <w:spacing w:before="40" w:after="40" w:line="220" w:lineRule="exact"/>
              <w:rPr>
                <w:sz w:val="18"/>
              </w:rPr>
            </w:pPr>
            <w:r w:rsidRPr="00FD2028">
              <w:rPr>
                <w:sz w:val="18"/>
                <w:lang w:val="fr-FR"/>
              </w:rPr>
              <w:t>Discrimination et harcèlement au travail</w:t>
            </w:r>
          </w:p>
        </w:tc>
        <w:tc>
          <w:tcPr>
            <w:tcW w:w="1700" w:type="dxa"/>
            <w:shd w:val="clear" w:color="auto" w:fill="auto"/>
            <w:vAlign w:val="bottom"/>
          </w:tcPr>
          <w:p w14:paraId="5179983A" w14:textId="77777777" w:rsidR="00161F02" w:rsidRPr="00FD2028" w:rsidRDefault="00161F02" w:rsidP="00FD2028">
            <w:pPr>
              <w:suppressAutoHyphens w:val="0"/>
              <w:spacing w:before="40" w:after="40" w:line="220" w:lineRule="exact"/>
              <w:jc w:val="right"/>
              <w:rPr>
                <w:sz w:val="18"/>
              </w:rPr>
            </w:pPr>
            <w:r w:rsidRPr="00FD2028">
              <w:rPr>
                <w:sz w:val="18"/>
                <w:lang w:val="fr-FR"/>
              </w:rPr>
              <w:t>8</w:t>
            </w:r>
          </w:p>
        </w:tc>
        <w:tc>
          <w:tcPr>
            <w:tcW w:w="1701" w:type="dxa"/>
            <w:shd w:val="clear" w:color="auto" w:fill="auto"/>
            <w:vAlign w:val="bottom"/>
          </w:tcPr>
          <w:p w14:paraId="40D1C54F" w14:textId="77777777" w:rsidR="00161F02" w:rsidRPr="00FD2028" w:rsidRDefault="00161F02" w:rsidP="00FD2028">
            <w:pPr>
              <w:suppressAutoHyphens w:val="0"/>
              <w:spacing w:before="40" w:after="40" w:line="220" w:lineRule="exact"/>
              <w:jc w:val="right"/>
              <w:rPr>
                <w:sz w:val="18"/>
              </w:rPr>
            </w:pPr>
            <w:r w:rsidRPr="00FD2028">
              <w:rPr>
                <w:sz w:val="18"/>
                <w:lang w:val="fr-FR"/>
              </w:rPr>
              <w:t>9</w:t>
            </w:r>
          </w:p>
        </w:tc>
        <w:tc>
          <w:tcPr>
            <w:tcW w:w="1701" w:type="dxa"/>
            <w:shd w:val="clear" w:color="auto" w:fill="auto"/>
            <w:vAlign w:val="bottom"/>
          </w:tcPr>
          <w:p w14:paraId="4A8B322D" w14:textId="77777777" w:rsidR="00161F02" w:rsidRPr="00FD2028" w:rsidRDefault="00161F02" w:rsidP="00FD2028">
            <w:pPr>
              <w:suppressAutoHyphens w:val="0"/>
              <w:spacing w:before="40" w:after="40" w:line="220" w:lineRule="exact"/>
              <w:jc w:val="right"/>
              <w:rPr>
                <w:sz w:val="18"/>
              </w:rPr>
            </w:pPr>
            <w:r w:rsidRPr="00FD2028">
              <w:rPr>
                <w:sz w:val="18"/>
                <w:lang w:val="fr-FR"/>
              </w:rPr>
              <w:t>10</w:t>
            </w:r>
          </w:p>
        </w:tc>
      </w:tr>
      <w:tr w:rsidR="00FD2028" w:rsidRPr="00FD2028" w14:paraId="7C09F8D1" w14:textId="77777777" w:rsidTr="00B61753">
        <w:tc>
          <w:tcPr>
            <w:tcW w:w="2268" w:type="dxa"/>
            <w:shd w:val="clear" w:color="auto" w:fill="auto"/>
          </w:tcPr>
          <w:p w14:paraId="762118A3" w14:textId="2657264F" w:rsidR="00161F02" w:rsidRPr="00FD2028" w:rsidRDefault="00161F02" w:rsidP="00FD2028">
            <w:pPr>
              <w:suppressAutoHyphens w:val="0"/>
              <w:spacing w:before="40" w:after="40" w:line="220" w:lineRule="exact"/>
              <w:rPr>
                <w:sz w:val="18"/>
              </w:rPr>
            </w:pPr>
            <w:r w:rsidRPr="00FD2028">
              <w:rPr>
                <w:sz w:val="18"/>
                <w:lang w:val="fr-FR"/>
              </w:rPr>
              <w:t xml:space="preserve">Autres formes de violence </w:t>
            </w:r>
            <w:r w:rsidR="00D6765D">
              <w:rPr>
                <w:sz w:val="18"/>
                <w:lang w:val="fr-FR"/>
              </w:rPr>
              <w:br/>
            </w:r>
            <w:r w:rsidRPr="00FD2028">
              <w:rPr>
                <w:sz w:val="18"/>
                <w:lang w:val="fr-FR"/>
              </w:rPr>
              <w:t>et de discrimination</w:t>
            </w:r>
          </w:p>
        </w:tc>
        <w:tc>
          <w:tcPr>
            <w:tcW w:w="1700" w:type="dxa"/>
            <w:shd w:val="clear" w:color="auto" w:fill="auto"/>
            <w:vAlign w:val="bottom"/>
          </w:tcPr>
          <w:p w14:paraId="6EBB19BA" w14:textId="77777777" w:rsidR="00161F02" w:rsidRPr="00FD2028" w:rsidRDefault="00161F02" w:rsidP="00FD2028">
            <w:pPr>
              <w:suppressAutoHyphens w:val="0"/>
              <w:spacing w:before="40" w:after="40" w:line="220" w:lineRule="exact"/>
              <w:jc w:val="right"/>
              <w:rPr>
                <w:sz w:val="18"/>
              </w:rPr>
            </w:pPr>
            <w:r w:rsidRPr="00FD2028">
              <w:rPr>
                <w:sz w:val="18"/>
                <w:lang w:val="fr-FR"/>
              </w:rPr>
              <w:t>552</w:t>
            </w:r>
          </w:p>
        </w:tc>
        <w:tc>
          <w:tcPr>
            <w:tcW w:w="1701" w:type="dxa"/>
            <w:shd w:val="clear" w:color="auto" w:fill="auto"/>
            <w:vAlign w:val="bottom"/>
          </w:tcPr>
          <w:p w14:paraId="1AD6DFCC" w14:textId="77777777" w:rsidR="00161F02" w:rsidRPr="00FD2028" w:rsidRDefault="00161F02" w:rsidP="00FD2028">
            <w:pPr>
              <w:suppressAutoHyphens w:val="0"/>
              <w:spacing w:before="40" w:after="40" w:line="220" w:lineRule="exact"/>
              <w:jc w:val="right"/>
              <w:rPr>
                <w:sz w:val="18"/>
              </w:rPr>
            </w:pPr>
            <w:r w:rsidRPr="00FD2028">
              <w:rPr>
                <w:sz w:val="18"/>
                <w:lang w:val="fr-FR"/>
              </w:rPr>
              <w:t>643</w:t>
            </w:r>
          </w:p>
        </w:tc>
        <w:tc>
          <w:tcPr>
            <w:tcW w:w="1701" w:type="dxa"/>
            <w:shd w:val="clear" w:color="auto" w:fill="auto"/>
            <w:vAlign w:val="bottom"/>
          </w:tcPr>
          <w:p w14:paraId="405445E3" w14:textId="77777777" w:rsidR="00161F02" w:rsidRPr="00FD2028" w:rsidRDefault="00161F02" w:rsidP="00FD2028">
            <w:pPr>
              <w:suppressAutoHyphens w:val="0"/>
              <w:spacing w:before="40" w:after="40" w:line="220" w:lineRule="exact"/>
              <w:jc w:val="right"/>
              <w:rPr>
                <w:sz w:val="18"/>
              </w:rPr>
            </w:pPr>
            <w:r w:rsidRPr="00FD2028">
              <w:rPr>
                <w:sz w:val="18"/>
                <w:lang w:val="fr-FR"/>
              </w:rPr>
              <w:t>643</w:t>
            </w:r>
          </w:p>
        </w:tc>
      </w:tr>
      <w:tr w:rsidR="00B61753" w:rsidRPr="00FD2028" w14:paraId="751CC75E" w14:textId="77777777" w:rsidTr="00482A38">
        <w:tc>
          <w:tcPr>
            <w:tcW w:w="2268" w:type="dxa"/>
            <w:tcBorders>
              <w:top w:val="single" w:sz="4" w:space="0" w:color="auto"/>
              <w:bottom w:val="single" w:sz="12" w:space="0" w:color="auto"/>
            </w:tcBorders>
            <w:shd w:val="clear" w:color="auto" w:fill="auto"/>
          </w:tcPr>
          <w:p w14:paraId="64744857" w14:textId="77777777" w:rsidR="00B61753" w:rsidRPr="00FD2028" w:rsidRDefault="00B61753" w:rsidP="00482A38">
            <w:pPr>
              <w:suppressAutoHyphens w:val="0"/>
              <w:spacing w:before="80" w:after="80" w:line="220" w:lineRule="exact"/>
              <w:ind w:left="283"/>
              <w:rPr>
                <w:b/>
                <w:sz w:val="18"/>
              </w:rPr>
            </w:pPr>
            <w:r w:rsidRPr="00FD2028">
              <w:rPr>
                <w:b/>
                <w:sz w:val="18"/>
                <w:lang w:val="fr-FR"/>
              </w:rPr>
              <w:t>Total</w:t>
            </w:r>
          </w:p>
        </w:tc>
        <w:tc>
          <w:tcPr>
            <w:tcW w:w="1700" w:type="dxa"/>
            <w:tcBorders>
              <w:top w:val="single" w:sz="4" w:space="0" w:color="auto"/>
              <w:bottom w:val="single" w:sz="12" w:space="0" w:color="auto"/>
            </w:tcBorders>
            <w:shd w:val="clear" w:color="auto" w:fill="auto"/>
            <w:vAlign w:val="bottom"/>
          </w:tcPr>
          <w:p w14:paraId="5C082FDC" w14:textId="77777777" w:rsidR="00B61753" w:rsidRPr="00FD2028" w:rsidRDefault="00B61753" w:rsidP="00482A38">
            <w:pPr>
              <w:suppressAutoHyphens w:val="0"/>
              <w:spacing w:before="80" w:after="80" w:line="220" w:lineRule="exact"/>
              <w:jc w:val="right"/>
              <w:rPr>
                <w:b/>
                <w:sz w:val="18"/>
              </w:rPr>
            </w:pPr>
            <w:r w:rsidRPr="00FD2028">
              <w:rPr>
                <w:b/>
                <w:sz w:val="18"/>
                <w:lang w:val="fr-FR"/>
              </w:rPr>
              <w:t>1 377</w:t>
            </w:r>
          </w:p>
        </w:tc>
        <w:tc>
          <w:tcPr>
            <w:tcW w:w="1701" w:type="dxa"/>
            <w:tcBorders>
              <w:top w:val="single" w:sz="4" w:space="0" w:color="auto"/>
              <w:bottom w:val="single" w:sz="12" w:space="0" w:color="auto"/>
            </w:tcBorders>
            <w:shd w:val="clear" w:color="auto" w:fill="auto"/>
            <w:vAlign w:val="bottom"/>
          </w:tcPr>
          <w:p w14:paraId="4120E73C" w14:textId="77777777" w:rsidR="00B61753" w:rsidRPr="00FD2028" w:rsidRDefault="00B61753" w:rsidP="00482A38">
            <w:pPr>
              <w:suppressAutoHyphens w:val="0"/>
              <w:spacing w:before="80" w:after="80" w:line="220" w:lineRule="exact"/>
              <w:jc w:val="right"/>
              <w:rPr>
                <w:b/>
                <w:sz w:val="18"/>
              </w:rPr>
            </w:pPr>
            <w:r w:rsidRPr="00FD2028">
              <w:rPr>
                <w:b/>
                <w:sz w:val="18"/>
                <w:lang w:val="fr-FR"/>
              </w:rPr>
              <w:t>1 586</w:t>
            </w:r>
          </w:p>
        </w:tc>
        <w:tc>
          <w:tcPr>
            <w:tcW w:w="1701" w:type="dxa"/>
            <w:tcBorders>
              <w:top w:val="single" w:sz="4" w:space="0" w:color="auto"/>
              <w:bottom w:val="single" w:sz="12" w:space="0" w:color="auto"/>
            </w:tcBorders>
            <w:shd w:val="clear" w:color="auto" w:fill="auto"/>
            <w:vAlign w:val="bottom"/>
          </w:tcPr>
          <w:p w14:paraId="2653BA3F" w14:textId="77777777" w:rsidR="00B61753" w:rsidRPr="00FD2028" w:rsidRDefault="00B61753" w:rsidP="00482A38">
            <w:pPr>
              <w:suppressAutoHyphens w:val="0"/>
              <w:spacing w:before="80" w:after="80" w:line="220" w:lineRule="exact"/>
              <w:jc w:val="right"/>
              <w:rPr>
                <w:b/>
                <w:sz w:val="18"/>
              </w:rPr>
            </w:pPr>
          </w:p>
        </w:tc>
      </w:tr>
    </w:tbl>
    <w:p w14:paraId="6CACF1FF" w14:textId="5AF09F99" w:rsidR="00161F02" w:rsidRPr="00DD5F1D" w:rsidRDefault="00161F02" w:rsidP="00D6765D">
      <w:pPr>
        <w:pStyle w:val="SingleTxtG"/>
        <w:spacing w:before="120" w:after="240"/>
      </w:pPr>
      <w:r>
        <w:rPr>
          <w:lang w:val="fr-FR"/>
        </w:rPr>
        <w:t>Parmi les 1 586</w:t>
      </w:r>
      <w:r w:rsidR="00D6765D">
        <w:rPr>
          <w:lang w:val="fr-FR"/>
        </w:rPr>
        <w:t> </w:t>
      </w:r>
      <w:r>
        <w:rPr>
          <w:lang w:val="fr-FR"/>
        </w:rPr>
        <w:t>personnes qui ont été poursuivies pour violence fondée sur le genre, 56</w:t>
      </w:r>
      <w:r w:rsidR="00D6765D">
        <w:rPr>
          <w:lang w:val="fr-FR"/>
        </w:rPr>
        <w:t> </w:t>
      </w:r>
      <w:r>
        <w:rPr>
          <w:lang w:val="fr-FR"/>
        </w:rPr>
        <w:t>étaient les parents de la victime, 70 étaient des proches des conjoints, 307 des conjoints, 171 d’autres membres du cercle familial et 982 d’autres personnes.</w:t>
      </w:r>
    </w:p>
    <w:tbl>
      <w:tblPr>
        <w:tblW w:w="7370" w:type="dxa"/>
        <w:tblInd w:w="1134" w:type="dxa"/>
        <w:tblLayout w:type="fixed"/>
        <w:tblCellMar>
          <w:left w:w="0" w:type="dxa"/>
          <w:right w:w="0" w:type="dxa"/>
        </w:tblCellMar>
        <w:tblLook w:val="04A0" w:firstRow="1" w:lastRow="0" w:firstColumn="1" w:lastColumn="0" w:noHBand="0" w:noVBand="1"/>
      </w:tblPr>
      <w:tblGrid>
        <w:gridCol w:w="2495"/>
        <w:gridCol w:w="2564"/>
        <w:gridCol w:w="2311"/>
      </w:tblGrid>
      <w:tr w:rsidR="00EE743B" w:rsidRPr="00D6765D" w14:paraId="77D20BEC" w14:textId="77777777" w:rsidTr="00B61753">
        <w:trPr>
          <w:tblHeader/>
        </w:trPr>
        <w:tc>
          <w:tcPr>
            <w:tcW w:w="2495" w:type="dxa"/>
            <w:tcBorders>
              <w:top w:val="single" w:sz="4" w:space="0" w:color="auto"/>
              <w:bottom w:val="single" w:sz="12" w:space="0" w:color="auto"/>
            </w:tcBorders>
            <w:shd w:val="clear" w:color="auto" w:fill="auto"/>
            <w:vAlign w:val="bottom"/>
          </w:tcPr>
          <w:p w14:paraId="41CCACB0" w14:textId="77777777" w:rsidR="00161F02" w:rsidRPr="00D6765D" w:rsidRDefault="00161F02" w:rsidP="00D6765D">
            <w:pPr>
              <w:suppressAutoHyphens w:val="0"/>
              <w:spacing w:before="80" w:after="80" w:line="200" w:lineRule="exact"/>
              <w:rPr>
                <w:i/>
                <w:sz w:val="16"/>
              </w:rPr>
            </w:pPr>
          </w:p>
        </w:tc>
        <w:tc>
          <w:tcPr>
            <w:tcW w:w="2564" w:type="dxa"/>
            <w:tcBorders>
              <w:top w:val="single" w:sz="4" w:space="0" w:color="auto"/>
              <w:bottom w:val="single" w:sz="12" w:space="0" w:color="auto"/>
            </w:tcBorders>
            <w:shd w:val="clear" w:color="auto" w:fill="auto"/>
            <w:vAlign w:val="bottom"/>
          </w:tcPr>
          <w:p w14:paraId="6409A8E3" w14:textId="77777777" w:rsidR="00161F02" w:rsidRPr="00D6765D" w:rsidRDefault="00161F02" w:rsidP="00D6765D">
            <w:pPr>
              <w:suppressAutoHyphens w:val="0"/>
              <w:spacing w:before="80" w:after="80" w:line="200" w:lineRule="exact"/>
              <w:jc w:val="right"/>
              <w:rPr>
                <w:i/>
                <w:sz w:val="16"/>
              </w:rPr>
            </w:pPr>
            <w:r w:rsidRPr="00D6765D">
              <w:rPr>
                <w:i/>
                <w:iCs/>
                <w:sz w:val="16"/>
                <w:lang w:val="fr-FR"/>
              </w:rPr>
              <w:t>Personnes poursuivies pénalement</w:t>
            </w:r>
          </w:p>
        </w:tc>
        <w:tc>
          <w:tcPr>
            <w:tcW w:w="2311" w:type="dxa"/>
            <w:tcBorders>
              <w:top w:val="single" w:sz="4" w:space="0" w:color="auto"/>
              <w:bottom w:val="single" w:sz="12" w:space="0" w:color="auto"/>
            </w:tcBorders>
            <w:shd w:val="clear" w:color="auto" w:fill="auto"/>
            <w:vAlign w:val="bottom"/>
          </w:tcPr>
          <w:p w14:paraId="61A0FB35" w14:textId="77777777" w:rsidR="00161F02" w:rsidRPr="00D6765D" w:rsidRDefault="00161F02" w:rsidP="00D6765D">
            <w:pPr>
              <w:suppressAutoHyphens w:val="0"/>
              <w:spacing w:before="80" w:after="80" w:line="200" w:lineRule="exact"/>
              <w:jc w:val="right"/>
              <w:rPr>
                <w:i/>
                <w:sz w:val="16"/>
              </w:rPr>
            </w:pPr>
            <w:r w:rsidRPr="00D6765D">
              <w:rPr>
                <w:i/>
                <w:iCs/>
                <w:sz w:val="16"/>
                <w:lang w:val="fr-FR"/>
              </w:rPr>
              <w:t>Victimes</w:t>
            </w:r>
          </w:p>
        </w:tc>
      </w:tr>
      <w:tr w:rsidR="00EE743B" w:rsidRPr="00EE743B" w14:paraId="26E95E1D" w14:textId="77777777" w:rsidTr="00B61753">
        <w:tc>
          <w:tcPr>
            <w:tcW w:w="2495" w:type="dxa"/>
            <w:tcBorders>
              <w:top w:val="single" w:sz="12" w:space="0" w:color="auto"/>
              <w:bottom w:val="single" w:sz="12" w:space="0" w:color="auto"/>
            </w:tcBorders>
            <w:shd w:val="clear" w:color="auto" w:fill="auto"/>
          </w:tcPr>
          <w:p w14:paraId="50205D9C" w14:textId="77777777" w:rsidR="00161F02" w:rsidRPr="00EE743B" w:rsidRDefault="00161F02" w:rsidP="00EE743B">
            <w:pPr>
              <w:suppressAutoHyphens w:val="0"/>
              <w:spacing w:before="80" w:after="80" w:line="220" w:lineRule="exact"/>
              <w:ind w:left="283"/>
              <w:rPr>
                <w:b/>
                <w:sz w:val="18"/>
              </w:rPr>
            </w:pPr>
            <w:r w:rsidRPr="00EE743B">
              <w:rPr>
                <w:b/>
                <w:sz w:val="18"/>
                <w:lang w:val="fr-FR"/>
              </w:rPr>
              <w:t xml:space="preserve">Total, dont </w:t>
            </w:r>
          </w:p>
        </w:tc>
        <w:tc>
          <w:tcPr>
            <w:tcW w:w="2564" w:type="dxa"/>
            <w:tcBorders>
              <w:top w:val="single" w:sz="12" w:space="0" w:color="auto"/>
              <w:bottom w:val="single" w:sz="12" w:space="0" w:color="auto"/>
            </w:tcBorders>
            <w:shd w:val="clear" w:color="auto" w:fill="auto"/>
            <w:vAlign w:val="bottom"/>
          </w:tcPr>
          <w:p w14:paraId="04B413B3" w14:textId="77777777" w:rsidR="00161F02" w:rsidRPr="00EE743B" w:rsidRDefault="00161F02" w:rsidP="00EE743B">
            <w:pPr>
              <w:suppressAutoHyphens w:val="0"/>
              <w:spacing w:before="80" w:after="80" w:line="220" w:lineRule="exact"/>
              <w:jc w:val="right"/>
              <w:rPr>
                <w:b/>
                <w:sz w:val="18"/>
              </w:rPr>
            </w:pPr>
            <w:r w:rsidRPr="00EE743B">
              <w:rPr>
                <w:b/>
                <w:sz w:val="18"/>
                <w:lang w:val="fr-FR"/>
              </w:rPr>
              <w:t>1 586</w:t>
            </w:r>
          </w:p>
        </w:tc>
        <w:tc>
          <w:tcPr>
            <w:tcW w:w="2311" w:type="dxa"/>
            <w:tcBorders>
              <w:top w:val="single" w:sz="12" w:space="0" w:color="auto"/>
              <w:bottom w:val="single" w:sz="12" w:space="0" w:color="auto"/>
            </w:tcBorders>
            <w:shd w:val="clear" w:color="auto" w:fill="auto"/>
            <w:vAlign w:val="bottom"/>
          </w:tcPr>
          <w:p w14:paraId="0B646E55" w14:textId="77777777" w:rsidR="00161F02" w:rsidRPr="00EE743B" w:rsidRDefault="00161F02" w:rsidP="00EE743B">
            <w:pPr>
              <w:suppressAutoHyphens w:val="0"/>
              <w:spacing w:before="80" w:after="80" w:line="220" w:lineRule="exact"/>
              <w:jc w:val="right"/>
              <w:rPr>
                <w:b/>
                <w:sz w:val="18"/>
              </w:rPr>
            </w:pPr>
            <w:r w:rsidRPr="00EE743B">
              <w:rPr>
                <w:b/>
                <w:sz w:val="18"/>
                <w:lang w:val="fr-FR"/>
              </w:rPr>
              <w:t>2 105</w:t>
            </w:r>
          </w:p>
        </w:tc>
      </w:tr>
      <w:tr w:rsidR="00161F02" w:rsidRPr="00D6765D" w14:paraId="74D2F18C" w14:textId="77777777" w:rsidTr="00B61753">
        <w:tc>
          <w:tcPr>
            <w:tcW w:w="2495" w:type="dxa"/>
            <w:tcBorders>
              <w:top w:val="single" w:sz="12" w:space="0" w:color="auto"/>
            </w:tcBorders>
            <w:shd w:val="clear" w:color="auto" w:fill="auto"/>
          </w:tcPr>
          <w:p w14:paraId="61CC50F4" w14:textId="7869F2C1" w:rsidR="00161F02" w:rsidRPr="00D6765D" w:rsidRDefault="00EE743B" w:rsidP="00340B7A">
            <w:pPr>
              <w:suppressAutoHyphens w:val="0"/>
              <w:spacing w:before="40" w:after="40" w:line="220" w:lineRule="exact"/>
              <w:ind w:left="284"/>
              <w:rPr>
                <w:iCs/>
                <w:sz w:val="18"/>
              </w:rPr>
            </w:pPr>
            <w:r>
              <w:rPr>
                <w:sz w:val="18"/>
                <w:lang w:val="fr-FR"/>
              </w:rPr>
              <w:t>H</w:t>
            </w:r>
            <w:r w:rsidR="00161F02" w:rsidRPr="00D6765D">
              <w:rPr>
                <w:sz w:val="18"/>
                <w:lang w:val="fr-FR"/>
              </w:rPr>
              <w:t>ommes</w:t>
            </w:r>
          </w:p>
        </w:tc>
        <w:tc>
          <w:tcPr>
            <w:tcW w:w="2564" w:type="dxa"/>
            <w:tcBorders>
              <w:top w:val="single" w:sz="12" w:space="0" w:color="auto"/>
            </w:tcBorders>
            <w:shd w:val="clear" w:color="auto" w:fill="auto"/>
            <w:vAlign w:val="bottom"/>
          </w:tcPr>
          <w:p w14:paraId="764A9959" w14:textId="77777777" w:rsidR="00161F02" w:rsidRPr="00D6765D" w:rsidRDefault="00161F02" w:rsidP="00D6765D">
            <w:pPr>
              <w:suppressAutoHyphens w:val="0"/>
              <w:spacing w:before="40" w:after="40" w:line="220" w:lineRule="exact"/>
              <w:jc w:val="right"/>
              <w:rPr>
                <w:iCs/>
                <w:sz w:val="18"/>
              </w:rPr>
            </w:pPr>
            <w:r w:rsidRPr="00D6765D">
              <w:rPr>
                <w:sz w:val="18"/>
                <w:lang w:val="fr-FR"/>
              </w:rPr>
              <w:t>1 258</w:t>
            </w:r>
          </w:p>
        </w:tc>
        <w:tc>
          <w:tcPr>
            <w:tcW w:w="2311" w:type="dxa"/>
            <w:tcBorders>
              <w:top w:val="single" w:sz="12" w:space="0" w:color="auto"/>
            </w:tcBorders>
            <w:shd w:val="clear" w:color="auto" w:fill="auto"/>
            <w:vAlign w:val="bottom"/>
          </w:tcPr>
          <w:p w14:paraId="26E9DD13" w14:textId="77777777" w:rsidR="00161F02" w:rsidRPr="00D6765D" w:rsidRDefault="00161F02" w:rsidP="00D6765D">
            <w:pPr>
              <w:suppressAutoHyphens w:val="0"/>
              <w:spacing w:before="40" w:after="40" w:line="220" w:lineRule="exact"/>
              <w:jc w:val="right"/>
              <w:rPr>
                <w:iCs/>
                <w:sz w:val="18"/>
              </w:rPr>
            </w:pPr>
          </w:p>
        </w:tc>
      </w:tr>
      <w:tr w:rsidR="00161F02" w:rsidRPr="00D6765D" w14:paraId="61B7B069" w14:textId="77777777" w:rsidTr="00D6765D">
        <w:tc>
          <w:tcPr>
            <w:tcW w:w="2495" w:type="dxa"/>
            <w:shd w:val="clear" w:color="auto" w:fill="auto"/>
          </w:tcPr>
          <w:p w14:paraId="5B898B48" w14:textId="03D2CC23" w:rsidR="00161F02" w:rsidRPr="00D6765D" w:rsidRDefault="00EE743B" w:rsidP="00340B7A">
            <w:pPr>
              <w:suppressAutoHyphens w:val="0"/>
              <w:spacing w:before="40" w:after="40" w:line="220" w:lineRule="exact"/>
              <w:ind w:left="284"/>
              <w:rPr>
                <w:iCs/>
                <w:sz w:val="18"/>
              </w:rPr>
            </w:pPr>
            <w:r>
              <w:rPr>
                <w:sz w:val="18"/>
                <w:lang w:val="fr-FR"/>
              </w:rPr>
              <w:t>F</w:t>
            </w:r>
            <w:r w:rsidR="00161F02" w:rsidRPr="00D6765D">
              <w:rPr>
                <w:sz w:val="18"/>
                <w:lang w:val="fr-FR"/>
              </w:rPr>
              <w:t>emmes</w:t>
            </w:r>
          </w:p>
        </w:tc>
        <w:tc>
          <w:tcPr>
            <w:tcW w:w="2564" w:type="dxa"/>
            <w:shd w:val="clear" w:color="auto" w:fill="auto"/>
            <w:vAlign w:val="bottom"/>
          </w:tcPr>
          <w:p w14:paraId="46B13A13" w14:textId="77777777" w:rsidR="00161F02" w:rsidRPr="00D6765D" w:rsidRDefault="00161F02" w:rsidP="00D6765D">
            <w:pPr>
              <w:suppressAutoHyphens w:val="0"/>
              <w:spacing w:before="40" w:after="40" w:line="220" w:lineRule="exact"/>
              <w:jc w:val="right"/>
              <w:rPr>
                <w:iCs/>
                <w:sz w:val="18"/>
              </w:rPr>
            </w:pPr>
            <w:r w:rsidRPr="00D6765D">
              <w:rPr>
                <w:sz w:val="18"/>
                <w:lang w:val="fr-FR"/>
              </w:rPr>
              <w:t>328</w:t>
            </w:r>
          </w:p>
        </w:tc>
        <w:tc>
          <w:tcPr>
            <w:tcW w:w="2311" w:type="dxa"/>
            <w:shd w:val="clear" w:color="auto" w:fill="auto"/>
            <w:vAlign w:val="bottom"/>
          </w:tcPr>
          <w:p w14:paraId="180DBA7B" w14:textId="77777777" w:rsidR="00161F02" w:rsidRPr="00D6765D" w:rsidRDefault="00161F02" w:rsidP="00D6765D">
            <w:pPr>
              <w:suppressAutoHyphens w:val="0"/>
              <w:spacing w:before="40" w:after="40" w:line="220" w:lineRule="exact"/>
              <w:jc w:val="right"/>
              <w:rPr>
                <w:iCs/>
                <w:sz w:val="18"/>
              </w:rPr>
            </w:pPr>
          </w:p>
        </w:tc>
      </w:tr>
      <w:tr w:rsidR="00161F02" w:rsidRPr="00EE743B" w14:paraId="08671E44" w14:textId="77777777" w:rsidTr="00D6765D">
        <w:tc>
          <w:tcPr>
            <w:tcW w:w="5059" w:type="dxa"/>
            <w:gridSpan w:val="2"/>
            <w:shd w:val="clear" w:color="auto" w:fill="auto"/>
          </w:tcPr>
          <w:p w14:paraId="5EF7A108" w14:textId="77777777" w:rsidR="00161F02" w:rsidRPr="00EE743B" w:rsidRDefault="00161F02" w:rsidP="00D6765D">
            <w:pPr>
              <w:suppressAutoHyphens w:val="0"/>
              <w:spacing w:before="40" w:after="40" w:line="220" w:lineRule="exact"/>
              <w:rPr>
                <w:i/>
                <w:sz w:val="18"/>
              </w:rPr>
            </w:pPr>
            <w:r w:rsidRPr="00EE743B">
              <w:rPr>
                <w:i/>
                <w:sz w:val="18"/>
                <w:lang w:val="fr-FR"/>
              </w:rPr>
              <w:t>Catégorie d’âge</w:t>
            </w:r>
          </w:p>
        </w:tc>
        <w:tc>
          <w:tcPr>
            <w:tcW w:w="2311" w:type="dxa"/>
            <w:shd w:val="clear" w:color="auto" w:fill="auto"/>
            <w:vAlign w:val="bottom"/>
          </w:tcPr>
          <w:p w14:paraId="5CE99788" w14:textId="77777777" w:rsidR="00161F02" w:rsidRPr="00EE743B" w:rsidRDefault="00161F02" w:rsidP="00D6765D">
            <w:pPr>
              <w:suppressAutoHyphens w:val="0"/>
              <w:spacing w:before="40" w:after="40" w:line="220" w:lineRule="exact"/>
              <w:jc w:val="right"/>
              <w:rPr>
                <w:i/>
                <w:sz w:val="18"/>
              </w:rPr>
            </w:pPr>
          </w:p>
        </w:tc>
      </w:tr>
      <w:tr w:rsidR="00161F02" w:rsidRPr="00D6765D" w14:paraId="0B0AD5B1" w14:textId="77777777" w:rsidTr="00D6765D">
        <w:tc>
          <w:tcPr>
            <w:tcW w:w="2495" w:type="dxa"/>
            <w:shd w:val="clear" w:color="auto" w:fill="auto"/>
          </w:tcPr>
          <w:p w14:paraId="7700D2B8" w14:textId="41CCBCDE" w:rsidR="00161F02" w:rsidRPr="00D6765D" w:rsidRDefault="00B61753" w:rsidP="00340B7A">
            <w:pPr>
              <w:suppressAutoHyphens w:val="0"/>
              <w:spacing w:before="40" w:after="40" w:line="220" w:lineRule="exact"/>
              <w:ind w:left="284"/>
              <w:rPr>
                <w:iCs/>
                <w:sz w:val="18"/>
              </w:rPr>
            </w:pPr>
            <w:r>
              <w:rPr>
                <w:sz w:val="18"/>
                <w:lang w:val="fr-FR"/>
              </w:rPr>
              <w:t>M</w:t>
            </w:r>
            <w:r w:rsidR="00161F02" w:rsidRPr="00D6765D">
              <w:rPr>
                <w:sz w:val="18"/>
                <w:lang w:val="fr-FR"/>
              </w:rPr>
              <w:t>oins de 18 ans</w:t>
            </w:r>
          </w:p>
        </w:tc>
        <w:tc>
          <w:tcPr>
            <w:tcW w:w="2564" w:type="dxa"/>
            <w:shd w:val="clear" w:color="auto" w:fill="auto"/>
            <w:vAlign w:val="bottom"/>
          </w:tcPr>
          <w:p w14:paraId="75A0C9A3" w14:textId="77777777" w:rsidR="00161F02" w:rsidRPr="00D6765D" w:rsidRDefault="00161F02" w:rsidP="00D6765D">
            <w:pPr>
              <w:suppressAutoHyphens w:val="0"/>
              <w:spacing w:before="40" w:after="40" w:line="220" w:lineRule="exact"/>
              <w:jc w:val="right"/>
              <w:rPr>
                <w:iCs/>
                <w:sz w:val="18"/>
              </w:rPr>
            </w:pPr>
            <w:r w:rsidRPr="00D6765D">
              <w:rPr>
                <w:sz w:val="18"/>
                <w:lang w:val="fr-FR"/>
              </w:rPr>
              <w:t>27</w:t>
            </w:r>
          </w:p>
        </w:tc>
        <w:tc>
          <w:tcPr>
            <w:tcW w:w="2311" w:type="dxa"/>
            <w:shd w:val="clear" w:color="auto" w:fill="auto"/>
            <w:vAlign w:val="bottom"/>
          </w:tcPr>
          <w:p w14:paraId="34646887" w14:textId="77777777" w:rsidR="00161F02" w:rsidRPr="00D6765D" w:rsidRDefault="00161F02" w:rsidP="00D6765D">
            <w:pPr>
              <w:suppressAutoHyphens w:val="0"/>
              <w:spacing w:before="40" w:after="40" w:line="220" w:lineRule="exact"/>
              <w:jc w:val="right"/>
              <w:rPr>
                <w:iCs/>
                <w:sz w:val="18"/>
              </w:rPr>
            </w:pPr>
            <w:r w:rsidRPr="00D6765D">
              <w:rPr>
                <w:sz w:val="18"/>
                <w:lang w:val="fr-FR"/>
              </w:rPr>
              <w:t>169</w:t>
            </w:r>
          </w:p>
        </w:tc>
      </w:tr>
      <w:tr w:rsidR="00161F02" w:rsidRPr="00D6765D" w14:paraId="4400CDC8" w14:textId="77777777" w:rsidTr="00D6765D">
        <w:tc>
          <w:tcPr>
            <w:tcW w:w="2495" w:type="dxa"/>
            <w:shd w:val="clear" w:color="auto" w:fill="auto"/>
          </w:tcPr>
          <w:p w14:paraId="39B4A830" w14:textId="77777777" w:rsidR="00161F02" w:rsidRPr="00D6765D" w:rsidRDefault="00161F02" w:rsidP="00340B7A">
            <w:pPr>
              <w:suppressAutoHyphens w:val="0"/>
              <w:spacing w:before="40" w:after="40" w:line="220" w:lineRule="exact"/>
              <w:ind w:left="284"/>
              <w:rPr>
                <w:iCs/>
                <w:sz w:val="18"/>
              </w:rPr>
            </w:pPr>
            <w:r w:rsidRPr="00D6765D">
              <w:rPr>
                <w:sz w:val="18"/>
                <w:lang w:val="fr-FR"/>
              </w:rPr>
              <w:t>18 à 30 ans</w:t>
            </w:r>
          </w:p>
        </w:tc>
        <w:tc>
          <w:tcPr>
            <w:tcW w:w="2564" w:type="dxa"/>
            <w:shd w:val="clear" w:color="auto" w:fill="auto"/>
            <w:vAlign w:val="bottom"/>
          </w:tcPr>
          <w:p w14:paraId="62A51ED0" w14:textId="77777777" w:rsidR="00161F02" w:rsidRPr="00D6765D" w:rsidRDefault="00161F02" w:rsidP="00D6765D">
            <w:pPr>
              <w:suppressAutoHyphens w:val="0"/>
              <w:spacing w:before="40" w:after="40" w:line="220" w:lineRule="exact"/>
              <w:jc w:val="right"/>
              <w:rPr>
                <w:iCs/>
                <w:sz w:val="18"/>
              </w:rPr>
            </w:pPr>
            <w:r w:rsidRPr="00D6765D">
              <w:rPr>
                <w:sz w:val="18"/>
                <w:lang w:val="fr-FR"/>
              </w:rPr>
              <w:t>646</w:t>
            </w:r>
          </w:p>
        </w:tc>
        <w:tc>
          <w:tcPr>
            <w:tcW w:w="2311" w:type="dxa"/>
            <w:shd w:val="clear" w:color="auto" w:fill="auto"/>
            <w:vAlign w:val="bottom"/>
          </w:tcPr>
          <w:p w14:paraId="739C088C" w14:textId="77777777" w:rsidR="00161F02" w:rsidRPr="00D6765D" w:rsidRDefault="00161F02" w:rsidP="00D6765D">
            <w:pPr>
              <w:suppressAutoHyphens w:val="0"/>
              <w:spacing w:before="40" w:after="40" w:line="220" w:lineRule="exact"/>
              <w:jc w:val="right"/>
              <w:rPr>
                <w:iCs/>
                <w:sz w:val="18"/>
              </w:rPr>
            </w:pPr>
            <w:r w:rsidRPr="00D6765D">
              <w:rPr>
                <w:sz w:val="18"/>
                <w:lang w:val="fr-FR"/>
              </w:rPr>
              <w:t>751</w:t>
            </w:r>
          </w:p>
        </w:tc>
      </w:tr>
      <w:tr w:rsidR="00161F02" w:rsidRPr="00D6765D" w14:paraId="134C41EA" w14:textId="77777777" w:rsidTr="00D6765D">
        <w:tc>
          <w:tcPr>
            <w:tcW w:w="2495" w:type="dxa"/>
            <w:shd w:val="clear" w:color="auto" w:fill="auto"/>
          </w:tcPr>
          <w:p w14:paraId="6DE35349" w14:textId="77777777" w:rsidR="00161F02" w:rsidRPr="00D6765D" w:rsidRDefault="00161F02" w:rsidP="00340B7A">
            <w:pPr>
              <w:suppressAutoHyphens w:val="0"/>
              <w:spacing w:before="40" w:after="40" w:line="220" w:lineRule="exact"/>
              <w:ind w:left="284"/>
              <w:rPr>
                <w:iCs/>
                <w:sz w:val="18"/>
              </w:rPr>
            </w:pPr>
            <w:r w:rsidRPr="00D6765D">
              <w:rPr>
                <w:sz w:val="18"/>
                <w:lang w:val="fr-FR"/>
              </w:rPr>
              <w:t>31 à 60 ans</w:t>
            </w:r>
          </w:p>
        </w:tc>
        <w:tc>
          <w:tcPr>
            <w:tcW w:w="2564" w:type="dxa"/>
            <w:shd w:val="clear" w:color="auto" w:fill="auto"/>
            <w:vAlign w:val="bottom"/>
          </w:tcPr>
          <w:p w14:paraId="44FF0B5C" w14:textId="77777777" w:rsidR="00161F02" w:rsidRPr="00D6765D" w:rsidRDefault="00161F02" w:rsidP="00D6765D">
            <w:pPr>
              <w:suppressAutoHyphens w:val="0"/>
              <w:spacing w:before="40" w:after="40" w:line="220" w:lineRule="exact"/>
              <w:jc w:val="right"/>
              <w:rPr>
                <w:iCs/>
                <w:sz w:val="18"/>
              </w:rPr>
            </w:pPr>
            <w:r w:rsidRPr="00D6765D">
              <w:rPr>
                <w:sz w:val="18"/>
                <w:lang w:val="fr-FR"/>
              </w:rPr>
              <w:t>863</w:t>
            </w:r>
          </w:p>
        </w:tc>
        <w:tc>
          <w:tcPr>
            <w:tcW w:w="2311" w:type="dxa"/>
            <w:shd w:val="clear" w:color="auto" w:fill="auto"/>
            <w:vAlign w:val="bottom"/>
          </w:tcPr>
          <w:p w14:paraId="07639B5F" w14:textId="77777777" w:rsidR="00161F02" w:rsidRPr="00D6765D" w:rsidRDefault="00161F02" w:rsidP="00D6765D">
            <w:pPr>
              <w:suppressAutoHyphens w:val="0"/>
              <w:spacing w:before="40" w:after="40" w:line="220" w:lineRule="exact"/>
              <w:jc w:val="right"/>
              <w:rPr>
                <w:iCs/>
                <w:sz w:val="18"/>
              </w:rPr>
            </w:pPr>
            <w:r w:rsidRPr="00D6765D">
              <w:rPr>
                <w:sz w:val="18"/>
                <w:lang w:val="fr-FR"/>
              </w:rPr>
              <w:t>1 081</w:t>
            </w:r>
          </w:p>
        </w:tc>
      </w:tr>
      <w:tr w:rsidR="00161F02" w:rsidRPr="00D6765D" w14:paraId="278C55A4" w14:textId="77777777" w:rsidTr="00D6765D">
        <w:tc>
          <w:tcPr>
            <w:tcW w:w="2495" w:type="dxa"/>
            <w:shd w:val="clear" w:color="auto" w:fill="auto"/>
          </w:tcPr>
          <w:p w14:paraId="6F895C89" w14:textId="68222C1B" w:rsidR="00161F02" w:rsidRPr="00D6765D" w:rsidRDefault="00B61753" w:rsidP="00340B7A">
            <w:pPr>
              <w:suppressAutoHyphens w:val="0"/>
              <w:spacing w:before="40" w:after="40" w:line="220" w:lineRule="exact"/>
              <w:ind w:left="284"/>
              <w:rPr>
                <w:iCs/>
                <w:sz w:val="18"/>
              </w:rPr>
            </w:pPr>
            <w:r>
              <w:rPr>
                <w:sz w:val="18"/>
                <w:lang w:val="fr-FR"/>
              </w:rPr>
              <w:t>P</w:t>
            </w:r>
            <w:r w:rsidR="00161F02" w:rsidRPr="00D6765D">
              <w:rPr>
                <w:sz w:val="18"/>
                <w:lang w:val="fr-FR"/>
              </w:rPr>
              <w:t>lus de 60 ans</w:t>
            </w:r>
          </w:p>
        </w:tc>
        <w:tc>
          <w:tcPr>
            <w:tcW w:w="2564" w:type="dxa"/>
            <w:shd w:val="clear" w:color="auto" w:fill="auto"/>
            <w:vAlign w:val="bottom"/>
          </w:tcPr>
          <w:p w14:paraId="03AFEC42" w14:textId="77777777" w:rsidR="00161F02" w:rsidRPr="00D6765D" w:rsidRDefault="00161F02" w:rsidP="00D6765D">
            <w:pPr>
              <w:suppressAutoHyphens w:val="0"/>
              <w:spacing w:before="40" w:after="40" w:line="220" w:lineRule="exact"/>
              <w:jc w:val="right"/>
              <w:rPr>
                <w:iCs/>
                <w:sz w:val="18"/>
              </w:rPr>
            </w:pPr>
            <w:r w:rsidRPr="00D6765D">
              <w:rPr>
                <w:sz w:val="18"/>
                <w:lang w:val="fr-FR"/>
              </w:rPr>
              <w:t>50</w:t>
            </w:r>
          </w:p>
        </w:tc>
        <w:tc>
          <w:tcPr>
            <w:tcW w:w="2311" w:type="dxa"/>
            <w:shd w:val="clear" w:color="auto" w:fill="auto"/>
            <w:vAlign w:val="bottom"/>
          </w:tcPr>
          <w:p w14:paraId="0F075674" w14:textId="77777777" w:rsidR="00161F02" w:rsidRPr="00D6765D" w:rsidRDefault="00161F02" w:rsidP="00D6765D">
            <w:pPr>
              <w:suppressAutoHyphens w:val="0"/>
              <w:spacing w:before="40" w:after="40" w:line="220" w:lineRule="exact"/>
              <w:jc w:val="right"/>
              <w:rPr>
                <w:iCs/>
                <w:sz w:val="18"/>
              </w:rPr>
            </w:pPr>
            <w:r w:rsidRPr="00D6765D">
              <w:rPr>
                <w:sz w:val="18"/>
                <w:lang w:val="fr-FR"/>
              </w:rPr>
              <w:t>104</w:t>
            </w:r>
          </w:p>
        </w:tc>
      </w:tr>
      <w:tr w:rsidR="00161F02" w:rsidRPr="00EE743B" w14:paraId="6984C329" w14:textId="77777777" w:rsidTr="00D6765D">
        <w:tc>
          <w:tcPr>
            <w:tcW w:w="5059" w:type="dxa"/>
            <w:gridSpan w:val="2"/>
            <w:shd w:val="clear" w:color="auto" w:fill="auto"/>
          </w:tcPr>
          <w:p w14:paraId="4DBE4294" w14:textId="77777777" w:rsidR="00161F02" w:rsidRPr="00EE743B" w:rsidRDefault="00161F02" w:rsidP="00D6765D">
            <w:pPr>
              <w:suppressAutoHyphens w:val="0"/>
              <w:spacing w:before="40" w:after="40" w:line="220" w:lineRule="exact"/>
              <w:rPr>
                <w:i/>
                <w:sz w:val="18"/>
              </w:rPr>
            </w:pPr>
            <w:r w:rsidRPr="00EE743B">
              <w:rPr>
                <w:i/>
                <w:sz w:val="18"/>
                <w:lang w:val="fr-FR"/>
              </w:rPr>
              <w:t xml:space="preserve">Appartenance ethnique </w:t>
            </w:r>
          </w:p>
        </w:tc>
        <w:tc>
          <w:tcPr>
            <w:tcW w:w="2311" w:type="dxa"/>
            <w:shd w:val="clear" w:color="auto" w:fill="auto"/>
            <w:vAlign w:val="bottom"/>
          </w:tcPr>
          <w:p w14:paraId="170D04FB" w14:textId="77777777" w:rsidR="00161F02" w:rsidRPr="00EE743B" w:rsidRDefault="00161F02" w:rsidP="00D6765D">
            <w:pPr>
              <w:suppressAutoHyphens w:val="0"/>
              <w:spacing w:before="40" w:after="40" w:line="220" w:lineRule="exact"/>
              <w:jc w:val="right"/>
              <w:rPr>
                <w:i/>
                <w:sz w:val="18"/>
              </w:rPr>
            </w:pPr>
          </w:p>
        </w:tc>
      </w:tr>
      <w:tr w:rsidR="00161F02" w:rsidRPr="00D6765D" w14:paraId="6DE8084A" w14:textId="77777777" w:rsidTr="00D6765D">
        <w:tc>
          <w:tcPr>
            <w:tcW w:w="2495" w:type="dxa"/>
            <w:shd w:val="clear" w:color="auto" w:fill="auto"/>
          </w:tcPr>
          <w:p w14:paraId="253FDBA8" w14:textId="77777777" w:rsidR="00161F02" w:rsidRPr="00D6765D" w:rsidRDefault="00161F02" w:rsidP="00340B7A">
            <w:pPr>
              <w:suppressAutoHyphens w:val="0"/>
              <w:spacing w:before="40" w:after="40" w:line="220" w:lineRule="exact"/>
              <w:ind w:left="284"/>
              <w:rPr>
                <w:iCs/>
                <w:sz w:val="18"/>
              </w:rPr>
            </w:pPr>
            <w:r w:rsidRPr="00D6765D">
              <w:rPr>
                <w:sz w:val="18"/>
                <w:lang w:val="fr-FR"/>
              </w:rPr>
              <w:t>Ouzbeks</w:t>
            </w:r>
          </w:p>
        </w:tc>
        <w:tc>
          <w:tcPr>
            <w:tcW w:w="2564" w:type="dxa"/>
            <w:shd w:val="clear" w:color="auto" w:fill="auto"/>
            <w:vAlign w:val="bottom"/>
          </w:tcPr>
          <w:p w14:paraId="1DDA74C1" w14:textId="77777777" w:rsidR="00161F02" w:rsidRPr="00D6765D" w:rsidRDefault="00161F02" w:rsidP="00D6765D">
            <w:pPr>
              <w:suppressAutoHyphens w:val="0"/>
              <w:spacing w:before="40" w:after="40" w:line="220" w:lineRule="exact"/>
              <w:jc w:val="right"/>
              <w:rPr>
                <w:sz w:val="18"/>
              </w:rPr>
            </w:pPr>
            <w:r w:rsidRPr="00D6765D">
              <w:rPr>
                <w:sz w:val="18"/>
                <w:lang w:val="fr-FR"/>
              </w:rPr>
              <w:t>1 411</w:t>
            </w:r>
          </w:p>
        </w:tc>
        <w:tc>
          <w:tcPr>
            <w:tcW w:w="2311" w:type="dxa"/>
            <w:shd w:val="clear" w:color="auto" w:fill="auto"/>
            <w:vAlign w:val="bottom"/>
          </w:tcPr>
          <w:p w14:paraId="60BDD6D8" w14:textId="77777777" w:rsidR="00161F02" w:rsidRPr="00D6765D" w:rsidRDefault="00161F02" w:rsidP="00D6765D">
            <w:pPr>
              <w:suppressAutoHyphens w:val="0"/>
              <w:spacing w:before="40" w:after="40" w:line="220" w:lineRule="exact"/>
              <w:jc w:val="right"/>
              <w:rPr>
                <w:sz w:val="18"/>
              </w:rPr>
            </w:pPr>
            <w:r w:rsidRPr="00D6765D">
              <w:rPr>
                <w:sz w:val="18"/>
                <w:lang w:val="fr-FR"/>
              </w:rPr>
              <w:t>1 880</w:t>
            </w:r>
          </w:p>
        </w:tc>
      </w:tr>
      <w:tr w:rsidR="00161F02" w:rsidRPr="00D6765D" w14:paraId="1B87CA68" w14:textId="77777777" w:rsidTr="00D6765D">
        <w:tc>
          <w:tcPr>
            <w:tcW w:w="2495" w:type="dxa"/>
            <w:shd w:val="clear" w:color="auto" w:fill="auto"/>
          </w:tcPr>
          <w:p w14:paraId="7992E754" w14:textId="77777777" w:rsidR="00161F02" w:rsidRPr="00D6765D" w:rsidRDefault="00161F02" w:rsidP="00340B7A">
            <w:pPr>
              <w:suppressAutoHyphens w:val="0"/>
              <w:spacing w:before="40" w:after="40" w:line="220" w:lineRule="exact"/>
              <w:ind w:left="284"/>
              <w:rPr>
                <w:iCs/>
                <w:sz w:val="18"/>
              </w:rPr>
            </w:pPr>
            <w:r w:rsidRPr="00D6765D">
              <w:rPr>
                <w:sz w:val="18"/>
                <w:lang w:val="fr-FR"/>
              </w:rPr>
              <w:t>Kirghizes</w:t>
            </w:r>
          </w:p>
        </w:tc>
        <w:tc>
          <w:tcPr>
            <w:tcW w:w="2564" w:type="dxa"/>
            <w:shd w:val="clear" w:color="auto" w:fill="auto"/>
            <w:vAlign w:val="bottom"/>
          </w:tcPr>
          <w:p w14:paraId="13C189D0" w14:textId="77777777" w:rsidR="00161F02" w:rsidRPr="00D6765D" w:rsidRDefault="00161F02" w:rsidP="00D6765D">
            <w:pPr>
              <w:suppressAutoHyphens w:val="0"/>
              <w:spacing w:before="40" w:after="40" w:line="220" w:lineRule="exact"/>
              <w:jc w:val="right"/>
              <w:rPr>
                <w:sz w:val="18"/>
              </w:rPr>
            </w:pPr>
            <w:r w:rsidRPr="00D6765D">
              <w:rPr>
                <w:sz w:val="18"/>
                <w:lang w:val="fr-FR"/>
              </w:rPr>
              <w:t>7</w:t>
            </w:r>
          </w:p>
        </w:tc>
        <w:tc>
          <w:tcPr>
            <w:tcW w:w="2311" w:type="dxa"/>
            <w:shd w:val="clear" w:color="auto" w:fill="auto"/>
            <w:vAlign w:val="bottom"/>
          </w:tcPr>
          <w:p w14:paraId="02D0B3A1" w14:textId="77777777" w:rsidR="00161F02" w:rsidRPr="00D6765D" w:rsidRDefault="00161F02" w:rsidP="00D6765D">
            <w:pPr>
              <w:suppressAutoHyphens w:val="0"/>
              <w:spacing w:before="40" w:after="40" w:line="220" w:lineRule="exact"/>
              <w:jc w:val="right"/>
              <w:rPr>
                <w:sz w:val="18"/>
              </w:rPr>
            </w:pPr>
            <w:r w:rsidRPr="00D6765D">
              <w:rPr>
                <w:sz w:val="18"/>
                <w:lang w:val="fr-FR"/>
              </w:rPr>
              <w:t>4</w:t>
            </w:r>
          </w:p>
        </w:tc>
      </w:tr>
      <w:tr w:rsidR="00161F02" w:rsidRPr="00D6765D" w14:paraId="4B4E833C" w14:textId="77777777" w:rsidTr="00D6765D">
        <w:tc>
          <w:tcPr>
            <w:tcW w:w="2495" w:type="dxa"/>
            <w:shd w:val="clear" w:color="auto" w:fill="auto"/>
          </w:tcPr>
          <w:p w14:paraId="436CC3FC" w14:textId="77777777" w:rsidR="00161F02" w:rsidRPr="00D6765D" w:rsidRDefault="00161F02" w:rsidP="00340B7A">
            <w:pPr>
              <w:suppressAutoHyphens w:val="0"/>
              <w:spacing w:before="40" w:after="40" w:line="220" w:lineRule="exact"/>
              <w:ind w:left="284"/>
              <w:rPr>
                <w:iCs/>
                <w:sz w:val="18"/>
              </w:rPr>
            </w:pPr>
            <w:r w:rsidRPr="00D6765D">
              <w:rPr>
                <w:sz w:val="18"/>
                <w:lang w:val="fr-FR"/>
              </w:rPr>
              <w:t>Kazakhs</w:t>
            </w:r>
          </w:p>
        </w:tc>
        <w:tc>
          <w:tcPr>
            <w:tcW w:w="2564" w:type="dxa"/>
            <w:shd w:val="clear" w:color="auto" w:fill="auto"/>
            <w:vAlign w:val="bottom"/>
          </w:tcPr>
          <w:p w14:paraId="3EA780F9" w14:textId="77777777" w:rsidR="00161F02" w:rsidRPr="00D6765D" w:rsidRDefault="00161F02" w:rsidP="00D6765D">
            <w:pPr>
              <w:suppressAutoHyphens w:val="0"/>
              <w:spacing w:before="40" w:after="40" w:line="220" w:lineRule="exact"/>
              <w:jc w:val="right"/>
              <w:rPr>
                <w:sz w:val="18"/>
              </w:rPr>
            </w:pPr>
            <w:r w:rsidRPr="00D6765D">
              <w:rPr>
                <w:sz w:val="18"/>
                <w:lang w:val="fr-FR"/>
              </w:rPr>
              <w:t>23</w:t>
            </w:r>
          </w:p>
        </w:tc>
        <w:tc>
          <w:tcPr>
            <w:tcW w:w="2311" w:type="dxa"/>
            <w:shd w:val="clear" w:color="auto" w:fill="auto"/>
            <w:vAlign w:val="bottom"/>
          </w:tcPr>
          <w:p w14:paraId="3B0BB5E9" w14:textId="77777777" w:rsidR="00161F02" w:rsidRPr="00D6765D" w:rsidRDefault="00161F02" w:rsidP="00D6765D">
            <w:pPr>
              <w:suppressAutoHyphens w:val="0"/>
              <w:spacing w:before="40" w:after="40" w:line="220" w:lineRule="exact"/>
              <w:jc w:val="right"/>
              <w:rPr>
                <w:sz w:val="18"/>
              </w:rPr>
            </w:pPr>
            <w:r w:rsidRPr="00D6765D">
              <w:rPr>
                <w:sz w:val="18"/>
                <w:lang w:val="fr-FR"/>
              </w:rPr>
              <w:t>25</w:t>
            </w:r>
          </w:p>
        </w:tc>
      </w:tr>
      <w:tr w:rsidR="00161F02" w:rsidRPr="00D6765D" w14:paraId="79CAEFDC" w14:textId="77777777" w:rsidTr="00D6765D">
        <w:tc>
          <w:tcPr>
            <w:tcW w:w="2495" w:type="dxa"/>
            <w:shd w:val="clear" w:color="auto" w:fill="auto"/>
          </w:tcPr>
          <w:p w14:paraId="1E0D7B9A" w14:textId="77777777" w:rsidR="00161F02" w:rsidRPr="00D6765D" w:rsidRDefault="00161F02" w:rsidP="00340B7A">
            <w:pPr>
              <w:suppressAutoHyphens w:val="0"/>
              <w:spacing w:before="40" w:after="40" w:line="220" w:lineRule="exact"/>
              <w:ind w:left="284"/>
              <w:rPr>
                <w:iCs/>
                <w:sz w:val="18"/>
              </w:rPr>
            </w:pPr>
            <w:r w:rsidRPr="00D6765D">
              <w:rPr>
                <w:sz w:val="18"/>
                <w:lang w:val="fr-FR"/>
              </w:rPr>
              <w:t>Tadjiks</w:t>
            </w:r>
          </w:p>
        </w:tc>
        <w:tc>
          <w:tcPr>
            <w:tcW w:w="2564" w:type="dxa"/>
            <w:shd w:val="clear" w:color="auto" w:fill="auto"/>
            <w:vAlign w:val="bottom"/>
          </w:tcPr>
          <w:p w14:paraId="064B7E84" w14:textId="77777777" w:rsidR="00161F02" w:rsidRPr="00D6765D" w:rsidRDefault="00161F02" w:rsidP="00D6765D">
            <w:pPr>
              <w:suppressAutoHyphens w:val="0"/>
              <w:spacing w:before="40" w:after="40" w:line="220" w:lineRule="exact"/>
              <w:jc w:val="right"/>
              <w:rPr>
                <w:sz w:val="18"/>
              </w:rPr>
            </w:pPr>
            <w:r w:rsidRPr="00D6765D">
              <w:rPr>
                <w:sz w:val="18"/>
                <w:lang w:val="fr-FR"/>
              </w:rPr>
              <w:t>33</w:t>
            </w:r>
          </w:p>
        </w:tc>
        <w:tc>
          <w:tcPr>
            <w:tcW w:w="2311" w:type="dxa"/>
            <w:shd w:val="clear" w:color="auto" w:fill="auto"/>
            <w:vAlign w:val="bottom"/>
          </w:tcPr>
          <w:p w14:paraId="194150F1" w14:textId="77777777" w:rsidR="00161F02" w:rsidRPr="00D6765D" w:rsidRDefault="00161F02" w:rsidP="00D6765D">
            <w:pPr>
              <w:suppressAutoHyphens w:val="0"/>
              <w:spacing w:before="40" w:after="40" w:line="220" w:lineRule="exact"/>
              <w:jc w:val="right"/>
              <w:rPr>
                <w:sz w:val="18"/>
              </w:rPr>
            </w:pPr>
            <w:r w:rsidRPr="00D6765D">
              <w:rPr>
                <w:sz w:val="18"/>
                <w:lang w:val="fr-FR"/>
              </w:rPr>
              <w:t>24</w:t>
            </w:r>
          </w:p>
        </w:tc>
      </w:tr>
      <w:tr w:rsidR="00161F02" w:rsidRPr="00D6765D" w14:paraId="1C494959" w14:textId="77777777" w:rsidTr="00D6765D">
        <w:tc>
          <w:tcPr>
            <w:tcW w:w="2495" w:type="dxa"/>
            <w:shd w:val="clear" w:color="auto" w:fill="auto"/>
          </w:tcPr>
          <w:p w14:paraId="7960C19B" w14:textId="77777777" w:rsidR="00161F02" w:rsidRPr="00D6765D" w:rsidRDefault="00161F02" w:rsidP="00340B7A">
            <w:pPr>
              <w:suppressAutoHyphens w:val="0"/>
              <w:spacing w:before="40" w:after="40" w:line="220" w:lineRule="exact"/>
              <w:ind w:left="284"/>
              <w:rPr>
                <w:iCs/>
                <w:sz w:val="18"/>
              </w:rPr>
            </w:pPr>
            <w:r w:rsidRPr="00D6765D">
              <w:rPr>
                <w:sz w:val="18"/>
                <w:lang w:val="fr-FR"/>
              </w:rPr>
              <w:lastRenderedPageBreak/>
              <w:t xml:space="preserve">Turkmènes </w:t>
            </w:r>
          </w:p>
        </w:tc>
        <w:tc>
          <w:tcPr>
            <w:tcW w:w="2564" w:type="dxa"/>
            <w:shd w:val="clear" w:color="auto" w:fill="auto"/>
            <w:vAlign w:val="bottom"/>
          </w:tcPr>
          <w:p w14:paraId="0FF04CB9" w14:textId="77777777" w:rsidR="00161F02" w:rsidRPr="00D6765D" w:rsidRDefault="00161F02" w:rsidP="00D6765D">
            <w:pPr>
              <w:suppressAutoHyphens w:val="0"/>
              <w:spacing w:before="40" w:after="40" w:line="220" w:lineRule="exact"/>
              <w:jc w:val="right"/>
              <w:rPr>
                <w:sz w:val="18"/>
              </w:rPr>
            </w:pPr>
            <w:r w:rsidRPr="00D6765D">
              <w:rPr>
                <w:sz w:val="18"/>
                <w:lang w:val="fr-FR"/>
              </w:rPr>
              <w:t>7</w:t>
            </w:r>
          </w:p>
        </w:tc>
        <w:tc>
          <w:tcPr>
            <w:tcW w:w="2311" w:type="dxa"/>
            <w:shd w:val="clear" w:color="auto" w:fill="auto"/>
            <w:vAlign w:val="bottom"/>
          </w:tcPr>
          <w:p w14:paraId="10BC20F6" w14:textId="77777777" w:rsidR="00161F02" w:rsidRPr="00D6765D" w:rsidRDefault="00161F02" w:rsidP="00D6765D">
            <w:pPr>
              <w:suppressAutoHyphens w:val="0"/>
              <w:spacing w:before="40" w:after="40" w:line="220" w:lineRule="exact"/>
              <w:jc w:val="right"/>
              <w:rPr>
                <w:sz w:val="18"/>
              </w:rPr>
            </w:pPr>
            <w:r w:rsidRPr="00D6765D">
              <w:rPr>
                <w:sz w:val="18"/>
                <w:lang w:val="fr-FR"/>
              </w:rPr>
              <w:t>7</w:t>
            </w:r>
          </w:p>
        </w:tc>
      </w:tr>
      <w:tr w:rsidR="00161F02" w:rsidRPr="00D6765D" w14:paraId="692F30B3" w14:textId="77777777" w:rsidTr="00D6765D">
        <w:tc>
          <w:tcPr>
            <w:tcW w:w="2495" w:type="dxa"/>
            <w:shd w:val="clear" w:color="auto" w:fill="auto"/>
          </w:tcPr>
          <w:p w14:paraId="428F95DA" w14:textId="77777777" w:rsidR="00161F02" w:rsidRPr="00D6765D" w:rsidRDefault="00161F02" w:rsidP="00340B7A">
            <w:pPr>
              <w:suppressAutoHyphens w:val="0"/>
              <w:spacing w:before="40" w:after="40" w:line="220" w:lineRule="exact"/>
              <w:ind w:left="284"/>
              <w:rPr>
                <w:iCs/>
                <w:sz w:val="18"/>
              </w:rPr>
            </w:pPr>
            <w:r w:rsidRPr="00D6765D">
              <w:rPr>
                <w:sz w:val="18"/>
                <w:lang w:val="fr-FR"/>
              </w:rPr>
              <w:t>Tatars</w:t>
            </w:r>
          </w:p>
        </w:tc>
        <w:tc>
          <w:tcPr>
            <w:tcW w:w="2564" w:type="dxa"/>
            <w:shd w:val="clear" w:color="auto" w:fill="auto"/>
            <w:vAlign w:val="bottom"/>
          </w:tcPr>
          <w:p w14:paraId="1974A0B8" w14:textId="77777777" w:rsidR="00161F02" w:rsidRPr="00D6765D" w:rsidRDefault="00161F02" w:rsidP="00D6765D">
            <w:pPr>
              <w:suppressAutoHyphens w:val="0"/>
              <w:spacing w:before="40" w:after="40" w:line="220" w:lineRule="exact"/>
              <w:jc w:val="right"/>
              <w:rPr>
                <w:sz w:val="18"/>
              </w:rPr>
            </w:pPr>
            <w:r w:rsidRPr="00D6765D">
              <w:rPr>
                <w:sz w:val="18"/>
                <w:lang w:val="fr-FR"/>
              </w:rPr>
              <w:t>10</w:t>
            </w:r>
          </w:p>
        </w:tc>
        <w:tc>
          <w:tcPr>
            <w:tcW w:w="2311" w:type="dxa"/>
            <w:shd w:val="clear" w:color="auto" w:fill="auto"/>
            <w:vAlign w:val="bottom"/>
          </w:tcPr>
          <w:p w14:paraId="2A466220" w14:textId="77777777" w:rsidR="00161F02" w:rsidRPr="00D6765D" w:rsidRDefault="00161F02" w:rsidP="00D6765D">
            <w:pPr>
              <w:suppressAutoHyphens w:val="0"/>
              <w:spacing w:before="40" w:after="40" w:line="220" w:lineRule="exact"/>
              <w:jc w:val="right"/>
              <w:rPr>
                <w:sz w:val="18"/>
              </w:rPr>
            </w:pPr>
            <w:r w:rsidRPr="00D6765D">
              <w:rPr>
                <w:sz w:val="18"/>
                <w:lang w:val="fr-FR"/>
              </w:rPr>
              <w:t>15</w:t>
            </w:r>
          </w:p>
        </w:tc>
      </w:tr>
      <w:tr w:rsidR="00161F02" w:rsidRPr="00D6765D" w14:paraId="3B0A4429" w14:textId="77777777" w:rsidTr="00D6765D">
        <w:tc>
          <w:tcPr>
            <w:tcW w:w="2495" w:type="dxa"/>
            <w:shd w:val="clear" w:color="auto" w:fill="auto"/>
          </w:tcPr>
          <w:p w14:paraId="526C4361" w14:textId="77777777" w:rsidR="00161F02" w:rsidRPr="00D6765D" w:rsidRDefault="00161F02" w:rsidP="00340B7A">
            <w:pPr>
              <w:suppressAutoHyphens w:val="0"/>
              <w:spacing w:before="40" w:after="40" w:line="220" w:lineRule="exact"/>
              <w:ind w:left="284"/>
              <w:rPr>
                <w:iCs/>
                <w:sz w:val="18"/>
              </w:rPr>
            </w:pPr>
            <w:r w:rsidRPr="00D6765D">
              <w:rPr>
                <w:sz w:val="18"/>
                <w:lang w:val="fr-FR"/>
              </w:rPr>
              <w:t xml:space="preserve">Russes </w:t>
            </w:r>
          </w:p>
        </w:tc>
        <w:tc>
          <w:tcPr>
            <w:tcW w:w="2564" w:type="dxa"/>
            <w:shd w:val="clear" w:color="auto" w:fill="auto"/>
            <w:vAlign w:val="bottom"/>
          </w:tcPr>
          <w:p w14:paraId="1E61BFD9" w14:textId="77777777" w:rsidR="00161F02" w:rsidRPr="00D6765D" w:rsidRDefault="00161F02" w:rsidP="00D6765D">
            <w:pPr>
              <w:suppressAutoHyphens w:val="0"/>
              <w:spacing w:before="40" w:after="40" w:line="220" w:lineRule="exact"/>
              <w:jc w:val="right"/>
              <w:rPr>
                <w:sz w:val="18"/>
              </w:rPr>
            </w:pPr>
            <w:r w:rsidRPr="00D6765D">
              <w:rPr>
                <w:sz w:val="18"/>
                <w:lang w:val="fr-FR"/>
              </w:rPr>
              <w:t>54</w:t>
            </w:r>
          </w:p>
        </w:tc>
        <w:tc>
          <w:tcPr>
            <w:tcW w:w="2311" w:type="dxa"/>
            <w:shd w:val="clear" w:color="auto" w:fill="auto"/>
            <w:vAlign w:val="bottom"/>
          </w:tcPr>
          <w:p w14:paraId="2709B8FB" w14:textId="77777777" w:rsidR="00161F02" w:rsidRPr="00D6765D" w:rsidRDefault="00161F02" w:rsidP="00D6765D">
            <w:pPr>
              <w:suppressAutoHyphens w:val="0"/>
              <w:spacing w:before="40" w:after="40" w:line="220" w:lineRule="exact"/>
              <w:jc w:val="right"/>
              <w:rPr>
                <w:sz w:val="18"/>
              </w:rPr>
            </w:pPr>
            <w:r w:rsidRPr="00D6765D">
              <w:rPr>
                <w:sz w:val="18"/>
                <w:lang w:val="fr-FR"/>
              </w:rPr>
              <w:t>91</w:t>
            </w:r>
          </w:p>
        </w:tc>
      </w:tr>
      <w:tr w:rsidR="00161F02" w:rsidRPr="00D6765D" w14:paraId="2C30402B" w14:textId="77777777" w:rsidTr="00D6765D">
        <w:tc>
          <w:tcPr>
            <w:tcW w:w="2495" w:type="dxa"/>
            <w:tcBorders>
              <w:bottom w:val="single" w:sz="12" w:space="0" w:color="auto"/>
            </w:tcBorders>
            <w:shd w:val="clear" w:color="auto" w:fill="auto"/>
          </w:tcPr>
          <w:p w14:paraId="13E59D9B" w14:textId="18AD85D0" w:rsidR="00161F02" w:rsidRPr="00D6765D" w:rsidRDefault="00340B7A" w:rsidP="00340B7A">
            <w:pPr>
              <w:suppressAutoHyphens w:val="0"/>
              <w:spacing w:before="40" w:after="40" w:line="220" w:lineRule="exact"/>
              <w:ind w:left="284"/>
              <w:rPr>
                <w:iCs/>
                <w:sz w:val="18"/>
              </w:rPr>
            </w:pPr>
            <w:r>
              <w:rPr>
                <w:sz w:val="18"/>
                <w:lang w:val="fr-FR"/>
              </w:rPr>
              <w:t>A</w:t>
            </w:r>
            <w:r w:rsidR="00161F02" w:rsidRPr="00D6765D">
              <w:rPr>
                <w:sz w:val="18"/>
                <w:lang w:val="fr-FR"/>
              </w:rPr>
              <w:t>utres</w:t>
            </w:r>
          </w:p>
        </w:tc>
        <w:tc>
          <w:tcPr>
            <w:tcW w:w="2564" w:type="dxa"/>
            <w:tcBorders>
              <w:bottom w:val="single" w:sz="12" w:space="0" w:color="auto"/>
            </w:tcBorders>
            <w:shd w:val="clear" w:color="auto" w:fill="auto"/>
            <w:vAlign w:val="bottom"/>
          </w:tcPr>
          <w:p w14:paraId="6ADC0C70" w14:textId="77777777" w:rsidR="00161F02" w:rsidRPr="00D6765D" w:rsidRDefault="00161F02" w:rsidP="00D6765D">
            <w:pPr>
              <w:suppressAutoHyphens w:val="0"/>
              <w:spacing w:before="40" w:after="40" w:line="220" w:lineRule="exact"/>
              <w:jc w:val="right"/>
              <w:rPr>
                <w:sz w:val="18"/>
              </w:rPr>
            </w:pPr>
            <w:r w:rsidRPr="00D6765D">
              <w:rPr>
                <w:sz w:val="18"/>
                <w:lang w:val="fr-FR"/>
              </w:rPr>
              <w:t>41</w:t>
            </w:r>
          </w:p>
        </w:tc>
        <w:tc>
          <w:tcPr>
            <w:tcW w:w="2311" w:type="dxa"/>
            <w:tcBorders>
              <w:bottom w:val="single" w:sz="12" w:space="0" w:color="auto"/>
            </w:tcBorders>
            <w:shd w:val="clear" w:color="auto" w:fill="auto"/>
            <w:vAlign w:val="bottom"/>
          </w:tcPr>
          <w:p w14:paraId="16D60952" w14:textId="77777777" w:rsidR="00161F02" w:rsidRPr="00D6765D" w:rsidRDefault="00161F02" w:rsidP="00D6765D">
            <w:pPr>
              <w:suppressAutoHyphens w:val="0"/>
              <w:spacing w:before="40" w:after="40" w:line="220" w:lineRule="exact"/>
              <w:jc w:val="right"/>
              <w:rPr>
                <w:sz w:val="18"/>
              </w:rPr>
            </w:pPr>
            <w:r w:rsidRPr="00D6765D">
              <w:rPr>
                <w:sz w:val="18"/>
                <w:lang w:val="fr-FR"/>
              </w:rPr>
              <w:t>59</w:t>
            </w:r>
          </w:p>
        </w:tc>
      </w:tr>
    </w:tbl>
    <w:p w14:paraId="521A7FFF" w14:textId="405F19AD" w:rsidR="00161F02" w:rsidRPr="00806E3F" w:rsidRDefault="00161F02" w:rsidP="0025327E">
      <w:pPr>
        <w:pStyle w:val="SingleTxtG"/>
        <w:spacing w:before="120" w:after="240"/>
      </w:pPr>
      <w:r>
        <w:rPr>
          <w:lang w:val="fr-FR"/>
        </w:rPr>
        <w:t>Des dommages et intérêts pour préjudice matériel et moral ont été accordés à 172</w:t>
      </w:r>
      <w:r w:rsidR="0025327E">
        <w:rPr>
          <w:lang w:val="fr-FR"/>
        </w:rPr>
        <w:t> </w:t>
      </w:r>
      <w:r>
        <w:rPr>
          <w:lang w:val="fr-FR"/>
        </w:rPr>
        <w:t>victimes et 145</w:t>
      </w:r>
      <w:r w:rsidR="0025327E">
        <w:rPr>
          <w:lang w:val="fr-FR"/>
        </w:rPr>
        <w:t> </w:t>
      </w:r>
      <w:r>
        <w:rPr>
          <w:lang w:val="fr-FR"/>
        </w:rPr>
        <w:t>victimes ont été rétablies dans leurs droits par d’autres voies. Une obligation de traitement (pour alcoolisme et toxicomanie) a été prononcée contre 12</w:t>
      </w:r>
      <w:r w:rsidR="0025327E">
        <w:rPr>
          <w:lang w:val="fr-FR"/>
        </w:rPr>
        <w:t> </w:t>
      </w:r>
      <w:r>
        <w:rPr>
          <w:lang w:val="fr-FR"/>
        </w:rPr>
        <w:t xml:space="preserve">auteurs. </w:t>
      </w:r>
    </w:p>
    <w:p w14:paraId="5DAD3353" w14:textId="30D474D1" w:rsidR="00161F02" w:rsidRPr="00806E3F" w:rsidRDefault="00161F02" w:rsidP="00161F02">
      <w:pPr>
        <w:pStyle w:val="H23G"/>
        <w:rPr>
          <w:b w:val="0"/>
          <w:i/>
        </w:rPr>
      </w:pPr>
      <w:r>
        <w:rPr>
          <w:lang w:val="fr-FR"/>
        </w:rPr>
        <w:tab/>
      </w:r>
      <w:r>
        <w:rPr>
          <w:lang w:val="fr-FR"/>
        </w:rPr>
        <w:tab/>
      </w:r>
      <w:r>
        <w:rPr>
          <w:bCs/>
          <w:lang w:val="fr-FR"/>
        </w:rPr>
        <w:t>Renseignements concernant le paragraphe</w:t>
      </w:r>
      <w:r w:rsidR="0025327E">
        <w:rPr>
          <w:lang w:val="fr-FR"/>
        </w:rPr>
        <w:t> </w:t>
      </w:r>
      <w:r>
        <w:rPr>
          <w:bCs/>
          <w:lang w:val="fr-FR"/>
        </w:rPr>
        <w:t>6</w:t>
      </w:r>
      <w:r w:rsidR="0025327E">
        <w:rPr>
          <w:lang w:val="fr-FR"/>
        </w:rPr>
        <w:t> </w:t>
      </w:r>
      <w:r>
        <w:rPr>
          <w:bCs/>
          <w:lang w:val="fr-FR"/>
        </w:rPr>
        <w:t>b) de la liste de points</w:t>
      </w:r>
      <w:r>
        <w:rPr>
          <w:lang w:val="fr-FR"/>
        </w:rPr>
        <w:t xml:space="preserve"> </w:t>
      </w:r>
    </w:p>
    <w:p w14:paraId="5896E140" w14:textId="7D6C5A10" w:rsidR="00161F02" w:rsidRPr="00806E3F" w:rsidRDefault="00161F02" w:rsidP="00161F02">
      <w:pPr>
        <w:pStyle w:val="SingleTxtG"/>
      </w:pPr>
      <w:r>
        <w:rPr>
          <w:lang w:val="fr-FR"/>
        </w:rPr>
        <w:t>70.</w:t>
      </w:r>
      <w:r>
        <w:rPr>
          <w:lang w:val="fr-FR"/>
        </w:rPr>
        <w:tab/>
        <w:t>À la suite de l’adoption du Plan d’action 2017-2021, des mesures visant à combattre la torture de manière systématique ont été adoptées et, à cette fin, trois lois, cinq décrets et ordonnances présidentiels, huit décrets gouvernementaux et 14</w:t>
      </w:r>
      <w:r w:rsidR="008D3F71">
        <w:rPr>
          <w:lang w:val="fr-FR"/>
        </w:rPr>
        <w:t> </w:t>
      </w:r>
      <w:r>
        <w:rPr>
          <w:lang w:val="fr-FR"/>
        </w:rPr>
        <w:t>autres textes juridiques et réglementaires ont été adoptés.</w:t>
      </w:r>
    </w:p>
    <w:p w14:paraId="2F4C35E2" w14:textId="77777777" w:rsidR="00161F02" w:rsidRPr="00806E3F" w:rsidRDefault="00161F02" w:rsidP="008D3F71">
      <w:pPr>
        <w:pStyle w:val="SingleTxtG"/>
        <w:spacing w:after="100"/>
      </w:pPr>
      <w:r>
        <w:rPr>
          <w:lang w:val="fr-FR"/>
        </w:rPr>
        <w:t>71.</w:t>
      </w:r>
      <w:r>
        <w:rPr>
          <w:lang w:val="fr-FR"/>
        </w:rPr>
        <w:tab/>
        <w:t xml:space="preserve">Afin de donner effet à la Convention contre la torture, le Code pénal, le Code de procédure pénale et le Code d’application des peines ont été modifiés et complétés, la loi relative aux services du Ministère de l’intérieur, la loi relative au placement en détention provisoire pendant une procédure pénale et la loi relative au service de sécurité du Président de la République ont été adoptées. </w:t>
      </w:r>
    </w:p>
    <w:p w14:paraId="19BBEC95" w14:textId="53FE2946" w:rsidR="00161F02" w:rsidRPr="00806E3F" w:rsidRDefault="00161F02" w:rsidP="008D3F71">
      <w:pPr>
        <w:pStyle w:val="SingleTxtG"/>
        <w:spacing w:after="100"/>
      </w:pPr>
      <w:r>
        <w:rPr>
          <w:lang w:val="fr-FR"/>
        </w:rPr>
        <w:t>72.</w:t>
      </w:r>
      <w:r>
        <w:rPr>
          <w:lang w:val="fr-FR"/>
        </w:rPr>
        <w:tab/>
        <w:t>La loi relative à la protection des droits de l’enfant définit les grandes orientations de la politique de l’État en matière de protection des droits de l’enfant, à savoir notamment la protection des droits, des libertés et des intérêts légitimes des enfants, la préservation de la vie et de la santé des enfants, l’interdiction de la discrimination à l’égard des enfants et la protection de leur honneur et de leur dignité. La loi du 6</w:t>
      </w:r>
      <w:r w:rsidR="008D3F71">
        <w:rPr>
          <w:lang w:val="fr-FR"/>
        </w:rPr>
        <w:t> </w:t>
      </w:r>
      <w:r>
        <w:rPr>
          <w:lang w:val="fr-FR"/>
        </w:rPr>
        <w:t xml:space="preserve">décembre 2019 contient une disposition prévoyant que l’État prend des mesures pour prévenir toutes les formes d’exploitation et de violence dont les victimes sont des enfants et pour déterminer et éliminer les causes profondes de ces phénomènes ainsi que les conditions qui les favorisent. </w:t>
      </w:r>
    </w:p>
    <w:p w14:paraId="596FBC8F" w14:textId="3AF7CE62" w:rsidR="00161F02" w:rsidRPr="00806E3F" w:rsidRDefault="00161F02" w:rsidP="008D3F71">
      <w:pPr>
        <w:pStyle w:val="SingleTxtG"/>
        <w:spacing w:after="100"/>
      </w:pPr>
      <w:r>
        <w:rPr>
          <w:lang w:val="fr-FR"/>
        </w:rPr>
        <w:t>73.</w:t>
      </w:r>
      <w:r>
        <w:rPr>
          <w:lang w:val="fr-FR"/>
        </w:rPr>
        <w:tab/>
        <w:t>Le programme global pour le renforcement de la protection des droits, des libertés et des intérêts légitimes des enfants approuvé le 10</w:t>
      </w:r>
      <w:r w:rsidR="008D3F71">
        <w:rPr>
          <w:lang w:val="fr-FR"/>
        </w:rPr>
        <w:t> </w:t>
      </w:r>
      <w:r>
        <w:rPr>
          <w:lang w:val="fr-FR"/>
        </w:rPr>
        <w:t>septembre 2021 par les chambres de l’</w:t>
      </w:r>
      <w:proofErr w:type="spellStart"/>
      <w:r>
        <w:rPr>
          <w:lang w:val="fr-FR"/>
        </w:rPr>
        <w:t>Oliy</w:t>
      </w:r>
      <w:proofErr w:type="spellEnd"/>
      <w:r>
        <w:rPr>
          <w:lang w:val="fr-FR"/>
        </w:rPr>
        <w:t xml:space="preserve"> </w:t>
      </w:r>
      <w:proofErr w:type="spellStart"/>
      <w:r>
        <w:rPr>
          <w:lang w:val="fr-FR"/>
        </w:rPr>
        <w:t>Majlis</w:t>
      </w:r>
      <w:proofErr w:type="spellEnd"/>
      <w:r>
        <w:rPr>
          <w:lang w:val="fr-FR"/>
        </w:rPr>
        <w:t xml:space="preserve"> et le Cabinet des ministres  prévoit de prévenir et combattre la violence familiale et la violence au sein du foyer ciblant les enfants (par.</w:t>
      </w:r>
      <w:r w:rsidR="008D3F71">
        <w:rPr>
          <w:lang w:val="fr-FR"/>
        </w:rPr>
        <w:t> </w:t>
      </w:r>
      <w:r>
        <w:rPr>
          <w:lang w:val="fr-FR"/>
        </w:rPr>
        <w:t>8), de mettre en place une permanence téléphonique destinée aux enfants en situation difficile (par.</w:t>
      </w:r>
      <w:r w:rsidR="008D3F71">
        <w:rPr>
          <w:lang w:val="fr-FR"/>
        </w:rPr>
        <w:t> </w:t>
      </w:r>
      <w:r>
        <w:rPr>
          <w:lang w:val="fr-FR"/>
        </w:rPr>
        <w:t>9) et de suivre le traitement des plaintes émanant d’enfants par les organes publics compétents et les fonctionnaires concernés (par.</w:t>
      </w:r>
      <w:r w:rsidR="008D3F71">
        <w:rPr>
          <w:lang w:val="fr-FR"/>
        </w:rPr>
        <w:t> </w:t>
      </w:r>
      <w:r>
        <w:rPr>
          <w:lang w:val="fr-FR"/>
        </w:rPr>
        <w:t xml:space="preserve">33). </w:t>
      </w:r>
    </w:p>
    <w:p w14:paraId="2EA1AF23" w14:textId="426755B2" w:rsidR="00161F02" w:rsidRPr="00806E3F" w:rsidRDefault="00161F02" w:rsidP="008D3F71">
      <w:pPr>
        <w:pStyle w:val="SingleTxtG"/>
        <w:spacing w:after="100"/>
      </w:pPr>
      <w:r>
        <w:rPr>
          <w:lang w:val="fr-FR"/>
        </w:rPr>
        <w:t>74.</w:t>
      </w:r>
      <w:r>
        <w:rPr>
          <w:lang w:val="fr-FR"/>
        </w:rPr>
        <w:tab/>
        <w:t xml:space="preserve">En 2019, les pouvoirs du </w:t>
      </w:r>
      <w:r w:rsidR="00280CDC">
        <w:rPr>
          <w:lang w:val="fr-FR"/>
        </w:rPr>
        <w:t>M</w:t>
      </w:r>
      <w:r>
        <w:rPr>
          <w:lang w:val="fr-FR"/>
        </w:rPr>
        <w:t xml:space="preserve">édiateur en matière de protection des droits des personnes en détention ont été élargis et un mécanisme national de prévention de la torture fondé sur le modèle </w:t>
      </w:r>
      <w:r w:rsidR="00280CDC">
        <w:rPr>
          <w:lang w:val="fr-FR"/>
        </w:rPr>
        <w:t>« </w:t>
      </w:r>
      <w:r w:rsidR="00606AF6">
        <w:rPr>
          <w:lang w:val="fr-FR"/>
        </w:rPr>
        <w:t>Médiateur</w:t>
      </w:r>
      <w:r>
        <w:rPr>
          <w:lang w:val="fr-FR"/>
        </w:rPr>
        <w:t xml:space="preserve"> plus</w:t>
      </w:r>
      <w:r w:rsidR="00280CDC">
        <w:rPr>
          <w:lang w:val="fr-FR"/>
        </w:rPr>
        <w:t> »</w:t>
      </w:r>
      <w:r>
        <w:rPr>
          <w:lang w:val="fr-FR"/>
        </w:rPr>
        <w:t xml:space="preserve"> a été mis en place avec une large participation des organisations de la société civile. </w:t>
      </w:r>
    </w:p>
    <w:p w14:paraId="0BC8AEDB" w14:textId="77777777" w:rsidR="00161F02" w:rsidRPr="00806E3F" w:rsidRDefault="00161F02" w:rsidP="008D3F71">
      <w:pPr>
        <w:pStyle w:val="SingleTxtG"/>
        <w:spacing w:after="100"/>
      </w:pPr>
      <w:r>
        <w:rPr>
          <w:lang w:val="fr-FR"/>
        </w:rPr>
        <w:t>75.</w:t>
      </w:r>
      <w:r>
        <w:rPr>
          <w:lang w:val="fr-FR"/>
        </w:rPr>
        <w:tab/>
        <w:t xml:space="preserve">Le Médiateur des enfants, le Commissaire à la protection des droits et des intérêts légitimes des entreprises, qui relève du Président, ainsi que le Centre national des droits de l’homme sont également autorisés à se rendre dans les lieux de détention. </w:t>
      </w:r>
    </w:p>
    <w:p w14:paraId="2CE8B292" w14:textId="133A12A5" w:rsidR="00161F02" w:rsidRPr="00806E3F" w:rsidRDefault="00161F02" w:rsidP="008D3F71">
      <w:pPr>
        <w:pStyle w:val="H23G"/>
        <w:spacing w:before="200" w:after="100"/>
        <w:rPr>
          <w:i/>
        </w:rPr>
      </w:pPr>
      <w:r>
        <w:rPr>
          <w:lang w:val="fr-FR"/>
        </w:rPr>
        <w:tab/>
      </w:r>
      <w:r>
        <w:rPr>
          <w:lang w:val="fr-FR"/>
        </w:rPr>
        <w:tab/>
        <w:t>Renseignements concernant le paragraphe</w:t>
      </w:r>
      <w:r w:rsidR="00B86C2C">
        <w:rPr>
          <w:lang w:val="fr-FR"/>
        </w:rPr>
        <w:t> </w:t>
      </w:r>
      <w:r>
        <w:rPr>
          <w:lang w:val="fr-FR"/>
        </w:rPr>
        <w:t>6</w:t>
      </w:r>
      <w:r w:rsidR="00B86C2C">
        <w:rPr>
          <w:lang w:val="fr-FR"/>
        </w:rPr>
        <w:t> </w:t>
      </w:r>
      <w:r>
        <w:rPr>
          <w:lang w:val="fr-FR"/>
        </w:rPr>
        <w:t xml:space="preserve">c) de la liste de points </w:t>
      </w:r>
    </w:p>
    <w:p w14:paraId="7617488D" w14:textId="1750516B" w:rsidR="00161F02" w:rsidRPr="00CC7874" w:rsidRDefault="00161F02" w:rsidP="008D3F71">
      <w:pPr>
        <w:pStyle w:val="SingleTxtG"/>
        <w:spacing w:after="100"/>
        <w:rPr>
          <w:lang w:val="fr-FR"/>
        </w:rPr>
      </w:pPr>
      <w:r>
        <w:rPr>
          <w:lang w:val="fr-FR"/>
        </w:rPr>
        <w:t>76.</w:t>
      </w:r>
      <w:r>
        <w:rPr>
          <w:lang w:val="fr-FR"/>
        </w:rPr>
        <w:tab/>
        <w:t>La loi du 10</w:t>
      </w:r>
      <w:r w:rsidR="008D3F71">
        <w:rPr>
          <w:lang w:val="fr-FR"/>
        </w:rPr>
        <w:t> </w:t>
      </w:r>
      <w:r>
        <w:rPr>
          <w:lang w:val="fr-FR"/>
        </w:rPr>
        <w:t>mars 2020 relative aux plaintes émanant de personnes physiques ou morales a été modifiée par l’ajout d’une disposition établissant le droit des mineurs de saisir personnellement les organes, organisations ou fonctionnaires de l’État d’une plainte lorsqu’ils s’estiment victimes de violations de leurs droits, libertés et intérêts légitimes. Les</w:t>
      </w:r>
      <w:r w:rsidR="008D3F71">
        <w:rPr>
          <w:lang w:val="fr-FR"/>
        </w:rPr>
        <w:t> </w:t>
      </w:r>
      <w:r>
        <w:rPr>
          <w:lang w:val="fr-FR"/>
        </w:rPr>
        <w:t>plaintes des mineurs ne peuvent pas être écartées au motif que leur auteur n’a pas encore la pleine capacité juridique.</w:t>
      </w:r>
    </w:p>
    <w:p w14:paraId="76474E4B" w14:textId="77777777" w:rsidR="00161F02" w:rsidRPr="00806E3F" w:rsidRDefault="00161F02" w:rsidP="008D3F71">
      <w:pPr>
        <w:pStyle w:val="SingleTxtG"/>
        <w:spacing w:after="100"/>
      </w:pPr>
      <w:r>
        <w:rPr>
          <w:lang w:val="fr-FR"/>
        </w:rPr>
        <w:t>77.</w:t>
      </w:r>
      <w:r>
        <w:rPr>
          <w:lang w:val="fr-FR"/>
        </w:rPr>
        <w:tab/>
        <w:t>Le Centre national pour la prise en charge et la réadaptation des victimes de violence et pour la prévention du suicide a mis en service une ligne téléphonique d’urgence (ligne directe) destinée aux victimes de violence, qui peuvent ainsi bénéficier d’un accompagnement psychologique et psychothérapeutique d’urgence et accéder à des services juridiques, à des consultations ainsi qu’à des informations.</w:t>
      </w:r>
    </w:p>
    <w:p w14:paraId="289383DD" w14:textId="77777777" w:rsidR="00161F02" w:rsidRPr="00806E3F" w:rsidRDefault="00161F02" w:rsidP="004B5A26">
      <w:pPr>
        <w:pStyle w:val="SingleTxtG"/>
        <w:spacing w:after="100"/>
      </w:pPr>
      <w:r>
        <w:rPr>
          <w:lang w:val="fr-FR"/>
        </w:rPr>
        <w:lastRenderedPageBreak/>
        <w:t>78.</w:t>
      </w:r>
      <w:r>
        <w:rPr>
          <w:lang w:val="fr-FR"/>
        </w:rPr>
        <w:tab/>
        <w:t>Le Ministère de l’intérieur a établi une procédure unifiée d’enregistrement de toutes les requêtes émanant de particuliers, notamment des plaintes et des allégations faisant état de l’emploi de méthodes illégales d’enquête ou de mauvais traitements infligés à des personnes placées en détention provisoire ou à des condamnés exécutant leur peine dans un établissement pénitentiaire.</w:t>
      </w:r>
    </w:p>
    <w:p w14:paraId="3E368F6D" w14:textId="77777777" w:rsidR="00161F02" w:rsidRPr="00806E3F" w:rsidRDefault="00161F02" w:rsidP="004B5A26">
      <w:pPr>
        <w:pStyle w:val="SingleTxtG"/>
        <w:spacing w:after="100"/>
      </w:pPr>
      <w:r>
        <w:rPr>
          <w:lang w:val="fr-FR"/>
        </w:rPr>
        <w:t>79.</w:t>
      </w:r>
      <w:r>
        <w:rPr>
          <w:lang w:val="fr-FR"/>
        </w:rPr>
        <w:tab/>
        <w:t>Dans les établissements pénitentiaires, des postes d’inspecteurs chargés du traitement des plaintes émanant de personnes physiques ou morales ont été créés. La direction des lieux de détention reçoit quotidiennement des requêtes émanant des familles des détenus ainsi que des condamnés et des prévenus eux-mêmes. Des mesures sont prises afin que ces plaintes soient examinées de manière approfondie et dans les meilleurs délais.</w:t>
      </w:r>
    </w:p>
    <w:p w14:paraId="4E290FC7" w14:textId="77777777" w:rsidR="00161F02" w:rsidRPr="00806E3F" w:rsidRDefault="00161F02" w:rsidP="004B5A26">
      <w:pPr>
        <w:pStyle w:val="SingleTxtG"/>
        <w:spacing w:after="100"/>
      </w:pPr>
      <w:r>
        <w:rPr>
          <w:lang w:val="fr-FR"/>
        </w:rPr>
        <w:t>80.</w:t>
      </w:r>
      <w:r>
        <w:rPr>
          <w:lang w:val="fr-FR"/>
        </w:rPr>
        <w:tab/>
        <w:t xml:space="preserve">Depuis 2017, le Ministère de l’intérieur et la Direction de l’administration pénitentiaire ont ouvert des guichets virtuels, où les requêtes sont déposées sous la surveillance personnelle des responsables. Tous les établissements pénitentiaires sont dotés de boîtes aux lettres permettant aux détenus d’adresser des requêtes au procureur, au Médiateur parlementaire ou au Médiateur des enfants. </w:t>
      </w:r>
    </w:p>
    <w:p w14:paraId="184F3490" w14:textId="77777777" w:rsidR="00161F02" w:rsidRPr="00806E3F" w:rsidRDefault="00161F02" w:rsidP="004B5A26">
      <w:pPr>
        <w:pStyle w:val="SingleTxtG"/>
        <w:spacing w:after="100"/>
      </w:pPr>
      <w:r>
        <w:rPr>
          <w:lang w:val="fr-FR"/>
        </w:rPr>
        <w:t>81.</w:t>
      </w:r>
      <w:r>
        <w:rPr>
          <w:lang w:val="fr-FR"/>
        </w:rPr>
        <w:tab/>
        <w:t>Toute plainte faisant état de l’emploi de la force physique, de mauvais traitements ou d’atteintes aux droits ou aux intérêts légitimes de personnes placées dans un lieu de détention donne lieu à l’ouverture d’une enquête interne, dont les conclusions sont transmises aux services du ministère public pour suite à donner.</w:t>
      </w:r>
    </w:p>
    <w:p w14:paraId="31A0480A" w14:textId="7AFC9B5A" w:rsidR="00161F02" w:rsidRPr="00806E3F" w:rsidRDefault="00161F02" w:rsidP="004B5A26">
      <w:pPr>
        <w:pStyle w:val="H23G"/>
        <w:spacing w:after="100"/>
        <w:rPr>
          <w:i/>
        </w:rPr>
      </w:pPr>
      <w:r>
        <w:rPr>
          <w:lang w:val="fr-FR"/>
        </w:rPr>
        <w:tab/>
      </w:r>
      <w:r>
        <w:rPr>
          <w:lang w:val="fr-FR"/>
        </w:rPr>
        <w:tab/>
        <w:t>Renseignements concernant le paragraphe</w:t>
      </w:r>
      <w:r w:rsidR="008043C3">
        <w:rPr>
          <w:lang w:val="fr-FR"/>
        </w:rPr>
        <w:t> </w:t>
      </w:r>
      <w:r>
        <w:rPr>
          <w:lang w:val="fr-FR"/>
        </w:rPr>
        <w:t>6</w:t>
      </w:r>
      <w:r w:rsidR="008043C3">
        <w:rPr>
          <w:lang w:val="fr-FR"/>
        </w:rPr>
        <w:t> </w:t>
      </w:r>
      <w:r>
        <w:rPr>
          <w:lang w:val="fr-FR"/>
        </w:rPr>
        <w:t xml:space="preserve">d) de la liste de points </w:t>
      </w:r>
    </w:p>
    <w:p w14:paraId="6CF8654C" w14:textId="77777777" w:rsidR="00161F02" w:rsidRPr="00806E3F" w:rsidRDefault="00161F02" w:rsidP="004B5A26">
      <w:pPr>
        <w:pStyle w:val="SingleTxtG"/>
        <w:spacing w:after="100"/>
      </w:pPr>
      <w:r>
        <w:rPr>
          <w:lang w:val="fr-FR"/>
        </w:rPr>
        <w:t>82.</w:t>
      </w:r>
      <w:r>
        <w:rPr>
          <w:lang w:val="fr-FR"/>
        </w:rPr>
        <w:tab/>
        <w:t>Une ligne téléphonique d’urgence, le 1102, a été mise en place au Ministère de l’intérieur afin que des mesures soient prises dans les meilleurs délais lorsque des actes de torture sont signalés.</w:t>
      </w:r>
    </w:p>
    <w:p w14:paraId="10530142" w14:textId="691F2B0B" w:rsidR="00161F02" w:rsidRPr="00806E3F" w:rsidRDefault="00161F02" w:rsidP="004B5A26">
      <w:pPr>
        <w:pStyle w:val="SingleTxtG"/>
        <w:spacing w:after="100"/>
      </w:pPr>
      <w:r>
        <w:rPr>
          <w:lang w:val="fr-FR"/>
        </w:rPr>
        <w:t>83.</w:t>
      </w:r>
      <w:r>
        <w:rPr>
          <w:lang w:val="fr-FR"/>
        </w:rPr>
        <w:tab/>
        <w:t>Dans le cadre du programme pour le renforcement de la protection des droits, des libertés et des intérêts légitimes des enfants adopté le 10</w:t>
      </w:r>
      <w:r w:rsidR="008D3F71">
        <w:rPr>
          <w:lang w:val="fr-FR"/>
        </w:rPr>
        <w:t> </w:t>
      </w:r>
      <w:r>
        <w:rPr>
          <w:lang w:val="fr-FR"/>
        </w:rPr>
        <w:t xml:space="preserve">septembre 2020, le Médiateur des enfants, le Ministère de la promotion des </w:t>
      </w:r>
      <w:proofErr w:type="spellStart"/>
      <w:r w:rsidRPr="008043C3">
        <w:rPr>
          <w:i/>
          <w:iCs/>
          <w:lang w:val="fr-FR"/>
        </w:rPr>
        <w:t>makhallas</w:t>
      </w:r>
      <w:proofErr w:type="spellEnd"/>
      <w:r>
        <w:rPr>
          <w:lang w:val="fr-FR"/>
        </w:rPr>
        <w:t xml:space="preserve"> et des familles, le Ministère de l’éducation nationale, le Bureau pour la jeunesse et d’autres organismes ont lancé un projet conjoint visant à fournir une assistance d’urgence aux enfants et une permanence téléphonique a été mise en service.</w:t>
      </w:r>
    </w:p>
    <w:p w14:paraId="5B640323" w14:textId="44C6458F" w:rsidR="00161F02" w:rsidRPr="00806E3F" w:rsidRDefault="00161F02" w:rsidP="004B5A26">
      <w:pPr>
        <w:pStyle w:val="H23G"/>
        <w:spacing w:after="100"/>
        <w:rPr>
          <w:b w:val="0"/>
          <w:i/>
        </w:rPr>
      </w:pPr>
      <w:r>
        <w:rPr>
          <w:lang w:val="fr-FR"/>
        </w:rPr>
        <w:tab/>
      </w:r>
      <w:r>
        <w:rPr>
          <w:lang w:val="fr-FR"/>
        </w:rPr>
        <w:tab/>
      </w:r>
      <w:r>
        <w:rPr>
          <w:bCs/>
          <w:lang w:val="fr-FR"/>
        </w:rPr>
        <w:t>Renseignements concernant le paragraphe</w:t>
      </w:r>
      <w:r w:rsidR="008D3F71">
        <w:rPr>
          <w:lang w:val="fr-FR"/>
        </w:rPr>
        <w:t> </w:t>
      </w:r>
      <w:r>
        <w:rPr>
          <w:bCs/>
          <w:lang w:val="fr-FR"/>
        </w:rPr>
        <w:t>7</w:t>
      </w:r>
      <w:r w:rsidR="008D3F71">
        <w:rPr>
          <w:lang w:val="fr-FR"/>
        </w:rPr>
        <w:t> </w:t>
      </w:r>
      <w:r>
        <w:rPr>
          <w:bCs/>
          <w:lang w:val="fr-FR"/>
        </w:rPr>
        <w:t>a) de la liste de points</w:t>
      </w:r>
      <w:r>
        <w:rPr>
          <w:lang w:val="fr-FR"/>
        </w:rPr>
        <w:t xml:space="preserve"> </w:t>
      </w:r>
    </w:p>
    <w:p w14:paraId="26D93E77" w14:textId="77777777" w:rsidR="00161F02" w:rsidRPr="00806E3F" w:rsidRDefault="00161F02" w:rsidP="004B5A26">
      <w:pPr>
        <w:pStyle w:val="SingleTxtG"/>
        <w:spacing w:after="100"/>
      </w:pPr>
      <w:r>
        <w:rPr>
          <w:lang w:val="fr-FR"/>
        </w:rPr>
        <w:t>84.</w:t>
      </w:r>
      <w:r>
        <w:rPr>
          <w:lang w:val="fr-FR"/>
        </w:rPr>
        <w:tab/>
        <w:t xml:space="preserve">Un groupe de travail technique composé de représentants du Ministère de la promotion des </w:t>
      </w:r>
      <w:proofErr w:type="spellStart"/>
      <w:r w:rsidRPr="00567E08">
        <w:rPr>
          <w:i/>
          <w:iCs/>
          <w:lang w:val="fr-FR"/>
        </w:rPr>
        <w:t>makhallas</w:t>
      </w:r>
      <w:proofErr w:type="spellEnd"/>
      <w:r>
        <w:rPr>
          <w:lang w:val="fr-FR"/>
        </w:rPr>
        <w:t xml:space="preserve"> et des familles, du Ministère de l’éducation nationale, du Ministère de la santé, du Ministère des finances, de l’UNICEF, de SOS Villages d’enfants et du Centre national pour l’adaptation sociale des enfants a été créé en vue de l’élaboration d’un projet de principes fondamentaux et de lignes directrices concernant la désinstitutionnalisation. </w:t>
      </w:r>
    </w:p>
    <w:p w14:paraId="773E3285" w14:textId="77777777" w:rsidR="00161F02" w:rsidRPr="00806E3F" w:rsidRDefault="00161F02" w:rsidP="004B5A26">
      <w:pPr>
        <w:pStyle w:val="SingleTxtG"/>
        <w:spacing w:after="100"/>
      </w:pPr>
      <w:r>
        <w:rPr>
          <w:lang w:val="fr-FR"/>
        </w:rPr>
        <w:t>85.</w:t>
      </w:r>
      <w:r>
        <w:rPr>
          <w:lang w:val="fr-FR"/>
        </w:rPr>
        <w:tab/>
        <w:t xml:space="preserve">Dans le cadre de ce projet, une stratégie nationale pour la désinstitutionnalisation des enfants 2022-2036 est en cours d’élaboration. L’objectif de cette stratégie est de faciliter la transition entre un système de prise en charge des enfants reposant sur de grandes structures d’accueil et un système consistant à proposer toute une gamme de services intégrés, qui sont fournis au sein de la famille et de la communauté. </w:t>
      </w:r>
    </w:p>
    <w:p w14:paraId="2825099C" w14:textId="4B1D9271" w:rsidR="00161F02" w:rsidRPr="00806E3F" w:rsidRDefault="00161F02" w:rsidP="004B5A26">
      <w:pPr>
        <w:pStyle w:val="SingleTxtG"/>
        <w:spacing w:after="100"/>
      </w:pPr>
      <w:r>
        <w:rPr>
          <w:lang w:val="fr-FR"/>
        </w:rPr>
        <w:t>86.</w:t>
      </w:r>
      <w:r>
        <w:rPr>
          <w:lang w:val="fr-FR"/>
        </w:rPr>
        <w:tab/>
        <w:t>Le pays compte 16</w:t>
      </w:r>
      <w:r w:rsidR="004B5A26">
        <w:rPr>
          <w:lang w:val="fr-FR"/>
        </w:rPr>
        <w:t> </w:t>
      </w:r>
      <w:r>
        <w:rPr>
          <w:lang w:val="fr-FR"/>
        </w:rPr>
        <w:t>orphelinats et quatre villages d’enfants, où vivent 1 870</w:t>
      </w:r>
      <w:r w:rsidR="004B5A26">
        <w:rPr>
          <w:lang w:val="fr-FR"/>
        </w:rPr>
        <w:t> </w:t>
      </w:r>
      <w:r>
        <w:rPr>
          <w:lang w:val="fr-FR"/>
        </w:rPr>
        <w:t>enfants, dont 18</w:t>
      </w:r>
      <w:r w:rsidR="00B0330A">
        <w:rPr>
          <w:lang w:val="fr-FR"/>
        </w:rPr>
        <w:t> %</w:t>
      </w:r>
      <w:r>
        <w:rPr>
          <w:lang w:val="fr-FR"/>
        </w:rPr>
        <w:t xml:space="preserve"> seulement sont des orphelins. Le nombre d’institutions spécialisées a diminué, les foyers de Kokand et de </w:t>
      </w:r>
      <w:r w:rsidR="004B14A6">
        <w:rPr>
          <w:lang w:val="fr-FR"/>
        </w:rPr>
        <w:t>Samarcande</w:t>
      </w:r>
      <w:r>
        <w:rPr>
          <w:lang w:val="fr-FR"/>
        </w:rPr>
        <w:t xml:space="preserve"> et l’orphelinat du district de </w:t>
      </w:r>
      <w:proofErr w:type="spellStart"/>
      <w:r>
        <w:rPr>
          <w:lang w:val="fr-FR"/>
        </w:rPr>
        <w:t>Kitab</w:t>
      </w:r>
      <w:proofErr w:type="spellEnd"/>
      <w:r>
        <w:rPr>
          <w:lang w:val="fr-FR"/>
        </w:rPr>
        <w:t xml:space="preserve"> (région de </w:t>
      </w:r>
      <w:proofErr w:type="spellStart"/>
      <w:r>
        <w:rPr>
          <w:lang w:val="fr-FR"/>
        </w:rPr>
        <w:t>Kachkadaria</w:t>
      </w:r>
      <w:proofErr w:type="spellEnd"/>
      <w:r>
        <w:rPr>
          <w:lang w:val="fr-FR"/>
        </w:rPr>
        <w:t xml:space="preserve">) ayant fermé leurs portes. </w:t>
      </w:r>
    </w:p>
    <w:p w14:paraId="2FEE71BA" w14:textId="09030CCC" w:rsidR="00161F02" w:rsidRPr="00806E3F" w:rsidRDefault="00161F02" w:rsidP="004B5A26">
      <w:pPr>
        <w:pStyle w:val="SingleTxtG"/>
        <w:spacing w:after="100"/>
      </w:pPr>
      <w:r>
        <w:rPr>
          <w:lang w:val="fr-FR"/>
        </w:rPr>
        <w:t>87.</w:t>
      </w:r>
      <w:r>
        <w:rPr>
          <w:lang w:val="fr-FR"/>
        </w:rPr>
        <w:tab/>
        <w:t>Ces deux dernières années, 447</w:t>
      </w:r>
      <w:r w:rsidR="004B5A26">
        <w:rPr>
          <w:lang w:val="fr-FR"/>
        </w:rPr>
        <w:t> </w:t>
      </w:r>
      <w:r>
        <w:rPr>
          <w:lang w:val="fr-FR"/>
        </w:rPr>
        <w:t>enfants placés en institution ont été réintégrés dans leur famille et, rien qu’au premier trimestre de 2021, 80</w:t>
      </w:r>
      <w:r w:rsidR="004B5A26">
        <w:rPr>
          <w:lang w:val="fr-FR"/>
        </w:rPr>
        <w:t> </w:t>
      </w:r>
      <w:r>
        <w:rPr>
          <w:lang w:val="fr-FR"/>
        </w:rPr>
        <w:t>enfants placés dans les foyers « </w:t>
      </w:r>
      <w:proofErr w:type="spellStart"/>
      <w:r>
        <w:rPr>
          <w:lang w:val="fr-FR"/>
        </w:rPr>
        <w:t>Mekhribonlik</w:t>
      </w:r>
      <w:proofErr w:type="spellEnd"/>
      <w:r>
        <w:rPr>
          <w:lang w:val="fr-FR"/>
        </w:rPr>
        <w:t> » en ont été retirés. Le nombre d’enfants placés dans des orphelinats a diminué, passant de 496 en 2018 à 232 (soit une réduction de 47</w:t>
      </w:r>
      <w:r w:rsidR="00B0330A">
        <w:rPr>
          <w:lang w:val="fr-FR"/>
        </w:rPr>
        <w:t> %</w:t>
      </w:r>
      <w:r>
        <w:rPr>
          <w:lang w:val="fr-FR"/>
        </w:rPr>
        <w:t xml:space="preserve">). </w:t>
      </w:r>
    </w:p>
    <w:p w14:paraId="698DAE0E" w14:textId="08EF73E3" w:rsidR="00161F02" w:rsidRPr="00806E3F" w:rsidRDefault="00161F02" w:rsidP="004B5A26">
      <w:pPr>
        <w:pStyle w:val="H23G"/>
        <w:spacing w:after="100"/>
        <w:rPr>
          <w:i/>
        </w:rPr>
      </w:pPr>
      <w:r>
        <w:rPr>
          <w:lang w:val="fr-FR"/>
        </w:rPr>
        <w:tab/>
      </w:r>
      <w:r>
        <w:rPr>
          <w:lang w:val="fr-FR"/>
        </w:rPr>
        <w:tab/>
        <w:t>Renseignements concernant le paragraphe</w:t>
      </w:r>
      <w:r w:rsidR="007A46EE">
        <w:rPr>
          <w:lang w:val="fr-FR"/>
        </w:rPr>
        <w:t> </w:t>
      </w:r>
      <w:r>
        <w:rPr>
          <w:lang w:val="fr-FR"/>
        </w:rPr>
        <w:t>7</w:t>
      </w:r>
      <w:r w:rsidR="007A46EE">
        <w:rPr>
          <w:lang w:val="fr-FR"/>
        </w:rPr>
        <w:t> </w:t>
      </w:r>
      <w:r>
        <w:rPr>
          <w:lang w:val="fr-FR"/>
        </w:rPr>
        <w:t xml:space="preserve">b) de la liste de points </w:t>
      </w:r>
    </w:p>
    <w:p w14:paraId="7B5B45D8" w14:textId="6A69434F" w:rsidR="00161F02" w:rsidRPr="00806E3F" w:rsidRDefault="00161F02" w:rsidP="004B5A26">
      <w:pPr>
        <w:pStyle w:val="SingleTxtG"/>
        <w:spacing w:after="100"/>
      </w:pPr>
      <w:r>
        <w:rPr>
          <w:lang w:val="fr-FR"/>
        </w:rPr>
        <w:t>88.</w:t>
      </w:r>
      <w:r>
        <w:rPr>
          <w:lang w:val="fr-FR"/>
        </w:rPr>
        <w:tab/>
        <w:t xml:space="preserve">Un mécanisme national de protection des droits des enfants privés de soins parentaux a été mis en place à tous les niveaux du système des </w:t>
      </w:r>
      <w:proofErr w:type="spellStart"/>
      <w:r w:rsidRPr="00C0621C">
        <w:rPr>
          <w:i/>
          <w:iCs/>
          <w:lang w:val="fr-FR"/>
        </w:rPr>
        <w:t>khokimiyat</w:t>
      </w:r>
      <w:proofErr w:type="spellEnd"/>
      <w:r>
        <w:rPr>
          <w:lang w:val="fr-FR"/>
        </w:rPr>
        <w:t xml:space="preserve">. Ce mécanisme est composé de représentants de la Commission nationale des droits de l’enfant et de ses sections </w:t>
      </w:r>
      <w:r>
        <w:rPr>
          <w:lang w:val="fr-FR"/>
        </w:rPr>
        <w:lastRenderedPageBreak/>
        <w:t>régionales, des services de la protection de l’enfance du Secrétariat à l’éducation et à la santé du Cabinet des ministres, des secrétariats et des départements chargés de la protection des droits, des libertés et des intérêts légitimes des enfants et du Médiateur des enfants. Ces</w:t>
      </w:r>
      <w:r w:rsidR="004B5A26">
        <w:rPr>
          <w:lang w:val="fr-FR"/>
        </w:rPr>
        <w:t> </w:t>
      </w:r>
      <w:r>
        <w:rPr>
          <w:lang w:val="fr-FR"/>
        </w:rPr>
        <w:t xml:space="preserve">organes assurent la promotion de l’éducation des enfants au sein de la famille et le suivi de l’éducation des enfants placés en famille d’accueil et de la mise en œuvre des programmes de tutelle et de curatelle. </w:t>
      </w:r>
    </w:p>
    <w:p w14:paraId="77936BD9" w14:textId="272A299A" w:rsidR="00161F02" w:rsidRPr="00806E3F" w:rsidRDefault="00161F02" w:rsidP="00161F02">
      <w:pPr>
        <w:pStyle w:val="SingleTxtG"/>
      </w:pPr>
      <w:r>
        <w:rPr>
          <w:lang w:val="fr-FR"/>
        </w:rPr>
        <w:t>89.</w:t>
      </w:r>
      <w:r>
        <w:rPr>
          <w:lang w:val="fr-FR"/>
        </w:rPr>
        <w:tab/>
        <w:t xml:space="preserve">Afin de recenser et d’enregistrer les enfants privés de soins parentaux, un système électronique unifié dénommé </w:t>
      </w:r>
      <w:r w:rsidR="004B5A26">
        <w:rPr>
          <w:lang w:val="fr-FR"/>
        </w:rPr>
        <w:t>« </w:t>
      </w:r>
      <w:r>
        <w:rPr>
          <w:lang w:val="fr-FR"/>
        </w:rPr>
        <w:t>Protection de l’enfance</w:t>
      </w:r>
      <w:r w:rsidR="004B5A26">
        <w:rPr>
          <w:lang w:val="fr-FR"/>
        </w:rPr>
        <w:t> »</w:t>
      </w:r>
      <w:r>
        <w:rPr>
          <w:lang w:val="fr-FR"/>
        </w:rPr>
        <w:t xml:space="preserve"> a été lancé en août 2021, et un projet de loi sur la protection sociale des enfants privés de soins parentaux et des orphelins est en cours d’élaboration. En outre, il est prévu d’élargir la gamme des professions compatibles avec la fonction de tuteur ou de curateur, d’introduire des restrictions à la création de nouveaux orphelinats et de désinstitutionnaliser les enfants placés dans les institutions éducatives publiques, entre autres. </w:t>
      </w:r>
    </w:p>
    <w:p w14:paraId="6D9D51C0" w14:textId="337CE980" w:rsidR="00161F02" w:rsidRPr="00806E3F" w:rsidRDefault="00161F02" w:rsidP="004B5A26">
      <w:pPr>
        <w:pStyle w:val="H23G"/>
        <w:rPr>
          <w:i/>
        </w:rPr>
      </w:pPr>
      <w:r>
        <w:rPr>
          <w:lang w:val="fr-FR"/>
        </w:rPr>
        <w:tab/>
      </w:r>
      <w:r>
        <w:rPr>
          <w:lang w:val="fr-FR"/>
        </w:rPr>
        <w:tab/>
        <w:t>Renseignements concernant le paragraphe</w:t>
      </w:r>
      <w:r w:rsidR="00C0621C">
        <w:rPr>
          <w:lang w:val="fr-FR"/>
        </w:rPr>
        <w:t> </w:t>
      </w:r>
      <w:r>
        <w:rPr>
          <w:lang w:val="fr-FR"/>
        </w:rPr>
        <w:t>7</w:t>
      </w:r>
      <w:r w:rsidR="00C0621C">
        <w:rPr>
          <w:lang w:val="fr-FR"/>
        </w:rPr>
        <w:t> </w:t>
      </w:r>
      <w:r>
        <w:rPr>
          <w:lang w:val="fr-FR"/>
        </w:rPr>
        <w:t xml:space="preserve">c) de la liste de points </w:t>
      </w:r>
    </w:p>
    <w:p w14:paraId="47561E92" w14:textId="3F4D2E2A" w:rsidR="00161F02" w:rsidRPr="00806E3F" w:rsidRDefault="00161F02" w:rsidP="00161F02">
      <w:pPr>
        <w:pStyle w:val="SingleTxtG"/>
      </w:pPr>
      <w:r>
        <w:rPr>
          <w:lang w:val="fr-FR"/>
        </w:rPr>
        <w:t>90.</w:t>
      </w:r>
      <w:r>
        <w:rPr>
          <w:lang w:val="fr-FR"/>
        </w:rPr>
        <w:tab/>
        <w:t>Le 30</w:t>
      </w:r>
      <w:r w:rsidR="004B5A26">
        <w:rPr>
          <w:lang w:val="fr-FR"/>
        </w:rPr>
        <w:t> </w:t>
      </w:r>
      <w:r>
        <w:rPr>
          <w:lang w:val="fr-FR"/>
        </w:rPr>
        <w:t>septembre 2019, l’ordonnance gouvernementale relative au recours à des solutions de substitution dans le cadre de la prise en charge des orphelins et des enfants privés de soins parentaux, au renforcement de l’institution de la famille et à l’amélioration du système de prévention de l’abandon social a été adoptée. Le Centre national d’orientation professionnelle et d’évaluation psychopédagogique des élèves travaille régulièrement avec des enfants placés en institution.</w:t>
      </w:r>
    </w:p>
    <w:p w14:paraId="4DDFAF90" w14:textId="16394670" w:rsidR="00161F02" w:rsidRPr="00806E3F" w:rsidRDefault="00161F02" w:rsidP="00161F02">
      <w:pPr>
        <w:pStyle w:val="SingleTxtG"/>
      </w:pPr>
      <w:r>
        <w:rPr>
          <w:lang w:val="fr-FR"/>
        </w:rPr>
        <w:t>91.</w:t>
      </w:r>
      <w:r>
        <w:rPr>
          <w:lang w:val="fr-FR"/>
        </w:rPr>
        <w:tab/>
        <w:t xml:space="preserve">Afin de convertir progressivement les orphelinats en villages d’enfants et autres types d’établissements sociaux, l’orphelinat de </w:t>
      </w:r>
      <w:proofErr w:type="spellStart"/>
      <w:r>
        <w:rPr>
          <w:lang w:val="fr-FR"/>
        </w:rPr>
        <w:t>Zarafchan</w:t>
      </w:r>
      <w:proofErr w:type="spellEnd"/>
      <w:r>
        <w:rPr>
          <w:lang w:val="fr-FR"/>
        </w:rPr>
        <w:t xml:space="preserve">, qui se trouve dans la région de Navoï, a été transformé et est devenu le village d’enfants </w:t>
      </w:r>
      <w:proofErr w:type="spellStart"/>
      <w:r>
        <w:rPr>
          <w:lang w:val="fr-FR"/>
        </w:rPr>
        <w:t>Tomdi</w:t>
      </w:r>
      <w:proofErr w:type="spellEnd"/>
      <w:r>
        <w:rPr>
          <w:lang w:val="fr-FR"/>
        </w:rPr>
        <w:t xml:space="preserve">. Quatre nouveaux foyers de type familial pouvant accueillir 38 orphelins et enfants privés de soins parentaux ont été ouverts dans la région de </w:t>
      </w:r>
      <w:proofErr w:type="spellStart"/>
      <w:r>
        <w:rPr>
          <w:lang w:val="fr-FR"/>
        </w:rPr>
        <w:t>Khorezm</w:t>
      </w:r>
      <w:proofErr w:type="spellEnd"/>
      <w:r>
        <w:rPr>
          <w:lang w:val="fr-FR"/>
        </w:rPr>
        <w:t>. Le foyer « </w:t>
      </w:r>
      <w:proofErr w:type="spellStart"/>
      <w:r w:rsidRPr="001A4BB0">
        <w:rPr>
          <w:lang w:val="fr-FR"/>
        </w:rPr>
        <w:t>Mekhribonlik</w:t>
      </w:r>
      <w:proofErr w:type="spellEnd"/>
      <w:r>
        <w:rPr>
          <w:lang w:val="fr-FR"/>
        </w:rPr>
        <w:t xml:space="preserve"> » </w:t>
      </w:r>
      <w:r w:rsidR="004B5A26" w:rsidRPr="004B5A26">
        <w:rPr>
          <w:rFonts w:eastAsia="MS Mincho"/>
          <w:lang w:val="fr-FR"/>
        </w:rPr>
        <w:t>n</w:t>
      </w:r>
      <w:r w:rsidR="004B5A26" w:rsidRPr="004B5A26">
        <w:rPr>
          <w:rFonts w:eastAsia="MS Mincho"/>
          <w:vertAlign w:val="superscript"/>
          <w:lang w:val="fr-FR"/>
        </w:rPr>
        <w:t>o</w:t>
      </w:r>
      <w:r w:rsidR="004B5A26">
        <w:rPr>
          <w:lang w:val="fr-FR"/>
        </w:rPr>
        <w:t> </w:t>
      </w:r>
      <w:r>
        <w:rPr>
          <w:lang w:val="fr-FR"/>
        </w:rPr>
        <w:t xml:space="preserve">10 de </w:t>
      </w:r>
      <w:r w:rsidR="004B14A6">
        <w:rPr>
          <w:lang w:val="fr-FR"/>
        </w:rPr>
        <w:t>Samarcande</w:t>
      </w:r>
      <w:r>
        <w:rPr>
          <w:lang w:val="fr-FR"/>
        </w:rPr>
        <w:t xml:space="preserve"> et le foyer « </w:t>
      </w:r>
      <w:proofErr w:type="spellStart"/>
      <w:r w:rsidRPr="001A4BB0">
        <w:rPr>
          <w:lang w:val="fr-FR"/>
        </w:rPr>
        <w:t>Mekhribonlik</w:t>
      </w:r>
      <w:proofErr w:type="spellEnd"/>
      <w:r>
        <w:rPr>
          <w:lang w:val="fr-FR"/>
        </w:rPr>
        <w:t xml:space="preserve"> » </w:t>
      </w:r>
      <w:r w:rsidR="004B5A26" w:rsidRPr="004B5A26">
        <w:rPr>
          <w:rFonts w:eastAsia="MS Mincho"/>
          <w:lang w:val="fr-FR"/>
        </w:rPr>
        <w:t>n</w:t>
      </w:r>
      <w:r w:rsidR="004B5A26" w:rsidRPr="004B5A26">
        <w:rPr>
          <w:rFonts w:eastAsia="MS Mincho"/>
          <w:vertAlign w:val="superscript"/>
          <w:lang w:val="fr-FR"/>
        </w:rPr>
        <w:t>o</w:t>
      </w:r>
      <w:r w:rsidR="004B5A26">
        <w:rPr>
          <w:lang w:val="fr-FR"/>
        </w:rPr>
        <w:t> </w:t>
      </w:r>
      <w:r>
        <w:rPr>
          <w:lang w:val="fr-FR"/>
        </w:rPr>
        <w:t xml:space="preserve">5 du district de </w:t>
      </w:r>
      <w:proofErr w:type="spellStart"/>
      <w:r>
        <w:rPr>
          <w:lang w:val="fr-FR"/>
        </w:rPr>
        <w:t>Kitab</w:t>
      </w:r>
      <w:proofErr w:type="spellEnd"/>
      <w:r>
        <w:rPr>
          <w:lang w:val="fr-FR"/>
        </w:rPr>
        <w:t xml:space="preserve">, dans la région de </w:t>
      </w:r>
      <w:proofErr w:type="spellStart"/>
      <w:r>
        <w:rPr>
          <w:lang w:val="fr-FR"/>
        </w:rPr>
        <w:t>Kachkadaria</w:t>
      </w:r>
      <w:proofErr w:type="spellEnd"/>
      <w:r w:rsidR="00B8610D">
        <w:rPr>
          <w:lang w:val="fr-FR"/>
        </w:rPr>
        <w:t xml:space="preserve">, </w:t>
      </w:r>
      <w:r>
        <w:rPr>
          <w:lang w:val="fr-FR"/>
        </w:rPr>
        <w:t xml:space="preserve">ont fermé. </w:t>
      </w:r>
    </w:p>
    <w:p w14:paraId="195F1011" w14:textId="178EE21B" w:rsidR="00161F02" w:rsidRPr="00806E3F" w:rsidRDefault="00161F02" w:rsidP="00161F02">
      <w:pPr>
        <w:pStyle w:val="SingleTxtG"/>
      </w:pPr>
      <w:r>
        <w:rPr>
          <w:lang w:val="fr-FR"/>
        </w:rPr>
        <w:t>92.</w:t>
      </w:r>
      <w:r>
        <w:rPr>
          <w:lang w:val="fr-FR"/>
        </w:rPr>
        <w:tab/>
        <w:t>Des activités concrètes sont menées dans les régions de Tachkent et de Fergana en afin d’y créer des foyers pour enfants de type familial. Des cours de formation ont été dispensés à 232</w:t>
      </w:r>
      <w:r w:rsidR="004B5A26">
        <w:rPr>
          <w:lang w:val="fr-FR"/>
        </w:rPr>
        <w:t> </w:t>
      </w:r>
      <w:r>
        <w:rPr>
          <w:lang w:val="fr-FR"/>
        </w:rPr>
        <w:t>particuliers qui s’étaient dit intéressés par la formation destinée aux familles d’accueil et 121</w:t>
      </w:r>
      <w:r w:rsidR="004B5A26">
        <w:rPr>
          <w:lang w:val="fr-FR"/>
        </w:rPr>
        <w:t> </w:t>
      </w:r>
      <w:r>
        <w:rPr>
          <w:lang w:val="fr-FR"/>
        </w:rPr>
        <w:t>personnes ont obtenu un certificat à l’issue de ces cours.</w:t>
      </w:r>
    </w:p>
    <w:p w14:paraId="6EF80D1A" w14:textId="59453118" w:rsidR="00161F02" w:rsidRPr="00806E3F" w:rsidRDefault="00161F02" w:rsidP="00161F02">
      <w:pPr>
        <w:pStyle w:val="H23G"/>
        <w:rPr>
          <w:b w:val="0"/>
          <w:i/>
        </w:rPr>
      </w:pPr>
      <w:r>
        <w:rPr>
          <w:lang w:val="fr-FR"/>
        </w:rPr>
        <w:tab/>
      </w:r>
      <w:r>
        <w:rPr>
          <w:lang w:val="fr-FR"/>
        </w:rPr>
        <w:tab/>
      </w:r>
      <w:r>
        <w:rPr>
          <w:bCs/>
          <w:lang w:val="fr-FR"/>
        </w:rPr>
        <w:t>Renseignements concernant le paragraphe</w:t>
      </w:r>
      <w:r w:rsidR="00B8610D">
        <w:rPr>
          <w:bCs/>
          <w:lang w:val="fr-FR"/>
        </w:rPr>
        <w:t> </w:t>
      </w:r>
      <w:r>
        <w:rPr>
          <w:bCs/>
          <w:lang w:val="fr-FR"/>
        </w:rPr>
        <w:t>8</w:t>
      </w:r>
      <w:r w:rsidR="00B8610D">
        <w:rPr>
          <w:bCs/>
          <w:lang w:val="fr-FR"/>
        </w:rPr>
        <w:t> </w:t>
      </w:r>
      <w:r>
        <w:rPr>
          <w:bCs/>
          <w:lang w:val="fr-FR"/>
        </w:rPr>
        <w:t>a) de la liste de points</w:t>
      </w:r>
      <w:r>
        <w:rPr>
          <w:lang w:val="fr-FR"/>
        </w:rPr>
        <w:t xml:space="preserve"> </w:t>
      </w:r>
    </w:p>
    <w:p w14:paraId="3D1B8FBD" w14:textId="77777777" w:rsidR="00161F02" w:rsidRPr="00806E3F" w:rsidRDefault="00161F02" w:rsidP="00161F02">
      <w:pPr>
        <w:pStyle w:val="SingleTxtG"/>
      </w:pPr>
      <w:r>
        <w:rPr>
          <w:lang w:val="fr-FR"/>
        </w:rPr>
        <w:t>93.</w:t>
      </w:r>
      <w:r>
        <w:rPr>
          <w:lang w:val="fr-FR"/>
        </w:rPr>
        <w:tab/>
        <w:t xml:space="preserve">La loi relative aux droits des personnes handicapées a été adoptée en octobre 2020. Un conseil interministériel pour les personnes handicapées, composé de représentants d’organes gouvernementaux et d’organisations de la société civile a été créé. </w:t>
      </w:r>
    </w:p>
    <w:p w14:paraId="656611B6" w14:textId="0870A199" w:rsidR="00161F02" w:rsidRPr="00806E3F" w:rsidRDefault="00161F02" w:rsidP="00161F02">
      <w:pPr>
        <w:pStyle w:val="SingleTxtG"/>
      </w:pPr>
      <w:r>
        <w:rPr>
          <w:lang w:val="fr-FR"/>
        </w:rPr>
        <w:t>94.</w:t>
      </w:r>
      <w:r>
        <w:rPr>
          <w:lang w:val="fr-FR"/>
        </w:rPr>
        <w:tab/>
        <w:t>L’Ouzbékistan a ratifié la Convention des Nations Unies relative aux droits des personnes handicapées le 7</w:t>
      </w:r>
      <w:r w:rsidR="004B5A26">
        <w:rPr>
          <w:lang w:val="fr-FR"/>
        </w:rPr>
        <w:t> </w:t>
      </w:r>
      <w:r>
        <w:rPr>
          <w:lang w:val="fr-FR"/>
        </w:rPr>
        <w:t>juin 2021. Un projet de plan d’action national a été élaboré aux fins de l’application de cette convention dans le pays.</w:t>
      </w:r>
    </w:p>
    <w:p w14:paraId="17C25AF8" w14:textId="7812B5AA" w:rsidR="00161F02" w:rsidRPr="00806E3F" w:rsidRDefault="00161F02" w:rsidP="00161F02">
      <w:pPr>
        <w:pStyle w:val="H23G"/>
        <w:rPr>
          <w:b w:val="0"/>
          <w:i/>
        </w:rPr>
      </w:pPr>
      <w:r>
        <w:rPr>
          <w:lang w:val="fr-FR"/>
        </w:rPr>
        <w:tab/>
      </w:r>
      <w:r>
        <w:rPr>
          <w:lang w:val="fr-FR"/>
        </w:rPr>
        <w:tab/>
      </w:r>
      <w:r>
        <w:rPr>
          <w:bCs/>
          <w:lang w:val="fr-FR"/>
        </w:rPr>
        <w:t>Renseignements concernant le paragraphe</w:t>
      </w:r>
      <w:r w:rsidR="00CD7B9C">
        <w:rPr>
          <w:lang w:val="fr-FR"/>
        </w:rPr>
        <w:t> </w:t>
      </w:r>
      <w:r>
        <w:rPr>
          <w:bCs/>
          <w:lang w:val="fr-FR"/>
        </w:rPr>
        <w:t>8</w:t>
      </w:r>
      <w:r w:rsidR="00CD7B9C">
        <w:rPr>
          <w:lang w:val="fr-FR"/>
        </w:rPr>
        <w:t> </w:t>
      </w:r>
      <w:r>
        <w:rPr>
          <w:bCs/>
          <w:lang w:val="fr-FR"/>
        </w:rPr>
        <w:t>b) de la liste de points</w:t>
      </w:r>
      <w:r>
        <w:rPr>
          <w:lang w:val="fr-FR"/>
        </w:rPr>
        <w:t xml:space="preserve"> </w:t>
      </w:r>
    </w:p>
    <w:p w14:paraId="1628AC7F" w14:textId="2779D3E4" w:rsidR="00161F02" w:rsidRPr="00806E3F" w:rsidRDefault="00161F02" w:rsidP="00161F02">
      <w:pPr>
        <w:pStyle w:val="SingleTxtG"/>
      </w:pPr>
      <w:r>
        <w:rPr>
          <w:lang w:val="fr-FR"/>
        </w:rPr>
        <w:t>95.</w:t>
      </w:r>
      <w:r>
        <w:rPr>
          <w:lang w:val="fr-FR"/>
        </w:rPr>
        <w:tab/>
        <w:t>On trouvera ci-après des statistiques sur le nombre de personnes handicapées, y</w:t>
      </w:r>
      <w:r w:rsidR="004B5A26">
        <w:rPr>
          <w:lang w:val="fr-FR"/>
        </w:rPr>
        <w:t> </w:t>
      </w:r>
      <w:r>
        <w:rPr>
          <w:lang w:val="fr-FR"/>
        </w:rPr>
        <w:t>compris d’enfants handicapés, vivant en Ouzbékistan</w:t>
      </w:r>
      <w:r w:rsidR="005579CA">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2534"/>
        <w:gridCol w:w="1855"/>
        <w:gridCol w:w="1438"/>
        <w:gridCol w:w="1543"/>
      </w:tblGrid>
      <w:tr w:rsidR="00161F02" w:rsidRPr="00CD7B9C" w14:paraId="7BCAB8CB" w14:textId="77777777" w:rsidTr="00CD7B9C">
        <w:trPr>
          <w:tblHeader/>
        </w:trPr>
        <w:tc>
          <w:tcPr>
            <w:tcW w:w="2534" w:type="dxa"/>
            <w:tcBorders>
              <w:top w:val="single" w:sz="4" w:space="0" w:color="auto"/>
              <w:bottom w:val="single" w:sz="12" w:space="0" w:color="auto"/>
            </w:tcBorders>
            <w:shd w:val="clear" w:color="auto" w:fill="auto"/>
            <w:vAlign w:val="bottom"/>
          </w:tcPr>
          <w:p w14:paraId="316E33CB" w14:textId="77777777" w:rsidR="00161F02" w:rsidRPr="00CD7B9C" w:rsidRDefault="00161F02" w:rsidP="00CD7B9C">
            <w:pPr>
              <w:suppressAutoHyphens w:val="0"/>
              <w:spacing w:before="80" w:after="80" w:line="200" w:lineRule="exact"/>
              <w:rPr>
                <w:i/>
                <w:sz w:val="16"/>
              </w:rPr>
            </w:pPr>
          </w:p>
        </w:tc>
        <w:tc>
          <w:tcPr>
            <w:tcW w:w="1855" w:type="dxa"/>
            <w:tcBorders>
              <w:top w:val="single" w:sz="4" w:space="0" w:color="auto"/>
              <w:bottom w:val="single" w:sz="12" w:space="0" w:color="auto"/>
            </w:tcBorders>
            <w:shd w:val="clear" w:color="auto" w:fill="auto"/>
            <w:vAlign w:val="bottom"/>
          </w:tcPr>
          <w:p w14:paraId="6BC5BA4D" w14:textId="77777777" w:rsidR="00161F02" w:rsidRPr="00CD7B9C" w:rsidRDefault="00161F02" w:rsidP="00CD7B9C">
            <w:pPr>
              <w:suppressAutoHyphens w:val="0"/>
              <w:spacing w:before="80" w:after="80" w:line="200" w:lineRule="exact"/>
              <w:jc w:val="right"/>
              <w:rPr>
                <w:i/>
                <w:sz w:val="16"/>
              </w:rPr>
            </w:pPr>
            <w:r w:rsidRPr="00CD7B9C">
              <w:rPr>
                <w:i/>
                <w:iCs/>
                <w:sz w:val="16"/>
                <w:lang w:val="fr-FR"/>
              </w:rPr>
              <w:t>2020</w:t>
            </w:r>
            <w:r w:rsidRPr="00CD7B9C">
              <w:rPr>
                <w:i/>
                <w:sz w:val="16"/>
                <w:lang w:val="fr-FR"/>
              </w:rPr>
              <w:t xml:space="preserve"> </w:t>
            </w:r>
          </w:p>
        </w:tc>
        <w:tc>
          <w:tcPr>
            <w:tcW w:w="1438" w:type="dxa"/>
            <w:tcBorders>
              <w:top w:val="single" w:sz="4" w:space="0" w:color="auto"/>
              <w:bottom w:val="single" w:sz="12" w:space="0" w:color="auto"/>
            </w:tcBorders>
            <w:shd w:val="clear" w:color="auto" w:fill="auto"/>
            <w:vAlign w:val="bottom"/>
          </w:tcPr>
          <w:p w14:paraId="1B8907B9" w14:textId="77777777" w:rsidR="00161F02" w:rsidRPr="00CD7B9C" w:rsidRDefault="00161F02" w:rsidP="00CD7B9C">
            <w:pPr>
              <w:suppressAutoHyphens w:val="0"/>
              <w:spacing w:before="80" w:after="80" w:line="200" w:lineRule="exact"/>
              <w:jc w:val="right"/>
              <w:rPr>
                <w:i/>
                <w:sz w:val="16"/>
              </w:rPr>
            </w:pPr>
            <w:r w:rsidRPr="00CD7B9C">
              <w:rPr>
                <w:i/>
                <w:iCs/>
                <w:sz w:val="16"/>
                <w:lang w:val="fr-FR"/>
              </w:rPr>
              <w:t>2019</w:t>
            </w:r>
          </w:p>
        </w:tc>
        <w:tc>
          <w:tcPr>
            <w:tcW w:w="1543" w:type="dxa"/>
            <w:tcBorders>
              <w:top w:val="single" w:sz="4" w:space="0" w:color="auto"/>
              <w:bottom w:val="single" w:sz="12" w:space="0" w:color="auto"/>
            </w:tcBorders>
            <w:shd w:val="clear" w:color="auto" w:fill="auto"/>
            <w:vAlign w:val="bottom"/>
          </w:tcPr>
          <w:p w14:paraId="72F9FF79" w14:textId="77777777" w:rsidR="00161F02" w:rsidRPr="00CD7B9C" w:rsidRDefault="00161F02" w:rsidP="00CD7B9C">
            <w:pPr>
              <w:suppressAutoHyphens w:val="0"/>
              <w:spacing w:before="80" w:after="80" w:line="200" w:lineRule="exact"/>
              <w:jc w:val="right"/>
              <w:rPr>
                <w:i/>
                <w:sz w:val="16"/>
              </w:rPr>
            </w:pPr>
            <w:r w:rsidRPr="00CD7B9C">
              <w:rPr>
                <w:i/>
                <w:iCs/>
                <w:sz w:val="16"/>
                <w:lang w:val="fr-FR"/>
              </w:rPr>
              <w:t>2018</w:t>
            </w:r>
          </w:p>
        </w:tc>
      </w:tr>
      <w:tr w:rsidR="00433C03" w:rsidRPr="00CD7B9C" w14:paraId="22C2F6ED" w14:textId="77777777" w:rsidTr="00482A38">
        <w:tc>
          <w:tcPr>
            <w:tcW w:w="2534" w:type="dxa"/>
            <w:tcBorders>
              <w:top w:val="single" w:sz="4" w:space="0" w:color="auto"/>
              <w:bottom w:val="single" w:sz="12" w:space="0" w:color="auto"/>
            </w:tcBorders>
            <w:shd w:val="clear" w:color="auto" w:fill="auto"/>
          </w:tcPr>
          <w:p w14:paraId="6DBE6C82" w14:textId="77777777" w:rsidR="00433C03" w:rsidRPr="00CD7B9C" w:rsidRDefault="00433C03" w:rsidP="00482A38">
            <w:pPr>
              <w:suppressAutoHyphens w:val="0"/>
              <w:spacing w:before="80" w:after="80" w:line="220" w:lineRule="exact"/>
              <w:ind w:left="284"/>
              <w:rPr>
                <w:b/>
                <w:sz w:val="18"/>
              </w:rPr>
            </w:pPr>
            <w:r w:rsidRPr="00CD7B9C">
              <w:rPr>
                <w:b/>
                <w:bCs/>
                <w:sz w:val="18"/>
                <w:lang w:val="fr-FR"/>
              </w:rPr>
              <w:t>Total</w:t>
            </w:r>
          </w:p>
        </w:tc>
        <w:tc>
          <w:tcPr>
            <w:tcW w:w="1855" w:type="dxa"/>
            <w:tcBorders>
              <w:top w:val="single" w:sz="4" w:space="0" w:color="auto"/>
              <w:bottom w:val="single" w:sz="12" w:space="0" w:color="auto"/>
            </w:tcBorders>
            <w:shd w:val="clear" w:color="auto" w:fill="auto"/>
            <w:vAlign w:val="bottom"/>
          </w:tcPr>
          <w:p w14:paraId="3D55963C" w14:textId="77777777" w:rsidR="00433C03" w:rsidRPr="00CD7B9C" w:rsidRDefault="00433C03" w:rsidP="00482A38">
            <w:pPr>
              <w:suppressAutoHyphens w:val="0"/>
              <w:spacing w:before="40" w:after="40" w:line="220" w:lineRule="exact"/>
              <w:jc w:val="right"/>
              <w:rPr>
                <w:b/>
                <w:sz w:val="18"/>
              </w:rPr>
            </w:pPr>
            <w:r w:rsidRPr="00CD7B9C">
              <w:rPr>
                <w:b/>
                <w:bCs/>
                <w:sz w:val="18"/>
                <w:lang w:val="fr-FR"/>
              </w:rPr>
              <w:t>758 253</w:t>
            </w:r>
          </w:p>
        </w:tc>
        <w:tc>
          <w:tcPr>
            <w:tcW w:w="1438" w:type="dxa"/>
            <w:tcBorders>
              <w:top w:val="single" w:sz="4" w:space="0" w:color="auto"/>
              <w:bottom w:val="single" w:sz="12" w:space="0" w:color="auto"/>
            </w:tcBorders>
            <w:shd w:val="clear" w:color="auto" w:fill="auto"/>
            <w:vAlign w:val="bottom"/>
          </w:tcPr>
          <w:p w14:paraId="177161ED" w14:textId="77777777" w:rsidR="00433C03" w:rsidRPr="00CD7B9C" w:rsidRDefault="00433C03" w:rsidP="00482A38">
            <w:pPr>
              <w:suppressAutoHyphens w:val="0"/>
              <w:spacing w:before="40" w:after="40" w:line="220" w:lineRule="exact"/>
              <w:jc w:val="right"/>
              <w:rPr>
                <w:b/>
                <w:sz w:val="18"/>
              </w:rPr>
            </w:pPr>
            <w:r w:rsidRPr="00CD7B9C">
              <w:rPr>
                <w:b/>
                <w:bCs/>
                <w:sz w:val="18"/>
                <w:lang w:val="fr-FR"/>
              </w:rPr>
              <w:t>740 707</w:t>
            </w:r>
          </w:p>
        </w:tc>
        <w:tc>
          <w:tcPr>
            <w:tcW w:w="1543" w:type="dxa"/>
            <w:tcBorders>
              <w:top w:val="single" w:sz="4" w:space="0" w:color="auto"/>
              <w:bottom w:val="single" w:sz="12" w:space="0" w:color="auto"/>
            </w:tcBorders>
            <w:shd w:val="clear" w:color="auto" w:fill="auto"/>
            <w:vAlign w:val="bottom"/>
          </w:tcPr>
          <w:p w14:paraId="73C68AAD" w14:textId="77777777" w:rsidR="00433C03" w:rsidRPr="00CD7B9C" w:rsidRDefault="00433C03" w:rsidP="00482A38">
            <w:pPr>
              <w:suppressAutoHyphens w:val="0"/>
              <w:spacing w:before="40" w:after="40" w:line="220" w:lineRule="exact"/>
              <w:jc w:val="right"/>
              <w:rPr>
                <w:b/>
                <w:sz w:val="18"/>
              </w:rPr>
            </w:pPr>
            <w:r w:rsidRPr="00CD7B9C">
              <w:rPr>
                <w:b/>
                <w:bCs/>
                <w:sz w:val="18"/>
                <w:lang w:val="fr-FR"/>
              </w:rPr>
              <w:t>709 844</w:t>
            </w:r>
          </w:p>
        </w:tc>
      </w:tr>
      <w:tr w:rsidR="00161F02" w:rsidRPr="00CD7B9C" w14:paraId="17483464" w14:textId="77777777" w:rsidTr="00CD7B9C">
        <w:tc>
          <w:tcPr>
            <w:tcW w:w="2534" w:type="dxa"/>
            <w:shd w:val="clear" w:color="auto" w:fill="auto"/>
          </w:tcPr>
          <w:p w14:paraId="602C1CF2" w14:textId="77777777" w:rsidR="00161F02" w:rsidRPr="00CD7B9C" w:rsidRDefault="00161F02" w:rsidP="00CD7B9C">
            <w:pPr>
              <w:suppressAutoHyphens w:val="0"/>
              <w:spacing w:before="40" w:after="40" w:line="220" w:lineRule="exact"/>
              <w:rPr>
                <w:sz w:val="18"/>
              </w:rPr>
            </w:pPr>
            <w:r w:rsidRPr="00CD7B9C">
              <w:rPr>
                <w:sz w:val="18"/>
                <w:lang w:val="fr-FR"/>
              </w:rPr>
              <w:t xml:space="preserve">Nombre d’enfants handicapés </w:t>
            </w:r>
          </w:p>
        </w:tc>
        <w:tc>
          <w:tcPr>
            <w:tcW w:w="1855" w:type="dxa"/>
            <w:shd w:val="clear" w:color="auto" w:fill="auto"/>
            <w:vAlign w:val="bottom"/>
          </w:tcPr>
          <w:p w14:paraId="175F4FAD" w14:textId="77777777" w:rsidR="00161F02" w:rsidRPr="00CD7B9C" w:rsidRDefault="00161F02" w:rsidP="00CD7B9C">
            <w:pPr>
              <w:suppressAutoHyphens w:val="0"/>
              <w:spacing w:before="40" w:after="40" w:line="220" w:lineRule="exact"/>
              <w:jc w:val="right"/>
              <w:rPr>
                <w:sz w:val="18"/>
              </w:rPr>
            </w:pPr>
            <w:r w:rsidRPr="00CD7B9C">
              <w:rPr>
                <w:sz w:val="18"/>
                <w:lang w:val="fr-FR"/>
              </w:rPr>
              <w:t>115 406</w:t>
            </w:r>
          </w:p>
        </w:tc>
        <w:tc>
          <w:tcPr>
            <w:tcW w:w="1438" w:type="dxa"/>
            <w:shd w:val="clear" w:color="auto" w:fill="auto"/>
            <w:vAlign w:val="bottom"/>
          </w:tcPr>
          <w:p w14:paraId="3E805892" w14:textId="77777777" w:rsidR="00161F02" w:rsidRPr="00CD7B9C" w:rsidRDefault="00161F02" w:rsidP="00CD7B9C">
            <w:pPr>
              <w:suppressAutoHyphens w:val="0"/>
              <w:spacing w:before="40" w:after="40" w:line="220" w:lineRule="exact"/>
              <w:jc w:val="right"/>
              <w:rPr>
                <w:sz w:val="18"/>
              </w:rPr>
            </w:pPr>
            <w:r w:rsidRPr="00CD7B9C">
              <w:rPr>
                <w:sz w:val="18"/>
                <w:lang w:val="fr-FR"/>
              </w:rPr>
              <w:t>10 973</w:t>
            </w:r>
          </w:p>
        </w:tc>
        <w:tc>
          <w:tcPr>
            <w:tcW w:w="1543" w:type="dxa"/>
            <w:shd w:val="clear" w:color="auto" w:fill="auto"/>
            <w:vAlign w:val="bottom"/>
          </w:tcPr>
          <w:p w14:paraId="5CD29FC5" w14:textId="77777777" w:rsidR="00161F02" w:rsidRPr="00CD7B9C" w:rsidRDefault="00161F02" w:rsidP="00CD7B9C">
            <w:pPr>
              <w:suppressAutoHyphens w:val="0"/>
              <w:spacing w:before="40" w:after="40" w:line="220" w:lineRule="exact"/>
              <w:jc w:val="right"/>
              <w:rPr>
                <w:sz w:val="18"/>
              </w:rPr>
            </w:pPr>
            <w:r w:rsidRPr="00CD7B9C">
              <w:rPr>
                <w:sz w:val="18"/>
                <w:lang w:val="fr-FR"/>
              </w:rPr>
              <w:t>101 316</w:t>
            </w:r>
          </w:p>
        </w:tc>
      </w:tr>
      <w:tr w:rsidR="00161F02" w:rsidRPr="00CD7B9C" w14:paraId="0EF6E8E9" w14:textId="77777777" w:rsidTr="00433C03">
        <w:tc>
          <w:tcPr>
            <w:tcW w:w="2534" w:type="dxa"/>
            <w:shd w:val="clear" w:color="auto" w:fill="auto"/>
          </w:tcPr>
          <w:p w14:paraId="480EA26A" w14:textId="77777777" w:rsidR="00161F02" w:rsidRPr="00CD7B9C" w:rsidRDefault="00161F02" w:rsidP="00CD7B9C">
            <w:pPr>
              <w:suppressAutoHyphens w:val="0"/>
              <w:spacing w:before="40" w:after="40" w:line="220" w:lineRule="exact"/>
              <w:ind w:left="170"/>
              <w:rPr>
                <w:iCs/>
                <w:sz w:val="18"/>
              </w:rPr>
            </w:pPr>
            <w:r w:rsidRPr="00CD7B9C">
              <w:rPr>
                <w:sz w:val="18"/>
                <w:lang w:val="fr-FR"/>
              </w:rPr>
              <w:t xml:space="preserve">Garçons </w:t>
            </w:r>
          </w:p>
        </w:tc>
        <w:tc>
          <w:tcPr>
            <w:tcW w:w="1855" w:type="dxa"/>
            <w:shd w:val="clear" w:color="auto" w:fill="auto"/>
            <w:vAlign w:val="bottom"/>
          </w:tcPr>
          <w:p w14:paraId="74799E49" w14:textId="77777777" w:rsidR="00161F02" w:rsidRPr="00CD7B9C" w:rsidRDefault="00161F02" w:rsidP="00CD7B9C">
            <w:pPr>
              <w:suppressAutoHyphens w:val="0"/>
              <w:spacing w:before="40" w:after="40" w:line="220" w:lineRule="exact"/>
              <w:jc w:val="right"/>
              <w:rPr>
                <w:sz w:val="18"/>
              </w:rPr>
            </w:pPr>
            <w:r w:rsidRPr="00CD7B9C">
              <w:rPr>
                <w:sz w:val="18"/>
                <w:lang w:val="fr-FR"/>
              </w:rPr>
              <w:t>64 790</w:t>
            </w:r>
          </w:p>
        </w:tc>
        <w:tc>
          <w:tcPr>
            <w:tcW w:w="1438" w:type="dxa"/>
            <w:shd w:val="clear" w:color="auto" w:fill="auto"/>
            <w:vAlign w:val="bottom"/>
          </w:tcPr>
          <w:p w14:paraId="78BA584B" w14:textId="77777777" w:rsidR="00161F02" w:rsidRPr="00CD7B9C" w:rsidRDefault="00161F02" w:rsidP="00CD7B9C">
            <w:pPr>
              <w:suppressAutoHyphens w:val="0"/>
              <w:spacing w:before="40" w:after="40" w:line="220" w:lineRule="exact"/>
              <w:jc w:val="right"/>
              <w:rPr>
                <w:sz w:val="18"/>
              </w:rPr>
            </w:pPr>
            <w:r w:rsidRPr="00CD7B9C">
              <w:rPr>
                <w:sz w:val="18"/>
                <w:lang w:val="fr-FR"/>
              </w:rPr>
              <w:t>62 177</w:t>
            </w:r>
          </w:p>
        </w:tc>
        <w:tc>
          <w:tcPr>
            <w:tcW w:w="1543" w:type="dxa"/>
            <w:shd w:val="clear" w:color="auto" w:fill="auto"/>
            <w:vAlign w:val="bottom"/>
          </w:tcPr>
          <w:p w14:paraId="1FDA262A" w14:textId="77777777" w:rsidR="00161F02" w:rsidRPr="00CD7B9C" w:rsidRDefault="00161F02" w:rsidP="00CD7B9C">
            <w:pPr>
              <w:suppressAutoHyphens w:val="0"/>
              <w:spacing w:before="40" w:after="40" w:line="220" w:lineRule="exact"/>
              <w:jc w:val="right"/>
              <w:rPr>
                <w:sz w:val="18"/>
              </w:rPr>
            </w:pPr>
            <w:r w:rsidRPr="00CD7B9C">
              <w:rPr>
                <w:sz w:val="18"/>
                <w:lang w:val="fr-FR"/>
              </w:rPr>
              <w:t>56 737</w:t>
            </w:r>
          </w:p>
        </w:tc>
      </w:tr>
      <w:tr w:rsidR="00CD7B9C" w:rsidRPr="00CD7B9C" w14:paraId="302BD3E0" w14:textId="77777777" w:rsidTr="00433C03">
        <w:tc>
          <w:tcPr>
            <w:tcW w:w="2534" w:type="dxa"/>
            <w:tcBorders>
              <w:bottom w:val="single" w:sz="12" w:space="0" w:color="auto"/>
            </w:tcBorders>
            <w:shd w:val="clear" w:color="auto" w:fill="auto"/>
          </w:tcPr>
          <w:p w14:paraId="3151E958" w14:textId="77777777" w:rsidR="00161F02" w:rsidRPr="00CD7B9C" w:rsidRDefault="00161F02" w:rsidP="00CD7B9C">
            <w:pPr>
              <w:suppressAutoHyphens w:val="0"/>
              <w:spacing w:before="40" w:after="40" w:line="220" w:lineRule="exact"/>
              <w:ind w:left="170"/>
              <w:rPr>
                <w:iCs/>
                <w:sz w:val="18"/>
              </w:rPr>
            </w:pPr>
            <w:r w:rsidRPr="00CD7B9C">
              <w:rPr>
                <w:sz w:val="18"/>
                <w:lang w:val="fr-FR"/>
              </w:rPr>
              <w:t>Filles</w:t>
            </w:r>
          </w:p>
        </w:tc>
        <w:tc>
          <w:tcPr>
            <w:tcW w:w="1855" w:type="dxa"/>
            <w:tcBorders>
              <w:bottom w:val="single" w:sz="12" w:space="0" w:color="auto"/>
            </w:tcBorders>
            <w:shd w:val="clear" w:color="auto" w:fill="auto"/>
            <w:vAlign w:val="bottom"/>
          </w:tcPr>
          <w:p w14:paraId="2E719F60" w14:textId="77777777" w:rsidR="00161F02" w:rsidRPr="00CD7B9C" w:rsidRDefault="00161F02" w:rsidP="00CD7B9C">
            <w:pPr>
              <w:suppressAutoHyphens w:val="0"/>
              <w:spacing w:before="40" w:after="40" w:line="220" w:lineRule="exact"/>
              <w:jc w:val="right"/>
              <w:rPr>
                <w:sz w:val="18"/>
              </w:rPr>
            </w:pPr>
            <w:r w:rsidRPr="00CD7B9C">
              <w:rPr>
                <w:sz w:val="18"/>
                <w:lang w:val="fr-FR"/>
              </w:rPr>
              <w:t>50 616</w:t>
            </w:r>
          </w:p>
        </w:tc>
        <w:tc>
          <w:tcPr>
            <w:tcW w:w="1438" w:type="dxa"/>
            <w:tcBorders>
              <w:bottom w:val="single" w:sz="12" w:space="0" w:color="auto"/>
            </w:tcBorders>
            <w:shd w:val="clear" w:color="auto" w:fill="auto"/>
            <w:vAlign w:val="bottom"/>
          </w:tcPr>
          <w:p w14:paraId="57FBE783" w14:textId="77777777" w:rsidR="00161F02" w:rsidRPr="00CD7B9C" w:rsidRDefault="00161F02" w:rsidP="00CD7B9C">
            <w:pPr>
              <w:suppressAutoHyphens w:val="0"/>
              <w:spacing w:before="40" w:after="40" w:line="220" w:lineRule="exact"/>
              <w:jc w:val="right"/>
              <w:rPr>
                <w:sz w:val="18"/>
              </w:rPr>
            </w:pPr>
            <w:r w:rsidRPr="00CD7B9C">
              <w:rPr>
                <w:sz w:val="18"/>
                <w:lang w:val="fr-FR"/>
              </w:rPr>
              <w:t>47 506</w:t>
            </w:r>
          </w:p>
        </w:tc>
        <w:tc>
          <w:tcPr>
            <w:tcW w:w="1543" w:type="dxa"/>
            <w:tcBorders>
              <w:bottom w:val="single" w:sz="12" w:space="0" w:color="auto"/>
            </w:tcBorders>
            <w:shd w:val="clear" w:color="auto" w:fill="auto"/>
            <w:vAlign w:val="bottom"/>
          </w:tcPr>
          <w:p w14:paraId="75ED6AEC" w14:textId="77777777" w:rsidR="00161F02" w:rsidRPr="00CD7B9C" w:rsidRDefault="00161F02" w:rsidP="00CD7B9C">
            <w:pPr>
              <w:suppressAutoHyphens w:val="0"/>
              <w:spacing w:before="40" w:after="40" w:line="220" w:lineRule="exact"/>
              <w:jc w:val="right"/>
              <w:rPr>
                <w:sz w:val="18"/>
              </w:rPr>
            </w:pPr>
            <w:r w:rsidRPr="00CD7B9C">
              <w:rPr>
                <w:sz w:val="18"/>
                <w:lang w:val="fr-FR"/>
              </w:rPr>
              <w:t>44 579</w:t>
            </w:r>
          </w:p>
        </w:tc>
      </w:tr>
    </w:tbl>
    <w:p w14:paraId="1C6C00D5" w14:textId="5A581B64" w:rsidR="00161F02" w:rsidRPr="00806E3F" w:rsidRDefault="00161F02" w:rsidP="00CD7B9C">
      <w:pPr>
        <w:pStyle w:val="SingleTxtG"/>
        <w:keepNext/>
        <w:spacing w:before="120"/>
      </w:pPr>
      <w:r>
        <w:rPr>
          <w:lang w:val="fr-FR"/>
        </w:rPr>
        <w:lastRenderedPageBreak/>
        <w:t>96.</w:t>
      </w:r>
      <w:r>
        <w:rPr>
          <w:lang w:val="fr-FR"/>
        </w:rPr>
        <w:tab/>
        <w:t>On trouvera ci-après des statistiques sur le nombre d’enfants handicapés qui fréquentent un établissement d’enseignement</w:t>
      </w:r>
      <w:r w:rsidR="005579CA">
        <w:rPr>
          <w:lang w:val="fr-FR"/>
        </w:rPr>
        <w:t> :</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447"/>
        <w:gridCol w:w="1856"/>
        <w:gridCol w:w="1496"/>
        <w:gridCol w:w="1571"/>
      </w:tblGrid>
      <w:tr w:rsidR="00161F02" w:rsidRPr="00415EC1" w14:paraId="34C4FD85" w14:textId="77777777" w:rsidTr="00415EC1">
        <w:trPr>
          <w:tblHeader/>
        </w:trPr>
        <w:tc>
          <w:tcPr>
            <w:tcW w:w="2447" w:type="dxa"/>
            <w:tcBorders>
              <w:top w:val="single" w:sz="4" w:space="0" w:color="auto"/>
              <w:bottom w:val="single" w:sz="12" w:space="0" w:color="auto"/>
            </w:tcBorders>
            <w:shd w:val="clear" w:color="auto" w:fill="auto"/>
            <w:vAlign w:val="bottom"/>
          </w:tcPr>
          <w:p w14:paraId="7668B7A7" w14:textId="77777777" w:rsidR="00161F02" w:rsidRPr="00415EC1" w:rsidRDefault="00161F02" w:rsidP="00415EC1">
            <w:pPr>
              <w:suppressAutoHyphens w:val="0"/>
              <w:spacing w:before="80" w:after="80" w:line="200" w:lineRule="exact"/>
              <w:rPr>
                <w:i/>
                <w:sz w:val="16"/>
              </w:rPr>
            </w:pPr>
          </w:p>
        </w:tc>
        <w:tc>
          <w:tcPr>
            <w:tcW w:w="1856" w:type="dxa"/>
            <w:tcBorders>
              <w:top w:val="single" w:sz="4" w:space="0" w:color="auto"/>
              <w:bottom w:val="single" w:sz="12" w:space="0" w:color="auto"/>
            </w:tcBorders>
            <w:shd w:val="clear" w:color="auto" w:fill="auto"/>
            <w:vAlign w:val="bottom"/>
          </w:tcPr>
          <w:p w14:paraId="2A5A7E6D" w14:textId="3854FBF3" w:rsidR="00161F02" w:rsidRPr="00415EC1" w:rsidRDefault="00161F02" w:rsidP="00415EC1">
            <w:pPr>
              <w:suppressAutoHyphens w:val="0"/>
              <w:spacing w:before="80" w:after="80" w:line="200" w:lineRule="exact"/>
              <w:jc w:val="right"/>
              <w:rPr>
                <w:i/>
                <w:sz w:val="16"/>
              </w:rPr>
            </w:pPr>
            <w:r w:rsidRPr="00415EC1">
              <w:rPr>
                <w:i/>
                <w:iCs/>
                <w:sz w:val="16"/>
                <w:lang w:val="fr-FR"/>
              </w:rPr>
              <w:t>2020</w:t>
            </w:r>
            <w:r w:rsidR="00415EC1">
              <w:rPr>
                <w:i/>
                <w:iCs/>
                <w:sz w:val="16"/>
                <w:lang w:val="fr-FR"/>
              </w:rPr>
              <w:t>/</w:t>
            </w:r>
            <w:r w:rsidRPr="00415EC1">
              <w:rPr>
                <w:i/>
                <w:iCs/>
                <w:sz w:val="16"/>
                <w:lang w:val="fr-FR"/>
              </w:rPr>
              <w:t>21</w:t>
            </w:r>
          </w:p>
        </w:tc>
        <w:tc>
          <w:tcPr>
            <w:tcW w:w="1496" w:type="dxa"/>
            <w:tcBorders>
              <w:top w:val="single" w:sz="4" w:space="0" w:color="auto"/>
              <w:bottom w:val="single" w:sz="12" w:space="0" w:color="auto"/>
            </w:tcBorders>
            <w:shd w:val="clear" w:color="auto" w:fill="auto"/>
            <w:vAlign w:val="bottom"/>
          </w:tcPr>
          <w:p w14:paraId="6CB0DFB4" w14:textId="354817B4" w:rsidR="00161F02" w:rsidRPr="00415EC1" w:rsidRDefault="00161F02" w:rsidP="00415EC1">
            <w:pPr>
              <w:suppressAutoHyphens w:val="0"/>
              <w:spacing w:before="80" w:after="80" w:line="200" w:lineRule="exact"/>
              <w:jc w:val="right"/>
              <w:rPr>
                <w:i/>
                <w:sz w:val="16"/>
              </w:rPr>
            </w:pPr>
            <w:r w:rsidRPr="00415EC1">
              <w:rPr>
                <w:i/>
                <w:iCs/>
                <w:sz w:val="16"/>
                <w:lang w:val="fr-FR"/>
              </w:rPr>
              <w:t>2019</w:t>
            </w:r>
            <w:r w:rsidR="00415EC1">
              <w:rPr>
                <w:i/>
                <w:iCs/>
                <w:sz w:val="16"/>
                <w:lang w:val="fr-FR"/>
              </w:rPr>
              <w:t>/</w:t>
            </w:r>
            <w:r w:rsidRPr="00415EC1">
              <w:rPr>
                <w:i/>
                <w:iCs/>
                <w:sz w:val="16"/>
                <w:lang w:val="fr-FR"/>
              </w:rPr>
              <w:t>20</w:t>
            </w:r>
            <w:r w:rsidRPr="00415EC1">
              <w:rPr>
                <w:i/>
                <w:sz w:val="16"/>
                <w:lang w:val="fr-FR"/>
              </w:rPr>
              <w:t xml:space="preserve"> </w:t>
            </w:r>
          </w:p>
        </w:tc>
        <w:tc>
          <w:tcPr>
            <w:tcW w:w="1571" w:type="dxa"/>
            <w:tcBorders>
              <w:top w:val="single" w:sz="4" w:space="0" w:color="auto"/>
              <w:bottom w:val="single" w:sz="12" w:space="0" w:color="auto"/>
            </w:tcBorders>
            <w:shd w:val="clear" w:color="auto" w:fill="auto"/>
            <w:vAlign w:val="bottom"/>
          </w:tcPr>
          <w:p w14:paraId="588300DD" w14:textId="3DCEFB87" w:rsidR="00161F02" w:rsidRPr="00415EC1" w:rsidRDefault="00161F02" w:rsidP="00415EC1">
            <w:pPr>
              <w:suppressAutoHyphens w:val="0"/>
              <w:spacing w:before="80" w:after="80" w:line="200" w:lineRule="exact"/>
              <w:jc w:val="right"/>
              <w:rPr>
                <w:i/>
                <w:sz w:val="16"/>
              </w:rPr>
            </w:pPr>
            <w:r w:rsidRPr="00415EC1">
              <w:rPr>
                <w:i/>
                <w:iCs/>
                <w:sz w:val="16"/>
                <w:lang w:val="fr-FR"/>
              </w:rPr>
              <w:t>2018</w:t>
            </w:r>
            <w:r w:rsidR="00415EC1">
              <w:rPr>
                <w:i/>
                <w:iCs/>
                <w:sz w:val="16"/>
                <w:lang w:val="fr-FR"/>
              </w:rPr>
              <w:t>/</w:t>
            </w:r>
            <w:r w:rsidRPr="00415EC1">
              <w:rPr>
                <w:i/>
                <w:iCs/>
                <w:sz w:val="16"/>
                <w:lang w:val="fr-FR"/>
              </w:rPr>
              <w:t>19</w:t>
            </w:r>
          </w:p>
        </w:tc>
      </w:tr>
      <w:tr w:rsidR="00161F02" w:rsidRPr="00415EC1" w14:paraId="006FFBE6" w14:textId="77777777" w:rsidTr="00415EC1">
        <w:tc>
          <w:tcPr>
            <w:tcW w:w="2447" w:type="dxa"/>
            <w:tcBorders>
              <w:top w:val="single" w:sz="12" w:space="0" w:color="auto"/>
            </w:tcBorders>
            <w:shd w:val="clear" w:color="auto" w:fill="auto"/>
          </w:tcPr>
          <w:p w14:paraId="043EABFD" w14:textId="77777777" w:rsidR="00161F02" w:rsidRPr="00415EC1" w:rsidRDefault="00161F02" w:rsidP="00415EC1">
            <w:pPr>
              <w:suppressAutoHyphens w:val="0"/>
              <w:spacing w:before="40" w:after="40" w:line="220" w:lineRule="exact"/>
              <w:rPr>
                <w:sz w:val="18"/>
              </w:rPr>
            </w:pPr>
            <w:r w:rsidRPr="00415EC1">
              <w:rPr>
                <w:sz w:val="18"/>
                <w:lang w:val="fr-FR"/>
              </w:rPr>
              <w:t xml:space="preserve">Nombre d’élèves handicapés </w:t>
            </w:r>
          </w:p>
        </w:tc>
        <w:tc>
          <w:tcPr>
            <w:tcW w:w="1856" w:type="dxa"/>
            <w:tcBorders>
              <w:top w:val="single" w:sz="12" w:space="0" w:color="auto"/>
            </w:tcBorders>
            <w:shd w:val="clear" w:color="auto" w:fill="auto"/>
            <w:vAlign w:val="bottom"/>
          </w:tcPr>
          <w:p w14:paraId="7358C620" w14:textId="77777777" w:rsidR="00161F02" w:rsidRPr="00415EC1" w:rsidRDefault="00161F02" w:rsidP="00415EC1">
            <w:pPr>
              <w:suppressAutoHyphens w:val="0"/>
              <w:spacing w:before="40" w:after="40" w:line="220" w:lineRule="exact"/>
              <w:jc w:val="right"/>
              <w:rPr>
                <w:sz w:val="18"/>
              </w:rPr>
            </w:pPr>
            <w:r w:rsidRPr="00415EC1">
              <w:rPr>
                <w:sz w:val="18"/>
                <w:lang w:val="fr-FR"/>
              </w:rPr>
              <w:t>21 707</w:t>
            </w:r>
          </w:p>
        </w:tc>
        <w:tc>
          <w:tcPr>
            <w:tcW w:w="1496" w:type="dxa"/>
            <w:tcBorders>
              <w:top w:val="single" w:sz="12" w:space="0" w:color="auto"/>
            </w:tcBorders>
            <w:shd w:val="clear" w:color="auto" w:fill="auto"/>
            <w:vAlign w:val="bottom"/>
          </w:tcPr>
          <w:p w14:paraId="2FB5A2D3" w14:textId="77777777" w:rsidR="00161F02" w:rsidRPr="00415EC1" w:rsidRDefault="00161F02" w:rsidP="00415EC1">
            <w:pPr>
              <w:suppressAutoHyphens w:val="0"/>
              <w:spacing w:before="40" w:after="40" w:line="220" w:lineRule="exact"/>
              <w:jc w:val="right"/>
              <w:rPr>
                <w:sz w:val="18"/>
              </w:rPr>
            </w:pPr>
            <w:r w:rsidRPr="00415EC1">
              <w:rPr>
                <w:sz w:val="18"/>
                <w:lang w:val="fr-FR"/>
              </w:rPr>
              <w:t>21 708</w:t>
            </w:r>
          </w:p>
        </w:tc>
        <w:tc>
          <w:tcPr>
            <w:tcW w:w="1571" w:type="dxa"/>
            <w:tcBorders>
              <w:top w:val="single" w:sz="12" w:space="0" w:color="auto"/>
            </w:tcBorders>
            <w:shd w:val="clear" w:color="auto" w:fill="auto"/>
            <w:vAlign w:val="bottom"/>
          </w:tcPr>
          <w:p w14:paraId="66345363" w14:textId="77777777" w:rsidR="00161F02" w:rsidRPr="00415EC1" w:rsidRDefault="00161F02" w:rsidP="00415EC1">
            <w:pPr>
              <w:suppressAutoHyphens w:val="0"/>
              <w:spacing w:before="40" w:after="40" w:line="220" w:lineRule="exact"/>
              <w:jc w:val="right"/>
              <w:rPr>
                <w:sz w:val="18"/>
              </w:rPr>
            </w:pPr>
            <w:r w:rsidRPr="00415EC1">
              <w:rPr>
                <w:sz w:val="18"/>
                <w:lang w:val="fr-FR"/>
              </w:rPr>
              <w:t>21 010</w:t>
            </w:r>
          </w:p>
        </w:tc>
      </w:tr>
      <w:tr w:rsidR="00161F02" w:rsidRPr="00415EC1" w14:paraId="1A79C1AE" w14:textId="77777777" w:rsidTr="00415EC1">
        <w:tc>
          <w:tcPr>
            <w:tcW w:w="2447" w:type="dxa"/>
            <w:shd w:val="clear" w:color="auto" w:fill="auto"/>
          </w:tcPr>
          <w:p w14:paraId="631F4E7D" w14:textId="77777777" w:rsidR="00161F02" w:rsidRPr="00415EC1" w:rsidRDefault="00161F02" w:rsidP="00415EC1">
            <w:pPr>
              <w:suppressAutoHyphens w:val="0"/>
              <w:spacing w:before="40" w:after="40" w:line="220" w:lineRule="exact"/>
              <w:ind w:left="170"/>
              <w:rPr>
                <w:iCs/>
                <w:sz w:val="18"/>
              </w:rPr>
            </w:pPr>
            <w:r w:rsidRPr="00415EC1">
              <w:rPr>
                <w:sz w:val="18"/>
                <w:lang w:val="fr-FR"/>
              </w:rPr>
              <w:t xml:space="preserve">Garçons </w:t>
            </w:r>
          </w:p>
        </w:tc>
        <w:tc>
          <w:tcPr>
            <w:tcW w:w="1856" w:type="dxa"/>
            <w:shd w:val="clear" w:color="auto" w:fill="auto"/>
            <w:vAlign w:val="bottom"/>
          </w:tcPr>
          <w:p w14:paraId="43130A7F" w14:textId="77777777" w:rsidR="00161F02" w:rsidRPr="00415EC1" w:rsidRDefault="00161F02" w:rsidP="00415EC1">
            <w:pPr>
              <w:suppressAutoHyphens w:val="0"/>
              <w:spacing w:before="40" w:after="40" w:line="220" w:lineRule="exact"/>
              <w:jc w:val="right"/>
              <w:rPr>
                <w:iCs/>
                <w:sz w:val="18"/>
              </w:rPr>
            </w:pPr>
            <w:r w:rsidRPr="00415EC1">
              <w:rPr>
                <w:sz w:val="18"/>
                <w:lang w:val="fr-FR"/>
              </w:rPr>
              <w:t>13 257</w:t>
            </w:r>
          </w:p>
        </w:tc>
        <w:tc>
          <w:tcPr>
            <w:tcW w:w="1496" w:type="dxa"/>
            <w:shd w:val="clear" w:color="auto" w:fill="auto"/>
            <w:vAlign w:val="bottom"/>
          </w:tcPr>
          <w:p w14:paraId="4C867D75" w14:textId="77777777" w:rsidR="00161F02" w:rsidRPr="00415EC1" w:rsidRDefault="00161F02" w:rsidP="00415EC1">
            <w:pPr>
              <w:suppressAutoHyphens w:val="0"/>
              <w:spacing w:before="40" w:after="40" w:line="220" w:lineRule="exact"/>
              <w:jc w:val="right"/>
              <w:rPr>
                <w:iCs/>
                <w:sz w:val="18"/>
              </w:rPr>
            </w:pPr>
            <w:r w:rsidRPr="00415EC1">
              <w:rPr>
                <w:sz w:val="18"/>
                <w:lang w:val="fr-FR"/>
              </w:rPr>
              <w:t>13 329</w:t>
            </w:r>
          </w:p>
        </w:tc>
        <w:tc>
          <w:tcPr>
            <w:tcW w:w="1571" w:type="dxa"/>
            <w:shd w:val="clear" w:color="auto" w:fill="auto"/>
            <w:vAlign w:val="bottom"/>
          </w:tcPr>
          <w:p w14:paraId="5E87CABE" w14:textId="77777777" w:rsidR="00161F02" w:rsidRPr="00415EC1" w:rsidRDefault="00161F02" w:rsidP="00415EC1">
            <w:pPr>
              <w:suppressAutoHyphens w:val="0"/>
              <w:spacing w:before="40" w:after="40" w:line="220" w:lineRule="exact"/>
              <w:jc w:val="right"/>
              <w:rPr>
                <w:iCs/>
                <w:sz w:val="18"/>
              </w:rPr>
            </w:pPr>
            <w:r w:rsidRPr="00415EC1">
              <w:rPr>
                <w:sz w:val="18"/>
                <w:lang w:val="fr-FR"/>
              </w:rPr>
              <w:t>12 809</w:t>
            </w:r>
          </w:p>
        </w:tc>
      </w:tr>
      <w:tr w:rsidR="00161F02" w:rsidRPr="00415EC1" w14:paraId="285F629B" w14:textId="77777777" w:rsidTr="00415EC1">
        <w:tc>
          <w:tcPr>
            <w:tcW w:w="2447" w:type="dxa"/>
            <w:tcBorders>
              <w:bottom w:val="single" w:sz="12" w:space="0" w:color="auto"/>
            </w:tcBorders>
            <w:shd w:val="clear" w:color="auto" w:fill="auto"/>
          </w:tcPr>
          <w:p w14:paraId="4C07DDD8" w14:textId="77777777" w:rsidR="00161F02" w:rsidRPr="00415EC1" w:rsidRDefault="00161F02" w:rsidP="00415EC1">
            <w:pPr>
              <w:suppressAutoHyphens w:val="0"/>
              <w:spacing w:before="40" w:after="40" w:line="220" w:lineRule="exact"/>
              <w:ind w:left="170"/>
              <w:rPr>
                <w:iCs/>
                <w:sz w:val="18"/>
              </w:rPr>
            </w:pPr>
            <w:r w:rsidRPr="00415EC1">
              <w:rPr>
                <w:sz w:val="18"/>
                <w:lang w:val="fr-FR"/>
              </w:rPr>
              <w:t>Filles</w:t>
            </w:r>
          </w:p>
        </w:tc>
        <w:tc>
          <w:tcPr>
            <w:tcW w:w="1856" w:type="dxa"/>
            <w:tcBorders>
              <w:bottom w:val="single" w:sz="12" w:space="0" w:color="auto"/>
            </w:tcBorders>
            <w:shd w:val="clear" w:color="auto" w:fill="auto"/>
            <w:vAlign w:val="bottom"/>
          </w:tcPr>
          <w:p w14:paraId="64D672B2" w14:textId="77777777" w:rsidR="00161F02" w:rsidRPr="00415EC1" w:rsidRDefault="00161F02" w:rsidP="00415EC1">
            <w:pPr>
              <w:suppressAutoHyphens w:val="0"/>
              <w:spacing w:before="40" w:after="40" w:line="220" w:lineRule="exact"/>
              <w:jc w:val="right"/>
              <w:rPr>
                <w:iCs/>
                <w:sz w:val="18"/>
              </w:rPr>
            </w:pPr>
            <w:r w:rsidRPr="00415EC1">
              <w:rPr>
                <w:sz w:val="18"/>
                <w:lang w:val="fr-FR"/>
              </w:rPr>
              <w:t>8 450</w:t>
            </w:r>
          </w:p>
        </w:tc>
        <w:tc>
          <w:tcPr>
            <w:tcW w:w="1496" w:type="dxa"/>
            <w:tcBorders>
              <w:bottom w:val="single" w:sz="12" w:space="0" w:color="auto"/>
            </w:tcBorders>
            <w:shd w:val="clear" w:color="auto" w:fill="auto"/>
            <w:vAlign w:val="bottom"/>
          </w:tcPr>
          <w:p w14:paraId="11FAFE98" w14:textId="77777777" w:rsidR="00161F02" w:rsidRPr="00415EC1" w:rsidRDefault="00161F02" w:rsidP="00415EC1">
            <w:pPr>
              <w:suppressAutoHyphens w:val="0"/>
              <w:spacing w:before="40" w:after="40" w:line="220" w:lineRule="exact"/>
              <w:jc w:val="right"/>
              <w:rPr>
                <w:iCs/>
                <w:sz w:val="18"/>
              </w:rPr>
            </w:pPr>
            <w:r w:rsidRPr="00415EC1">
              <w:rPr>
                <w:sz w:val="18"/>
                <w:lang w:val="fr-FR"/>
              </w:rPr>
              <w:t>8 379</w:t>
            </w:r>
          </w:p>
        </w:tc>
        <w:tc>
          <w:tcPr>
            <w:tcW w:w="1571" w:type="dxa"/>
            <w:tcBorders>
              <w:bottom w:val="single" w:sz="12" w:space="0" w:color="auto"/>
            </w:tcBorders>
            <w:shd w:val="clear" w:color="auto" w:fill="auto"/>
            <w:vAlign w:val="bottom"/>
          </w:tcPr>
          <w:p w14:paraId="6505BE38" w14:textId="77777777" w:rsidR="00161F02" w:rsidRPr="00415EC1" w:rsidRDefault="00161F02" w:rsidP="00415EC1">
            <w:pPr>
              <w:suppressAutoHyphens w:val="0"/>
              <w:spacing w:before="40" w:after="40" w:line="220" w:lineRule="exact"/>
              <w:jc w:val="right"/>
              <w:rPr>
                <w:iCs/>
                <w:sz w:val="18"/>
              </w:rPr>
            </w:pPr>
            <w:r w:rsidRPr="00415EC1">
              <w:rPr>
                <w:sz w:val="18"/>
                <w:lang w:val="fr-FR"/>
              </w:rPr>
              <w:t>8 201</w:t>
            </w:r>
          </w:p>
        </w:tc>
      </w:tr>
    </w:tbl>
    <w:p w14:paraId="6E569C3D" w14:textId="77777777" w:rsidR="00161F02" w:rsidRPr="00806E3F" w:rsidRDefault="00161F02" w:rsidP="00161F02">
      <w:pPr>
        <w:pStyle w:val="SingleTxtG"/>
        <w:spacing w:before="120"/>
      </w:pPr>
      <w:r>
        <w:rPr>
          <w:lang w:val="fr-FR"/>
        </w:rPr>
        <w:t>97.</w:t>
      </w:r>
      <w:r>
        <w:rPr>
          <w:lang w:val="fr-FR"/>
        </w:rPr>
        <w:tab/>
        <w:t>Le Gouvernement prend des mesures pour réduire le nombre d’enfants handicapés placés dans des établissements spécialisés et pour fournir à ces enfants une protection de remplacement en mettant à contribution les membres de leur famille, le but étant que ces enfants grandissent dans leur milieu familial ou un autre contexte. Les familles qui élèvent des enfants handicapés bénéficient d’une aide et d’un soutien matériel ainsi que de conseils et d’autres formes d’accompagnement.</w:t>
      </w:r>
    </w:p>
    <w:p w14:paraId="0BB4B864" w14:textId="7C9589EB" w:rsidR="00161F02" w:rsidRPr="00806E3F" w:rsidRDefault="00161F02" w:rsidP="00161F02">
      <w:pPr>
        <w:pStyle w:val="SingleTxtG"/>
      </w:pPr>
      <w:r>
        <w:rPr>
          <w:lang w:val="fr-FR"/>
        </w:rPr>
        <w:t>98.</w:t>
      </w:r>
      <w:r>
        <w:rPr>
          <w:lang w:val="fr-FR"/>
        </w:rPr>
        <w:tab/>
        <w:t xml:space="preserve">De 2018 à 2020, le nombre d’enfants handicapés placés dans des institutions offrant une protection de remplacement a baissé. En effet, à la fin de cette période, les foyers </w:t>
      </w:r>
      <w:r w:rsidR="00841C33">
        <w:rPr>
          <w:lang w:val="fr-FR"/>
        </w:rPr>
        <w:t>« </w:t>
      </w:r>
      <w:proofErr w:type="spellStart"/>
      <w:r>
        <w:rPr>
          <w:lang w:val="fr-FR"/>
        </w:rPr>
        <w:t>Mekhribonli</w:t>
      </w:r>
      <w:proofErr w:type="spellEnd"/>
      <w:r w:rsidR="00841C33">
        <w:rPr>
          <w:lang w:val="fr-FR"/>
        </w:rPr>
        <w:t> »</w:t>
      </w:r>
      <w:r>
        <w:rPr>
          <w:lang w:val="fr-FR"/>
        </w:rPr>
        <w:t xml:space="preserve"> comptaient 626</w:t>
      </w:r>
      <w:r w:rsidR="00841C33">
        <w:rPr>
          <w:lang w:val="fr-FR"/>
        </w:rPr>
        <w:t> </w:t>
      </w:r>
      <w:r>
        <w:rPr>
          <w:lang w:val="fr-FR"/>
        </w:rPr>
        <w:t>enfants de moins, les établissements ordinaires, 607 de moins, et les établissements spécialisés, 19</w:t>
      </w:r>
      <w:r w:rsidR="00841C33">
        <w:rPr>
          <w:lang w:val="fr-FR"/>
        </w:rPr>
        <w:t> </w:t>
      </w:r>
      <w:r>
        <w:rPr>
          <w:lang w:val="fr-FR"/>
        </w:rPr>
        <w:t>de moins.</w:t>
      </w:r>
    </w:p>
    <w:p w14:paraId="2F127AEB" w14:textId="4327464A" w:rsidR="00161F02" w:rsidRPr="00873B4E" w:rsidRDefault="00161F02" w:rsidP="00873B4E">
      <w:pPr>
        <w:pStyle w:val="Titre1"/>
        <w:spacing w:after="120"/>
        <w:rPr>
          <w:b/>
          <w:bCs/>
        </w:rPr>
      </w:pPr>
      <w:r w:rsidRPr="00873B4E">
        <w:rPr>
          <w:b/>
          <w:bCs/>
          <w:lang w:val="fr-FR"/>
        </w:rPr>
        <w:t xml:space="preserve">Nombre d’enfants handicapés placés dans une institution </w:t>
      </w:r>
      <w:r w:rsidR="00BC3F8C" w:rsidRPr="00873B4E">
        <w:rPr>
          <w:b/>
          <w:bCs/>
          <w:lang w:val="fr-FR"/>
        </w:rPr>
        <w:br/>
      </w:r>
      <w:r w:rsidRPr="00873B4E">
        <w:rPr>
          <w:b/>
          <w:bCs/>
          <w:lang w:val="fr-FR"/>
        </w:rPr>
        <w:t>offrant une protection de remplacement</w:t>
      </w:r>
    </w:p>
    <w:tbl>
      <w:tblPr>
        <w:tblW w:w="7370" w:type="dxa"/>
        <w:tblInd w:w="1134" w:type="dxa"/>
        <w:tblLayout w:type="fixed"/>
        <w:tblCellMar>
          <w:left w:w="0" w:type="dxa"/>
          <w:right w:w="0" w:type="dxa"/>
        </w:tblCellMar>
        <w:tblLook w:val="04A0" w:firstRow="1" w:lastRow="0" w:firstColumn="1" w:lastColumn="0" w:noHBand="0" w:noVBand="1"/>
      </w:tblPr>
      <w:tblGrid>
        <w:gridCol w:w="2896"/>
        <w:gridCol w:w="1595"/>
        <w:gridCol w:w="1490"/>
        <w:gridCol w:w="1389"/>
      </w:tblGrid>
      <w:tr w:rsidR="00161F02" w:rsidRPr="00BC3F8C" w14:paraId="72D46CB2" w14:textId="77777777" w:rsidTr="00BC3F8C">
        <w:trPr>
          <w:tblHeader/>
        </w:trPr>
        <w:tc>
          <w:tcPr>
            <w:tcW w:w="2896" w:type="dxa"/>
            <w:tcBorders>
              <w:top w:val="single" w:sz="4" w:space="0" w:color="auto"/>
              <w:bottom w:val="single" w:sz="12" w:space="0" w:color="auto"/>
            </w:tcBorders>
            <w:shd w:val="clear" w:color="auto" w:fill="auto"/>
            <w:vAlign w:val="bottom"/>
          </w:tcPr>
          <w:p w14:paraId="730251C0" w14:textId="77777777" w:rsidR="00161F02" w:rsidRPr="00BC3F8C" w:rsidRDefault="00161F02" w:rsidP="00BC3F8C">
            <w:pPr>
              <w:suppressAutoHyphens w:val="0"/>
              <w:spacing w:before="80" w:after="80" w:line="200" w:lineRule="exact"/>
              <w:rPr>
                <w:i/>
                <w:sz w:val="16"/>
              </w:rPr>
            </w:pPr>
            <w:r w:rsidRPr="00BC3F8C">
              <w:rPr>
                <w:i/>
                <w:sz w:val="16"/>
                <w:lang w:val="fr-FR"/>
              </w:rPr>
              <w:t>Foyers pour enfants handicapés</w:t>
            </w:r>
          </w:p>
        </w:tc>
        <w:tc>
          <w:tcPr>
            <w:tcW w:w="1595" w:type="dxa"/>
            <w:tcBorders>
              <w:top w:val="single" w:sz="4" w:space="0" w:color="auto"/>
              <w:bottom w:val="single" w:sz="12" w:space="0" w:color="auto"/>
            </w:tcBorders>
            <w:shd w:val="clear" w:color="auto" w:fill="auto"/>
            <w:vAlign w:val="bottom"/>
          </w:tcPr>
          <w:p w14:paraId="3B071E6C" w14:textId="77777777" w:rsidR="00161F02" w:rsidRPr="00BC3F8C" w:rsidRDefault="00161F02" w:rsidP="00BC3F8C">
            <w:pPr>
              <w:suppressAutoHyphens w:val="0"/>
              <w:spacing w:before="80" w:after="80" w:line="200" w:lineRule="exact"/>
              <w:jc w:val="right"/>
              <w:rPr>
                <w:i/>
                <w:sz w:val="16"/>
              </w:rPr>
            </w:pPr>
            <w:r w:rsidRPr="00BC3F8C">
              <w:rPr>
                <w:i/>
                <w:sz w:val="16"/>
                <w:lang w:val="fr-FR"/>
              </w:rPr>
              <w:t xml:space="preserve">2018 </w:t>
            </w:r>
          </w:p>
        </w:tc>
        <w:tc>
          <w:tcPr>
            <w:tcW w:w="1490" w:type="dxa"/>
            <w:tcBorders>
              <w:top w:val="single" w:sz="4" w:space="0" w:color="auto"/>
              <w:bottom w:val="single" w:sz="12" w:space="0" w:color="auto"/>
            </w:tcBorders>
            <w:shd w:val="clear" w:color="auto" w:fill="auto"/>
            <w:vAlign w:val="bottom"/>
          </w:tcPr>
          <w:p w14:paraId="1B26EFD3" w14:textId="77777777" w:rsidR="00161F02" w:rsidRPr="00BC3F8C" w:rsidRDefault="00161F02" w:rsidP="00BC3F8C">
            <w:pPr>
              <w:suppressAutoHyphens w:val="0"/>
              <w:spacing w:before="80" w:after="80" w:line="200" w:lineRule="exact"/>
              <w:jc w:val="right"/>
              <w:rPr>
                <w:i/>
                <w:sz w:val="16"/>
              </w:rPr>
            </w:pPr>
            <w:r w:rsidRPr="00BC3F8C">
              <w:rPr>
                <w:i/>
                <w:sz w:val="16"/>
                <w:lang w:val="fr-FR"/>
              </w:rPr>
              <w:t>2019</w:t>
            </w:r>
          </w:p>
        </w:tc>
        <w:tc>
          <w:tcPr>
            <w:tcW w:w="1389" w:type="dxa"/>
            <w:tcBorders>
              <w:top w:val="single" w:sz="4" w:space="0" w:color="auto"/>
              <w:bottom w:val="single" w:sz="12" w:space="0" w:color="auto"/>
            </w:tcBorders>
            <w:shd w:val="clear" w:color="auto" w:fill="auto"/>
            <w:vAlign w:val="bottom"/>
          </w:tcPr>
          <w:p w14:paraId="3FCB3C48" w14:textId="77777777" w:rsidR="00161F02" w:rsidRPr="00BC3F8C" w:rsidRDefault="00161F02" w:rsidP="00BC3F8C">
            <w:pPr>
              <w:suppressAutoHyphens w:val="0"/>
              <w:spacing w:before="80" w:after="80" w:line="200" w:lineRule="exact"/>
              <w:jc w:val="right"/>
              <w:rPr>
                <w:i/>
                <w:sz w:val="16"/>
              </w:rPr>
            </w:pPr>
            <w:r w:rsidRPr="00BC3F8C">
              <w:rPr>
                <w:i/>
                <w:sz w:val="16"/>
                <w:lang w:val="fr-FR"/>
              </w:rPr>
              <w:t>2020</w:t>
            </w:r>
          </w:p>
        </w:tc>
      </w:tr>
      <w:tr w:rsidR="00161F02" w:rsidRPr="00BC3F8C" w14:paraId="21A3C858" w14:textId="77777777" w:rsidTr="00BC3F8C">
        <w:tc>
          <w:tcPr>
            <w:tcW w:w="2896" w:type="dxa"/>
            <w:tcBorders>
              <w:top w:val="single" w:sz="12" w:space="0" w:color="auto"/>
            </w:tcBorders>
            <w:shd w:val="clear" w:color="auto" w:fill="auto"/>
          </w:tcPr>
          <w:p w14:paraId="5A5AE0FF" w14:textId="112EC271" w:rsidR="00161F02" w:rsidRPr="00BC3F8C" w:rsidRDefault="00161F02" w:rsidP="00BC3F8C">
            <w:pPr>
              <w:suppressAutoHyphens w:val="0"/>
              <w:spacing w:before="40" w:after="40" w:line="220" w:lineRule="exact"/>
              <w:rPr>
                <w:sz w:val="18"/>
              </w:rPr>
            </w:pPr>
            <w:r w:rsidRPr="00BC3F8C">
              <w:rPr>
                <w:sz w:val="18"/>
                <w:lang w:val="fr-FR"/>
              </w:rPr>
              <w:t xml:space="preserve">Foyers </w:t>
            </w:r>
            <w:r w:rsidR="00BC3F8C">
              <w:rPr>
                <w:sz w:val="18"/>
                <w:lang w:val="fr-FR"/>
              </w:rPr>
              <w:t>« </w:t>
            </w:r>
            <w:proofErr w:type="spellStart"/>
            <w:r w:rsidRPr="00BC3F8C">
              <w:rPr>
                <w:sz w:val="18"/>
                <w:lang w:val="fr-FR"/>
              </w:rPr>
              <w:t>Mourouvvat</w:t>
            </w:r>
            <w:proofErr w:type="spellEnd"/>
            <w:r w:rsidR="00BC3F8C">
              <w:rPr>
                <w:sz w:val="18"/>
                <w:lang w:val="fr-FR"/>
              </w:rPr>
              <w:t> »</w:t>
            </w:r>
          </w:p>
        </w:tc>
        <w:tc>
          <w:tcPr>
            <w:tcW w:w="1595" w:type="dxa"/>
            <w:tcBorders>
              <w:top w:val="single" w:sz="12" w:space="0" w:color="auto"/>
            </w:tcBorders>
            <w:shd w:val="clear" w:color="auto" w:fill="auto"/>
            <w:vAlign w:val="bottom"/>
          </w:tcPr>
          <w:p w14:paraId="6B768C0C" w14:textId="77777777" w:rsidR="00161F02" w:rsidRPr="00BC3F8C" w:rsidRDefault="00161F02" w:rsidP="00BC3F8C">
            <w:pPr>
              <w:suppressAutoHyphens w:val="0"/>
              <w:spacing w:before="40" w:after="40" w:line="220" w:lineRule="exact"/>
              <w:jc w:val="right"/>
              <w:rPr>
                <w:sz w:val="18"/>
              </w:rPr>
            </w:pPr>
            <w:r w:rsidRPr="00BC3F8C">
              <w:rPr>
                <w:sz w:val="18"/>
                <w:lang w:val="fr-FR"/>
              </w:rPr>
              <w:t>1 788</w:t>
            </w:r>
          </w:p>
        </w:tc>
        <w:tc>
          <w:tcPr>
            <w:tcW w:w="1490" w:type="dxa"/>
            <w:tcBorders>
              <w:top w:val="single" w:sz="12" w:space="0" w:color="auto"/>
            </w:tcBorders>
            <w:shd w:val="clear" w:color="auto" w:fill="auto"/>
            <w:vAlign w:val="bottom"/>
          </w:tcPr>
          <w:p w14:paraId="3DE79A67" w14:textId="77777777" w:rsidR="00161F02" w:rsidRPr="00BC3F8C" w:rsidRDefault="00161F02" w:rsidP="00BC3F8C">
            <w:pPr>
              <w:suppressAutoHyphens w:val="0"/>
              <w:spacing w:before="40" w:after="40" w:line="220" w:lineRule="exact"/>
              <w:jc w:val="right"/>
              <w:rPr>
                <w:sz w:val="18"/>
              </w:rPr>
            </w:pPr>
            <w:r w:rsidRPr="00BC3F8C">
              <w:rPr>
                <w:sz w:val="18"/>
                <w:lang w:val="fr-FR"/>
              </w:rPr>
              <w:t>1 894</w:t>
            </w:r>
          </w:p>
        </w:tc>
        <w:tc>
          <w:tcPr>
            <w:tcW w:w="1389" w:type="dxa"/>
            <w:tcBorders>
              <w:top w:val="single" w:sz="12" w:space="0" w:color="auto"/>
            </w:tcBorders>
            <w:shd w:val="clear" w:color="auto" w:fill="auto"/>
            <w:vAlign w:val="bottom"/>
          </w:tcPr>
          <w:p w14:paraId="791B2693" w14:textId="77777777" w:rsidR="00161F02" w:rsidRPr="00BC3F8C" w:rsidRDefault="00161F02" w:rsidP="00BC3F8C">
            <w:pPr>
              <w:suppressAutoHyphens w:val="0"/>
              <w:spacing w:before="40" w:after="40" w:line="220" w:lineRule="exact"/>
              <w:jc w:val="right"/>
              <w:rPr>
                <w:sz w:val="18"/>
              </w:rPr>
            </w:pPr>
            <w:r w:rsidRPr="00BC3F8C">
              <w:rPr>
                <w:sz w:val="18"/>
                <w:lang w:val="fr-FR"/>
              </w:rPr>
              <w:t>1 931</w:t>
            </w:r>
          </w:p>
        </w:tc>
      </w:tr>
      <w:tr w:rsidR="00161F02" w:rsidRPr="00BC3F8C" w14:paraId="5BCDF5CC" w14:textId="77777777" w:rsidTr="00BC3F8C">
        <w:tc>
          <w:tcPr>
            <w:tcW w:w="2896" w:type="dxa"/>
            <w:shd w:val="clear" w:color="auto" w:fill="auto"/>
          </w:tcPr>
          <w:p w14:paraId="2349A406" w14:textId="0BEDC6ED" w:rsidR="00161F02" w:rsidRPr="00BC3F8C" w:rsidRDefault="00161F02" w:rsidP="00BC3F8C">
            <w:pPr>
              <w:suppressAutoHyphens w:val="0"/>
              <w:spacing w:before="40" w:after="40" w:line="220" w:lineRule="exact"/>
              <w:rPr>
                <w:sz w:val="18"/>
              </w:rPr>
            </w:pPr>
            <w:r w:rsidRPr="00BC3F8C">
              <w:rPr>
                <w:sz w:val="18"/>
                <w:lang w:val="fr-FR"/>
              </w:rPr>
              <w:t xml:space="preserve">Foyers </w:t>
            </w:r>
            <w:r w:rsidR="00BC3F8C">
              <w:rPr>
                <w:sz w:val="18"/>
                <w:lang w:val="fr-FR"/>
              </w:rPr>
              <w:t>« </w:t>
            </w:r>
            <w:proofErr w:type="spellStart"/>
            <w:r w:rsidRPr="00BC3F8C">
              <w:rPr>
                <w:sz w:val="18"/>
                <w:lang w:val="fr-FR"/>
              </w:rPr>
              <w:t>Mekhribonlik</w:t>
            </w:r>
            <w:proofErr w:type="spellEnd"/>
            <w:r w:rsidR="00BC3F8C">
              <w:rPr>
                <w:sz w:val="18"/>
                <w:lang w:val="fr-FR"/>
              </w:rPr>
              <w:t> »</w:t>
            </w:r>
          </w:p>
        </w:tc>
        <w:tc>
          <w:tcPr>
            <w:tcW w:w="1595" w:type="dxa"/>
            <w:shd w:val="clear" w:color="auto" w:fill="auto"/>
            <w:vAlign w:val="bottom"/>
          </w:tcPr>
          <w:p w14:paraId="5B263BAA" w14:textId="77777777" w:rsidR="00161F02" w:rsidRPr="00BC3F8C" w:rsidRDefault="00161F02" w:rsidP="00BC3F8C">
            <w:pPr>
              <w:suppressAutoHyphens w:val="0"/>
              <w:spacing w:before="40" w:after="40" w:line="220" w:lineRule="exact"/>
              <w:jc w:val="right"/>
              <w:rPr>
                <w:sz w:val="18"/>
              </w:rPr>
            </w:pPr>
            <w:r w:rsidRPr="00BC3F8C">
              <w:rPr>
                <w:sz w:val="18"/>
                <w:lang w:val="fr-FR"/>
              </w:rPr>
              <w:t>2 281</w:t>
            </w:r>
          </w:p>
        </w:tc>
        <w:tc>
          <w:tcPr>
            <w:tcW w:w="1490" w:type="dxa"/>
            <w:shd w:val="clear" w:color="auto" w:fill="auto"/>
            <w:vAlign w:val="bottom"/>
          </w:tcPr>
          <w:p w14:paraId="64CBDF84" w14:textId="77777777" w:rsidR="00161F02" w:rsidRPr="00BC3F8C" w:rsidRDefault="00161F02" w:rsidP="00BC3F8C">
            <w:pPr>
              <w:suppressAutoHyphens w:val="0"/>
              <w:spacing w:before="40" w:after="40" w:line="220" w:lineRule="exact"/>
              <w:jc w:val="right"/>
              <w:rPr>
                <w:sz w:val="18"/>
              </w:rPr>
            </w:pPr>
            <w:r w:rsidRPr="00BC3F8C">
              <w:rPr>
                <w:sz w:val="18"/>
                <w:lang w:val="fr-FR"/>
              </w:rPr>
              <w:t>2 141</w:t>
            </w:r>
          </w:p>
        </w:tc>
        <w:tc>
          <w:tcPr>
            <w:tcW w:w="1389" w:type="dxa"/>
            <w:shd w:val="clear" w:color="auto" w:fill="auto"/>
            <w:vAlign w:val="bottom"/>
          </w:tcPr>
          <w:p w14:paraId="7C4AC755" w14:textId="77777777" w:rsidR="00161F02" w:rsidRPr="00BC3F8C" w:rsidRDefault="00161F02" w:rsidP="00BC3F8C">
            <w:pPr>
              <w:suppressAutoHyphens w:val="0"/>
              <w:spacing w:before="40" w:after="40" w:line="220" w:lineRule="exact"/>
              <w:jc w:val="right"/>
              <w:rPr>
                <w:sz w:val="18"/>
              </w:rPr>
            </w:pPr>
            <w:r w:rsidRPr="00BC3F8C">
              <w:rPr>
                <w:sz w:val="18"/>
                <w:lang w:val="fr-FR"/>
              </w:rPr>
              <w:t>1 655</w:t>
            </w:r>
          </w:p>
        </w:tc>
      </w:tr>
      <w:tr w:rsidR="00161F02" w:rsidRPr="00BC3F8C" w14:paraId="0177EEA6" w14:textId="77777777" w:rsidTr="00BC3F8C">
        <w:tc>
          <w:tcPr>
            <w:tcW w:w="2896" w:type="dxa"/>
            <w:shd w:val="clear" w:color="auto" w:fill="auto"/>
          </w:tcPr>
          <w:p w14:paraId="075B7EEF" w14:textId="77777777" w:rsidR="00161F02" w:rsidRPr="00BC3F8C" w:rsidRDefault="00161F02" w:rsidP="00BC3F8C">
            <w:pPr>
              <w:suppressAutoHyphens w:val="0"/>
              <w:spacing w:before="40" w:after="40" w:line="220" w:lineRule="exact"/>
              <w:ind w:left="170"/>
              <w:rPr>
                <w:sz w:val="18"/>
              </w:rPr>
            </w:pPr>
            <w:r w:rsidRPr="00BC3F8C">
              <w:rPr>
                <w:sz w:val="18"/>
                <w:lang w:val="fr-FR"/>
              </w:rPr>
              <w:t>Établissements ordinaires</w:t>
            </w:r>
          </w:p>
        </w:tc>
        <w:tc>
          <w:tcPr>
            <w:tcW w:w="1595" w:type="dxa"/>
            <w:shd w:val="clear" w:color="auto" w:fill="auto"/>
            <w:vAlign w:val="bottom"/>
          </w:tcPr>
          <w:p w14:paraId="5C2158E9" w14:textId="77777777" w:rsidR="00161F02" w:rsidRPr="00BC3F8C" w:rsidRDefault="00161F02" w:rsidP="00BC3F8C">
            <w:pPr>
              <w:suppressAutoHyphens w:val="0"/>
              <w:spacing w:before="40" w:after="40" w:line="220" w:lineRule="exact"/>
              <w:jc w:val="right"/>
              <w:rPr>
                <w:sz w:val="18"/>
              </w:rPr>
            </w:pPr>
            <w:r w:rsidRPr="00BC3F8C">
              <w:rPr>
                <w:sz w:val="18"/>
                <w:lang w:val="fr-FR"/>
              </w:rPr>
              <w:t>2 176</w:t>
            </w:r>
          </w:p>
        </w:tc>
        <w:tc>
          <w:tcPr>
            <w:tcW w:w="1490" w:type="dxa"/>
            <w:shd w:val="clear" w:color="auto" w:fill="auto"/>
            <w:vAlign w:val="bottom"/>
          </w:tcPr>
          <w:p w14:paraId="065CC46E" w14:textId="77777777" w:rsidR="00161F02" w:rsidRPr="00BC3F8C" w:rsidRDefault="00161F02" w:rsidP="00BC3F8C">
            <w:pPr>
              <w:suppressAutoHyphens w:val="0"/>
              <w:spacing w:before="40" w:after="40" w:line="220" w:lineRule="exact"/>
              <w:jc w:val="right"/>
              <w:rPr>
                <w:sz w:val="18"/>
              </w:rPr>
            </w:pPr>
            <w:r w:rsidRPr="00BC3F8C">
              <w:rPr>
                <w:sz w:val="18"/>
                <w:lang w:val="fr-FR"/>
              </w:rPr>
              <w:t>2 036</w:t>
            </w:r>
          </w:p>
        </w:tc>
        <w:tc>
          <w:tcPr>
            <w:tcW w:w="1389" w:type="dxa"/>
            <w:shd w:val="clear" w:color="auto" w:fill="auto"/>
            <w:vAlign w:val="bottom"/>
          </w:tcPr>
          <w:p w14:paraId="2FE86503" w14:textId="77777777" w:rsidR="00161F02" w:rsidRPr="00BC3F8C" w:rsidRDefault="00161F02" w:rsidP="00BC3F8C">
            <w:pPr>
              <w:suppressAutoHyphens w:val="0"/>
              <w:spacing w:before="40" w:after="40" w:line="220" w:lineRule="exact"/>
              <w:jc w:val="right"/>
              <w:rPr>
                <w:sz w:val="18"/>
              </w:rPr>
            </w:pPr>
            <w:r w:rsidRPr="00BC3F8C">
              <w:rPr>
                <w:sz w:val="18"/>
                <w:lang w:val="fr-FR"/>
              </w:rPr>
              <w:t>1 569</w:t>
            </w:r>
          </w:p>
        </w:tc>
      </w:tr>
      <w:tr w:rsidR="00161F02" w:rsidRPr="00BC3F8C" w14:paraId="70D59EA0" w14:textId="77777777" w:rsidTr="00BC3F8C">
        <w:tc>
          <w:tcPr>
            <w:tcW w:w="2896" w:type="dxa"/>
            <w:shd w:val="clear" w:color="auto" w:fill="auto"/>
          </w:tcPr>
          <w:p w14:paraId="710AFF83" w14:textId="77777777" w:rsidR="00161F02" w:rsidRPr="00BC3F8C" w:rsidRDefault="00161F02" w:rsidP="00BC3F8C">
            <w:pPr>
              <w:suppressAutoHyphens w:val="0"/>
              <w:spacing w:before="40" w:after="40" w:line="220" w:lineRule="exact"/>
              <w:ind w:left="170"/>
              <w:rPr>
                <w:sz w:val="18"/>
              </w:rPr>
            </w:pPr>
            <w:r w:rsidRPr="00BC3F8C">
              <w:rPr>
                <w:sz w:val="18"/>
                <w:lang w:val="fr-FR"/>
              </w:rPr>
              <w:t>Établissements spécialisés</w:t>
            </w:r>
          </w:p>
        </w:tc>
        <w:tc>
          <w:tcPr>
            <w:tcW w:w="1595" w:type="dxa"/>
            <w:shd w:val="clear" w:color="auto" w:fill="auto"/>
            <w:vAlign w:val="bottom"/>
          </w:tcPr>
          <w:p w14:paraId="4DF9410C" w14:textId="77777777" w:rsidR="00161F02" w:rsidRPr="00BC3F8C" w:rsidRDefault="00161F02" w:rsidP="00BC3F8C">
            <w:pPr>
              <w:suppressAutoHyphens w:val="0"/>
              <w:spacing w:before="40" w:after="40" w:line="220" w:lineRule="exact"/>
              <w:jc w:val="right"/>
              <w:rPr>
                <w:sz w:val="18"/>
              </w:rPr>
            </w:pPr>
            <w:r w:rsidRPr="00BC3F8C">
              <w:rPr>
                <w:sz w:val="18"/>
                <w:lang w:val="fr-FR"/>
              </w:rPr>
              <w:t>105</w:t>
            </w:r>
          </w:p>
        </w:tc>
        <w:tc>
          <w:tcPr>
            <w:tcW w:w="1490" w:type="dxa"/>
            <w:shd w:val="clear" w:color="auto" w:fill="auto"/>
            <w:vAlign w:val="bottom"/>
          </w:tcPr>
          <w:p w14:paraId="6E41437F" w14:textId="77777777" w:rsidR="00161F02" w:rsidRPr="00BC3F8C" w:rsidRDefault="00161F02" w:rsidP="00BC3F8C">
            <w:pPr>
              <w:suppressAutoHyphens w:val="0"/>
              <w:spacing w:before="40" w:after="40" w:line="220" w:lineRule="exact"/>
              <w:jc w:val="right"/>
              <w:rPr>
                <w:sz w:val="18"/>
              </w:rPr>
            </w:pPr>
            <w:r w:rsidRPr="00BC3F8C">
              <w:rPr>
                <w:sz w:val="18"/>
                <w:lang w:val="fr-FR"/>
              </w:rPr>
              <w:t>105</w:t>
            </w:r>
          </w:p>
        </w:tc>
        <w:tc>
          <w:tcPr>
            <w:tcW w:w="1389" w:type="dxa"/>
            <w:shd w:val="clear" w:color="auto" w:fill="auto"/>
            <w:vAlign w:val="bottom"/>
          </w:tcPr>
          <w:p w14:paraId="58C74CAE" w14:textId="77777777" w:rsidR="00161F02" w:rsidRPr="00BC3F8C" w:rsidRDefault="00161F02" w:rsidP="00BC3F8C">
            <w:pPr>
              <w:suppressAutoHyphens w:val="0"/>
              <w:spacing w:before="40" w:after="40" w:line="220" w:lineRule="exact"/>
              <w:jc w:val="right"/>
              <w:rPr>
                <w:sz w:val="18"/>
              </w:rPr>
            </w:pPr>
            <w:r w:rsidRPr="00BC3F8C">
              <w:rPr>
                <w:sz w:val="18"/>
                <w:lang w:val="fr-FR"/>
              </w:rPr>
              <w:t>86</w:t>
            </w:r>
          </w:p>
        </w:tc>
      </w:tr>
      <w:tr w:rsidR="00161F02" w:rsidRPr="00BC3F8C" w14:paraId="112B4781" w14:textId="77777777" w:rsidTr="00BC3F8C">
        <w:tc>
          <w:tcPr>
            <w:tcW w:w="2896" w:type="dxa"/>
            <w:shd w:val="clear" w:color="auto" w:fill="auto"/>
          </w:tcPr>
          <w:p w14:paraId="4E336426" w14:textId="77777777" w:rsidR="00161F02" w:rsidRPr="00BC3F8C" w:rsidRDefault="00161F02" w:rsidP="00BC3F8C">
            <w:pPr>
              <w:suppressAutoHyphens w:val="0"/>
              <w:spacing w:before="40" w:after="40" w:line="220" w:lineRule="exact"/>
              <w:ind w:left="170"/>
              <w:rPr>
                <w:sz w:val="18"/>
              </w:rPr>
            </w:pPr>
            <w:r w:rsidRPr="00BC3F8C">
              <w:rPr>
                <w:sz w:val="18"/>
                <w:lang w:val="fr-FR"/>
              </w:rPr>
              <w:t>SOS Villages d’enfants</w:t>
            </w:r>
          </w:p>
        </w:tc>
        <w:tc>
          <w:tcPr>
            <w:tcW w:w="1595" w:type="dxa"/>
            <w:shd w:val="clear" w:color="auto" w:fill="auto"/>
            <w:vAlign w:val="bottom"/>
          </w:tcPr>
          <w:p w14:paraId="2495E1BE" w14:textId="77777777" w:rsidR="00161F02" w:rsidRPr="00BC3F8C" w:rsidRDefault="00161F02" w:rsidP="00BC3F8C">
            <w:pPr>
              <w:suppressAutoHyphens w:val="0"/>
              <w:spacing w:before="40" w:after="40" w:line="220" w:lineRule="exact"/>
              <w:jc w:val="right"/>
              <w:rPr>
                <w:sz w:val="18"/>
              </w:rPr>
            </w:pPr>
            <w:r w:rsidRPr="00BC3F8C">
              <w:rPr>
                <w:sz w:val="18"/>
                <w:lang w:val="fr-FR"/>
              </w:rPr>
              <w:t>249</w:t>
            </w:r>
          </w:p>
        </w:tc>
        <w:tc>
          <w:tcPr>
            <w:tcW w:w="1490" w:type="dxa"/>
            <w:shd w:val="clear" w:color="auto" w:fill="auto"/>
            <w:vAlign w:val="bottom"/>
          </w:tcPr>
          <w:p w14:paraId="25020AFE" w14:textId="77777777" w:rsidR="00161F02" w:rsidRPr="00BC3F8C" w:rsidRDefault="00161F02" w:rsidP="00BC3F8C">
            <w:pPr>
              <w:suppressAutoHyphens w:val="0"/>
              <w:spacing w:before="40" w:after="40" w:line="220" w:lineRule="exact"/>
              <w:jc w:val="right"/>
              <w:rPr>
                <w:sz w:val="18"/>
              </w:rPr>
            </w:pPr>
            <w:r w:rsidRPr="00BC3F8C">
              <w:rPr>
                <w:sz w:val="18"/>
                <w:lang w:val="fr-FR"/>
              </w:rPr>
              <w:t>293</w:t>
            </w:r>
          </w:p>
        </w:tc>
        <w:tc>
          <w:tcPr>
            <w:tcW w:w="1389" w:type="dxa"/>
            <w:shd w:val="clear" w:color="auto" w:fill="auto"/>
            <w:vAlign w:val="bottom"/>
          </w:tcPr>
          <w:p w14:paraId="5A6C8B5D" w14:textId="77777777" w:rsidR="00161F02" w:rsidRPr="00BC3F8C" w:rsidRDefault="00161F02" w:rsidP="00BC3F8C">
            <w:pPr>
              <w:suppressAutoHyphens w:val="0"/>
              <w:spacing w:before="40" w:after="40" w:line="220" w:lineRule="exact"/>
              <w:jc w:val="right"/>
              <w:rPr>
                <w:sz w:val="18"/>
              </w:rPr>
            </w:pPr>
            <w:r w:rsidRPr="00BC3F8C">
              <w:rPr>
                <w:sz w:val="18"/>
                <w:lang w:val="fr-FR"/>
              </w:rPr>
              <w:t>290</w:t>
            </w:r>
          </w:p>
        </w:tc>
      </w:tr>
      <w:tr w:rsidR="00161F02" w:rsidRPr="00BC3F8C" w14:paraId="4A85C588" w14:textId="77777777" w:rsidTr="00BC3F8C">
        <w:tc>
          <w:tcPr>
            <w:tcW w:w="2896" w:type="dxa"/>
            <w:tcBorders>
              <w:bottom w:val="single" w:sz="12" w:space="0" w:color="auto"/>
            </w:tcBorders>
            <w:shd w:val="clear" w:color="auto" w:fill="auto"/>
          </w:tcPr>
          <w:p w14:paraId="4462D5BD" w14:textId="77777777" w:rsidR="00161F02" w:rsidRPr="00BC3F8C" w:rsidRDefault="00161F02" w:rsidP="00BC3F8C">
            <w:pPr>
              <w:suppressAutoHyphens w:val="0"/>
              <w:spacing w:before="40" w:after="40" w:line="220" w:lineRule="exact"/>
              <w:ind w:left="170"/>
              <w:rPr>
                <w:sz w:val="18"/>
              </w:rPr>
            </w:pPr>
            <w:r w:rsidRPr="00BC3F8C">
              <w:rPr>
                <w:sz w:val="18"/>
                <w:lang w:val="fr-FR"/>
              </w:rPr>
              <w:t>Villages d’enfants</w:t>
            </w:r>
          </w:p>
        </w:tc>
        <w:tc>
          <w:tcPr>
            <w:tcW w:w="1595" w:type="dxa"/>
            <w:tcBorders>
              <w:bottom w:val="single" w:sz="12" w:space="0" w:color="auto"/>
            </w:tcBorders>
            <w:shd w:val="clear" w:color="auto" w:fill="auto"/>
            <w:vAlign w:val="bottom"/>
          </w:tcPr>
          <w:p w14:paraId="1EAE7E24" w14:textId="77777777" w:rsidR="00161F02" w:rsidRPr="00BC3F8C" w:rsidRDefault="00161F02" w:rsidP="00BC3F8C">
            <w:pPr>
              <w:suppressAutoHyphens w:val="0"/>
              <w:spacing w:before="40" w:after="40" w:line="220" w:lineRule="exact"/>
              <w:jc w:val="right"/>
              <w:rPr>
                <w:sz w:val="18"/>
              </w:rPr>
            </w:pPr>
            <w:r w:rsidRPr="00BC3F8C">
              <w:rPr>
                <w:sz w:val="18"/>
                <w:lang w:val="fr-FR"/>
              </w:rPr>
              <w:t>292</w:t>
            </w:r>
          </w:p>
        </w:tc>
        <w:tc>
          <w:tcPr>
            <w:tcW w:w="1490" w:type="dxa"/>
            <w:tcBorders>
              <w:bottom w:val="single" w:sz="12" w:space="0" w:color="auto"/>
            </w:tcBorders>
            <w:shd w:val="clear" w:color="auto" w:fill="auto"/>
            <w:vAlign w:val="bottom"/>
          </w:tcPr>
          <w:p w14:paraId="2729F3AF" w14:textId="77777777" w:rsidR="00161F02" w:rsidRPr="00BC3F8C" w:rsidRDefault="00161F02" w:rsidP="00BC3F8C">
            <w:pPr>
              <w:suppressAutoHyphens w:val="0"/>
              <w:spacing w:before="40" w:after="40" w:line="220" w:lineRule="exact"/>
              <w:jc w:val="right"/>
              <w:rPr>
                <w:sz w:val="18"/>
              </w:rPr>
            </w:pPr>
            <w:r w:rsidRPr="00BC3F8C">
              <w:rPr>
                <w:sz w:val="18"/>
                <w:lang w:val="fr-FR"/>
              </w:rPr>
              <w:t>369</w:t>
            </w:r>
          </w:p>
        </w:tc>
        <w:tc>
          <w:tcPr>
            <w:tcW w:w="1389" w:type="dxa"/>
            <w:tcBorders>
              <w:bottom w:val="single" w:sz="12" w:space="0" w:color="auto"/>
            </w:tcBorders>
            <w:shd w:val="clear" w:color="auto" w:fill="auto"/>
            <w:vAlign w:val="bottom"/>
          </w:tcPr>
          <w:p w14:paraId="0F765ACB" w14:textId="77777777" w:rsidR="00161F02" w:rsidRPr="00BC3F8C" w:rsidRDefault="00161F02" w:rsidP="00BC3F8C">
            <w:pPr>
              <w:suppressAutoHyphens w:val="0"/>
              <w:spacing w:before="40" w:after="40" w:line="220" w:lineRule="exact"/>
              <w:jc w:val="right"/>
              <w:rPr>
                <w:sz w:val="18"/>
              </w:rPr>
            </w:pPr>
            <w:r w:rsidRPr="00BC3F8C">
              <w:rPr>
                <w:sz w:val="18"/>
                <w:lang w:val="fr-FR"/>
              </w:rPr>
              <w:t>289</w:t>
            </w:r>
          </w:p>
        </w:tc>
      </w:tr>
    </w:tbl>
    <w:p w14:paraId="08F7DD8F" w14:textId="25354AC9" w:rsidR="00161F02" w:rsidRPr="00806E3F" w:rsidRDefault="00161F02" w:rsidP="00161F02">
      <w:pPr>
        <w:pStyle w:val="H23G"/>
        <w:rPr>
          <w:b w:val="0"/>
          <w:i/>
        </w:rPr>
      </w:pPr>
      <w:r>
        <w:rPr>
          <w:lang w:val="fr-FR"/>
        </w:rPr>
        <w:tab/>
      </w:r>
      <w:r>
        <w:rPr>
          <w:lang w:val="fr-FR"/>
        </w:rPr>
        <w:tab/>
      </w:r>
      <w:r>
        <w:rPr>
          <w:bCs/>
          <w:lang w:val="fr-FR"/>
        </w:rPr>
        <w:t>Renseignements concernant le paragraphe</w:t>
      </w:r>
      <w:r w:rsidR="008C0AF9">
        <w:rPr>
          <w:bCs/>
          <w:lang w:val="fr-FR"/>
        </w:rPr>
        <w:t> </w:t>
      </w:r>
      <w:r>
        <w:rPr>
          <w:bCs/>
          <w:lang w:val="fr-FR"/>
        </w:rPr>
        <w:t>8</w:t>
      </w:r>
      <w:r w:rsidR="008C0AF9">
        <w:rPr>
          <w:bCs/>
          <w:lang w:val="fr-FR"/>
        </w:rPr>
        <w:t> </w:t>
      </w:r>
      <w:r>
        <w:rPr>
          <w:bCs/>
          <w:lang w:val="fr-FR"/>
        </w:rPr>
        <w:t>c) de la liste de points</w:t>
      </w:r>
      <w:r>
        <w:rPr>
          <w:lang w:val="fr-FR"/>
        </w:rPr>
        <w:t xml:space="preserve"> </w:t>
      </w:r>
    </w:p>
    <w:p w14:paraId="27FB60B0" w14:textId="77777777" w:rsidR="00161F02" w:rsidRPr="00806E3F" w:rsidRDefault="00161F02" w:rsidP="00161F02">
      <w:pPr>
        <w:pStyle w:val="SingleTxtG"/>
      </w:pPr>
      <w:r>
        <w:rPr>
          <w:lang w:val="fr-FR"/>
        </w:rPr>
        <w:t>99.</w:t>
      </w:r>
      <w:r>
        <w:rPr>
          <w:lang w:val="fr-FR"/>
        </w:rPr>
        <w:tab/>
        <w:t xml:space="preserve">L’État s’emploie à promouvoir l’éducation inclusive et à créer les conditions voulues pour que les personnes handicapées puissent accéder à l’éducation et à la formation professionnelle, au recyclage et à la mise à niveau des compétences. </w:t>
      </w:r>
    </w:p>
    <w:p w14:paraId="71B8FA14" w14:textId="32740886" w:rsidR="00161F02" w:rsidRPr="00806E3F" w:rsidRDefault="00161F02" w:rsidP="00161F02">
      <w:pPr>
        <w:pStyle w:val="SingleTxtG"/>
      </w:pPr>
      <w:r>
        <w:rPr>
          <w:lang w:val="fr-FR"/>
        </w:rPr>
        <w:t>100.</w:t>
      </w:r>
      <w:r>
        <w:rPr>
          <w:lang w:val="fr-FR"/>
        </w:rPr>
        <w:tab/>
        <w:t>Les personnes handicapées ont accès, gratuitement ou à des conditions préférentielles, à des manuels pédagogiques et des ouvrages adaptés et peuvent bénéficier de services d’interprétation en langue des signes. Pour les années 2018 à 2020, les statistiques sur le nombre d’enfants handicapés ayant obtenu un diplôme délivré par un centre de formation professionnelle s’établissaient comme suit</w:t>
      </w:r>
      <w:r w:rsidR="005579CA">
        <w:rPr>
          <w:lang w:val="fr-FR"/>
        </w:rPr>
        <w:t> :</w:t>
      </w:r>
      <w:r>
        <w:rPr>
          <w:lang w:val="fr-FR"/>
        </w:rPr>
        <w:t xml:space="preserve"> 803</w:t>
      </w:r>
      <w:r w:rsidR="00BC3F8C">
        <w:rPr>
          <w:lang w:val="fr-FR"/>
        </w:rPr>
        <w:t> </w:t>
      </w:r>
      <w:r>
        <w:rPr>
          <w:lang w:val="fr-FR"/>
        </w:rPr>
        <w:t xml:space="preserve">élèves en 2018, </w:t>
      </w:r>
      <w:r w:rsidR="000C10FD">
        <w:rPr>
          <w:lang w:val="fr-FR"/>
        </w:rPr>
        <w:t>788</w:t>
      </w:r>
      <w:r>
        <w:rPr>
          <w:lang w:val="fr-FR"/>
        </w:rPr>
        <w:t xml:space="preserve"> en 2019 et 59 en 2020. Pour ces mêmes années, les statistiques sur le nombre d’étudiants handicapés qui suivaient des études dans un établissement d’enseignement supérieur s’établissaient comme suit</w:t>
      </w:r>
      <w:r w:rsidR="005579CA">
        <w:rPr>
          <w:lang w:val="fr-FR"/>
        </w:rPr>
        <w:t> :</w:t>
      </w:r>
      <w:r>
        <w:rPr>
          <w:lang w:val="fr-FR"/>
        </w:rPr>
        <w:t xml:space="preserve"> 76</w:t>
      </w:r>
      <w:r w:rsidR="00BC3F8C">
        <w:rPr>
          <w:lang w:val="fr-FR"/>
        </w:rPr>
        <w:t> </w:t>
      </w:r>
      <w:r>
        <w:rPr>
          <w:lang w:val="fr-FR"/>
        </w:rPr>
        <w:t>étudiants (dont 30</w:t>
      </w:r>
      <w:r w:rsidR="00BC3F8C">
        <w:rPr>
          <w:lang w:val="fr-FR"/>
        </w:rPr>
        <w:t> </w:t>
      </w:r>
      <w:r>
        <w:rPr>
          <w:lang w:val="fr-FR"/>
        </w:rPr>
        <w:t>femmes et 46</w:t>
      </w:r>
      <w:r w:rsidR="00BC3F8C">
        <w:rPr>
          <w:lang w:val="fr-FR"/>
        </w:rPr>
        <w:t> </w:t>
      </w:r>
      <w:r>
        <w:rPr>
          <w:lang w:val="fr-FR"/>
        </w:rPr>
        <w:t>hommes) en 2018, 59 étudiants (dont 24</w:t>
      </w:r>
      <w:r w:rsidR="00BC3F8C">
        <w:rPr>
          <w:lang w:val="fr-FR"/>
        </w:rPr>
        <w:t> </w:t>
      </w:r>
      <w:r>
        <w:rPr>
          <w:lang w:val="fr-FR"/>
        </w:rPr>
        <w:t>femmes et 35</w:t>
      </w:r>
      <w:r w:rsidR="00BC3F8C">
        <w:rPr>
          <w:lang w:val="fr-FR"/>
        </w:rPr>
        <w:t> </w:t>
      </w:r>
      <w:r>
        <w:rPr>
          <w:lang w:val="fr-FR"/>
        </w:rPr>
        <w:t>hommes) en 2019, 59</w:t>
      </w:r>
      <w:r w:rsidR="00BC3F8C">
        <w:rPr>
          <w:lang w:val="fr-FR"/>
        </w:rPr>
        <w:t> </w:t>
      </w:r>
      <w:r>
        <w:rPr>
          <w:lang w:val="fr-FR"/>
        </w:rPr>
        <w:t>étudiants (dont 13</w:t>
      </w:r>
      <w:r w:rsidR="00BC3F8C">
        <w:rPr>
          <w:lang w:val="fr-FR"/>
        </w:rPr>
        <w:t> </w:t>
      </w:r>
      <w:r>
        <w:rPr>
          <w:lang w:val="fr-FR"/>
        </w:rPr>
        <w:t>femmes et 46</w:t>
      </w:r>
      <w:r w:rsidR="00BC3F8C">
        <w:rPr>
          <w:lang w:val="fr-FR"/>
        </w:rPr>
        <w:t> </w:t>
      </w:r>
      <w:r>
        <w:rPr>
          <w:lang w:val="fr-FR"/>
        </w:rPr>
        <w:t>hommes) en 2020.</w:t>
      </w:r>
    </w:p>
    <w:p w14:paraId="605ECFAB" w14:textId="5FB82271" w:rsidR="00161F02" w:rsidRPr="00806E3F" w:rsidRDefault="00161F02" w:rsidP="00161F02">
      <w:pPr>
        <w:pStyle w:val="SingleTxtG"/>
      </w:pPr>
      <w:r>
        <w:rPr>
          <w:lang w:val="fr-FR"/>
        </w:rPr>
        <w:t>101.</w:t>
      </w:r>
      <w:r>
        <w:rPr>
          <w:lang w:val="fr-FR"/>
        </w:rPr>
        <w:tab/>
        <w:t>Le Cadre pour le développement de l’éducation inclusive dans l’éducation nationale pour 2020</w:t>
      </w:r>
      <w:r w:rsidR="00ED5AEE">
        <w:rPr>
          <w:lang w:val="fr-FR"/>
        </w:rPr>
        <w:t>-20</w:t>
      </w:r>
      <w:r>
        <w:rPr>
          <w:lang w:val="fr-FR"/>
        </w:rPr>
        <w:t>25 a été adopté et des objectifs ont été fixés en vue d’améliorer la qualité des services éducatifs fournis aux enfants handicapés. Pendant l’année scolaire 2021</w:t>
      </w:r>
      <w:r w:rsidR="00BC3F8C">
        <w:rPr>
          <w:lang w:val="fr-FR"/>
        </w:rPr>
        <w:t>/22</w:t>
      </w:r>
      <w:r>
        <w:rPr>
          <w:lang w:val="fr-FR"/>
        </w:rPr>
        <w:t xml:space="preserve">, un système d’éducation inclusive a été mis en place, des classes de rattrapage des connaissances de base pour les enfants ayant des besoins spéciaux ont été ouvertes dans les régions, et un </w:t>
      </w:r>
      <w:r w:rsidR="00ED5AEE">
        <w:rPr>
          <w:lang w:val="fr-FR"/>
        </w:rPr>
        <w:t>« </w:t>
      </w:r>
      <w:r>
        <w:rPr>
          <w:lang w:val="fr-FR"/>
        </w:rPr>
        <w:t>laboratoire d’éducation inclusive</w:t>
      </w:r>
      <w:r w:rsidR="00ED5AEE">
        <w:rPr>
          <w:lang w:val="fr-FR"/>
        </w:rPr>
        <w:t> »</w:t>
      </w:r>
      <w:r>
        <w:rPr>
          <w:lang w:val="fr-FR"/>
        </w:rPr>
        <w:t xml:space="preserve"> a été créé au Centre national d’orientation professionnelle et d’évaluation psychopédagogique des élèves. D’autres mesures sont prises pour introduire des systèmes d’éducation inclusive pour personnes handicapées et, notamment, une formation et des cours de recyclage sont organisés à l’intention du personnel enseignant. </w:t>
      </w:r>
    </w:p>
    <w:p w14:paraId="3051BD72" w14:textId="77777777" w:rsidR="00161F02" w:rsidRPr="00806E3F" w:rsidRDefault="00161F02" w:rsidP="00161F02">
      <w:pPr>
        <w:pStyle w:val="SingleTxtG"/>
      </w:pPr>
      <w:r>
        <w:rPr>
          <w:lang w:val="fr-FR"/>
        </w:rPr>
        <w:lastRenderedPageBreak/>
        <w:t>102.</w:t>
      </w:r>
      <w:r>
        <w:rPr>
          <w:lang w:val="fr-FR"/>
        </w:rPr>
        <w:tab/>
        <w:t>Suivant leur état de santé, les enfants handicapés peuvent bénéficier d’un enseignement à domicile financé par l’État, avec l’accord de leurs parents ou de leur représentant légal.</w:t>
      </w:r>
    </w:p>
    <w:p w14:paraId="4ADD8E96" w14:textId="77777777" w:rsidR="00161F02" w:rsidRPr="00806E3F" w:rsidRDefault="00161F02" w:rsidP="00161F02">
      <w:pPr>
        <w:pStyle w:val="SingleTxtG"/>
      </w:pPr>
      <w:r>
        <w:rPr>
          <w:lang w:val="fr-FR"/>
        </w:rPr>
        <w:t>103.</w:t>
      </w:r>
      <w:r>
        <w:rPr>
          <w:lang w:val="fr-FR"/>
        </w:rPr>
        <w:tab/>
        <w:t xml:space="preserve">Chaque année, les enfants handicapés sont soumis dans toutes les régions du pays à des examens médicaux approfondis pratiqués à titre préventif par des équipes composées de huit à dix spécialistes, qui sont constituées à cette fin. Des consultations sont organisées à domicile pour les enfants à mobilité réduite. </w:t>
      </w:r>
    </w:p>
    <w:p w14:paraId="30B3F7F8" w14:textId="19CD262B" w:rsidR="00161F02" w:rsidRPr="00806E3F" w:rsidRDefault="00161F02" w:rsidP="00161F02">
      <w:pPr>
        <w:pStyle w:val="SingleTxtG"/>
      </w:pPr>
      <w:r>
        <w:rPr>
          <w:lang w:val="fr-FR"/>
        </w:rPr>
        <w:t>104.</w:t>
      </w:r>
      <w:r>
        <w:rPr>
          <w:lang w:val="fr-FR"/>
        </w:rPr>
        <w:tab/>
        <w:t>En 2020, 10</w:t>
      </w:r>
      <w:r w:rsidR="00ED5AEE">
        <w:rPr>
          <w:lang w:val="fr-FR"/>
        </w:rPr>
        <w:t> </w:t>
      </w:r>
      <w:r>
        <w:rPr>
          <w:lang w:val="fr-FR"/>
        </w:rPr>
        <w:t>630</w:t>
      </w:r>
      <w:r w:rsidR="00ED5AEE">
        <w:rPr>
          <w:lang w:val="fr-FR"/>
        </w:rPr>
        <w:t> </w:t>
      </w:r>
      <w:r>
        <w:rPr>
          <w:lang w:val="fr-FR"/>
        </w:rPr>
        <w:t>800</w:t>
      </w:r>
      <w:r w:rsidR="00ED5AEE">
        <w:rPr>
          <w:lang w:val="fr-FR"/>
        </w:rPr>
        <w:t> </w:t>
      </w:r>
      <w:r>
        <w:rPr>
          <w:lang w:val="fr-FR"/>
        </w:rPr>
        <w:t>enfants de 0 à 17</w:t>
      </w:r>
      <w:r w:rsidR="00ED5AEE">
        <w:rPr>
          <w:lang w:val="fr-FR"/>
        </w:rPr>
        <w:t> </w:t>
      </w:r>
      <w:r>
        <w:rPr>
          <w:lang w:val="fr-FR"/>
        </w:rPr>
        <w:t>ans ont été soumis à ces examens de prévention, ce qui a permis de diagnostiquer 5</w:t>
      </w:r>
      <w:r w:rsidR="00ED5AEE">
        <w:rPr>
          <w:lang w:val="fr-FR"/>
        </w:rPr>
        <w:t> </w:t>
      </w:r>
      <w:r>
        <w:rPr>
          <w:lang w:val="fr-FR"/>
        </w:rPr>
        <w:t>630</w:t>
      </w:r>
      <w:r w:rsidR="00ED5AEE">
        <w:rPr>
          <w:lang w:val="fr-FR"/>
        </w:rPr>
        <w:t> </w:t>
      </w:r>
      <w:r>
        <w:rPr>
          <w:lang w:val="fr-FR"/>
        </w:rPr>
        <w:t>553</w:t>
      </w:r>
      <w:r w:rsidR="00ED5AEE">
        <w:rPr>
          <w:lang w:val="fr-FR"/>
        </w:rPr>
        <w:t> </w:t>
      </w:r>
      <w:r>
        <w:rPr>
          <w:lang w:val="fr-FR"/>
        </w:rPr>
        <w:t>cas de maladie, dont 33 645</w:t>
      </w:r>
      <w:r w:rsidR="00ED5AEE">
        <w:rPr>
          <w:lang w:val="fr-FR"/>
        </w:rPr>
        <w:t> </w:t>
      </w:r>
      <w:r>
        <w:rPr>
          <w:lang w:val="fr-FR"/>
        </w:rPr>
        <w:t>cas de maladies liées au développement psychique. Dans ce contexte, 2</w:t>
      </w:r>
      <w:r w:rsidR="00ED5AEE">
        <w:rPr>
          <w:lang w:val="fr-FR"/>
        </w:rPr>
        <w:t> </w:t>
      </w:r>
      <w:r>
        <w:rPr>
          <w:lang w:val="fr-FR"/>
        </w:rPr>
        <w:t>867</w:t>
      </w:r>
      <w:r w:rsidR="00ED5AEE">
        <w:rPr>
          <w:lang w:val="fr-FR"/>
        </w:rPr>
        <w:t> </w:t>
      </w:r>
      <w:r>
        <w:rPr>
          <w:lang w:val="fr-FR"/>
        </w:rPr>
        <w:t>045</w:t>
      </w:r>
      <w:r w:rsidR="00ED5AEE">
        <w:rPr>
          <w:lang w:val="fr-FR"/>
        </w:rPr>
        <w:t> </w:t>
      </w:r>
      <w:r>
        <w:rPr>
          <w:lang w:val="fr-FR"/>
        </w:rPr>
        <w:t>diagnostics de troubles ont été posés sur 5 347</w:t>
      </w:r>
      <w:r w:rsidR="00ED5AEE">
        <w:rPr>
          <w:lang w:val="fr-FR"/>
        </w:rPr>
        <w:t> </w:t>
      </w:r>
      <w:r>
        <w:rPr>
          <w:lang w:val="fr-FR"/>
        </w:rPr>
        <w:t>949</w:t>
      </w:r>
      <w:r w:rsidR="00ED5AEE">
        <w:rPr>
          <w:lang w:val="fr-FR"/>
        </w:rPr>
        <w:t> </w:t>
      </w:r>
      <w:r>
        <w:rPr>
          <w:lang w:val="fr-FR"/>
        </w:rPr>
        <w:t>filles de 0 à 17</w:t>
      </w:r>
      <w:r w:rsidR="00ED5AEE">
        <w:rPr>
          <w:lang w:val="fr-FR"/>
        </w:rPr>
        <w:t> </w:t>
      </w:r>
      <w:r>
        <w:rPr>
          <w:lang w:val="fr-FR"/>
        </w:rPr>
        <w:t>ans, dont 15</w:t>
      </w:r>
      <w:r w:rsidR="00ED5AEE">
        <w:rPr>
          <w:lang w:val="fr-FR"/>
        </w:rPr>
        <w:t> </w:t>
      </w:r>
      <w:r>
        <w:rPr>
          <w:lang w:val="fr-FR"/>
        </w:rPr>
        <w:t>192 concernaient des troubles psychiques. Dans les zones rurales, 1</w:t>
      </w:r>
      <w:r w:rsidR="00ED5AEE">
        <w:rPr>
          <w:lang w:val="fr-FR"/>
        </w:rPr>
        <w:t> </w:t>
      </w:r>
      <w:r>
        <w:rPr>
          <w:lang w:val="fr-FR"/>
        </w:rPr>
        <w:t>511</w:t>
      </w:r>
      <w:r w:rsidR="00ED5AEE">
        <w:rPr>
          <w:lang w:val="fr-FR"/>
        </w:rPr>
        <w:t> </w:t>
      </w:r>
      <w:r>
        <w:rPr>
          <w:lang w:val="fr-FR"/>
        </w:rPr>
        <w:t>625</w:t>
      </w:r>
      <w:r w:rsidR="00ED5AEE">
        <w:rPr>
          <w:lang w:val="fr-FR"/>
        </w:rPr>
        <w:t> </w:t>
      </w:r>
      <w:r>
        <w:rPr>
          <w:lang w:val="fr-FR"/>
        </w:rPr>
        <w:t>diagnostics de troubles ont été établis pour 2 776</w:t>
      </w:r>
      <w:r w:rsidR="00ED5AEE">
        <w:rPr>
          <w:lang w:val="fr-FR"/>
        </w:rPr>
        <w:t> </w:t>
      </w:r>
      <w:r>
        <w:rPr>
          <w:lang w:val="fr-FR"/>
        </w:rPr>
        <w:t>938</w:t>
      </w:r>
      <w:r w:rsidR="00ED5AEE">
        <w:rPr>
          <w:lang w:val="fr-FR"/>
        </w:rPr>
        <w:t> </w:t>
      </w:r>
      <w:r>
        <w:rPr>
          <w:lang w:val="fr-FR"/>
        </w:rPr>
        <w:t>enfants de 0 à 17</w:t>
      </w:r>
      <w:r w:rsidR="00ED5AEE">
        <w:rPr>
          <w:lang w:val="fr-FR"/>
        </w:rPr>
        <w:t> </w:t>
      </w:r>
      <w:r>
        <w:rPr>
          <w:lang w:val="fr-FR"/>
        </w:rPr>
        <w:t>ans, dont 6</w:t>
      </w:r>
      <w:r w:rsidR="00ED5AEE">
        <w:rPr>
          <w:lang w:val="fr-FR"/>
        </w:rPr>
        <w:t> </w:t>
      </w:r>
      <w:r>
        <w:rPr>
          <w:lang w:val="fr-FR"/>
        </w:rPr>
        <w:t xml:space="preserve">050 portaient sur des troubles psychiques. </w:t>
      </w:r>
    </w:p>
    <w:p w14:paraId="033CB904" w14:textId="403C5B19" w:rsidR="00161F02" w:rsidRPr="00806E3F" w:rsidRDefault="00161F02" w:rsidP="00161F02">
      <w:pPr>
        <w:pStyle w:val="SingleTxtG"/>
      </w:pPr>
      <w:r>
        <w:rPr>
          <w:lang w:val="fr-FR"/>
        </w:rPr>
        <w:t>105.</w:t>
      </w:r>
      <w:r>
        <w:rPr>
          <w:lang w:val="fr-FR"/>
        </w:rPr>
        <w:tab/>
        <w:t>Depuis le 1</w:t>
      </w:r>
      <w:r w:rsidRPr="00694182">
        <w:rPr>
          <w:vertAlign w:val="superscript"/>
          <w:lang w:val="fr-FR"/>
        </w:rPr>
        <w:t>er</w:t>
      </w:r>
      <w:r w:rsidR="00ED5AEE">
        <w:rPr>
          <w:lang w:val="fr-FR"/>
        </w:rPr>
        <w:t> </w:t>
      </w:r>
      <w:r>
        <w:rPr>
          <w:lang w:val="fr-FR"/>
        </w:rPr>
        <w:t>juin 2021, les enfants reçoivent gratuitement des micronutriments en poudre, de la vitamine</w:t>
      </w:r>
      <w:r w:rsidR="00AE1E85">
        <w:rPr>
          <w:lang w:val="fr-FR"/>
        </w:rPr>
        <w:t> </w:t>
      </w:r>
      <w:r>
        <w:rPr>
          <w:lang w:val="fr-FR"/>
        </w:rPr>
        <w:t>A, des préparations iodées et des préparations spéciales pour la prévention de l’helminthiase.</w:t>
      </w:r>
    </w:p>
    <w:p w14:paraId="13C40CFE" w14:textId="4251F3E5" w:rsidR="007341B7" w:rsidRDefault="00161F02" w:rsidP="00594A58">
      <w:pPr>
        <w:pStyle w:val="SingleTxtG"/>
        <w:rPr>
          <w:lang w:val="fr-FR"/>
        </w:rPr>
      </w:pPr>
      <w:r>
        <w:rPr>
          <w:lang w:val="fr-FR"/>
        </w:rPr>
        <w:t>106.</w:t>
      </w:r>
      <w:r>
        <w:rPr>
          <w:lang w:val="fr-FR"/>
        </w:rPr>
        <w:tab/>
        <w:t>Un cours consacré aux questions liées à la santé (protection de la santé des enfants et des adolescents, y compris la santé sexuelle et procréative) a été introduit dans le programme des cours des établissements d’enseignement général. De la 9</w:t>
      </w:r>
      <w:r w:rsidRPr="00694182">
        <w:rPr>
          <w:vertAlign w:val="superscript"/>
          <w:lang w:val="fr-FR"/>
        </w:rPr>
        <w:t>e</w:t>
      </w:r>
      <w:r>
        <w:rPr>
          <w:lang w:val="fr-FR"/>
        </w:rPr>
        <w:t xml:space="preserve"> à la 11</w:t>
      </w:r>
      <w:r w:rsidRPr="00694182">
        <w:rPr>
          <w:vertAlign w:val="superscript"/>
          <w:lang w:val="fr-FR"/>
        </w:rPr>
        <w:t>e</w:t>
      </w:r>
      <w:r w:rsidR="003A68CC">
        <w:rPr>
          <w:lang w:val="fr-FR"/>
        </w:rPr>
        <w:t> </w:t>
      </w:r>
      <w:r>
        <w:rPr>
          <w:lang w:val="fr-FR"/>
        </w:rPr>
        <w:t>année, des cours sont dispensés sur les fondements d’une relation saine et harmonieuse dans le cadre du mariage, la prévention des maladies sexuellement transmissibles chez les adolescents, les avantages que présente le fait d’être adulte au moment où l’on devient père ou mère, les principes de base relatifs à la santé des mineurs, les conséquences néfastes d’une activité sexuelle précoce et le rôle joué par les facteurs personnels, familiaux, scolaires et communautaires, les questions de non-discrimination, de protection contre le harcèlement sexuel et la violence sexuelle, et les effets de l’alcool et d’autres substances nocives ou illégales</w:t>
      </w:r>
      <w:r w:rsidR="00594A58">
        <w:rPr>
          <w:lang w:val="fr-FR"/>
        </w:rPr>
        <w:t>.</w:t>
      </w:r>
    </w:p>
    <w:p w14:paraId="60E5966C" w14:textId="77CD1B0A" w:rsidR="003A454B" w:rsidRPr="00593F42" w:rsidRDefault="003A454B" w:rsidP="003A454B">
      <w:pPr>
        <w:pStyle w:val="H23G"/>
        <w:tabs>
          <w:tab w:val="clear" w:pos="851"/>
        </w:tabs>
        <w:rPr>
          <w:b w:val="0"/>
          <w:i/>
        </w:rPr>
      </w:pPr>
      <w:r>
        <w:rPr>
          <w:lang w:val="fr-FR"/>
        </w:rPr>
        <w:tab/>
      </w:r>
      <w:r>
        <w:rPr>
          <w:lang w:val="fr-FR"/>
        </w:rPr>
        <w:tab/>
      </w:r>
      <w:r>
        <w:rPr>
          <w:bCs/>
          <w:lang w:val="fr-FR"/>
        </w:rPr>
        <w:t>Renseignements concernant le paragraphe</w:t>
      </w:r>
      <w:r w:rsidR="00AE1E85">
        <w:rPr>
          <w:bCs/>
          <w:lang w:val="fr-FR"/>
        </w:rPr>
        <w:t> </w:t>
      </w:r>
      <w:r>
        <w:rPr>
          <w:bCs/>
          <w:lang w:val="fr-FR"/>
        </w:rPr>
        <w:t>9</w:t>
      </w:r>
      <w:r w:rsidR="00AE1E85">
        <w:rPr>
          <w:bCs/>
          <w:lang w:val="fr-FR"/>
        </w:rPr>
        <w:t> </w:t>
      </w:r>
      <w:r>
        <w:rPr>
          <w:bCs/>
          <w:lang w:val="fr-FR"/>
        </w:rPr>
        <w:t>a) de la liste de points</w:t>
      </w:r>
      <w:r>
        <w:rPr>
          <w:lang w:val="fr-FR"/>
        </w:rPr>
        <w:t xml:space="preserve"> </w:t>
      </w:r>
    </w:p>
    <w:p w14:paraId="62C88606" w14:textId="488332E7" w:rsidR="003A454B" w:rsidRPr="00593F42" w:rsidRDefault="003A454B" w:rsidP="003A454B">
      <w:pPr>
        <w:pStyle w:val="SingleTxtG"/>
      </w:pPr>
      <w:r>
        <w:rPr>
          <w:lang w:val="fr-FR"/>
        </w:rPr>
        <w:t>107.</w:t>
      </w:r>
      <w:r>
        <w:rPr>
          <w:lang w:val="fr-FR"/>
        </w:rPr>
        <w:tab/>
        <w:t xml:space="preserve">Selon les données pour 2020, l’Ouzbékistan dispose des ressources matérielles, techniques et humaines nécessaires </w:t>
      </w:r>
      <w:r w:rsidRPr="00BB0FCE">
        <w:rPr>
          <w:lang w:val="fr-FR"/>
        </w:rPr>
        <w:t>pour veiller à la santé des enfants. Il compte 11</w:t>
      </w:r>
      <w:r w:rsidR="00E70DD1">
        <w:rPr>
          <w:lang w:val="fr-FR"/>
        </w:rPr>
        <w:t> </w:t>
      </w:r>
      <w:r w:rsidRPr="00BB0FCE">
        <w:rPr>
          <w:lang w:val="fr-FR"/>
        </w:rPr>
        <w:t>350</w:t>
      </w:r>
      <w:r w:rsidR="00E70DD1">
        <w:rPr>
          <w:lang w:val="fr-FR"/>
        </w:rPr>
        <w:t> </w:t>
      </w:r>
      <w:r w:rsidRPr="00BB0FCE">
        <w:rPr>
          <w:lang w:val="fr-FR"/>
        </w:rPr>
        <w:t>médecins pour enfants, dont 5</w:t>
      </w:r>
      <w:r w:rsidR="00336E80">
        <w:rPr>
          <w:lang w:val="fr-FR"/>
        </w:rPr>
        <w:t> </w:t>
      </w:r>
      <w:r w:rsidRPr="00BB0FCE">
        <w:rPr>
          <w:lang w:val="fr-FR"/>
        </w:rPr>
        <w:t>244</w:t>
      </w:r>
      <w:r w:rsidR="00336E80">
        <w:rPr>
          <w:lang w:val="fr-FR"/>
        </w:rPr>
        <w:t> </w:t>
      </w:r>
      <w:r w:rsidRPr="00BB0FCE">
        <w:rPr>
          <w:lang w:val="fr-FR"/>
        </w:rPr>
        <w:t>pédiatres. Dans les hôpitaux, 28</w:t>
      </w:r>
      <w:r w:rsidR="00336E80">
        <w:rPr>
          <w:lang w:val="fr-FR"/>
        </w:rPr>
        <w:t> </w:t>
      </w:r>
      <w:r w:rsidRPr="00BB0FCE">
        <w:rPr>
          <w:lang w:val="fr-FR"/>
        </w:rPr>
        <w:t>400</w:t>
      </w:r>
      <w:r w:rsidR="00336E80">
        <w:rPr>
          <w:lang w:val="fr-FR"/>
        </w:rPr>
        <w:t> </w:t>
      </w:r>
      <w:r w:rsidRPr="00BB0FCE">
        <w:rPr>
          <w:lang w:val="fr-FR"/>
        </w:rPr>
        <w:t>lits pour enfants ont été créés</w:t>
      </w:r>
      <w:r w:rsidR="005579CA">
        <w:rPr>
          <w:lang w:val="fr-FR"/>
        </w:rPr>
        <w:t> :</w:t>
      </w:r>
      <w:r>
        <w:rPr>
          <w:lang w:val="fr-FR"/>
        </w:rPr>
        <w:t xml:space="preserve"> pour 10 000</w:t>
      </w:r>
      <w:r w:rsidR="00336E80">
        <w:rPr>
          <w:lang w:val="fr-FR"/>
        </w:rPr>
        <w:t> </w:t>
      </w:r>
      <w:r>
        <w:rPr>
          <w:lang w:val="fr-FR"/>
        </w:rPr>
        <w:t xml:space="preserve">habitants, on dénombre ainsi </w:t>
      </w:r>
      <w:r w:rsidRPr="00BB0FCE">
        <w:rPr>
          <w:lang w:val="fr-FR"/>
        </w:rPr>
        <w:t>27</w:t>
      </w:r>
      <w:r>
        <w:rPr>
          <w:lang w:val="fr-FR"/>
        </w:rPr>
        <w:t>,</w:t>
      </w:r>
      <w:r w:rsidRPr="00BB0FCE">
        <w:rPr>
          <w:lang w:val="fr-FR"/>
        </w:rPr>
        <w:t>9</w:t>
      </w:r>
      <w:r w:rsidR="00336E80">
        <w:rPr>
          <w:lang w:val="fr-FR"/>
        </w:rPr>
        <w:t> </w:t>
      </w:r>
      <w:r>
        <w:rPr>
          <w:lang w:val="fr-FR"/>
        </w:rPr>
        <w:t>lits pour enfants</w:t>
      </w:r>
      <w:r w:rsidRPr="00BB0FCE">
        <w:rPr>
          <w:lang w:val="fr-FR"/>
        </w:rPr>
        <w:t xml:space="preserve"> </w:t>
      </w:r>
      <w:r>
        <w:rPr>
          <w:lang w:val="fr-FR"/>
        </w:rPr>
        <w:t>et</w:t>
      </w:r>
      <w:r w:rsidRPr="00BB0FCE">
        <w:rPr>
          <w:lang w:val="fr-FR"/>
        </w:rPr>
        <w:t xml:space="preserve"> 24</w:t>
      </w:r>
      <w:r>
        <w:rPr>
          <w:lang w:val="fr-FR"/>
        </w:rPr>
        <w:t>,</w:t>
      </w:r>
      <w:r w:rsidRPr="00BB0FCE">
        <w:rPr>
          <w:lang w:val="fr-FR"/>
        </w:rPr>
        <w:t>2</w:t>
      </w:r>
      <w:r w:rsidR="00336E80">
        <w:rPr>
          <w:lang w:val="fr-FR"/>
        </w:rPr>
        <w:t> </w:t>
      </w:r>
      <w:r>
        <w:rPr>
          <w:lang w:val="fr-FR"/>
        </w:rPr>
        <w:t>lits pour adultes</w:t>
      </w:r>
      <w:r w:rsidRPr="00BB0FCE">
        <w:rPr>
          <w:lang w:val="fr-FR"/>
        </w:rPr>
        <w:t>. Le pays compte 1</w:t>
      </w:r>
      <w:r w:rsidR="00336E80">
        <w:rPr>
          <w:lang w:val="fr-FR"/>
        </w:rPr>
        <w:t> </w:t>
      </w:r>
      <w:r w:rsidRPr="00BB0FCE">
        <w:rPr>
          <w:lang w:val="fr-FR"/>
        </w:rPr>
        <w:t>069</w:t>
      </w:r>
      <w:r w:rsidR="00336E80">
        <w:rPr>
          <w:lang w:val="fr-FR"/>
        </w:rPr>
        <w:t> </w:t>
      </w:r>
      <w:r w:rsidRPr="00BB0FCE">
        <w:rPr>
          <w:lang w:val="fr-FR"/>
        </w:rPr>
        <w:t>polycliniques pédiatriques et 6</w:t>
      </w:r>
      <w:r w:rsidR="00336E80">
        <w:rPr>
          <w:lang w:val="fr-FR"/>
        </w:rPr>
        <w:t> </w:t>
      </w:r>
      <w:r w:rsidRPr="00BB0FCE">
        <w:rPr>
          <w:lang w:val="fr-FR"/>
        </w:rPr>
        <w:t>200</w:t>
      </w:r>
      <w:r w:rsidR="00336E80">
        <w:rPr>
          <w:lang w:val="fr-FR"/>
        </w:rPr>
        <w:t> </w:t>
      </w:r>
      <w:r w:rsidRPr="00BB0FCE">
        <w:rPr>
          <w:lang w:val="fr-FR"/>
        </w:rPr>
        <w:t>lits dans les sanatoriums pour enfants. Sur les 28</w:t>
      </w:r>
      <w:r w:rsidR="00336E80">
        <w:rPr>
          <w:lang w:val="fr-FR"/>
        </w:rPr>
        <w:t> </w:t>
      </w:r>
      <w:r w:rsidRPr="00BB0FCE">
        <w:rPr>
          <w:lang w:val="fr-FR"/>
        </w:rPr>
        <w:t>4</w:t>
      </w:r>
      <w:r w:rsidR="00E70DD1">
        <w:rPr>
          <w:lang w:val="fr-FR"/>
        </w:rPr>
        <w:t>11</w:t>
      </w:r>
      <w:r w:rsidR="00336E80">
        <w:rPr>
          <w:lang w:val="fr-FR"/>
        </w:rPr>
        <w:t> </w:t>
      </w:r>
      <w:r w:rsidRPr="00BB0FCE">
        <w:rPr>
          <w:lang w:val="fr-FR"/>
        </w:rPr>
        <w:t>lits d</w:t>
      </w:r>
      <w:r>
        <w:rPr>
          <w:lang w:val="fr-FR"/>
        </w:rPr>
        <w:t>’</w:t>
      </w:r>
      <w:r w:rsidRPr="00BB0FCE">
        <w:rPr>
          <w:lang w:val="fr-FR"/>
        </w:rPr>
        <w:t>hôpitaux pour enfants, 2</w:t>
      </w:r>
      <w:r w:rsidR="00336E80">
        <w:rPr>
          <w:lang w:val="fr-FR"/>
        </w:rPr>
        <w:t> </w:t>
      </w:r>
      <w:r w:rsidRPr="00BB0FCE">
        <w:rPr>
          <w:lang w:val="fr-FR"/>
        </w:rPr>
        <w:t>861 sont affectés aux soins aigus, 3</w:t>
      </w:r>
      <w:r w:rsidR="00336E80">
        <w:rPr>
          <w:lang w:val="fr-FR"/>
        </w:rPr>
        <w:t> </w:t>
      </w:r>
      <w:r w:rsidRPr="00BB0FCE">
        <w:rPr>
          <w:lang w:val="fr-FR"/>
        </w:rPr>
        <w:t>333 aux services de chirurgie</w:t>
      </w:r>
      <w:r>
        <w:rPr>
          <w:lang w:val="fr-FR"/>
        </w:rPr>
        <w:t>, 106 aux services de gynécologie, 665 aux services spécialisés dans la lutte contre la tuberculose, 5</w:t>
      </w:r>
      <w:r w:rsidR="00336E80">
        <w:rPr>
          <w:lang w:val="fr-FR"/>
        </w:rPr>
        <w:t> </w:t>
      </w:r>
      <w:r>
        <w:rPr>
          <w:lang w:val="fr-FR"/>
        </w:rPr>
        <w:t>068 aux services des maladies infectieuses, 241 aux services d’ophtalmologie et 633 aux services d’oto-rhino-laryngologie.</w:t>
      </w:r>
    </w:p>
    <w:p w14:paraId="41CA7763" w14:textId="3DACF5BD" w:rsidR="003A454B" w:rsidRPr="00593F42" w:rsidRDefault="003A454B" w:rsidP="003A454B">
      <w:pPr>
        <w:pStyle w:val="SingleTxtG"/>
      </w:pPr>
      <w:r>
        <w:rPr>
          <w:lang w:val="fr-FR"/>
        </w:rPr>
        <w:t>108.</w:t>
      </w:r>
      <w:r>
        <w:rPr>
          <w:lang w:val="fr-FR"/>
        </w:rPr>
        <w:tab/>
        <w:t>L’Ouzbékistan prend des mesures pour mettre en place un système moderne de soins de santé primaires, prévenir et détecter les maladies à un stade précoce, former un personnel médical qualifié et introduire de nouveaux mécanismes de gestion dans ce domaine. Le pays compte aujourd’h</w:t>
      </w:r>
      <w:r w:rsidRPr="006437FB">
        <w:rPr>
          <w:lang w:val="fr-FR"/>
        </w:rPr>
        <w:t>ui 1</w:t>
      </w:r>
      <w:r w:rsidR="00336E80">
        <w:rPr>
          <w:lang w:val="fr-FR"/>
        </w:rPr>
        <w:t> </w:t>
      </w:r>
      <w:r w:rsidRPr="006437FB">
        <w:rPr>
          <w:lang w:val="fr-FR"/>
        </w:rPr>
        <w:t>666</w:t>
      </w:r>
      <w:r w:rsidR="00336E80">
        <w:rPr>
          <w:lang w:val="fr-FR"/>
        </w:rPr>
        <w:t> </w:t>
      </w:r>
      <w:r w:rsidRPr="006437FB">
        <w:rPr>
          <w:lang w:val="fr-FR"/>
        </w:rPr>
        <w:t>services médicaux d</w:t>
      </w:r>
      <w:r>
        <w:rPr>
          <w:lang w:val="fr-FR"/>
        </w:rPr>
        <w:t>’</w:t>
      </w:r>
      <w:r w:rsidRPr="006437FB">
        <w:rPr>
          <w:lang w:val="fr-FR"/>
        </w:rPr>
        <w:t>urgence, contre 818 en 2016. Pour chaque appel d</w:t>
      </w:r>
      <w:r>
        <w:rPr>
          <w:lang w:val="fr-FR"/>
        </w:rPr>
        <w:t>’</w:t>
      </w:r>
      <w:r w:rsidRPr="006437FB">
        <w:rPr>
          <w:lang w:val="fr-FR"/>
        </w:rPr>
        <w:t>urgence</w:t>
      </w:r>
      <w:r>
        <w:rPr>
          <w:lang w:val="fr-FR"/>
        </w:rPr>
        <w:t>, 6</w:t>
      </w:r>
      <w:r w:rsidR="00336E80">
        <w:rPr>
          <w:lang w:val="fr-FR"/>
        </w:rPr>
        <w:t> </w:t>
      </w:r>
      <w:r>
        <w:rPr>
          <w:lang w:val="fr-FR"/>
        </w:rPr>
        <w:t>500</w:t>
      </w:r>
      <w:r w:rsidR="00336E80">
        <w:rPr>
          <w:lang w:val="fr-FR"/>
        </w:rPr>
        <w:t> </w:t>
      </w:r>
      <w:proofErr w:type="spellStart"/>
      <w:r>
        <w:rPr>
          <w:lang w:val="fr-FR"/>
        </w:rPr>
        <w:t>sum</w:t>
      </w:r>
      <w:proofErr w:type="spellEnd"/>
      <w:r>
        <w:rPr>
          <w:lang w:val="fr-FR"/>
        </w:rPr>
        <w:t xml:space="preserve"> sont alloués à l’achat de médicaments, contre 500</w:t>
      </w:r>
      <w:r w:rsidR="00336E80">
        <w:rPr>
          <w:lang w:val="fr-FR"/>
        </w:rPr>
        <w:t> </w:t>
      </w:r>
      <w:proofErr w:type="spellStart"/>
      <w:r>
        <w:rPr>
          <w:lang w:val="fr-FR"/>
        </w:rPr>
        <w:t>sum</w:t>
      </w:r>
      <w:proofErr w:type="spellEnd"/>
      <w:r>
        <w:rPr>
          <w:lang w:val="fr-FR"/>
        </w:rPr>
        <w:t xml:space="preserve"> auparavant. Avant 2016, le taux de mortalité chez les enfants de moins de </w:t>
      </w:r>
      <w:r w:rsidR="00C25B05">
        <w:rPr>
          <w:lang w:val="fr-FR"/>
        </w:rPr>
        <w:t>5 </w:t>
      </w:r>
      <w:r>
        <w:rPr>
          <w:lang w:val="fr-FR"/>
        </w:rPr>
        <w:t>ans ayant succombé à des blessures était de 19</w:t>
      </w:r>
      <w:r w:rsidR="00B0330A">
        <w:rPr>
          <w:lang w:val="fr-FR"/>
        </w:rPr>
        <w:t> %</w:t>
      </w:r>
      <w:r>
        <w:rPr>
          <w:lang w:val="fr-FR"/>
        </w:rPr>
        <w:t>, contre 12</w:t>
      </w:r>
      <w:r w:rsidR="00B0330A">
        <w:rPr>
          <w:lang w:val="fr-FR"/>
        </w:rPr>
        <w:t> %</w:t>
      </w:r>
      <w:r>
        <w:rPr>
          <w:lang w:val="fr-FR"/>
        </w:rPr>
        <w:t xml:space="preserve"> aujourd’hui.</w:t>
      </w:r>
    </w:p>
    <w:p w14:paraId="0F52D753" w14:textId="71B1246D" w:rsidR="003A454B" w:rsidRPr="00593F42" w:rsidRDefault="003A454B" w:rsidP="003A454B">
      <w:pPr>
        <w:pStyle w:val="SingleTxtG"/>
      </w:pPr>
      <w:r>
        <w:rPr>
          <w:lang w:val="fr-FR"/>
        </w:rPr>
        <w:t>109.</w:t>
      </w:r>
      <w:r>
        <w:rPr>
          <w:lang w:val="fr-FR"/>
        </w:rPr>
        <w:tab/>
        <w:t>Dans les zones rurales, 800</w:t>
      </w:r>
      <w:r w:rsidR="00336E80">
        <w:rPr>
          <w:lang w:val="fr-FR"/>
        </w:rPr>
        <w:t> </w:t>
      </w:r>
      <w:r>
        <w:rPr>
          <w:lang w:val="fr-FR"/>
        </w:rPr>
        <w:t xml:space="preserve">centres de santé familiale ont ouvert des services de gynécologie et d’obstétrique, des services de consultation pour les filles, des services d’urgence et des pharmacies. Les services de cardiologie sont bien développés dans tout le pays, et des opérations à cœur ouvert sont pratiquées dans huit régions. Un nouveau centre médical national pour enfants, qui répond aux normes médicales en vigueur, a été construit. </w:t>
      </w:r>
    </w:p>
    <w:p w14:paraId="781B5421" w14:textId="5F117017" w:rsidR="003A454B" w:rsidRPr="00593F42" w:rsidRDefault="003A454B" w:rsidP="003A454B">
      <w:pPr>
        <w:pStyle w:val="SingleTxtG"/>
      </w:pPr>
      <w:r>
        <w:rPr>
          <w:lang w:val="fr-FR"/>
        </w:rPr>
        <w:t>110.</w:t>
      </w:r>
      <w:r>
        <w:rPr>
          <w:lang w:val="fr-FR"/>
        </w:rPr>
        <w:tab/>
        <w:t>Les fonds alloués aux traitements hématologiques ont été augmentés. En 2021, 217,4</w:t>
      </w:r>
      <w:r w:rsidR="00336E80">
        <w:rPr>
          <w:lang w:val="fr-FR"/>
        </w:rPr>
        <w:t> </w:t>
      </w:r>
      <w:r>
        <w:rPr>
          <w:lang w:val="fr-FR"/>
        </w:rPr>
        <w:t xml:space="preserve">milliards de </w:t>
      </w:r>
      <w:proofErr w:type="spellStart"/>
      <w:r>
        <w:rPr>
          <w:lang w:val="fr-FR"/>
        </w:rPr>
        <w:t>sum</w:t>
      </w:r>
      <w:proofErr w:type="spellEnd"/>
      <w:r>
        <w:rPr>
          <w:lang w:val="fr-FR"/>
        </w:rPr>
        <w:t xml:space="preserve"> ont ainsi été alloués aux médicaments et autres instruments médicaux nécessaires aux services d’hématologie et d’oncohématologie, soit 78</w:t>
      </w:r>
      <w:r w:rsidR="00336E80">
        <w:rPr>
          <w:lang w:val="fr-FR"/>
        </w:rPr>
        <w:t> </w:t>
      </w:r>
      <w:r>
        <w:rPr>
          <w:lang w:val="fr-FR"/>
        </w:rPr>
        <w:t>fois plus qu’en 2016 et les années précédentes (2,8</w:t>
      </w:r>
      <w:r w:rsidR="00336E80">
        <w:rPr>
          <w:lang w:val="fr-FR"/>
        </w:rPr>
        <w:t> </w:t>
      </w:r>
      <w:r>
        <w:rPr>
          <w:lang w:val="fr-FR"/>
        </w:rPr>
        <w:t xml:space="preserve">milliards de </w:t>
      </w:r>
      <w:proofErr w:type="spellStart"/>
      <w:r>
        <w:rPr>
          <w:lang w:val="fr-FR"/>
        </w:rPr>
        <w:t>sum</w:t>
      </w:r>
      <w:proofErr w:type="spellEnd"/>
      <w:r>
        <w:rPr>
          <w:lang w:val="fr-FR"/>
        </w:rPr>
        <w:t>).</w:t>
      </w:r>
    </w:p>
    <w:p w14:paraId="4B77730B" w14:textId="1F8B2127" w:rsidR="003A454B" w:rsidRPr="00593F42" w:rsidRDefault="003A454B" w:rsidP="003A454B">
      <w:pPr>
        <w:pStyle w:val="H23G"/>
        <w:rPr>
          <w:b w:val="0"/>
          <w:i/>
        </w:rPr>
      </w:pPr>
      <w:r>
        <w:rPr>
          <w:lang w:val="fr-FR"/>
        </w:rPr>
        <w:lastRenderedPageBreak/>
        <w:tab/>
      </w:r>
      <w:r>
        <w:rPr>
          <w:lang w:val="fr-FR"/>
        </w:rPr>
        <w:tab/>
      </w:r>
      <w:r>
        <w:rPr>
          <w:lang w:val="fr-FR"/>
        </w:rPr>
        <w:tab/>
      </w:r>
      <w:r>
        <w:rPr>
          <w:bCs/>
          <w:lang w:val="fr-FR"/>
        </w:rPr>
        <w:t>Renseignements concernant le paragraphe</w:t>
      </w:r>
      <w:r w:rsidR="00DC661F">
        <w:rPr>
          <w:bCs/>
          <w:lang w:val="fr-FR"/>
        </w:rPr>
        <w:t> </w:t>
      </w:r>
      <w:r>
        <w:rPr>
          <w:bCs/>
          <w:lang w:val="fr-FR"/>
        </w:rPr>
        <w:t>9</w:t>
      </w:r>
      <w:r w:rsidR="00DC661F">
        <w:rPr>
          <w:bCs/>
          <w:lang w:val="fr-FR"/>
        </w:rPr>
        <w:t> </w:t>
      </w:r>
      <w:r>
        <w:rPr>
          <w:bCs/>
          <w:lang w:val="fr-FR"/>
        </w:rPr>
        <w:t>b) de la liste de points</w:t>
      </w:r>
      <w:r>
        <w:rPr>
          <w:lang w:val="fr-FR"/>
        </w:rPr>
        <w:t xml:space="preserve"> </w:t>
      </w:r>
    </w:p>
    <w:p w14:paraId="40854CFB" w14:textId="77777777" w:rsidR="003A454B" w:rsidRPr="00593F42" w:rsidRDefault="003A454B" w:rsidP="003A454B">
      <w:pPr>
        <w:pStyle w:val="SingleTxtG"/>
      </w:pPr>
      <w:r>
        <w:rPr>
          <w:lang w:val="fr-FR"/>
        </w:rPr>
        <w:t>111.</w:t>
      </w:r>
      <w:r>
        <w:rPr>
          <w:lang w:val="fr-FR"/>
        </w:rPr>
        <w:tab/>
        <w:t xml:space="preserve">La loi du 12 mai 2021 relative aux soins psychiatriques régit l’organisation des soins psychiatriques, y compris pour les enfants, ainsi que l’accès des patients présentant des troubles mentaux aux services psychiatriques et la protection de leurs droits. </w:t>
      </w:r>
    </w:p>
    <w:p w14:paraId="54E706CF" w14:textId="5078AECB" w:rsidR="003A454B" w:rsidRPr="00593F42" w:rsidRDefault="003A454B" w:rsidP="003A454B">
      <w:pPr>
        <w:pStyle w:val="SingleTxtG"/>
      </w:pPr>
      <w:r>
        <w:rPr>
          <w:lang w:val="fr-FR"/>
        </w:rPr>
        <w:t>112.</w:t>
      </w:r>
      <w:r>
        <w:rPr>
          <w:lang w:val="fr-FR"/>
        </w:rPr>
        <w:tab/>
        <w:t>L’Ouzbékistan compte 240</w:t>
      </w:r>
      <w:r w:rsidR="00144E07">
        <w:rPr>
          <w:lang w:val="fr-FR"/>
        </w:rPr>
        <w:t> </w:t>
      </w:r>
      <w:r>
        <w:rPr>
          <w:lang w:val="fr-FR"/>
        </w:rPr>
        <w:t>psychiatres, 180</w:t>
      </w:r>
      <w:r w:rsidR="00144E07">
        <w:rPr>
          <w:lang w:val="fr-FR"/>
        </w:rPr>
        <w:t> </w:t>
      </w:r>
      <w:r>
        <w:rPr>
          <w:lang w:val="fr-FR"/>
        </w:rPr>
        <w:t>pédopsychiatres et 49</w:t>
      </w:r>
      <w:r w:rsidR="00144E07">
        <w:rPr>
          <w:lang w:val="fr-FR"/>
        </w:rPr>
        <w:t> </w:t>
      </w:r>
      <w:r>
        <w:rPr>
          <w:lang w:val="fr-FR"/>
        </w:rPr>
        <w:t>psychiatres pour adolescents. Les services de soins ambulatoires disposent de 450</w:t>
      </w:r>
      <w:r w:rsidR="00144E07">
        <w:rPr>
          <w:lang w:val="fr-FR"/>
        </w:rPr>
        <w:t> </w:t>
      </w:r>
      <w:r>
        <w:rPr>
          <w:lang w:val="fr-FR"/>
        </w:rPr>
        <w:t>lits pour enfants et de 200</w:t>
      </w:r>
      <w:r w:rsidR="00144E07">
        <w:rPr>
          <w:lang w:val="fr-FR"/>
        </w:rPr>
        <w:t> </w:t>
      </w:r>
      <w:r>
        <w:rPr>
          <w:lang w:val="fr-FR"/>
        </w:rPr>
        <w:t>lits pour adolescents et traitent plus de 9</w:t>
      </w:r>
      <w:r w:rsidR="00144E07">
        <w:rPr>
          <w:lang w:val="fr-FR"/>
        </w:rPr>
        <w:t> </w:t>
      </w:r>
      <w:r>
        <w:rPr>
          <w:lang w:val="fr-FR"/>
        </w:rPr>
        <w:t>000</w:t>
      </w:r>
      <w:r w:rsidR="00144E07">
        <w:rPr>
          <w:lang w:val="fr-FR"/>
        </w:rPr>
        <w:t> </w:t>
      </w:r>
      <w:r>
        <w:rPr>
          <w:lang w:val="fr-FR"/>
        </w:rPr>
        <w:t>enfants et adolescents chaque année. Le</w:t>
      </w:r>
      <w:r w:rsidR="00AB4123">
        <w:rPr>
          <w:lang w:val="fr-FR"/>
        </w:rPr>
        <w:t>s </w:t>
      </w:r>
      <w:r>
        <w:rPr>
          <w:lang w:val="fr-FR"/>
        </w:rPr>
        <w:t>soins à domicile pour les enfants et les adolescents sont dispensés par les unités de neuropsychiatrie des centres médicaux centraux et les dispensaires spécialisés en neuropsychiatrie.</w:t>
      </w:r>
    </w:p>
    <w:p w14:paraId="3DFD13EF" w14:textId="49E1FD64" w:rsidR="003A454B" w:rsidRPr="00593F42" w:rsidRDefault="003A454B" w:rsidP="003A454B">
      <w:pPr>
        <w:pStyle w:val="SingleTxtG"/>
      </w:pPr>
      <w:r>
        <w:rPr>
          <w:lang w:val="fr-FR"/>
        </w:rPr>
        <w:t>113.</w:t>
      </w:r>
      <w:r>
        <w:rPr>
          <w:lang w:val="fr-FR"/>
        </w:rPr>
        <w:tab/>
        <w:t>En application du décret présidentiel du 6</w:t>
      </w:r>
      <w:r w:rsidR="00144E07">
        <w:rPr>
          <w:lang w:val="fr-FR"/>
        </w:rPr>
        <w:t> </w:t>
      </w:r>
      <w:r>
        <w:rPr>
          <w:lang w:val="fr-FR"/>
        </w:rPr>
        <w:t>novembre 2020, des centres de soutien psychologique et social pour enfants ont été créés afin de protéger la santé psychologique des élèves, de repérer au plus tôt les élèves suicidaires, de leur fournir une aide et des services psychologiques et sociaux dans le cadre du système d’enseignement public, d’améliorer les services psychologiques fournis dans les écoles et d’assurer la formation continue des psychologues. Pour améliorer la formation en psychologie, les quotas d’admission dans les facultés de psychologie ont été augmentés de 30</w:t>
      </w:r>
      <w:r w:rsidR="00B0330A">
        <w:rPr>
          <w:lang w:val="fr-FR"/>
        </w:rPr>
        <w:t> %</w:t>
      </w:r>
      <w:r>
        <w:rPr>
          <w:lang w:val="fr-FR"/>
        </w:rPr>
        <w:t xml:space="preserve"> pour l’année universitaire 2021/22. </w:t>
      </w:r>
    </w:p>
    <w:p w14:paraId="30F27E68" w14:textId="6A04F37B"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AB4123">
        <w:rPr>
          <w:bCs/>
          <w:lang w:val="fr-FR"/>
        </w:rPr>
        <w:t> </w:t>
      </w:r>
      <w:r>
        <w:rPr>
          <w:bCs/>
          <w:lang w:val="fr-FR"/>
        </w:rPr>
        <w:t>9</w:t>
      </w:r>
      <w:r w:rsidR="00AB4123">
        <w:rPr>
          <w:bCs/>
          <w:lang w:val="fr-FR"/>
        </w:rPr>
        <w:t> </w:t>
      </w:r>
      <w:r>
        <w:rPr>
          <w:bCs/>
          <w:lang w:val="fr-FR"/>
        </w:rPr>
        <w:t>c) de la liste de points</w:t>
      </w:r>
      <w:r>
        <w:rPr>
          <w:lang w:val="fr-FR"/>
        </w:rPr>
        <w:t xml:space="preserve"> </w:t>
      </w:r>
    </w:p>
    <w:p w14:paraId="61E839AA" w14:textId="62354867" w:rsidR="003A454B" w:rsidRPr="00593F42" w:rsidRDefault="003A454B" w:rsidP="003A454B">
      <w:pPr>
        <w:pStyle w:val="SingleTxtG"/>
      </w:pPr>
      <w:r>
        <w:rPr>
          <w:lang w:val="fr-FR"/>
        </w:rPr>
        <w:t>114.</w:t>
      </w:r>
      <w:r>
        <w:rPr>
          <w:lang w:val="fr-FR"/>
        </w:rPr>
        <w:tab/>
        <w:t>En application du décret présidentiel du 2</w:t>
      </w:r>
      <w:r w:rsidR="00144E07">
        <w:rPr>
          <w:lang w:val="fr-FR"/>
        </w:rPr>
        <w:t> </w:t>
      </w:r>
      <w:r>
        <w:rPr>
          <w:lang w:val="fr-FR"/>
        </w:rPr>
        <w:t>février 2018 relatif aux mesures visant à améliorer substantiellement les activités d’appui aux femmes et à renforcer l’institution de la famille, on a introduit un cours sur les fondements de la famille à l’intention des élèves de</w:t>
      </w:r>
      <w:r w:rsidR="00E81346">
        <w:rPr>
          <w:lang w:val="fr-FR"/>
        </w:rPr>
        <w:t>s</w:t>
      </w:r>
      <w:r>
        <w:rPr>
          <w:lang w:val="fr-FR"/>
        </w:rPr>
        <w:t xml:space="preserve"> </w:t>
      </w:r>
      <w:r w:rsidR="00E51438">
        <w:rPr>
          <w:lang w:val="fr-FR"/>
        </w:rPr>
        <w:t>5</w:t>
      </w:r>
      <w:r w:rsidR="00E51438" w:rsidRPr="00E51438">
        <w:rPr>
          <w:vertAlign w:val="superscript"/>
          <w:lang w:val="fr-FR"/>
        </w:rPr>
        <w:t>e</w:t>
      </w:r>
      <w:r>
        <w:rPr>
          <w:lang w:val="fr-FR"/>
        </w:rPr>
        <w:t xml:space="preserve"> et </w:t>
      </w:r>
      <w:r w:rsidR="00E51438">
        <w:rPr>
          <w:lang w:val="fr-FR"/>
        </w:rPr>
        <w:t>6</w:t>
      </w:r>
      <w:r w:rsidR="00E51438" w:rsidRPr="00E51438">
        <w:rPr>
          <w:vertAlign w:val="superscript"/>
          <w:lang w:val="fr-FR"/>
        </w:rPr>
        <w:t>e</w:t>
      </w:r>
      <w:r w:rsidR="00E51438">
        <w:rPr>
          <w:lang w:val="fr-FR"/>
        </w:rPr>
        <w:t> </w:t>
      </w:r>
      <w:r>
        <w:rPr>
          <w:lang w:val="fr-FR"/>
        </w:rPr>
        <w:t xml:space="preserve">années ainsi qu’un cours sur l’éthique et la psychologie familiales à l’intention des élèves de la </w:t>
      </w:r>
      <w:r w:rsidR="00885C31">
        <w:rPr>
          <w:lang w:val="fr-FR"/>
        </w:rPr>
        <w:t>7</w:t>
      </w:r>
      <w:r w:rsidR="00885C31" w:rsidRPr="00885C31">
        <w:rPr>
          <w:vertAlign w:val="superscript"/>
          <w:lang w:val="fr-FR"/>
        </w:rPr>
        <w:t>e</w:t>
      </w:r>
      <w:r w:rsidR="00885C31">
        <w:rPr>
          <w:lang w:val="fr-FR"/>
        </w:rPr>
        <w:t xml:space="preserve"> </w:t>
      </w:r>
      <w:r>
        <w:rPr>
          <w:lang w:val="fr-FR"/>
        </w:rPr>
        <w:t xml:space="preserve">à la </w:t>
      </w:r>
      <w:r w:rsidR="00885C31">
        <w:rPr>
          <w:lang w:val="fr-FR"/>
        </w:rPr>
        <w:t>11</w:t>
      </w:r>
      <w:r w:rsidR="00885C31" w:rsidRPr="00885C31">
        <w:rPr>
          <w:vertAlign w:val="superscript"/>
          <w:lang w:val="fr-FR"/>
        </w:rPr>
        <w:t>e</w:t>
      </w:r>
      <w:r w:rsidR="00885C31" w:rsidRPr="00885C31">
        <w:rPr>
          <w:lang w:val="fr-FR"/>
        </w:rPr>
        <w:t> </w:t>
      </w:r>
      <w:r>
        <w:rPr>
          <w:lang w:val="fr-FR"/>
        </w:rPr>
        <w:t>année.</w:t>
      </w:r>
    </w:p>
    <w:p w14:paraId="24F91F74" w14:textId="77777777" w:rsidR="003A454B" w:rsidRPr="00593F42" w:rsidRDefault="003A454B" w:rsidP="003A454B">
      <w:pPr>
        <w:pStyle w:val="SingleTxtG"/>
      </w:pPr>
      <w:r>
        <w:rPr>
          <w:lang w:val="fr-FR"/>
        </w:rPr>
        <w:t>115.</w:t>
      </w:r>
      <w:r>
        <w:rPr>
          <w:lang w:val="fr-FR"/>
        </w:rPr>
        <w:tab/>
        <w:t>Afin de prévenir les mariages et les grossesses précoces, des manuels méthodologiques sur l’étude des facteurs à l’origine des situations de crise chez les filles ainsi que sur l’assistance aux mineures et aux femmes appartenant à des groupes socialement défavorisés ont été élaborés, tout comme du matériel visant à promouvoir un mode de vie sain et à diffuser des informations sur la santé procréative.</w:t>
      </w:r>
    </w:p>
    <w:p w14:paraId="04385FD0" w14:textId="5085DB5B" w:rsidR="003A454B" w:rsidRPr="00593F42" w:rsidRDefault="003A454B" w:rsidP="003A454B">
      <w:pPr>
        <w:pStyle w:val="SingleTxtG"/>
      </w:pPr>
      <w:r>
        <w:rPr>
          <w:lang w:val="fr-FR"/>
        </w:rPr>
        <w:t>116.</w:t>
      </w:r>
      <w:r>
        <w:rPr>
          <w:lang w:val="fr-FR"/>
        </w:rPr>
        <w:tab/>
        <w:t>Un programme de formation de sept semaines intitulé «</w:t>
      </w:r>
      <w:r w:rsidR="00144E07">
        <w:rPr>
          <w:lang w:val="fr-FR"/>
        </w:rPr>
        <w:t> </w:t>
      </w:r>
      <w:r>
        <w:rPr>
          <w:lang w:val="fr-FR"/>
        </w:rPr>
        <w:t>Une famille stable</w:t>
      </w:r>
      <w:r w:rsidR="00144E07">
        <w:rPr>
          <w:lang w:val="fr-FR"/>
        </w:rPr>
        <w:t> </w:t>
      </w:r>
      <w:r>
        <w:rPr>
          <w:lang w:val="fr-FR"/>
        </w:rPr>
        <w:t>» a été organisé pour prévenir la toxicomanie, les comportements à risque et d’autres problèmes qui surviennent à l’adolescence ainsi que pour développer des compétences parentales positives et améliorer la stabilité des familles.</w:t>
      </w:r>
    </w:p>
    <w:p w14:paraId="01C06AA9" w14:textId="7B2E4F76"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893AED">
        <w:rPr>
          <w:bCs/>
          <w:lang w:val="fr-FR"/>
        </w:rPr>
        <w:t> </w:t>
      </w:r>
      <w:r>
        <w:rPr>
          <w:bCs/>
          <w:lang w:val="fr-FR"/>
        </w:rPr>
        <w:t>10 de la liste de points</w:t>
      </w:r>
      <w:r>
        <w:rPr>
          <w:lang w:val="fr-FR"/>
        </w:rPr>
        <w:t xml:space="preserve"> </w:t>
      </w:r>
    </w:p>
    <w:p w14:paraId="4DC87C6F" w14:textId="183CBC2F" w:rsidR="003A454B" w:rsidRPr="0066622B" w:rsidRDefault="003A454B" w:rsidP="003A454B">
      <w:pPr>
        <w:pStyle w:val="SingleTxtG"/>
        <w:rPr>
          <w:lang w:val="fr-FR"/>
        </w:rPr>
      </w:pPr>
      <w:r>
        <w:rPr>
          <w:lang w:val="fr-FR"/>
        </w:rPr>
        <w:t>117.</w:t>
      </w:r>
      <w:r>
        <w:rPr>
          <w:lang w:val="fr-FR"/>
        </w:rPr>
        <w:tab/>
        <w:t>La loi relative à la protection de la population et des territoires contre les catastrophes naturelles et industrielles (art.</w:t>
      </w:r>
      <w:r w:rsidR="00144E07">
        <w:rPr>
          <w:lang w:val="fr-FR"/>
        </w:rPr>
        <w:t> </w:t>
      </w:r>
      <w:r>
        <w:rPr>
          <w:lang w:val="fr-FR"/>
        </w:rPr>
        <w:t>18) et la loi relative à la protection civile (art</w:t>
      </w:r>
      <w:r w:rsidR="00144E07">
        <w:rPr>
          <w:lang w:val="fr-FR"/>
        </w:rPr>
        <w:t> </w:t>
      </w:r>
      <w:r>
        <w:rPr>
          <w:lang w:val="fr-FR"/>
        </w:rPr>
        <w:t>6) prévoient qu’une formation aux comportements à adopter en cas de situation d’urgence doit être organisée dans les écoles d’enseignement général, les lycées académiques et les établissements d’enseignement supérieur ainsi que dans les entreprises, les institutions et les lieux de résidence de la population.</w:t>
      </w:r>
    </w:p>
    <w:p w14:paraId="1F5A7A28" w14:textId="5CD40CC5" w:rsidR="003A454B" w:rsidRPr="00593F42" w:rsidRDefault="003A454B" w:rsidP="003A454B">
      <w:pPr>
        <w:pStyle w:val="SingleTxtG"/>
      </w:pPr>
      <w:r>
        <w:rPr>
          <w:lang w:val="fr-FR"/>
        </w:rPr>
        <w:t>118.</w:t>
      </w:r>
      <w:r>
        <w:rPr>
          <w:lang w:val="fr-FR"/>
        </w:rPr>
        <w:tab/>
        <w:t>Conformément à la décision du Cabinet des ministres du 9</w:t>
      </w:r>
      <w:r w:rsidR="007B74CD">
        <w:rPr>
          <w:lang w:val="fr-FR"/>
        </w:rPr>
        <w:t> </w:t>
      </w:r>
      <w:r>
        <w:rPr>
          <w:lang w:val="fr-FR"/>
        </w:rPr>
        <w:t xml:space="preserve">septembre 2019, les modalités de la préparation de la population aux comportements à adopter en cas de situation d’urgence et dans le domaine de la protection civile ont été améliorées, et le programme de formation des jeunes à la sécurité des personnes et à la protection civile a été modifié pour répondre aux exigences actuelles. </w:t>
      </w:r>
    </w:p>
    <w:p w14:paraId="6D0D141D" w14:textId="7ABF9981" w:rsidR="003A454B" w:rsidRPr="00593F42" w:rsidRDefault="003A454B" w:rsidP="003A454B">
      <w:pPr>
        <w:pStyle w:val="SingleTxtG"/>
      </w:pPr>
      <w:r>
        <w:rPr>
          <w:lang w:val="fr-FR"/>
        </w:rPr>
        <w:t>119.</w:t>
      </w:r>
      <w:r>
        <w:rPr>
          <w:lang w:val="fr-FR"/>
        </w:rPr>
        <w:tab/>
        <w:t>En application de la décision du 12</w:t>
      </w:r>
      <w:r w:rsidR="00144E07">
        <w:rPr>
          <w:lang w:val="fr-FR"/>
        </w:rPr>
        <w:t> </w:t>
      </w:r>
      <w:r>
        <w:rPr>
          <w:lang w:val="fr-FR"/>
        </w:rPr>
        <w:t>avril 2019 du Cabinet des ministres relative aux mesures visant à mettre en œuvre le Cadre de Sendai pour la réduction des risques de catastrophe 2015-2030 en République d’Ouzbékistan, une formation aux comportements à adopter en cas de situation d’urgence a été dispensée à la population dans les établissements d’enseignement général, secondaire spécialisé et supérieur ainsi que dans les assemblées de citoyens (</w:t>
      </w:r>
      <w:proofErr w:type="spellStart"/>
      <w:r w:rsidRPr="00144E07">
        <w:rPr>
          <w:i/>
          <w:iCs/>
          <w:lang w:val="fr-FR"/>
        </w:rPr>
        <w:t>mahalla</w:t>
      </w:r>
      <w:r w:rsidR="009547C1">
        <w:rPr>
          <w:i/>
          <w:iCs/>
          <w:lang w:val="fr-FR"/>
        </w:rPr>
        <w:t>s</w:t>
      </w:r>
      <w:proofErr w:type="spellEnd"/>
      <w:r>
        <w:rPr>
          <w:lang w:val="fr-FR"/>
        </w:rPr>
        <w:t>).</w:t>
      </w:r>
    </w:p>
    <w:p w14:paraId="29C99698" w14:textId="511F5837" w:rsidR="003A454B" w:rsidRPr="00593F42" w:rsidRDefault="003A454B" w:rsidP="00144E07">
      <w:pPr>
        <w:pStyle w:val="SingleTxtG"/>
        <w:keepLines/>
      </w:pPr>
      <w:r>
        <w:rPr>
          <w:lang w:val="fr-FR"/>
        </w:rPr>
        <w:lastRenderedPageBreak/>
        <w:t>120.</w:t>
      </w:r>
      <w:r>
        <w:rPr>
          <w:lang w:val="fr-FR"/>
        </w:rPr>
        <w:tab/>
        <w:t>Le pays compte 17</w:t>
      </w:r>
      <w:r w:rsidR="00144E07">
        <w:rPr>
          <w:lang w:val="fr-FR"/>
        </w:rPr>
        <w:t> </w:t>
      </w:r>
      <w:r>
        <w:rPr>
          <w:lang w:val="fr-FR"/>
        </w:rPr>
        <w:t>297</w:t>
      </w:r>
      <w:r w:rsidR="00144E07">
        <w:rPr>
          <w:lang w:val="fr-FR"/>
        </w:rPr>
        <w:t> </w:t>
      </w:r>
      <w:r>
        <w:rPr>
          <w:lang w:val="fr-FR"/>
        </w:rPr>
        <w:t>établissements préscolaires accueillant 1</w:t>
      </w:r>
      <w:r w:rsidR="00144E07">
        <w:rPr>
          <w:lang w:val="fr-FR"/>
        </w:rPr>
        <w:t> </w:t>
      </w:r>
      <w:r>
        <w:rPr>
          <w:lang w:val="fr-FR"/>
        </w:rPr>
        <w:t>652</w:t>
      </w:r>
      <w:r w:rsidR="00144E07">
        <w:rPr>
          <w:lang w:val="fr-FR"/>
        </w:rPr>
        <w:t> </w:t>
      </w:r>
      <w:r>
        <w:rPr>
          <w:lang w:val="fr-FR"/>
        </w:rPr>
        <w:t>841</w:t>
      </w:r>
      <w:r w:rsidR="00144E07">
        <w:rPr>
          <w:lang w:val="fr-FR"/>
        </w:rPr>
        <w:t> </w:t>
      </w:r>
      <w:r>
        <w:rPr>
          <w:lang w:val="fr-FR"/>
        </w:rPr>
        <w:t>enfants. Dans ces établissements, conformément au programme scolaire national «</w:t>
      </w:r>
      <w:r w:rsidR="00144E07">
        <w:rPr>
          <w:lang w:val="fr-FR"/>
        </w:rPr>
        <w:t> </w:t>
      </w:r>
      <w:proofErr w:type="spellStart"/>
      <w:r>
        <w:rPr>
          <w:lang w:val="fr-FR"/>
        </w:rPr>
        <w:t>Ilk</w:t>
      </w:r>
      <w:proofErr w:type="spellEnd"/>
      <w:r w:rsidR="00144E07">
        <w:rPr>
          <w:lang w:val="fr-FR"/>
        </w:rPr>
        <w:t> </w:t>
      </w:r>
      <w:proofErr w:type="spellStart"/>
      <w:r>
        <w:rPr>
          <w:lang w:val="fr-FR"/>
        </w:rPr>
        <w:t>Kadam</w:t>
      </w:r>
      <w:proofErr w:type="spellEnd"/>
      <w:r w:rsidR="00144E07">
        <w:rPr>
          <w:lang w:val="fr-FR"/>
        </w:rPr>
        <w:t> </w:t>
      </w:r>
      <w:r>
        <w:rPr>
          <w:lang w:val="fr-FR"/>
        </w:rPr>
        <w:t>», les principes d’un comportement sans risque et le comportement à adopter dans la rue et les transports font l’objet de cours dispensés en novembre de chaque année aux enfants âgés de</w:t>
      </w:r>
      <w:r w:rsidR="009547C1">
        <w:rPr>
          <w:lang w:val="fr-FR"/>
        </w:rPr>
        <w:t> 3 à 7 </w:t>
      </w:r>
      <w:r>
        <w:rPr>
          <w:lang w:val="fr-FR"/>
        </w:rPr>
        <w:t xml:space="preserve">ans. </w:t>
      </w:r>
    </w:p>
    <w:p w14:paraId="35A31B03" w14:textId="056FE852" w:rsidR="003A454B" w:rsidRPr="00593F42" w:rsidRDefault="003A454B" w:rsidP="003A454B">
      <w:pPr>
        <w:pStyle w:val="SingleTxtG"/>
      </w:pPr>
      <w:r>
        <w:rPr>
          <w:lang w:val="fr-FR"/>
        </w:rPr>
        <w:t>121.</w:t>
      </w:r>
      <w:r>
        <w:rPr>
          <w:lang w:val="fr-FR"/>
        </w:rPr>
        <w:tab/>
        <w:t>Les principes d’un comportement sans risque sont enseignés aux 6</w:t>
      </w:r>
      <w:r w:rsidR="00941E2D">
        <w:rPr>
          <w:lang w:val="fr-FR"/>
        </w:rPr>
        <w:t> </w:t>
      </w:r>
      <w:r>
        <w:rPr>
          <w:lang w:val="fr-FR"/>
        </w:rPr>
        <w:t>168</w:t>
      </w:r>
      <w:r w:rsidR="00941E2D">
        <w:rPr>
          <w:lang w:val="fr-FR"/>
        </w:rPr>
        <w:t> </w:t>
      </w:r>
      <w:r>
        <w:rPr>
          <w:lang w:val="fr-FR"/>
        </w:rPr>
        <w:t>198</w:t>
      </w:r>
      <w:r w:rsidR="00941E2D">
        <w:rPr>
          <w:lang w:val="fr-FR"/>
        </w:rPr>
        <w:t> </w:t>
      </w:r>
      <w:r>
        <w:rPr>
          <w:lang w:val="fr-FR"/>
        </w:rPr>
        <w:t xml:space="preserve">élèves des écoles, lycées, collèges et </w:t>
      </w:r>
      <w:r w:rsidRPr="000819B0">
        <w:rPr>
          <w:lang w:val="fr-FR"/>
        </w:rPr>
        <w:t>établissement</w:t>
      </w:r>
      <w:r>
        <w:rPr>
          <w:lang w:val="fr-FR"/>
        </w:rPr>
        <w:t>s</w:t>
      </w:r>
      <w:r w:rsidRPr="000819B0">
        <w:rPr>
          <w:lang w:val="fr-FR"/>
        </w:rPr>
        <w:t xml:space="preserve"> d</w:t>
      </w:r>
      <w:r>
        <w:rPr>
          <w:lang w:val="fr-FR"/>
        </w:rPr>
        <w:t>’</w:t>
      </w:r>
      <w:r w:rsidRPr="000819B0">
        <w:rPr>
          <w:lang w:val="fr-FR"/>
        </w:rPr>
        <w:t>enseignement professionnel technique</w:t>
      </w:r>
      <w:r>
        <w:rPr>
          <w:lang w:val="fr-FR"/>
        </w:rPr>
        <w:t xml:space="preserve"> du pays.</w:t>
      </w:r>
    </w:p>
    <w:p w14:paraId="4D501B1B" w14:textId="0626C5ED" w:rsidR="003A454B" w:rsidRPr="00593F42" w:rsidRDefault="003A454B" w:rsidP="009362E7">
      <w:pPr>
        <w:pStyle w:val="SingleTxtG"/>
        <w:spacing w:after="100"/>
      </w:pPr>
      <w:r>
        <w:rPr>
          <w:lang w:val="fr-FR"/>
        </w:rPr>
        <w:t>122.</w:t>
      </w:r>
      <w:r>
        <w:rPr>
          <w:lang w:val="fr-FR"/>
        </w:rPr>
        <w:tab/>
        <w:t>Le cours «</w:t>
      </w:r>
      <w:r w:rsidR="00AA2335">
        <w:rPr>
          <w:lang w:val="fr-FR"/>
        </w:rPr>
        <w:t> </w:t>
      </w:r>
      <w:r>
        <w:rPr>
          <w:lang w:val="fr-FR"/>
        </w:rPr>
        <w:t>Comportement sans risque</w:t>
      </w:r>
      <w:r w:rsidR="00AA2335">
        <w:rPr>
          <w:lang w:val="fr-FR"/>
        </w:rPr>
        <w:t> </w:t>
      </w:r>
      <w:r>
        <w:rPr>
          <w:lang w:val="fr-FR"/>
        </w:rPr>
        <w:t>» (135</w:t>
      </w:r>
      <w:r w:rsidR="00AA2335">
        <w:rPr>
          <w:lang w:val="fr-FR"/>
        </w:rPr>
        <w:t> </w:t>
      </w:r>
      <w:r>
        <w:rPr>
          <w:lang w:val="fr-FR"/>
        </w:rPr>
        <w:t>heures) est enseigné dans 121</w:t>
      </w:r>
      <w:r w:rsidR="00AA2335">
        <w:rPr>
          <w:lang w:val="fr-FR"/>
        </w:rPr>
        <w:t> </w:t>
      </w:r>
      <w:r>
        <w:rPr>
          <w:lang w:val="fr-FR"/>
        </w:rPr>
        <w:t>établissements d’enseignement supérieur. Les étudiants y apprennent comment se comporter et se mettre en sécurité en cas de situation d’urgence.</w:t>
      </w:r>
    </w:p>
    <w:p w14:paraId="152CAC8F" w14:textId="548C3BFB" w:rsidR="003A454B" w:rsidRPr="00593F42" w:rsidRDefault="003A454B" w:rsidP="009362E7">
      <w:pPr>
        <w:pStyle w:val="SingleTxtG"/>
        <w:spacing w:after="100"/>
      </w:pPr>
      <w:r>
        <w:rPr>
          <w:lang w:val="fr-FR"/>
        </w:rPr>
        <w:t>123.</w:t>
      </w:r>
      <w:r>
        <w:rPr>
          <w:lang w:val="fr-FR"/>
        </w:rPr>
        <w:tab/>
        <w:t>Des mesures sont prises pour sensibiliser la population à l’écologie. Afin de développer les compétences des élèves du secondaire en matière de protection de l’environnement, les matières suivantes sont enseignées</w:t>
      </w:r>
      <w:r w:rsidR="005579CA">
        <w:rPr>
          <w:lang w:val="fr-FR"/>
        </w:rPr>
        <w:t> :</w:t>
      </w:r>
      <w:r>
        <w:rPr>
          <w:lang w:val="fr-FR"/>
        </w:rPr>
        <w:t xml:space="preserve"> «</w:t>
      </w:r>
      <w:r w:rsidR="00AA2335">
        <w:rPr>
          <w:lang w:val="fr-FR"/>
        </w:rPr>
        <w:t> </w:t>
      </w:r>
      <w:r>
        <w:rPr>
          <w:lang w:val="fr-FR"/>
        </w:rPr>
        <w:t>Découverte du monde</w:t>
      </w:r>
      <w:r w:rsidR="00AA2335">
        <w:rPr>
          <w:lang w:val="fr-FR"/>
        </w:rPr>
        <w:t> </w:t>
      </w:r>
      <w:r>
        <w:rPr>
          <w:lang w:val="fr-FR"/>
        </w:rPr>
        <w:t>» aux élèves de</w:t>
      </w:r>
      <w:r w:rsidR="00E81346">
        <w:rPr>
          <w:lang w:val="fr-FR"/>
        </w:rPr>
        <w:t>s</w:t>
      </w:r>
      <w:r>
        <w:rPr>
          <w:lang w:val="fr-FR"/>
        </w:rPr>
        <w:t xml:space="preserve"> </w:t>
      </w:r>
      <w:r w:rsidR="00AA2335">
        <w:rPr>
          <w:lang w:val="fr-FR"/>
        </w:rPr>
        <w:t>1</w:t>
      </w:r>
      <w:r w:rsidR="00AA2335" w:rsidRPr="00AA2335">
        <w:rPr>
          <w:vertAlign w:val="superscript"/>
          <w:lang w:val="fr-FR"/>
        </w:rPr>
        <w:t>re</w:t>
      </w:r>
      <w:r>
        <w:rPr>
          <w:lang w:val="fr-FR"/>
        </w:rPr>
        <w:t xml:space="preserve"> et </w:t>
      </w:r>
      <w:r w:rsidR="00AA2335">
        <w:rPr>
          <w:lang w:val="fr-FR"/>
        </w:rPr>
        <w:t>2</w:t>
      </w:r>
      <w:r w:rsidR="00AA2335" w:rsidRPr="00AA2335">
        <w:rPr>
          <w:vertAlign w:val="superscript"/>
          <w:lang w:val="fr-FR"/>
        </w:rPr>
        <w:t>e</w:t>
      </w:r>
      <w:r w:rsidR="00E81346">
        <w:rPr>
          <w:lang w:val="fr-FR"/>
        </w:rPr>
        <w:t> </w:t>
      </w:r>
      <w:r>
        <w:rPr>
          <w:lang w:val="fr-FR"/>
        </w:rPr>
        <w:t>année</w:t>
      </w:r>
      <w:r w:rsidR="00581CF0">
        <w:rPr>
          <w:lang w:val="fr-FR"/>
        </w:rPr>
        <w:t>s</w:t>
      </w:r>
      <w:r>
        <w:rPr>
          <w:lang w:val="fr-FR"/>
        </w:rPr>
        <w:t>, «</w:t>
      </w:r>
      <w:r w:rsidR="00AA2335">
        <w:rPr>
          <w:lang w:val="fr-FR"/>
        </w:rPr>
        <w:t> </w:t>
      </w:r>
      <w:r>
        <w:rPr>
          <w:lang w:val="fr-FR"/>
        </w:rPr>
        <w:t>Sciences naturelles</w:t>
      </w:r>
      <w:r w:rsidR="00AA2335">
        <w:rPr>
          <w:lang w:val="fr-FR"/>
        </w:rPr>
        <w:t> </w:t>
      </w:r>
      <w:r>
        <w:rPr>
          <w:lang w:val="fr-FR"/>
        </w:rPr>
        <w:t>» aux élèves de</w:t>
      </w:r>
      <w:r w:rsidR="00E81346">
        <w:rPr>
          <w:lang w:val="fr-FR"/>
        </w:rPr>
        <w:t>s</w:t>
      </w:r>
      <w:r>
        <w:rPr>
          <w:lang w:val="fr-FR"/>
        </w:rPr>
        <w:t xml:space="preserve"> </w:t>
      </w:r>
      <w:r w:rsidR="00581CF0">
        <w:rPr>
          <w:lang w:val="fr-FR"/>
        </w:rPr>
        <w:t>3</w:t>
      </w:r>
      <w:r w:rsidR="00581CF0" w:rsidRPr="00581CF0">
        <w:rPr>
          <w:vertAlign w:val="superscript"/>
          <w:lang w:val="fr-FR"/>
        </w:rPr>
        <w:t>e</w:t>
      </w:r>
      <w:r>
        <w:rPr>
          <w:lang w:val="fr-FR"/>
        </w:rPr>
        <w:t xml:space="preserve"> et </w:t>
      </w:r>
      <w:r w:rsidR="00581CF0">
        <w:rPr>
          <w:lang w:val="fr-FR"/>
        </w:rPr>
        <w:t>4</w:t>
      </w:r>
      <w:r w:rsidR="00581CF0" w:rsidRPr="00581CF0">
        <w:rPr>
          <w:vertAlign w:val="superscript"/>
          <w:lang w:val="fr-FR"/>
        </w:rPr>
        <w:t>e</w:t>
      </w:r>
      <w:r w:rsidR="00581CF0">
        <w:rPr>
          <w:lang w:val="fr-FR"/>
        </w:rPr>
        <w:t> </w:t>
      </w:r>
      <w:r>
        <w:rPr>
          <w:lang w:val="fr-FR"/>
        </w:rPr>
        <w:t>année</w:t>
      </w:r>
      <w:r w:rsidR="00581CF0">
        <w:rPr>
          <w:lang w:val="fr-FR"/>
        </w:rPr>
        <w:t>s</w:t>
      </w:r>
      <w:r>
        <w:rPr>
          <w:lang w:val="fr-FR"/>
        </w:rPr>
        <w:t>, «</w:t>
      </w:r>
      <w:r w:rsidR="00AA2335">
        <w:rPr>
          <w:lang w:val="fr-FR"/>
        </w:rPr>
        <w:t> </w:t>
      </w:r>
      <w:r>
        <w:rPr>
          <w:lang w:val="fr-FR"/>
        </w:rPr>
        <w:t>Géographie</w:t>
      </w:r>
      <w:r w:rsidR="00AA2335">
        <w:rPr>
          <w:lang w:val="fr-FR"/>
        </w:rPr>
        <w:t> </w:t>
      </w:r>
      <w:r>
        <w:rPr>
          <w:lang w:val="fr-FR"/>
        </w:rPr>
        <w:t>» et «</w:t>
      </w:r>
      <w:r w:rsidR="00AA2335">
        <w:rPr>
          <w:lang w:val="fr-FR"/>
        </w:rPr>
        <w:t> </w:t>
      </w:r>
      <w:r>
        <w:rPr>
          <w:lang w:val="fr-FR"/>
        </w:rPr>
        <w:t>Biologie</w:t>
      </w:r>
      <w:r w:rsidR="00AA2335">
        <w:rPr>
          <w:lang w:val="fr-FR"/>
        </w:rPr>
        <w:t> </w:t>
      </w:r>
      <w:r>
        <w:rPr>
          <w:lang w:val="fr-FR"/>
        </w:rPr>
        <w:t xml:space="preserve">» aux élèves de la </w:t>
      </w:r>
      <w:r w:rsidR="00581CF0">
        <w:rPr>
          <w:lang w:val="fr-FR"/>
        </w:rPr>
        <w:t>5</w:t>
      </w:r>
      <w:r w:rsidR="00581CF0" w:rsidRPr="00581CF0">
        <w:rPr>
          <w:vertAlign w:val="superscript"/>
          <w:lang w:val="fr-FR"/>
        </w:rPr>
        <w:t>e</w:t>
      </w:r>
      <w:r>
        <w:rPr>
          <w:lang w:val="fr-FR"/>
        </w:rPr>
        <w:t xml:space="preserve"> à la </w:t>
      </w:r>
      <w:r w:rsidR="00581CF0">
        <w:rPr>
          <w:lang w:val="fr-FR"/>
        </w:rPr>
        <w:t>11</w:t>
      </w:r>
      <w:r w:rsidR="00581CF0" w:rsidRPr="00581CF0">
        <w:rPr>
          <w:vertAlign w:val="superscript"/>
          <w:lang w:val="fr-FR"/>
        </w:rPr>
        <w:t>e</w:t>
      </w:r>
      <w:r w:rsidR="00581CF0">
        <w:rPr>
          <w:lang w:val="fr-FR"/>
        </w:rPr>
        <w:t> </w:t>
      </w:r>
      <w:r>
        <w:rPr>
          <w:lang w:val="fr-FR"/>
        </w:rPr>
        <w:t>année, « Chimie</w:t>
      </w:r>
      <w:r w:rsidR="00AA2335">
        <w:rPr>
          <w:lang w:val="fr-FR"/>
        </w:rPr>
        <w:t> </w:t>
      </w:r>
      <w:r>
        <w:rPr>
          <w:lang w:val="fr-FR"/>
        </w:rPr>
        <w:t xml:space="preserve">» aux élèves de la </w:t>
      </w:r>
      <w:r w:rsidR="00581CF0">
        <w:rPr>
          <w:lang w:val="fr-FR"/>
        </w:rPr>
        <w:t>7</w:t>
      </w:r>
      <w:r w:rsidR="00581CF0" w:rsidRPr="00581CF0">
        <w:rPr>
          <w:vertAlign w:val="superscript"/>
          <w:lang w:val="fr-FR"/>
        </w:rPr>
        <w:t>e</w:t>
      </w:r>
      <w:r>
        <w:rPr>
          <w:lang w:val="fr-FR"/>
        </w:rPr>
        <w:t xml:space="preserve"> à la </w:t>
      </w:r>
      <w:r w:rsidR="00581CF0">
        <w:rPr>
          <w:lang w:val="fr-FR"/>
        </w:rPr>
        <w:t>9</w:t>
      </w:r>
      <w:r w:rsidR="00581CF0" w:rsidRPr="00581CF0">
        <w:rPr>
          <w:vertAlign w:val="superscript"/>
          <w:lang w:val="fr-FR"/>
        </w:rPr>
        <w:t>e</w:t>
      </w:r>
      <w:r w:rsidR="00581CF0">
        <w:rPr>
          <w:lang w:val="fr-FR"/>
        </w:rPr>
        <w:t> </w:t>
      </w:r>
      <w:r>
        <w:rPr>
          <w:lang w:val="fr-FR"/>
        </w:rPr>
        <w:t>année et «</w:t>
      </w:r>
      <w:r w:rsidR="00AA2335">
        <w:rPr>
          <w:lang w:val="fr-FR"/>
        </w:rPr>
        <w:t> </w:t>
      </w:r>
      <w:proofErr w:type="spellStart"/>
      <w:r>
        <w:rPr>
          <w:lang w:val="fr-FR"/>
        </w:rPr>
        <w:t>Tarbiya</w:t>
      </w:r>
      <w:proofErr w:type="spellEnd"/>
      <w:r w:rsidR="00AA2335">
        <w:rPr>
          <w:lang w:val="fr-FR"/>
        </w:rPr>
        <w:t> </w:t>
      </w:r>
      <w:r>
        <w:rPr>
          <w:lang w:val="fr-FR"/>
        </w:rPr>
        <w:t xml:space="preserve">» aux élèves de la </w:t>
      </w:r>
      <w:r w:rsidR="009F7913">
        <w:rPr>
          <w:lang w:val="fr-FR"/>
        </w:rPr>
        <w:t>3</w:t>
      </w:r>
      <w:r w:rsidR="009F7913" w:rsidRPr="009F7913">
        <w:rPr>
          <w:vertAlign w:val="superscript"/>
          <w:lang w:val="fr-FR"/>
        </w:rPr>
        <w:t>e</w:t>
      </w:r>
      <w:r w:rsidR="009F7913">
        <w:rPr>
          <w:lang w:val="fr-FR"/>
        </w:rPr>
        <w:t xml:space="preserve"> </w:t>
      </w:r>
      <w:r>
        <w:rPr>
          <w:lang w:val="fr-FR"/>
        </w:rPr>
        <w:t xml:space="preserve">à la </w:t>
      </w:r>
      <w:r w:rsidR="009F7913">
        <w:rPr>
          <w:lang w:val="fr-FR"/>
        </w:rPr>
        <w:t>9</w:t>
      </w:r>
      <w:r w:rsidR="009F7913" w:rsidRPr="009F7913">
        <w:rPr>
          <w:vertAlign w:val="superscript"/>
          <w:lang w:val="fr-FR"/>
        </w:rPr>
        <w:t>e</w:t>
      </w:r>
      <w:r w:rsidR="009F7913">
        <w:rPr>
          <w:lang w:val="fr-FR"/>
        </w:rPr>
        <w:t> </w:t>
      </w:r>
      <w:r>
        <w:rPr>
          <w:lang w:val="fr-FR"/>
        </w:rPr>
        <w:t xml:space="preserve">année. </w:t>
      </w:r>
    </w:p>
    <w:p w14:paraId="6DE4A3F1" w14:textId="4FBB60DA" w:rsidR="003A454B" w:rsidRPr="00593F42" w:rsidRDefault="003A454B" w:rsidP="009362E7">
      <w:pPr>
        <w:pStyle w:val="SingleTxtG"/>
        <w:spacing w:after="100"/>
      </w:pPr>
      <w:r>
        <w:rPr>
          <w:lang w:val="fr-FR"/>
        </w:rPr>
        <w:t>124.</w:t>
      </w:r>
      <w:r>
        <w:rPr>
          <w:lang w:val="fr-FR"/>
        </w:rPr>
        <w:tab/>
        <w:t>Outre l’État, des ONG de protection de l’environnement contribuent à l’éducation à l’environnement de la population. Parmi celles-ci, on peut citer par exemple</w:t>
      </w:r>
      <w:r w:rsidR="005579CA">
        <w:rPr>
          <w:lang w:val="fr-FR"/>
        </w:rPr>
        <w:t> :</w:t>
      </w:r>
      <w:r>
        <w:rPr>
          <w:lang w:val="fr-FR"/>
        </w:rPr>
        <w:t xml:space="preserve"> «</w:t>
      </w:r>
      <w:r w:rsidR="00941E2D">
        <w:rPr>
          <w:lang w:val="fr-FR"/>
        </w:rPr>
        <w:t> </w:t>
      </w:r>
      <w:proofErr w:type="spellStart"/>
      <w:r>
        <w:rPr>
          <w:lang w:val="fr-FR"/>
        </w:rPr>
        <w:t>Ekomaktab</w:t>
      </w:r>
      <w:proofErr w:type="spellEnd"/>
      <w:r>
        <w:rPr>
          <w:lang w:val="fr-FR"/>
        </w:rPr>
        <w:t> », «</w:t>
      </w:r>
      <w:r w:rsidR="00941E2D">
        <w:rPr>
          <w:lang w:val="fr-FR"/>
        </w:rPr>
        <w:t> </w:t>
      </w:r>
      <w:proofErr w:type="spellStart"/>
      <w:r>
        <w:rPr>
          <w:lang w:val="fr-FR"/>
        </w:rPr>
        <w:t>Ecoforum</w:t>
      </w:r>
      <w:proofErr w:type="spellEnd"/>
      <w:r w:rsidR="00941E2D">
        <w:rPr>
          <w:lang w:val="fr-FR"/>
        </w:rPr>
        <w:t> </w:t>
      </w:r>
      <w:r>
        <w:rPr>
          <w:lang w:val="fr-FR"/>
        </w:rPr>
        <w:t>» et le Mouvement écologiste d’Ouzbékistan et ses branches régionales, ainsi que des ONG régionales de protection de l’environnement telles que « Zeravchan », le Fonds environnemental pour enfants «</w:t>
      </w:r>
      <w:r w:rsidR="00941E2D">
        <w:rPr>
          <w:lang w:val="fr-FR"/>
        </w:rPr>
        <w:t> </w:t>
      </w:r>
      <w:proofErr w:type="spellStart"/>
      <w:r>
        <w:rPr>
          <w:lang w:val="fr-FR"/>
        </w:rPr>
        <w:t>Yachil</w:t>
      </w:r>
      <w:proofErr w:type="spellEnd"/>
      <w:r>
        <w:rPr>
          <w:lang w:val="fr-FR"/>
        </w:rPr>
        <w:t xml:space="preserve"> </w:t>
      </w:r>
      <w:proofErr w:type="spellStart"/>
      <w:r>
        <w:rPr>
          <w:lang w:val="fr-FR"/>
        </w:rPr>
        <w:t>Toulkine</w:t>
      </w:r>
      <w:proofErr w:type="spellEnd"/>
      <w:r w:rsidR="00941E2D">
        <w:rPr>
          <w:lang w:val="fr-FR"/>
        </w:rPr>
        <w:t> </w:t>
      </w:r>
      <w:r>
        <w:rPr>
          <w:lang w:val="fr-FR"/>
        </w:rPr>
        <w:t>» (Samarcande), «</w:t>
      </w:r>
      <w:r w:rsidR="00941E2D">
        <w:rPr>
          <w:lang w:val="fr-FR"/>
        </w:rPr>
        <w:t> </w:t>
      </w:r>
      <w:r>
        <w:rPr>
          <w:lang w:val="fr-FR"/>
        </w:rPr>
        <w:t>Pour une Ferghana propre</w:t>
      </w:r>
      <w:r w:rsidR="00941E2D">
        <w:rPr>
          <w:lang w:val="fr-FR"/>
        </w:rPr>
        <w:t> </w:t>
      </w:r>
      <w:r>
        <w:rPr>
          <w:lang w:val="fr-FR"/>
        </w:rPr>
        <w:t>» (Ferghana), l’Union pour la protection de l’Aral et de l’Amou-Daria (Noukous), « KRASS</w:t>
      </w:r>
      <w:r w:rsidR="00941E2D">
        <w:rPr>
          <w:lang w:val="fr-FR"/>
        </w:rPr>
        <w:t> </w:t>
      </w:r>
      <w:r>
        <w:rPr>
          <w:lang w:val="fr-FR"/>
        </w:rPr>
        <w:t>» (Ourguentch), «</w:t>
      </w:r>
      <w:r w:rsidR="00941E2D">
        <w:rPr>
          <w:lang w:val="fr-FR"/>
        </w:rPr>
        <w:t> </w:t>
      </w:r>
      <w:r>
        <w:rPr>
          <w:lang w:val="fr-FR"/>
        </w:rPr>
        <w:t>Logos » (Tachkent) et «</w:t>
      </w:r>
      <w:r w:rsidR="00941E2D">
        <w:rPr>
          <w:lang w:val="fr-FR"/>
        </w:rPr>
        <w:t> </w:t>
      </w:r>
      <w:proofErr w:type="spellStart"/>
      <w:r>
        <w:rPr>
          <w:lang w:val="fr-FR"/>
        </w:rPr>
        <w:t>Rodnitchok</w:t>
      </w:r>
      <w:proofErr w:type="spellEnd"/>
      <w:r>
        <w:rPr>
          <w:lang w:val="fr-FR"/>
        </w:rPr>
        <w:t> » (province de Tachkent).</w:t>
      </w:r>
    </w:p>
    <w:p w14:paraId="77724504" w14:textId="7CADA432"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342258">
        <w:rPr>
          <w:bCs/>
          <w:lang w:val="fr-FR"/>
        </w:rPr>
        <w:t> </w:t>
      </w:r>
      <w:r>
        <w:rPr>
          <w:bCs/>
          <w:lang w:val="fr-FR"/>
        </w:rPr>
        <w:t>11</w:t>
      </w:r>
      <w:r w:rsidR="00342258">
        <w:rPr>
          <w:bCs/>
          <w:lang w:val="fr-FR"/>
        </w:rPr>
        <w:t> </w:t>
      </w:r>
      <w:r>
        <w:rPr>
          <w:bCs/>
          <w:lang w:val="fr-FR"/>
        </w:rPr>
        <w:t>a) de la liste de points</w:t>
      </w:r>
      <w:r>
        <w:rPr>
          <w:lang w:val="fr-FR"/>
        </w:rPr>
        <w:t xml:space="preserve"> </w:t>
      </w:r>
    </w:p>
    <w:p w14:paraId="75CE9D04" w14:textId="4E61E446" w:rsidR="003A454B" w:rsidRPr="00593F42" w:rsidRDefault="003A454B" w:rsidP="009362E7">
      <w:pPr>
        <w:pStyle w:val="SingleTxtG"/>
        <w:spacing w:after="100"/>
      </w:pPr>
      <w:r>
        <w:rPr>
          <w:lang w:val="fr-FR"/>
        </w:rPr>
        <w:t>125.</w:t>
      </w:r>
      <w:r>
        <w:rPr>
          <w:lang w:val="fr-FR"/>
        </w:rPr>
        <w:tab/>
        <w:t>La loi du 16</w:t>
      </w:r>
      <w:r w:rsidR="00941E2D">
        <w:rPr>
          <w:lang w:val="fr-FR"/>
        </w:rPr>
        <w:t> </w:t>
      </w:r>
      <w:r>
        <w:rPr>
          <w:lang w:val="fr-FR"/>
        </w:rPr>
        <w:t xml:space="preserve">décembre 2019 relative à l’éducation préscolaire a défini les grandes lignes de la politique publique en matière d’éducation préscolaire des enfants, y compris des enfants ayant des besoins éducatifs particuliers. </w:t>
      </w:r>
    </w:p>
    <w:p w14:paraId="126A9852" w14:textId="351C5853" w:rsidR="003A454B" w:rsidRPr="00941E2D" w:rsidRDefault="003A454B" w:rsidP="009362E7">
      <w:pPr>
        <w:pStyle w:val="SingleTxtG"/>
        <w:spacing w:after="100"/>
        <w:rPr>
          <w:lang w:val="fr-FR"/>
        </w:rPr>
      </w:pPr>
      <w:r>
        <w:rPr>
          <w:lang w:val="fr-FR"/>
        </w:rPr>
        <w:t>126.</w:t>
      </w:r>
      <w:r>
        <w:rPr>
          <w:lang w:val="fr-FR"/>
        </w:rPr>
        <w:tab/>
        <w:t xml:space="preserve">En application du décret présidentiel du 6novembre 2020, un Programme-cadre visant à apporter des améliorations dans les domaines de l’éducation et des sciences a été approuvé. Ce programme prévoit de porter le taux de scolarisation des enfants âgés de </w:t>
      </w:r>
      <w:r w:rsidR="00941E2D">
        <w:rPr>
          <w:lang w:val="fr-FR"/>
        </w:rPr>
        <w:t>3 à 7 </w:t>
      </w:r>
      <w:r>
        <w:rPr>
          <w:lang w:val="fr-FR"/>
        </w:rPr>
        <w:t>ans dans l’enseignement préscolaire à 65</w:t>
      </w:r>
      <w:r w:rsidR="00B0330A">
        <w:rPr>
          <w:lang w:val="fr-FR"/>
        </w:rPr>
        <w:t> %</w:t>
      </w:r>
      <w:r>
        <w:rPr>
          <w:lang w:val="fr-FR"/>
        </w:rPr>
        <w:t xml:space="preserve"> et à 82</w:t>
      </w:r>
      <w:r w:rsidR="00B0330A">
        <w:rPr>
          <w:lang w:val="fr-FR"/>
        </w:rPr>
        <w:t> %</w:t>
      </w:r>
      <w:r>
        <w:rPr>
          <w:lang w:val="fr-FR"/>
        </w:rPr>
        <w:t xml:space="preserve"> pour les enfants âgés de </w:t>
      </w:r>
      <w:r w:rsidR="009362E7">
        <w:rPr>
          <w:lang w:val="fr-FR"/>
        </w:rPr>
        <w:t>6 </w:t>
      </w:r>
      <w:r>
        <w:rPr>
          <w:lang w:val="fr-FR"/>
        </w:rPr>
        <w:t xml:space="preserve">ans, d’améliorer les diverses formes d’enseignement, de créer une plateforme en ligne pour les enfants ayant des besoins éducatifs particuliers, d’élaborer un programme de jardins d’enfants en ligne en collaboration avec l’UNICEF et la Radio-Télévision nationale ainsi que de créer un laboratoire de recherche innovant pour le développement de la petite enfance. </w:t>
      </w:r>
    </w:p>
    <w:p w14:paraId="1E622AA1" w14:textId="2B3FB425" w:rsidR="003A454B" w:rsidRPr="00593F42" w:rsidRDefault="003A454B" w:rsidP="009362E7">
      <w:pPr>
        <w:pStyle w:val="SingleTxtG"/>
        <w:spacing w:after="100"/>
      </w:pPr>
      <w:r>
        <w:rPr>
          <w:lang w:val="fr-FR"/>
        </w:rPr>
        <w:t>127.</w:t>
      </w:r>
      <w:r>
        <w:rPr>
          <w:lang w:val="fr-FR"/>
        </w:rPr>
        <w:tab/>
        <w:t>En application de la décision du Cabinet des ministres du 9 mars 2020 sur les mesures visant à renforcer le système d’année préparatoire obligatoire à l’enseignement primaire, un système visant à préparer les enfants à l’année préparatoire obligatoire (gratuite) qui leur permettra d’intégrer l’école primaire a été introduit pour l’année scolaire 2019/20 et des mesures ont été prises pour que tous les enfants soient scolarisés dans l’enseignement préscolaire. Afin d’atteindre la cible</w:t>
      </w:r>
      <w:r w:rsidR="0047416A">
        <w:rPr>
          <w:lang w:val="fr-FR"/>
        </w:rPr>
        <w:t> </w:t>
      </w:r>
      <w:r>
        <w:rPr>
          <w:lang w:val="fr-FR"/>
        </w:rPr>
        <w:t>4 de l’objectif de développement durable n</w:t>
      </w:r>
      <w:r>
        <w:rPr>
          <w:vertAlign w:val="superscript"/>
          <w:lang w:val="fr-FR"/>
        </w:rPr>
        <w:t>o</w:t>
      </w:r>
      <w:r w:rsidR="009362E7">
        <w:rPr>
          <w:lang w:val="fr-FR"/>
        </w:rPr>
        <w:t> </w:t>
      </w:r>
      <w:r>
        <w:rPr>
          <w:lang w:val="fr-FR"/>
        </w:rPr>
        <w:t xml:space="preserve">2, il est prévu </w:t>
      </w:r>
      <w:r w:rsidR="00B753EE">
        <w:rPr>
          <w:lang w:val="fr-FR"/>
        </w:rPr>
        <w:t xml:space="preserve">de </w:t>
      </w:r>
      <w:r>
        <w:rPr>
          <w:lang w:val="fr-FR"/>
        </w:rPr>
        <w:t xml:space="preserve">scolariser tous les enfants de </w:t>
      </w:r>
      <w:r w:rsidR="009362E7">
        <w:rPr>
          <w:lang w:val="fr-FR"/>
        </w:rPr>
        <w:t>6 </w:t>
      </w:r>
      <w:r>
        <w:rPr>
          <w:lang w:val="fr-FR"/>
        </w:rPr>
        <w:t xml:space="preserve">ans dans l’enseignement préscolaire d’ici à 2025. </w:t>
      </w:r>
    </w:p>
    <w:p w14:paraId="370A15BD" w14:textId="5A8E1D7B" w:rsidR="003A454B" w:rsidRPr="00593F42" w:rsidRDefault="003A454B" w:rsidP="009362E7">
      <w:pPr>
        <w:pStyle w:val="SingleTxtG"/>
        <w:spacing w:after="100"/>
      </w:pPr>
      <w:r>
        <w:rPr>
          <w:lang w:val="fr-FR"/>
        </w:rPr>
        <w:t>128.</w:t>
      </w:r>
      <w:r>
        <w:rPr>
          <w:lang w:val="fr-FR"/>
        </w:rPr>
        <w:tab/>
        <w:t>Au cours des trois dernières années et demie, le taux de scolarisation au niveau de l’enseignement préscolaire a plus que doublé. Ainsi, 1</w:t>
      </w:r>
      <w:r w:rsidR="009362E7">
        <w:rPr>
          <w:lang w:val="fr-FR"/>
        </w:rPr>
        <w:t> </w:t>
      </w:r>
      <w:r>
        <w:rPr>
          <w:lang w:val="fr-FR"/>
        </w:rPr>
        <w:t>699</w:t>
      </w:r>
      <w:r w:rsidR="009362E7">
        <w:rPr>
          <w:lang w:val="fr-FR"/>
        </w:rPr>
        <w:t> </w:t>
      </w:r>
      <w:r>
        <w:rPr>
          <w:lang w:val="fr-FR"/>
        </w:rPr>
        <w:t>566</w:t>
      </w:r>
      <w:r w:rsidR="009362E7">
        <w:rPr>
          <w:lang w:val="fr-FR"/>
        </w:rPr>
        <w:t> </w:t>
      </w:r>
      <w:r>
        <w:rPr>
          <w:lang w:val="fr-FR"/>
        </w:rPr>
        <w:t>enfants étaient scolarisés dans des établissements préscolaires en 2021 (contre 708</w:t>
      </w:r>
      <w:r w:rsidR="009362E7">
        <w:rPr>
          <w:lang w:val="fr-FR"/>
        </w:rPr>
        <w:t> </w:t>
      </w:r>
      <w:r>
        <w:rPr>
          <w:lang w:val="fr-FR"/>
        </w:rPr>
        <w:t>247 en 2017), soit 60,9</w:t>
      </w:r>
      <w:r w:rsidR="00B0330A">
        <w:rPr>
          <w:lang w:val="fr-FR"/>
        </w:rPr>
        <w:t> %</w:t>
      </w:r>
      <w:r>
        <w:rPr>
          <w:lang w:val="fr-FR"/>
        </w:rPr>
        <w:t xml:space="preserve"> de la population concernée. </w:t>
      </w:r>
    </w:p>
    <w:p w14:paraId="18F0D6CB" w14:textId="77777777" w:rsidR="003A454B" w:rsidRPr="00593F42" w:rsidRDefault="003A454B" w:rsidP="009362E7">
      <w:pPr>
        <w:pStyle w:val="SingleTxtG"/>
        <w:spacing w:after="100"/>
      </w:pPr>
      <w:r>
        <w:rPr>
          <w:lang w:val="fr-FR"/>
        </w:rPr>
        <w:t>129.</w:t>
      </w:r>
      <w:r>
        <w:rPr>
          <w:lang w:val="fr-FR"/>
        </w:rPr>
        <w:tab/>
        <w:t xml:space="preserve">Un laboratoire de recherche innovant sur le développement des enfants d’âge préscolaire a été créé, et des mesures ont été prises pour mettre en place des programmes de promotion d’une alimentation saine dans les établissements publics d’enseignement préscolaire. </w:t>
      </w:r>
    </w:p>
    <w:p w14:paraId="6A6CE922" w14:textId="464A0357" w:rsidR="003A454B" w:rsidRPr="00593F42" w:rsidRDefault="003A454B" w:rsidP="009362E7">
      <w:pPr>
        <w:pStyle w:val="SingleTxtG"/>
        <w:spacing w:after="100"/>
        <w:rPr>
          <w:spacing w:val="-2"/>
        </w:rPr>
      </w:pPr>
      <w:r>
        <w:rPr>
          <w:lang w:val="fr-FR"/>
        </w:rPr>
        <w:t>130.</w:t>
      </w:r>
      <w:r>
        <w:rPr>
          <w:lang w:val="fr-FR"/>
        </w:rPr>
        <w:tab/>
        <w:t>L’Ouzbékistan compte 18</w:t>
      </w:r>
      <w:r w:rsidR="009362E7">
        <w:rPr>
          <w:lang w:val="fr-FR"/>
        </w:rPr>
        <w:t> </w:t>
      </w:r>
      <w:r>
        <w:rPr>
          <w:lang w:val="fr-FR"/>
        </w:rPr>
        <w:t>254</w:t>
      </w:r>
      <w:r w:rsidR="009362E7">
        <w:rPr>
          <w:lang w:val="fr-FR"/>
        </w:rPr>
        <w:t> </w:t>
      </w:r>
      <w:r>
        <w:rPr>
          <w:lang w:val="fr-FR"/>
        </w:rPr>
        <w:t>établissements d’enseignement préscolaire (contre 5 211 en 2017)</w:t>
      </w:r>
      <w:r w:rsidR="005579CA">
        <w:rPr>
          <w:lang w:val="fr-FR"/>
        </w:rPr>
        <w:t> :</w:t>
      </w:r>
      <w:r>
        <w:rPr>
          <w:lang w:val="fr-FR"/>
        </w:rPr>
        <w:t xml:space="preserve"> 6</w:t>
      </w:r>
      <w:r w:rsidR="009362E7">
        <w:rPr>
          <w:lang w:val="fr-FR"/>
        </w:rPr>
        <w:t> </w:t>
      </w:r>
      <w:r>
        <w:rPr>
          <w:lang w:val="fr-FR"/>
        </w:rPr>
        <w:t>197 d’entre eux sont publics (4</w:t>
      </w:r>
      <w:r w:rsidR="009362E7">
        <w:rPr>
          <w:lang w:val="fr-FR"/>
        </w:rPr>
        <w:t> </w:t>
      </w:r>
      <w:r>
        <w:rPr>
          <w:lang w:val="fr-FR"/>
        </w:rPr>
        <w:t>961 en 2017) et 12 057 sont non gouvernementaux (250 en 2017), dont 753 privés (250 en 2017), 10</w:t>
      </w:r>
      <w:r w:rsidR="009362E7">
        <w:rPr>
          <w:lang w:val="fr-FR"/>
        </w:rPr>
        <w:t> </w:t>
      </w:r>
      <w:r>
        <w:rPr>
          <w:lang w:val="fr-FR"/>
        </w:rPr>
        <w:t>244 familiaux (aucun en 2017) et 1</w:t>
      </w:r>
      <w:r w:rsidR="009362E7">
        <w:rPr>
          <w:lang w:val="fr-FR"/>
        </w:rPr>
        <w:t> </w:t>
      </w:r>
      <w:r>
        <w:rPr>
          <w:lang w:val="fr-FR"/>
        </w:rPr>
        <w:t xml:space="preserve">025 non étatiques (aucun en 2017). </w:t>
      </w:r>
    </w:p>
    <w:p w14:paraId="6F38B0D0" w14:textId="563EA892" w:rsidR="003A454B" w:rsidRPr="00593F42" w:rsidRDefault="003A454B" w:rsidP="003A454B">
      <w:pPr>
        <w:pStyle w:val="SingleTxtG"/>
      </w:pPr>
      <w:r>
        <w:rPr>
          <w:lang w:val="fr-FR"/>
        </w:rPr>
        <w:lastRenderedPageBreak/>
        <w:t>131.</w:t>
      </w:r>
      <w:r>
        <w:rPr>
          <w:lang w:val="fr-FR"/>
        </w:rPr>
        <w:tab/>
        <w:t>Il est prévu de porter le taux de scolarisation des enfants en âge préscolaire (</w:t>
      </w:r>
      <w:r w:rsidR="00C1616D">
        <w:rPr>
          <w:lang w:val="fr-FR"/>
        </w:rPr>
        <w:t>3 à 7 </w:t>
      </w:r>
      <w:r>
        <w:rPr>
          <w:lang w:val="fr-FR"/>
        </w:rPr>
        <w:t>ans) à 68,3</w:t>
      </w:r>
      <w:r w:rsidR="00B0330A">
        <w:rPr>
          <w:lang w:val="fr-FR"/>
        </w:rPr>
        <w:t> %</w:t>
      </w:r>
      <w:r>
        <w:rPr>
          <w:lang w:val="fr-FR"/>
        </w:rPr>
        <w:t xml:space="preserve"> d’ici à la fin de 2021 et à 80,8</w:t>
      </w:r>
      <w:r w:rsidR="00B0330A">
        <w:rPr>
          <w:lang w:val="fr-FR"/>
        </w:rPr>
        <w:t> %</w:t>
      </w:r>
      <w:r>
        <w:rPr>
          <w:lang w:val="fr-FR"/>
        </w:rPr>
        <w:t xml:space="preserve"> d’ici à 2030. Entre 2018 et 2020, plus de 1</w:t>
      </w:r>
      <w:r w:rsidR="00231AFF">
        <w:rPr>
          <w:lang w:val="fr-FR"/>
        </w:rPr>
        <w:t> </w:t>
      </w:r>
      <w:r>
        <w:rPr>
          <w:lang w:val="fr-FR"/>
        </w:rPr>
        <w:t>225</w:t>
      </w:r>
      <w:r w:rsidR="00231AFF">
        <w:rPr>
          <w:lang w:val="fr-FR"/>
        </w:rPr>
        <w:t> </w:t>
      </w:r>
      <w:r>
        <w:rPr>
          <w:lang w:val="fr-FR"/>
        </w:rPr>
        <w:t>établissements d’enseignement préscolaire ont été construits, mis en service ou rénovés dans le cadre de programmes d’investissement.</w:t>
      </w:r>
    </w:p>
    <w:p w14:paraId="6CE4183E" w14:textId="40F3B1A6" w:rsidR="003A454B" w:rsidRPr="00593F42" w:rsidRDefault="003A454B" w:rsidP="003A454B">
      <w:pPr>
        <w:pStyle w:val="SingleTxtG"/>
      </w:pPr>
      <w:r>
        <w:rPr>
          <w:lang w:val="fr-FR"/>
        </w:rPr>
        <w:t>132.</w:t>
      </w:r>
      <w:r>
        <w:rPr>
          <w:lang w:val="fr-FR"/>
        </w:rPr>
        <w:tab/>
        <w:t>Un autre modèle d’éducation sous la forme de crèches familiales est en train de voir le jour. En outre, en coopération avec l’UNICEF, un plan visant à introduire de nouvelles formes d’éducation a été élaboré. Conformément à ce plan, plusieurs formes non conventionnelles d’enseignement préscolaire, notamment les groupes multiâges et les groupes «</w:t>
      </w:r>
      <w:r w:rsidR="00231AFF">
        <w:rPr>
          <w:lang w:val="fr-FR"/>
        </w:rPr>
        <w:t> </w:t>
      </w:r>
      <w:r>
        <w:rPr>
          <w:lang w:val="fr-FR"/>
        </w:rPr>
        <w:t>Play</w:t>
      </w:r>
      <w:r w:rsidR="00231AFF">
        <w:rPr>
          <w:lang w:val="fr-FR"/>
        </w:rPr>
        <w:t> </w:t>
      </w:r>
      <w:r>
        <w:rPr>
          <w:lang w:val="fr-FR"/>
        </w:rPr>
        <w:t>», ont été introduites à titre expérimental.</w:t>
      </w:r>
    </w:p>
    <w:p w14:paraId="0582E5F5" w14:textId="2D990F72" w:rsidR="003A454B" w:rsidRPr="00593F42" w:rsidRDefault="003A454B" w:rsidP="003A454B">
      <w:pPr>
        <w:pStyle w:val="SingleTxtG"/>
      </w:pPr>
      <w:r>
        <w:rPr>
          <w:lang w:val="fr-FR"/>
        </w:rPr>
        <w:t>133.</w:t>
      </w:r>
      <w:r>
        <w:rPr>
          <w:lang w:val="fr-FR"/>
        </w:rPr>
        <w:tab/>
        <w:t>Mis en œuvre conjointement avec la Banque mondiale, le projet visant à favoriser le développement de la petite enfance prévoit la mise en œuvre, à titre expérimental, de plusieurs formes non conventionnelles d’enseignement préscolaire, notamment le système de visites des enseignants à domicile. Des centres mobiles d’enseignement préscolaire, c’est</w:t>
      </w:r>
      <w:r w:rsidR="0013222F">
        <w:rPr>
          <w:lang w:val="fr-FR"/>
        </w:rPr>
        <w:noBreakHyphen/>
      </w:r>
      <w:r>
        <w:rPr>
          <w:lang w:val="fr-FR"/>
        </w:rPr>
        <w:t>à</w:t>
      </w:r>
      <w:r w:rsidR="00231AFF">
        <w:rPr>
          <w:lang w:val="fr-FR"/>
        </w:rPr>
        <w:noBreakHyphen/>
      </w:r>
      <w:r>
        <w:rPr>
          <w:lang w:val="fr-FR"/>
        </w:rPr>
        <w:t xml:space="preserve">dire des bus aménagés, se déplacent </w:t>
      </w:r>
      <w:r w:rsidR="0013222F">
        <w:rPr>
          <w:lang w:val="fr-FR"/>
        </w:rPr>
        <w:t xml:space="preserve">dans </w:t>
      </w:r>
      <w:r>
        <w:rPr>
          <w:lang w:val="fr-FR"/>
        </w:rPr>
        <w:t>toutes les régions du pays.</w:t>
      </w:r>
    </w:p>
    <w:p w14:paraId="09BC9CFB" w14:textId="593C7B69" w:rsidR="003A454B" w:rsidRPr="00593F42" w:rsidRDefault="003A454B" w:rsidP="00231AFF">
      <w:pPr>
        <w:pStyle w:val="H23G"/>
        <w:rPr>
          <w:i/>
        </w:rPr>
      </w:pPr>
      <w:r>
        <w:rPr>
          <w:lang w:val="fr-FR"/>
        </w:rPr>
        <w:tab/>
      </w:r>
      <w:r>
        <w:rPr>
          <w:lang w:val="fr-FR"/>
        </w:rPr>
        <w:tab/>
      </w:r>
      <w:r>
        <w:rPr>
          <w:lang w:val="fr-FR"/>
        </w:rPr>
        <w:tab/>
        <w:t>Renseignements concernant le paragraphe</w:t>
      </w:r>
      <w:r w:rsidR="0013222F">
        <w:rPr>
          <w:lang w:val="fr-FR"/>
        </w:rPr>
        <w:t> </w:t>
      </w:r>
      <w:r>
        <w:rPr>
          <w:lang w:val="fr-FR"/>
        </w:rPr>
        <w:t>11</w:t>
      </w:r>
      <w:r w:rsidR="0013222F">
        <w:rPr>
          <w:lang w:val="fr-FR"/>
        </w:rPr>
        <w:t> </w:t>
      </w:r>
      <w:r>
        <w:rPr>
          <w:lang w:val="fr-FR"/>
        </w:rPr>
        <w:t xml:space="preserve">b) de la liste de points </w:t>
      </w:r>
    </w:p>
    <w:p w14:paraId="23DF0CC5" w14:textId="3495508E" w:rsidR="003A454B" w:rsidRPr="00593F42" w:rsidRDefault="003A454B" w:rsidP="003A454B">
      <w:pPr>
        <w:pStyle w:val="SingleTxtG"/>
      </w:pPr>
      <w:r>
        <w:rPr>
          <w:lang w:val="fr-FR"/>
        </w:rPr>
        <w:t>134.</w:t>
      </w:r>
      <w:r>
        <w:rPr>
          <w:lang w:val="fr-FR"/>
        </w:rPr>
        <w:tab/>
        <w:t xml:space="preserve">La loi relative à l’éducation consacre le principe de non-discrimination dans l’enseignement, l’égalité des chances en matière d’éducation, l’obligation de suivre le cursus scolaire de onze ans et l’année préparatoire à l’enseignement primaire général pour les enfants âgés de </w:t>
      </w:r>
      <w:r w:rsidR="00231AFF">
        <w:rPr>
          <w:lang w:val="fr-FR"/>
        </w:rPr>
        <w:t>6</w:t>
      </w:r>
      <w:r>
        <w:rPr>
          <w:lang w:val="fr-FR"/>
        </w:rPr>
        <w:t xml:space="preserve"> et </w:t>
      </w:r>
      <w:r w:rsidR="00231AFF">
        <w:rPr>
          <w:lang w:val="fr-FR"/>
        </w:rPr>
        <w:t>7 </w:t>
      </w:r>
      <w:r>
        <w:rPr>
          <w:lang w:val="fr-FR"/>
        </w:rPr>
        <w:t xml:space="preserve">ans, l’universalité de l’enseignement dans les limites imposées par les normes et les exigences de l’État en matière d’éducation ainsi que la mise en avant de la culture, des capacités et des talents des enfants, quel que soit leur lieu de résidence. </w:t>
      </w:r>
    </w:p>
    <w:p w14:paraId="3EF9B543" w14:textId="77777777" w:rsidR="003A454B" w:rsidRPr="00593F42" w:rsidRDefault="003A454B" w:rsidP="003A454B">
      <w:pPr>
        <w:pStyle w:val="SingleTxtG"/>
      </w:pPr>
      <w:r>
        <w:rPr>
          <w:lang w:val="fr-FR"/>
        </w:rPr>
        <w:t>135.</w:t>
      </w:r>
      <w:r>
        <w:rPr>
          <w:lang w:val="fr-FR"/>
        </w:rPr>
        <w:tab/>
        <w:t xml:space="preserve">Aux fins de l’amélioration de la qualité de l’enseignement, des mesures ont été prises, en application du décret présidentiel du 6 novembre 2020, pour promouvoir l’éducation et les sciences. Afin de numériser les outils d’évaluation des élèves et d’assurer la transparence de cette évaluation, un livret scolaire électronique a été introduit dans tous les établissements d’enseignement, et les modalités de prise en compte des notes obtenues au secondaire aux fins de l’admission dans l’enseignement supérieur sont en train d’être définies. </w:t>
      </w:r>
    </w:p>
    <w:p w14:paraId="0CABA110" w14:textId="3BE8DD74" w:rsidR="003A454B" w:rsidRPr="00593F42" w:rsidRDefault="003A454B" w:rsidP="003A454B">
      <w:pPr>
        <w:pStyle w:val="SingleTxtG"/>
      </w:pPr>
      <w:r>
        <w:rPr>
          <w:lang w:val="fr-FR"/>
        </w:rPr>
        <w:t>136.</w:t>
      </w:r>
      <w:r>
        <w:rPr>
          <w:lang w:val="fr-FR"/>
        </w:rPr>
        <w:tab/>
        <w:t>En application du Programme-cadre visant à apporter des améliorations dans les domaines de l’éducation et des sciences, approuvé par le décret présidentiel du 6</w:t>
      </w:r>
      <w:r w:rsidR="00231AFF">
        <w:rPr>
          <w:lang w:val="fr-FR"/>
        </w:rPr>
        <w:t> </w:t>
      </w:r>
      <w:r>
        <w:rPr>
          <w:lang w:val="fr-FR"/>
        </w:rPr>
        <w:t xml:space="preserve">novembre 2020, de nouvelles écoles sont construites, les écoles existantes sont alimentées en eau potable et raccordées au système d’égouts, et des cantines et des salles de sport sont mises en place pour les élèves scolarisés dans les zones urbaines et rurales. En outre, des mesures sont prises pour permettre aux élèves de passer des examens médicaux et de bénéficier des soins de santé dont ils ont besoin. </w:t>
      </w:r>
    </w:p>
    <w:p w14:paraId="2F4E8E7F" w14:textId="0448320C" w:rsidR="003A454B" w:rsidRPr="00593F42" w:rsidRDefault="003A454B" w:rsidP="003A454B">
      <w:pPr>
        <w:pStyle w:val="SingleTxtG"/>
      </w:pPr>
      <w:r>
        <w:rPr>
          <w:lang w:val="fr-FR"/>
        </w:rPr>
        <w:t>137.</w:t>
      </w:r>
      <w:r>
        <w:rPr>
          <w:lang w:val="fr-FR"/>
        </w:rPr>
        <w:tab/>
        <w:t>En application du programme national de 2021 intitulé «</w:t>
      </w:r>
      <w:r w:rsidR="00231AFF">
        <w:rPr>
          <w:lang w:val="fr-FR"/>
        </w:rPr>
        <w:t> </w:t>
      </w:r>
      <w:r>
        <w:rPr>
          <w:lang w:val="fr-FR"/>
        </w:rPr>
        <w:t>Année du soutien à la jeunesse et de l’amélioration de la santé publique</w:t>
      </w:r>
      <w:r w:rsidR="00231AFF">
        <w:rPr>
          <w:lang w:val="fr-FR"/>
        </w:rPr>
        <w:t> </w:t>
      </w:r>
      <w:r>
        <w:rPr>
          <w:lang w:val="fr-FR"/>
        </w:rPr>
        <w:t>», 22</w:t>
      </w:r>
      <w:r w:rsidR="00231AFF">
        <w:rPr>
          <w:lang w:val="fr-FR"/>
        </w:rPr>
        <w:t> </w:t>
      </w:r>
      <w:r>
        <w:rPr>
          <w:lang w:val="fr-FR"/>
        </w:rPr>
        <w:t>établissements d’enseignement préscolaire, 31</w:t>
      </w:r>
      <w:r w:rsidR="00231AFF">
        <w:rPr>
          <w:lang w:val="fr-FR"/>
        </w:rPr>
        <w:t> </w:t>
      </w:r>
      <w:r>
        <w:rPr>
          <w:lang w:val="fr-FR"/>
        </w:rPr>
        <w:t>écoles, 16</w:t>
      </w:r>
      <w:r w:rsidR="00231AFF">
        <w:rPr>
          <w:lang w:val="fr-FR"/>
        </w:rPr>
        <w:t> </w:t>
      </w:r>
      <w:r>
        <w:rPr>
          <w:lang w:val="fr-FR"/>
        </w:rPr>
        <w:t>universités, 21</w:t>
      </w:r>
      <w:r w:rsidR="00231AFF">
        <w:rPr>
          <w:lang w:val="fr-FR"/>
        </w:rPr>
        <w:t> </w:t>
      </w:r>
      <w:r>
        <w:rPr>
          <w:lang w:val="fr-FR"/>
        </w:rPr>
        <w:t>établissements de santé et 23</w:t>
      </w:r>
      <w:r w:rsidR="00231AFF">
        <w:rPr>
          <w:lang w:val="fr-FR"/>
        </w:rPr>
        <w:t> </w:t>
      </w:r>
      <w:r>
        <w:rPr>
          <w:lang w:val="fr-FR"/>
        </w:rPr>
        <w:t>installations sportives ont été construits en 2021. Le nombre d’établissements d’enseignement général non étatiques a été multiplié par six et s’établit désormais à 145. Entre 2017 et 2020, 3</w:t>
      </w:r>
      <w:r w:rsidR="00231AFF">
        <w:rPr>
          <w:lang w:val="fr-FR"/>
        </w:rPr>
        <w:t> </w:t>
      </w:r>
      <w:r>
        <w:rPr>
          <w:lang w:val="fr-FR"/>
        </w:rPr>
        <w:t>056</w:t>
      </w:r>
      <w:r w:rsidR="00231AFF">
        <w:rPr>
          <w:lang w:val="fr-FR"/>
        </w:rPr>
        <w:t> </w:t>
      </w:r>
      <w:r>
        <w:rPr>
          <w:lang w:val="fr-FR"/>
        </w:rPr>
        <w:t>écoles d’enseignement général ont été construites ou rénovées (soit 1</w:t>
      </w:r>
      <w:r w:rsidR="00231AFF">
        <w:rPr>
          <w:lang w:val="fr-FR"/>
        </w:rPr>
        <w:t> </w:t>
      </w:r>
      <w:r>
        <w:rPr>
          <w:lang w:val="fr-FR"/>
        </w:rPr>
        <w:t>918 de plus qu’entre 2014 et 2016) pour un coût de 6</w:t>
      </w:r>
      <w:r w:rsidR="00231AFF">
        <w:rPr>
          <w:lang w:val="fr-FR"/>
        </w:rPr>
        <w:t> </w:t>
      </w:r>
      <w:r>
        <w:rPr>
          <w:lang w:val="fr-FR"/>
        </w:rPr>
        <w:t>346</w:t>
      </w:r>
      <w:r w:rsidR="00231AFF">
        <w:rPr>
          <w:lang w:val="fr-FR"/>
        </w:rPr>
        <w:t> </w:t>
      </w:r>
      <w:r>
        <w:rPr>
          <w:lang w:val="fr-FR"/>
        </w:rPr>
        <w:t>000</w:t>
      </w:r>
      <w:r w:rsidR="00231AFF">
        <w:rPr>
          <w:lang w:val="fr-FR"/>
        </w:rPr>
        <w:t> </w:t>
      </w:r>
      <w:r>
        <w:rPr>
          <w:lang w:val="fr-FR"/>
        </w:rPr>
        <w:t xml:space="preserve">milliards de </w:t>
      </w:r>
      <w:proofErr w:type="spellStart"/>
      <w:r>
        <w:rPr>
          <w:lang w:val="fr-FR"/>
        </w:rPr>
        <w:t>sum</w:t>
      </w:r>
      <w:proofErr w:type="spellEnd"/>
      <w:r>
        <w:rPr>
          <w:lang w:val="fr-FR"/>
        </w:rPr>
        <w:t xml:space="preserve"> (soit 5</w:t>
      </w:r>
      <w:r w:rsidR="00231AFF">
        <w:rPr>
          <w:lang w:val="fr-FR"/>
        </w:rPr>
        <w:t> </w:t>
      </w:r>
      <w:r>
        <w:rPr>
          <w:lang w:val="fr-FR"/>
        </w:rPr>
        <w:t>300</w:t>
      </w:r>
      <w:r w:rsidR="00231AFF">
        <w:rPr>
          <w:lang w:val="fr-FR"/>
        </w:rPr>
        <w:t> </w:t>
      </w:r>
      <w:r>
        <w:rPr>
          <w:lang w:val="fr-FR"/>
        </w:rPr>
        <w:t>milliards de plus qu’entre 2014 et 2016). Ainsi, 134</w:t>
      </w:r>
      <w:r w:rsidR="00231AFF">
        <w:rPr>
          <w:lang w:val="fr-FR"/>
        </w:rPr>
        <w:t> </w:t>
      </w:r>
      <w:r>
        <w:rPr>
          <w:lang w:val="fr-FR"/>
        </w:rPr>
        <w:t>nouvelles écoles ont été construites et 1</w:t>
      </w:r>
      <w:r w:rsidR="00231AFF">
        <w:rPr>
          <w:lang w:val="fr-FR"/>
        </w:rPr>
        <w:t> </w:t>
      </w:r>
      <w:r>
        <w:rPr>
          <w:lang w:val="fr-FR"/>
        </w:rPr>
        <w:t>543</w:t>
      </w:r>
      <w:r w:rsidR="00231AFF">
        <w:rPr>
          <w:lang w:val="fr-FR"/>
        </w:rPr>
        <w:t> </w:t>
      </w:r>
      <w:r>
        <w:rPr>
          <w:lang w:val="fr-FR"/>
        </w:rPr>
        <w:t>écoles ont fait l’objet d’une réfection. Quelque 264</w:t>
      </w:r>
      <w:r w:rsidR="00231AFF">
        <w:rPr>
          <w:lang w:val="fr-FR"/>
        </w:rPr>
        <w:t> </w:t>
      </w:r>
      <w:r>
        <w:rPr>
          <w:lang w:val="fr-FR"/>
        </w:rPr>
        <w:t>000</w:t>
      </w:r>
      <w:r w:rsidR="00231AFF">
        <w:rPr>
          <w:lang w:val="fr-FR"/>
        </w:rPr>
        <w:t> </w:t>
      </w:r>
      <w:r>
        <w:rPr>
          <w:lang w:val="fr-FR"/>
        </w:rPr>
        <w:t>places supplémentaires ont été créées. Dans le cadre du passage à l’enseignement obligatoire de onze ans, 383</w:t>
      </w:r>
      <w:r w:rsidR="00CA7665">
        <w:rPr>
          <w:lang w:val="fr-FR"/>
        </w:rPr>
        <w:t> </w:t>
      </w:r>
      <w:r>
        <w:rPr>
          <w:lang w:val="fr-FR"/>
        </w:rPr>
        <w:t>collèges professionnels vides ont été transformés en écoles, ce qui a permis de créer 221</w:t>
      </w:r>
      <w:r w:rsidR="00231AFF">
        <w:rPr>
          <w:lang w:val="fr-FR"/>
        </w:rPr>
        <w:t> </w:t>
      </w:r>
      <w:r>
        <w:rPr>
          <w:lang w:val="fr-FR"/>
        </w:rPr>
        <w:t>000</w:t>
      </w:r>
      <w:r w:rsidR="00231AFF">
        <w:rPr>
          <w:lang w:val="fr-FR"/>
        </w:rPr>
        <w:t> </w:t>
      </w:r>
      <w:r>
        <w:rPr>
          <w:lang w:val="fr-FR"/>
        </w:rPr>
        <w:t>places supplémentaires.</w:t>
      </w:r>
    </w:p>
    <w:p w14:paraId="73BD7400" w14:textId="77777777" w:rsidR="003A454B" w:rsidRPr="00593F42" w:rsidRDefault="003A454B" w:rsidP="003A454B">
      <w:pPr>
        <w:pStyle w:val="SingleTxtG"/>
      </w:pPr>
      <w:r>
        <w:rPr>
          <w:lang w:val="fr-FR"/>
        </w:rPr>
        <w:t>138.</w:t>
      </w:r>
      <w:r>
        <w:rPr>
          <w:lang w:val="fr-FR"/>
        </w:rPr>
        <w:tab/>
        <w:t>En application du décret présidentiel du 20 novembre 2020, de nouvelles mesures ont été prises pour garantir une alimentation saine à la population, le programme visant à promouvoir un mode de vie sain a été approuvé pour la période 2020-2025, les indicateurs permettant de suivre la mise en œuvre du programme ont été définis, une liste de règles et de normes sanitaires en matière de sécurité alimentaire (2021-2023) a été établie et d’autres documents permettant de répondre de la même manière aux besoins des élèves vivant dans les zones urbaines et à ceux des élèves vivant dans les zones rurales ont été élaborés.</w:t>
      </w:r>
    </w:p>
    <w:p w14:paraId="46182A59" w14:textId="60259034" w:rsidR="003A454B" w:rsidRPr="00593F42" w:rsidRDefault="003A454B" w:rsidP="003A454B">
      <w:pPr>
        <w:pStyle w:val="H23G"/>
        <w:rPr>
          <w:b w:val="0"/>
          <w:i/>
        </w:rPr>
      </w:pPr>
      <w:r>
        <w:rPr>
          <w:lang w:val="fr-FR"/>
        </w:rPr>
        <w:lastRenderedPageBreak/>
        <w:tab/>
      </w:r>
      <w:r>
        <w:rPr>
          <w:lang w:val="fr-FR"/>
        </w:rPr>
        <w:tab/>
      </w:r>
      <w:r>
        <w:rPr>
          <w:lang w:val="fr-FR"/>
        </w:rPr>
        <w:tab/>
      </w:r>
      <w:r>
        <w:rPr>
          <w:bCs/>
          <w:lang w:val="fr-FR"/>
        </w:rPr>
        <w:t>Renseignements concernant le paragraphe</w:t>
      </w:r>
      <w:r w:rsidR="00DA133E">
        <w:rPr>
          <w:bCs/>
          <w:lang w:val="fr-FR"/>
        </w:rPr>
        <w:t> </w:t>
      </w:r>
      <w:r>
        <w:rPr>
          <w:bCs/>
          <w:lang w:val="fr-FR"/>
        </w:rPr>
        <w:t>1</w:t>
      </w:r>
      <w:r w:rsidR="00DA133E">
        <w:rPr>
          <w:bCs/>
          <w:lang w:val="fr-FR"/>
        </w:rPr>
        <w:t>1 </w:t>
      </w:r>
      <w:r>
        <w:rPr>
          <w:bCs/>
          <w:lang w:val="fr-FR"/>
        </w:rPr>
        <w:t>c) de la liste de points</w:t>
      </w:r>
      <w:r>
        <w:rPr>
          <w:lang w:val="fr-FR"/>
        </w:rPr>
        <w:t xml:space="preserve"> </w:t>
      </w:r>
    </w:p>
    <w:p w14:paraId="281D6609" w14:textId="12063DA7" w:rsidR="003A454B" w:rsidRPr="00593F42" w:rsidRDefault="003A454B" w:rsidP="003A454B">
      <w:pPr>
        <w:pStyle w:val="SingleTxtG"/>
      </w:pPr>
      <w:r>
        <w:rPr>
          <w:lang w:val="fr-FR"/>
        </w:rPr>
        <w:t>139.</w:t>
      </w:r>
      <w:r>
        <w:rPr>
          <w:lang w:val="fr-FR"/>
        </w:rPr>
        <w:tab/>
        <w:t>Pendant la pandémie, des cours en ligne ont été dispensés aux élèves dans le cadre du projet intitulé «</w:t>
      </w:r>
      <w:r w:rsidR="009D1E29">
        <w:rPr>
          <w:lang w:val="fr-FR"/>
        </w:rPr>
        <w:t> </w:t>
      </w:r>
      <w:r>
        <w:rPr>
          <w:lang w:val="fr-FR"/>
        </w:rPr>
        <w:t xml:space="preserve">Online </w:t>
      </w:r>
      <w:proofErr w:type="spellStart"/>
      <w:r>
        <w:rPr>
          <w:lang w:val="fr-FR"/>
        </w:rPr>
        <w:t>maktab</w:t>
      </w:r>
      <w:proofErr w:type="spellEnd"/>
      <w:r w:rsidR="009D1E29">
        <w:rPr>
          <w:lang w:val="fr-FR"/>
        </w:rPr>
        <w:t> </w:t>
      </w:r>
      <w:r>
        <w:rPr>
          <w:lang w:val="fr-FR"/>
        </w:rPr>
        <w:t>». Au cours de l’année scolaire 2019/20, l’enseignement n’a été dispensé qu’à distance (diffusion de cours sur des chaînes de télévision et introduction d’un livret scolaire électronique), et tous les examens finaux ont été supprimés. L’année scolaire 2020/21 a débuté le 14</w:t>
      </w:r>
      <w:r w:rsidR="009D1E29">
        <w:rPr>
          <w:lang w:val="fr-FR"/>
        </w:rPr>
        <w:t> </w:t>
      </w:r>
      <w:r>
        <w:rPr>
          <w:lang w:val="fr-FR"/>
        </w:rPr>
        <w:t>septembre 2020 (le 2</w:t>
      </w:r>
      <w:r w:rsidR="009D1E29">
        <w:rPr>
          <w:lang w:val="fr-FR"/>
        </w:rPr>
        <w:t> </w:t>
      </w:r>
      <w:r>
        <w:rPr>
          <w:lang w:val="fr-FR"/>
        </w:rPr>
        <w:t>septembre dans les écoles privées). Dans les écoles, l’enseignement était dispensé en présentiel et à distance, via la diffusion de cours sur des chaînes de télévision. Actuellement, l’enseignement est dispensé entièrement en présentiel dans toutes les écoles.</w:t>
      </w:r>
    </w:p>
    <w:p w14:paraId="0AE0289C" w14:textId="70EB420E" w:rsidR="003A454B" w:rsidRPr="00593F42" w:rsidRDefault="003A454B" w:rsidP="003A454B">
      <w:pPr>
        <w:pStyle w:val="SingleTxtG"/>
      </w:pPr>
      <w:r>
        <w:rPr>
          <w:lang w:val="fr-FR"/>
        </w:rPr>
        <w:t>140.</w:t>
      </w:r>
      <w:r>
        <w:rPr>
          <w:lang w:val="fr-FR"/>
        </w:rPr>
        <w:tab/>
        <w:t>Entre le 25 avril et le 6 mai 2021, 4</w:t>
      </w:r>
      <w:r w:rsidR="009D1E29">
        <w:rPr>
          <w:lang w:val="fr-FR"/>
        </w:rPr>
        <w:t> </w:t>
      </w:r>
      <w:r>
        <w:rPr>
          <w:lang w:val="fr-FR"/>
        </w:rPr>
        <w:t>803</w:t>
      </w:r>
      <w:r w:rsidR="009D1E29">
        <w:rPr>
          <w:lang w:val="fr-FR"/>
        </w:rPr>
        <w:t> </w:t>
      </w:r>
      <w:r>
        <w:rPr>
          <w:lang w:val="fr-FR"/>
        </w:rPr>
        <w:t>élèves et directeurs de 84</w:t>
      </w:r>
      <w:r w:rsidR="003E7150">
        <w:rPr>
          <w:lang w:val="fr-FR"/>
        </w:rPr>
        <w:t> </w:t>
      </w:r>
      <w:r>
        <w:rPr>
          <w:lang w:val="fr-FR"/>
        </w:rPr>
        <w:t>écoles secondaires polyvalentes ont participé, dans le respect des mesures sanitaires, à une étude pilote du programme international de recherche PISA</w:t>
      </w:r>
      <w:r w:rsidR="009D1E29">
        <w:rPr>
          <w:b/>
          <w:bCs/>
          <w:color w:val="FF0000"/>
          <w:lang w:val="fr-FR"/>
        </w:rPr>
        <w:t xml:space="preserve"> </w:t>
      </w:r>
      <w:r>
        <w:rPr>
          <w:lang w:val="fr-FR"/>
        </w:rPr>
        <w:t>visant à évaluer les compétences en mathématiques, en lecture et en sciences des élèves âgés de 15 et 16</w:t>
      </w:r>
      <w:r w:rsidR="009D1E29">
        <w:rPr>
          <w:lang w:val="fr-FR"/>
        </w:rPr>
        <w:t> </w:t>
      </w:r>
      <w:r>
        <w:rPr>
          <w:lang w:val="fr-FR"/>
        </w:rPr>
        <w:t xml:space="preserve">ans. </w:t>
      </w:r>
    </w:p>
    <w:p w14:paraId="5482AB22" w14:textId="53D71900" w:rsidR="003A454B" w:rsidRPr="00593F42" w:rsidRDefault="003A454B" w:rsidP="003A454B">
      <w:pPr>
        <w:pStyle w:val="SingleTxtG"/>
      </w:pPr>
      <w:r>
        <w:rPr>
          <w:lang w:val="fr-FR"/>
        </w:rPr>
        <w:t>141.</w:t>
      </w:r>
      <w:r>
        <w:rPr>
          <w:lang w:val="fr-FR"/>
        </w:rPr>
        <w:tab/>
        <w:t>En juin 2021, l’Inspection nationale chargée de contrôler la qualité de l’enseignement a signé avec l’organisation internationale IEA (</w:t>
      </w:r>
      <w:r w:rsidRPr="00EB321D">
        <w:rPr>
          <w:lang w:val="fr-FR"/>
        </w:rPr>
        <w:t xml:space="preserve">International Association for the </w:t>
      </w:r>
      <w:proofErr w:type="spellStart"/>
      <w:r w:rsidRPr="00EB321D">
        <w:rPr>
          <w:lang w:val="fr-FR"/>
        </w:rPr>
        <w:t>Evaluation</w:t>
      </w:r>
      <w:proofErr w:type="spellEnd"/>
      <w:r w:rsidRPr="00EB321D">
        <w:rPr>
          <w:lang w:val="fr-FR"/>
        </w:rPr>
        <w:t xml:space="preserve"> of </w:t>
      </w:r>
      <w:proofErr w:type="spellStart"/>
      <w:r w:rsidRPr="00EB321D">
        <w:rPr>
          <w:lang w:val="fr-FR"/>
        </w:rPr>
        <w:t>Educational</w:t>
      </w:r>
      <w:proofErr w:type="spellEnd"/>
      <w:r w:rsidRPr="00EB321D">
        <w:rPr>
          <w:lang w:val="fr-FR"/>
        </w:rPr>
        <w:t xml:space="preserve"> </w:t>
      </w:r>
      <w:proofErr w:type="spellStart"/>
      <w:r w:rsidRPr="00EB321D">
        <w:rPr>
          <w:lang w:val="fr-FR"/>
        </w:rPr>
        <w:t>Achievement</w:t>
      </w:r>
      <w:proofErr w:type="spellEnd"/>
      <w:r w:rsidR="009D1E29">
        <w:rPr>
          <w:lang w:val="fr-FR"/>
        </w:rPr>
        <w:t xml:space="preserve">) </w:t>
      </w:r>
      <w:r>
        <w:rPr>
          <w:lang w:val="fr-FR"/>
        </w:rPr>
        <w:t>un accord sur la participation de la République d’Ouzbékistan à l’étude TIMSS 2023, qui permettra d’évaluer en ligne le niveau en mathématiques et en sciences naturelles des élèves de</w:t>
      </w:r>
      <w:r w:rsidR="00F949FE">
        <w:rPr>
          <w:lang w:val="fr-FR"/>
        </w:rPr>
        <w:t>s</w:t>
      </w:r>
      <w:r>
        <w:rPr>
          <w:lang w:val="fr-FR"/>
        </w:rPr>
        <w:t xml:space="preserve"> </w:t>
      </w:r>
      <w:r w:rsidR="003E7150">
        <w:rPr>
          <w:lang w:val="fr-FR"/>
        </w:rPr>
        <w:t>4</w:t>
      </w:r>
      <w:r w:rsidR="003E7150" w:rsidRPr="003E7150">
        <w:rPr>
          <w:vertAlign w:val="superscript"/>
          <w:lang w:val="fr-FR"/>
        </w:rPr>
        <w:t>e</w:t>
      </w:r>
      <w:r w:rsidR="003E7150">
        <w:rPr>
          <w:lang w:val="fr-FR"/>
        </w:rPr>
        <w:t xml:space="preserve"> </w:t>
      </w:r>
      <w:r>
        <w:rPr>
          <w:lang w:val="fr-FR"/>
        </w:rPr>
        <w:t xml:space="preserve">et </w:t>
      </w:r>
      <w:r w:rsidR="003E7150">
        <w:rPr>
          <w:lang w:val="fr-FR"/>
        </w:rPr>
        <w:t>8</w:t>
      </w:r>
      <w:r w:rsidR="003E7150" w:rsidRPr="003E7150">
        <w:rPr>
          <w:vertAlign w:val="superscript"/>
          <w:lang w:val="fr-FR"/>
        </w:rPr>
        <w:t>e</w:t>
      </w:r>
      <w:r w:rsidR="003E7150">
        <w:rPr>
          <w:lang w:val="fr-FR"/>
        </w:rPr>
        <w:t xml:space="preserve"> </w:t>
      </w:r>
      <w:r>
        <w:rPr>
          <w:lang w:val="fr-FR"/>
        </w:rPr>
        <w:t>années.</w:t>
      </w:r>
    </w:p>
    <w:p w14:paraId="33EC159D" w14:textId="0D227D38" w:rsidR="003A454B" w:rsidRPr="00593F42" w:rsidRDefault="003A454B" w:rsidP="003A454B">
      <w:pPr>
        <w:pStyle w:val="SingleTxtG"/>
      </w:pPr>
      <w:r>
        <w:rPr>
          <w:lang w:val="fr-FR"/>
        </w:rPr>
        <w:t>142.</w:t>
      </w:r>
      <w:r>
        <w:rPr>
          <w:lang w:val="fr-FR"/>
        </w:rPr>
        <w:tab/>
        <w:t>L’étude internationale TIM</w:t>
      </w:r>
      <w:r w:rsidR="003B10BF">
        <w:rPr>
          <w:lang w:val="fr-FR"/>
        </w:rPr>
        <w:t>S</w:t>
      </w:r>
      <w:r>
        <w:rPr>
          <w:lang w:val="fr-FR"/>
        </w:rPr>
        <w:t>S 2024 visant à évaluer le niveau des élèves en mathématiques et en sciences est en cours de préparation.</w:t>
      </w:r>
    </w:p>
    <w:p w14:paraId="0305EED9" w14:textId="1C3C4097"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3B10BF">
        <w:rPr>
          <w:bCs/>
          <w:lang w:val="fr-FR"/>
        </w:rPr>
        <w:t> </w:t>
      </w:r>
      <w:r>
        <w:rPr>
          <w:bCs/>
          <w:lang w:val="fr-FR"/>
        </w:rPr>
        <w:t>11</w:t>
      </w:r>
      <w:r w:rsidR="003B10BF">
        <w:rPr>
          <w:bCs/>
          <w:lang w:val="fr-FR"/>
        </w:rPr>
        <w:t> </w:t>
      </w:r>
      <w:r>
        <w:rPr>
          <w:bCs/>
          <w:lang w:val="fr-FR"/>
        </w:rPr>
        <w:t>d) de la liste de points</w:t>
      </w:r>
      <w:r>
        <w:rPr>
          <w:lang w:val="fr-FR"/>
        </w:rPr>
        <w:t xml:space="preserve"> </w:t>
      </w:r>
    </w:p>
    <w:p w14:paraId="15A8A0E6" w14:textId="145B0F3E" w:rsidR="003A454B" w:rsidRPr="00593F42" w:rsidRDefault="003A454B" w:rsidP="003A454B">
      <w:pPr>
        <w:pStyle w:val="SingleTxtG"/>
        <w:rPr>
          <w:spacing w:val="-2"/>
        </w:rPr>
      </w:pPr>
      <w:r>
        <w:rPr>
          <w:lang w:val="fr-FR"/>
        </w:rPr>
        <w:t>143.</w:t>
      </w:r>
      <w:r>
        <w:rPr>
          <w:lang w:val="fr-FR"/>
        </w:rPr>
        <w:tab/>
        <w:t>Le décret présidentiel du 6</w:t>
      </w:r>
      <w:r w:rsidR="00114FDB">
        <w:rPr>
          <w:lang w:val="fr-FR"/>
        </w:rPr>
        <w:t> </w:t>
      </w:r>
      <w:r>
        <w:rPr>
          <w:lang w:val="fr-FR"/>
        </w:rPr>
        <w:t>novembre 2020 définit les principaux axes de l’amélioration de l’éducation</w:t>
      </w:r>
      <w:r w:rsidR="005579CA">
        <w:rPr>
          <w:lang w:val="fr-FR"/>
        </w:rPr>
        <w:t> :</w:t>
      </w:r>
      <w:r>
        <w:rPr>
          <w:lang w:val="fr-FR"/>
        </w:rPr>
        <w:t xml:space="preserve"> il s’agit d’adopter les meilleures pratiques internationales et de faire figurer des établissements d’enseignement dans de grands classements internationaux. Un programme national visant à mettre en place un système d’évaluation de l’alphabétisation a été élaboré, et des mesures ont été prises pour offrir des incitations financières supplémentaires aux enseignants ayant formé les lauréats des concours internationaux. Depuis le 1</w:t>
      </w:r>
      <w:r>
        <w:rPr>
          <w:vertAlign w:val="superscript"/>
          <w:lang w:val="fr-FR"/>
        </w:rPr>
        <w:t>er</w:t>
      </w:r>
      <w:r w:rsidR="00114FDB">
        <w:rPr>
          <w:lang w:val="fr-FR"/>
        </w:rPr>
        <w:t> </w:t>
      </w:r>
      <w:r>
        <w:rPr>
          <w:lang w:val="fr-FR"/>
        </w:rPr>
        <w:t>janvier 2021, un classement des établissements d’enseignement général est établi et</w:t>
      </w:r>
      <w:r w:rsidR="003B10BF">
        <w:rPr>
          <w:lang w:val="fr-FR"/>
        </w:rPr>
        <w:t>,</w:t>
      </w:r>
      <w:r>
        <w:rPr>
          <w:lang w:val="fr-FR"/>
        </w:rPr>
        <w:t xml:space="preserve"> depuis le 1</w:t>
      </w:r>
      <w:r>
        <w:rPr>
          <w:vertAlign w:val="superscript"/>
          <w:lang w:val="fr-FR"/>
        </w:rPr>
        <w:t>er</w:t>
      </w:r>
      <w:r w:rsidR="00114FDB">
        <w:rPr>
          <w:lang w:val="fr-FR"/>
        </w:rPr>
        <w:t> </w:t>
      </w:r>
      <w:r>
        <w:rPr>
          <w:lang w:val="fr-FR"/>
        </w:rPr>
        <w:t>juin 2021, les notes obtenues par les élèves de ces établissements sont prises en compte aux fins de l’admission dans l’enseignement supérieur.</w:t>
      </w:r>
    </w:p>
    <w:p w14:paraId="01315587" w14:textId="4F31289F" w:rsidR="003A454B" w:rsidRPr="00593F42" w:rsidRDefault="003A454B" w:rsidP="003A454B">
      <w:pPr>
        <w:pStyle w:val="SingleTxtG"/>
      </w:pPr>
      <w:r>
        <w:rPr>
          <w:lang w:val="fr-FR"/>
        </w:rPr>
        <w:t>144.</w:t>
      </w:r>
      <w:r>
        <w:rPr>
          <w:lang w:val="fr-FR"/>
        </w:rPr>
        <w:tab/>
        <w:t>Les lauréats des concours scientifiques internationaux et leurs enseignants ainsi que les lauréats des concours nationaux et leurs enseignants reçoivent un prix en espèces. Les</w:t>
      </w:r>
      <w:r w:rsidR="00114FDB">
        <w:rPr>
          <w:lang w:val="fr-FR"/>
        </w:rPr>
        <w:t> </w:t>
      </w:r>
      <w:r>
        <w:rPr>
          <w:lang w:val="fr-FR"/>
        </w:rPr>
        <w:t>enseignants et le directeur de l’établissement d’enseignement ayant formé les lauréats des concours thématiques reçoivent une augmentation de 200</w:t>
      </w:r>
      <w:r w:rsidR="00B0330A">
        <w:rPr>
          <w:lang w:val="fr-FR"/>
        </w:rPr>
        <w:t> %</w:t>
      </w:r>
      <w:r>
        <w:rPr>
          <w:lang w:val="fr-FR"/>
        </w:rPr>
        <w:t>, 175</w:t>
      </w:r>
      <w:r w:rsidR="00B0330A">
        <w:rPr>
          <w:lang w:val="fr-FR"/>
        </w:rPr>
        <w:t> %</w:t>
      </w:r>
      <w:r>
        <w:rPr>
          <w:lang w:val="fr-FR"/>
        </w:rPr>
        <w:t xml:space="preserve"> et 150</w:t>
      </w:r>
      <w:r w:rsidR="00B0330A">
        <w:rPr>
          <w:lang w:val="fr-FR"/>
        </w:rPr>
        <w:t> %</w:t>
      </w:r>
      <w:r>
        <w:rPr>
          <w:lang w:val="fr-FR"/>
        </w:rPr>
        <w:t xml:space="preserve">. </w:t>
      </w:r>
    </w:p>
    <w:p w14:paraId="5CAAC879" w14:textId="77777777" w:rsidR="003A454B" w:rsidRPr="00593F42" w:rsidRDefault="003A454B" w:rsidP="003A454B">
      <w:pPr>
        <w:pStyle w:val="SingleTxtG"/>
      </w:pPr>
      <w:r>
        <w:rPr>
          <w:lang w:val="fr-FR"/>
        </w:rPr>
        <w:t>145.</w:t>
      </w:r>
      <w:r>
        <w:rPr>
          <w:lang w:val="fr-FR"/>
        </w:rPr>
        <w:tab/>
        <w:t>Pour les jeunes talents, quatre écoles présidentielles et neuf écoles créatives d’un nouveau type ont été créées. Cinq écoles spécialisées et lycées académiques ont été créés au sein des facultés de physique, de mathématiques, d’informatique et de sciences exactes et naturelles, y compris dans les régions.</w:t>
      </w:r>
    </w:p>
    <w:p w14:paraId="1ED9BF26" w14:textId="77777777" w:rsidR="003A454B" w:rsidRPr="00593F42" w:rsidRDefault="003A454B" w:rsidP="003A454B">
      <w:pPr>
        <w:pStyle w:val="SingleTxtG"/>
      </w:pPr>
      <w:r>
        <w:rPr>
          <w:lang w:val="fr-FR"/>
        </w:rPr>
        <w:t>146.</w:t>
      </w:r>
      <w:r>
        <w:rPr>
          <w:lang w:val="fr-FR"/>
        </w:rPr>
        <w:tab/>
        <w:t>Les procédures d’obtention d’une licence permettant d’ouvrir des écoles publiques ont été simplifiées, et ces écoles ont été habilitées à délivrer des certificats et des diplômes.</w:t>
      </w:r>
    </w:p>
    <w:p w14:paraId="2286D70B" w14:textId="18A351B8" w:rsidR="003A454B" w:rsidRPr="00593F42" w:rsidRDefault="003A454B" w:rsidP="003A454B">
      <w:pPr>
        <w:pStyle w:val="SingleTxtG"/>
      </w:pPr>
      <w:r>
        <w:rPr>
          <w:lang w:val="fr-FR"/>
        </w:rPr>
        <w:t>147.</w:t>
      </w:r>
      <w:r>
        <w:rPr>
          <w:lang w:val="fr-FR"/>
        </w:rPr>
        <w:tab/>
        <w:t>Des mesures sont prises pour améliorer la qualité de l’enseignement professionnel supérieur et secondaire au moyen de la formation d’enseignants hautement qualifiés. Un</w:t>
      </w:r>
      <w:r w:rsidR="00114FDB">
        <w:rPr>
          <w:lang w:val="fr-FR"/>
        </w:rPr>
        <w:t> </w:t>
      </w:r>
      <w:r>
        <w:rPr>
          <w:lang w:val="fr-FR"/>
        </w:rPr>
        <w:t xml:space="preserve">programme de formation a été élaboré, les technologies de l’information et de la communication sont mises à niveau et des accélérateurs de startups spécialisées dans les questions d’actualité sont mis en place dans les technopôles de l’Académie de la jeunesse. </w:t>
      </w:r>
    </w:p>
    <w:p w14:paraId="29F48A5A" w14:textId="454A9E1A" w:rsidR="003A454B" w:rsidRPr="00593F42" w:rsidRDefault="003A454B" w:rsidP="003A454B">
      <w:pPr>
        <w:pStyle w:val="SingleTxtG"/>
      </w:pPr>
      <w:r>
        <w:rPr>
          <w:lang w:val="fr-FR"/>
        </w:rPr>
        <w:t>148.</w:t>
      </w:r>
      <w:r>
        <w:rPr>
          <w:lang w:val="fr-FR"/>
        </w:rPr>
        <w:tab/>
        <w:t>Un programme de mesures complémentaires visant à améliorer la sélection des jeunes talents et les activités des lycées académiques a été adopté. En outre, les indicateurs de la qualité de l’éducation, y compris les classements des lycées académiques, font désormais l’objet d’une analyse critique, notamment pour déterminer la proportion d’enseignants étrangers et nationaux diplômés d’établissements d’enseignement supérieur figurant parmi les 1</w:t>
      </w:r>
      <w:r w:rsidR="00114FDB">
        <w:rPr>
          <w:lang w:val="fr-FR"/>
        </w:rPr>
        <w:t> </w:t>
      </w:r>
      <w:r>
        <w:rPr>
          <w:lang w:val="fr-FR"/>
        </w:rPr>
        <w:t>000</w:t>
      </w:r>
      <w:r w:rsidR="00114FDB">
        <w:rPr>
          <w:lang w:val="fr-FR"/>
        </w:rPr>
        <w:t> </w:t>
      </w:r>
      <w:r>
        <w:rPr>
          <w:lang w:val="fr-FR"/>
        </w:rPr>
        <w:t xml:space="preserve">premiers du classement mondial des universités </w:t>
      </w:r>
      <w:proofErr w:type="spellStart"/>
      <w:r>
        <w:rPr>
          <w:lang w:val="fr-FR"/>
        </w:rPr>
        <w:t>Quacquarelli</w:t>
      </w:r>
      <w:proofErr w:type="spellEnd"/>
      <w:r>
        <w:rPr>
          <w:lang w:val="fr-FR"/>
        </w:rPr>
        <w:t xml:space="preserve"> Symonds, du Times </w:t>
      </w:r>
      <w:proofErr w:type="spellStart"/>
      <w:r>
        <w:rPr>
          <w:lang w:val="fr-FR"/>
        </w:rPr>
        <w:t>Higher</w:t>
      </w:r>
      <w:proofErr w:type="spellEnd"/>
      <w:r>
        <w:rPr>
          <w:lang w:val="fr-FR"/>
        </w:rPr>
        <w:t xml:space="preserve"> </w:t>
      </w:r>
      <w:proofErr w:type="spellStart"/>
      <w:r>
        <w:rPr>
          <w:lang w:val="fr-FR"/>
        </w:rPr>
        <w:t>Education</w:t>
      </w:r>
      <w:proofErr w:type="spellEnd"/>
      <w:r>
        <w:rPr>
          <w:lang w:val="fr-FR"/>
        </w:rPr>
        <w:t xml:space="preserve"> World </w:t>
      </w:r>
      <w:proofErr w:type="spellStart"/>
      <w:r>
        <w:rPr>
          <w:lang w:val="fr-FR"/>
        </w:rPr>
        <w:t>University</w:t>
      </w:r>
      <w:proofErr w:type="spellEnd"/>
      <w:r>
        <w:rPr>
          <w:lang w:val="fr-FR"/>
        </w:rPr>
        <w:t xml:space="preserve"> </w:t>
      </w:r>
      <w:proofErr w:type="spellStart"/>
      <w:r>
        <w:rPr>
          <w:lang w:val="fr-FR"/>
        </w:rPr>
        <w:t>Rankings</w:t>
      </w:r>
      <w:proofErr w:type="spellEnd"/>
      <w:r>
        <w:rPr>
          <w:lang w:val="fr-FR"/>
        </w:rPr>
        <w:t xml:space="preserve"> ou du classement académique des universités mondiales.</w:t>
      </w:r>
    </w:p>
    <w:p w14:paraId="256C71DE" w14:textId="56C63050" w:rsidR="003A454B" w:rsidRPr="00593F42" w:rsidRDefault="003A454B" w:rsidP="003A454B">
      <w:pPr>
        <w:pStyle w:val="SingleTxtG"/>
      </w:pPr>
      <w:r>
        <w:rPr>
          <w:lang w:val="fr-FR"/>
        </w:rPr>
        <w:lastRenderedPageBreak/>
        <w:t>149.</w:t>
      </w:r>
      <w:r>
        <w:rPr>
          <w:lang w:val="fr-FR"/>
        </w:rPr>
        <w:tab/>
        <w:t>Dans le cadre du programme national intitulé «</w:t>
      </w:r>
      <w:r w:rsidR="00114FDB">
        <w:rPr>
          <w:lang w:val="fr-FR"/>
        </w:rPr>
        <w:t> </w:t>
      </w:r>
      <w:r>
        <w:rPr>
          <w:lang w:val="fr-FR"/>
        </w:rPr>
        <w:t>Année du soutien à la jeunesse et de l’amélioration de la santé publique</w:t>
      </w:r>
      <w:r w:rsidR="00114FDB">
        <w:rPr>
          <w:lang w:val="fr-FR"/>
        </w:rPr>
        <w:t> </w:t>
      </w:r>
      <w:r>
        <w:rPr>
          <w:lang w:val="fr-FR"/>
        </w:rPr>
        <w:t>» (2021), des mesures supplémentaires ont été prises pour augmenter le nombre de personnes suivant des études supérieures. Grâce à l’appui de la Fondation «</w:t>
      </w:r>
      <w:r w:rsidR="00114FDB">
        <w:rPr>
          <w:lang w:val="fr-FR"/>
        </w:rPr>
        <w:t> </w:t>
      </w:r>
      <w:r>
        <w:rPr>
          <w:lang w:val="fr-FR"/>
        </w:rPr>
        <w:t>El-</w:t>
      </w:r>
      <w:proofErr w:type="spellStart"/>
      <w:r>
        <w:rPr>
          <w:lang w:val="fr-FR"/>
        </w:rPr>
        <w:t>Yourt</w:t>
      </w:r>
      <w:proofErr w:type="spellEnd"/>
      <w:r>
        <w:rPr>
          <w:lang w:val="fr-FR"/>
        </w:rPr>
        <w:t xml:space="preserve"> </w:t>
      </w:r>
      <w:proofErr w:type="spellStart"/>
      <w:r>
        <w:rPr>
          <w:lang w:val="fr-FR"/>
        </w:rPr>
        <w:t>Oumidi</w:t>
      </w:r>
      <w:proofErr w:type="spellEnd"/>
      <w:r w:rsidR="00114FDB">
        <w:rPr>
          <w:lang w:val="fr-FR"/>
        </w:rPr>
        <w:t> </w:t>
      </w:r>
      <w:r>
        <w:rPr>
          <w:lang w:val="fr-FR"/>
        </w:rPr>
        <w:t>», le nombre de jeunes préparant une maîtrise et un doctorat dans des universités étrangères a ainsi été multiplié par cinq.</w:t>
      </w:r>
    </w:p>
    <w:p w14:paraId="4C591CF3" w14:textId="77777777"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 12 de la liste de points</w:t>
      </w:r>
      <w:r>
        <w:rPr>
          <w:lang w:val="fr-FR"/>
        </w:rPr>
        <w:t xml:space="preserve"> </w:t>
      </w:r>
    </w:p>
    <w:p w14:paraId="11B8852D" w14:textId="08B4834A" w:rsidR="003A454B" w:rsidRPr="00593F42" w:rsidRDefault="003A454B" w:rsidP="003A454B">
      <w:pPr>
        <w:pStyle w:val="SingleTxtG"/>
      </w:pPr>
      <w:r>
        <w:rPr>
          <w:lang w:val="fr-FR"/>
        </w:rPr>
        <w:t>150.</w:t>
      </w:r>
      <w:r>
        <w:rPr>
          <w:lang w:val="fr-FR"/>
        </w:rPr>
        <w:tab/>
        <w:t>Le règlement relatif aux modalités de rapatriement des enfants de citoyens ouzbeks qui ont été privés protection parentale à l’étranger, approuvé par la décision gouvernementale du 7</w:t>
      </w:r>
      <w:r w:rsidR="00114FDB">
        <w:rPr>
          <w:lang w:val="fr-FR"/>
        </w:rPr>
        <w:t> </w:t>
      </w:r>
      <w:r>
        <w:rPr>
          <w:lang w:val="fr-FR"/>
        </w:rPr>
        <w:t xml:space="preserve">février 2020, définit les modalités applicables au rapatriement des enfants de citoyens ouzbeks et de personnes résidant à titre permanent en Ouzbékistan qui ont été privés protection parentale à l’étranger, à leur placement dans des foyers pour enfants (pour les enfants de moins de </w:t>
      </w:r>
      <w:r w:rsidR="00725F0B">
        <w:rPr>
          <w:lang w:val="fr-FR"/>
        </w:rPr>
        <w:t>3 </w:t>
      </w:r>
      <w:r>
        <w:rPr>
          <w:lang w:val="fr-FR"/>
        </w:rPr>
        <w:t xml:space="preserve">ans) et des centres d’assistance sociale et juridique (pour les enfants de plus de </w:t>
      </w:r>
      <w:r w:rsidR="00725F0B">
        <w:rPr>
          <w:lang w:val="fr-FR"/>
        </w:rPr>
        <w:t>3 </w:t>
      </w:r>
      <w:r>
        <w:rPr>
          <w:lang w:val="fr-FR"/>
        </w:rPr>
        <w:t xml:space="preserve">ans) ainsi qu’à leur remise aux parents ou au tuteur. </w:t>
      </w:r>
    </w:p>
    <w:p w14:paraId="6ED9BC3A" w14:textId="6822FAEC" w:rsidR="003A454B" w:rsidRPr="00593F42" w:rsidRDefault="003A454B" w:rsidP="003A454B">
      <w:pPr>
        <w:pStyle w:val="SingleTxtG"/>
      </w:pPr>
      <w:r>
        <w:rPr>
          <w:lang w:val="fr-FR"/>
        </w:rPr>
        <w:t>151.</w:t>
      </w:r>
      <w:r>
        <w:rPr>
          <w:lang w:val="fr-FR"/>
        </w:rPr>
        <w:tab/>
        <w:t>Dans le cadre de l’opération spéciale «</w:t>
      </w:r>
      <w:r w:rsidR="00114FDB">
        <w:rPr>
          <w:lang w:val="fr-FR"/>
        </w:rPr>
        <w:t> </w:t>
      </w:r>
      <w:proofErr w:type="spellStart"/>
      <w:r>
        <w:rPr>
          <w:lang w:val="fr-FR"/>
        </w:rPr>
        <w:t>Mekhr</w:t>
      </w:r>
      <w:proofErr w:type="spellEnd"/>
      <w:r w:rsidR="00725F0B">
        <w:rPr>
          <w:lang w:val="fr-FR"/>
        </w:rPr>
        <w:t> </w:t>
      </w:r>
      <w:r w:rsidR="00114FDB">
        <w:rPr>
          <w:lang w:val="fr-FR"/>
        </w:rPr>
        <w:t>−</w:t>
      </w:r>
      <w:r w:rsidR="00725F0B">
        <w:rPr>
          <w:lang w:val="fr-FR"/>
        </w:rPr>
        <w:t> </w:t>
      </w:r>
      <w:r>
        <w:rPr>
          <w:lang w:val="fr-FR"/>
        </w:rPr>
        <w:t>1, 2, 3, 4, 5</w:t>
      </w:r>
      <w:r w:rsidR="00114FDB">
        <w:rPr>
          <w:lang w:val="fr-FR"/>
        </w:rPr>
        <w:t> </w:t>
      </w:r>
      <w:r>
        <w:rPr>
          <w:lang w:val="fr-FR"/>
        </w:rPr>
        <w:t>», 531</w:t>
      </w:r>
      <w:r w:rsidR="00114FDB">
        <w:rPr>
          <w:lang w:val="fr-FR"/>
        </w:rPr>
        <w:t> </w:t>
      </w:r>
      <w:r>
        <w:rPr>
          <w:lang w:val="fr-FR"/>
        </w:rPr>
        <w:t>personnes (24</w:t>
      </w:r>
      <w:r w:rsidR="00114FDB">
        <w:rPr>
          <w:lang w:val="fr-FR"/>
        </w:rPr>
        <w:t> </w:t>
      </w:r>
      <w:r>
        <w:rPr>
          <w:lang w:val="fr-FR"/>
        </w:rPr>
        <w:t>hommes, 121</w:t>
      </w:r>
      <w:r w:rsidR="00114FDB">
        <w:rPr>
          <w:lang w:val="fr-FR"/>
        </w:rPr>
        <w:t> </w:t>
      </w:r>
      <w:r>
        <w:rPr>
          <w:lang w:val="fr-FR"/>
        </w:rPr>
        <w:t>femmes, 379</w:t>
      </w:r>
      <w:r w:rsidR="00114FDB">
        <w:rPr>
          <w:lang w:val="fr-FR"/>
        </w:rPr>
        <w:t> </w:t>
      </w:r>
      <w:r>
        <w:rPr>
          <w:lang w:val="fr-FR"/>
        </w:rPr>
        <w:t>enfants et 7</w:t>
      </w:r>
      <w:r w:rsidR="00114FDB">
        <w:rPr>
          <w:lang w:val="fr-FR"/>
        </w:rPr>
        <w:t> </w:t>
      </w:r>
      <w:r>
        <w:rPr>
          <w:lang w:val="fr-FR"/>
        </w:rPr>
        <w:t>étrangers) ont été rapatriées en Ouzbékistan de pays défavorisés tels que la Syrie, l’Iraq et l’Afghanistan. En outre, 96</w:t>
      </w:r>
      <w:r w:rsidR="00114FDB">
        <w:rPr>
          <w:lang w:val="fr-FR"/>
        </w:rPr>
        <w:t> </w:t>
      </w:r>
      <w:r>
        <w:rPr>
          <w:lang w:val="fr-FR"/>
        </w:rPr>
        <w:t>ressortissants ouzbeks (23</w:t>
      </w:r>
      <w:r w:rsidR="00114FDB">
        <w:rPr>
          <w:lang w:val="fr-FR"/>
        </w:rPr>
        <w:t> </w:t>
      </w:r>
      <w:r>
        <w:rPr>
          <w:lang w:val="fr-FR"/>
        </w:rPr>
        <w:t>hommes, 17</w:t>
      </w:r>
      <w:r w:rsidR="00114FDB">
        <w:rPr>
          <w:lang w:val="fr-FR"/>
        </w:rPr>
        <w:t> </w:t>
      </w:r>
      <w:r>
        <w:rPr>
          <w:lang w:val="fr-FR"/>
        </w:rPr>
        <w:t>femmes et 56</w:t>
      </w:r>
      <w:r w:rsidR="00114FDB">
        <w:rPr>
          <w:lang w:val="fr-FR"/>
        </w:rPr>
        <w:t> </w:t>
      </w:r>
      <w:r>
        <w:rPr>
          <w:lang w:val="fr-FR"/>
        </w:rPr>
        <w:t>enfants) ont été rapatriés d’Afghanistan entre 2017 et 2020.</w:t>
      </w:r>
    </w:p>
    <w:p w14:paraId="3216F5B5" w14:textId="7A65DD6A" w:rsidR="003A454B" w:rsidRPr="00593F42" w:rsidRDefault="003A454B" w:rsidP="003A454B">
      <w:pPr>
        <w:pStyle w:val="SingleTxtG"/>
      </w:pPr>
      <w:r>
        <w:rPr>
          <w:lang w:val="fr-FR"/>
        </w:rPr>
        <w:t>152.</w:t>
      </w:r>
      <w:r>
        <w:rPr>
          <w:lang w:val="fr-FR"/>
        </w:rPr>
        <w:tab/>
        <w:t>Les personnes qui ont été rapatriées en Ouzbékistan se voient garantir l’accès à une assistance médicale et psychosociale ainsi qu’à des programmes éducatifs et sociaux. Des</w:t>
      </w:r>
      <w:r w:rsidR="00114FDB">
        <w:rPr>
          <w:lang w:val="fr-FR"/>
        </w:rPr>
        <w:t> </w:t>
      </w:r>
      <w:r>
        <w:rPr>
          <w:lang w:val="fr-FR"/>
        </w:rPr>
        <w:t xml:space="preserve">mesures ont été prises pour faciliter la prise en charge des personnes rapatriées et leur réintégration en douceur dans leur nouvel environnement. Un plan d’action pour la prise en charge et la réadaptation des enfants et des familles revenant de zones de conflit armé a été approuvé. </w:t>
      </w:r>
    </w:p>
    <w:p w14:paraId="35DCE550" w14:textId="7C0680EC" w:rsidR="003A454B" w:rsidRPr="00593F42" w:rsidRDefault="003A454B" w:rsidP="003A454B">
      <w:pPr>
        <w:pStyle w:val="SingleTxtG"/>
      </w:pPr>
      <w:r>
        <w:rPr>
          <w:lang w:val="fr-FR"/>
        </w:rPr>
        <w:t>153.</w:t>
      </w:r>
      <w:r>
        <w:rPr>
          <w:lang w:val="fr-FR"/>
        </w:rPr>
        <w:tab/>
        <w:t>Dans le cadre des opérations «</w:t>
      </w:r>
      <w:r w:rsidR="00975B51">
        <w:rPr>
          <w:lang w:val="fr-FR"/>
        </w:rPr>
        <w:t> </w:t>
      </w:r>
      <w:proofErr w:type="spellStart"/>
      <w:r>
        <w:rPr>
          <w:lang w:val="fr-FR"/>
        </w:rPr>
        <w:t>Mekhr</w:t>
      </w:r>
      <w:proofErr w:type="spellEnd"/>
      <w:r w:rsidR="00FC61FD">
        <w:rPr>
          <w:lang w:val="fr-FR"/>
        </w:rPr>
        <w:t> </w:t>
      </w:r>
      <w:r>
        <w:rPr>
          <w:lang w:val="fr-FR"/>
        </w:rPr>
        <w:t>−</w:t>
      </w:r>
      <w:r w:rsidR="00FC61FD">
        <w:rPr>
          <w:lang w:val="fr-FR"/>
        </w:rPr>
        <w:t> </w:t>
      </w:r>
      <w:r>
        <w:rPr>
          <w:lang w:val="fr-FR"/>
        </w:rPr>
        <w:t>1</w:t>
      </w:r>
      <w:r w:rsidR="00975B51">
        <w:rPr>
          <w:lang w:val="fr-FR"/>
        </w:rPr>
        <w:t> </w:t>
      </w:r>
      <w:r>
        <w:rPr>
          <w:lang w:val="fr-FR"/>
        </w:rPr>
        <w:t>» et «</w:t>
      </w:r>
      <w:r w:rsidR="00975B51">
        <w:rPr>
          <w:lang w:val="fr-FR"/>
        </w:rPr>
        <w:t> </w:t>
      </w:r>
      <w:proofErr w:type="spellStart"/>
      <w:r>
        <w:rPr>
          <w:lang w:val="fr-FR"/>
        </w:rPr>
        <w:t>Mekhr</w:t>
      </w:r>
      <w:proofErr w:type="spellEnd"/>
      <w:r w:rsidR="00FC61FD">
        <w:rPr>
          <w:lang w:val="fr-FR"/>
        </w:rPr>
        <w:t> </w:t>
      </w:r>
      <w:r>
        <w:rPr>
          <w:lang w:val="fr-FR"/>
        </w:rPr>
        <w:t>−</w:t>
      </w:r>
      <w:r w:rsidR="00FC61FD">
        <w:rPr>
          <w:lang w:val="fr-FR"/>
        </w:rPr>
        <w:t> </w:t>
      </w:r>
      <w:r>
        <w:rPr>
          <w:lang w:val="fr-FR"/>
        </w:rPr>
        <w:t>2</w:t>
      </w:r>
      <w:r w:rsidR="00975B51">
        <w:rPr>
          <w:lang w:val="fr-FR"/>
        </w:rPr>
        <w:t> </w:t>
      </w:r>
      <w:r>
        <w:rPr>
          <w:lang w:val="fr-FR"/>
        </w:rPr>
        <w:t>» (2019), 156</w:t>
      </w:r>
      <w:r w:rsidR="00975B51">
        <w:rPr>
          <w:lang w:val="fr-FR"/>
        </w:rPr>
        <w:t> </w:t>
      </w:r>
      <w:r>
        <w:rPr>
          <w:lang w:val="fr-FR"/>
        </w:rPr>
        <w:t>femmes et enfants revenus de Syrie ont été placés près du lieu de résidence de leur famille et de leurs proches. Les familles ont reçu 15</w:t>
      </w:r>
      <w:r w:rsidR="00975B51">
        <w:rPr>
          <w:lang w:val="fr-FR"/>
        </w:rPr>
        <w:t> </w:t>
      </w:r>
      <w:r>
        <w:rPr>
          <w:lang w:val="fr-FR"/>
        </w:rPr>
        <w:t>types d’aliments essentiels, des vêtements, des soins médicaux et des médicaments gratuits ainsi qu’une allocation forfaitaire de 2</w:t>
      </w:r>
      <w:r w:rsidR="00975B51">
        <w:rPr>
          <w:lang w:val="fr-FR"/>
        </w:rPr>
        <w:t> </w:t>
      </w:r>
      <w:r>
        <w:rPr>
          <w:lang w:val="fr-FR"/>
        </w:rPr>
        <w:t xml:space="preserve">millions de </w:t>
      </w:r>
      <w:proofErr w:type="spellStart"/>
      <w:r>
        <w:rPr>
          <w:lang w:val="fr-FR"/>
        </w:rPr>
        <w:t>sum</w:t>
      </w:r>
      <w:proofErr w:type="spellEnd"/>
      <w:r>
        <w:rPr>
          <w:lang w:val="fr-FR"/>
        </w:rPr>
        <w:t xml:space="preserve"> par personne. Des mesures ont été prises pour faciliter l’accès à l’emploi et au logement. Les</w:t>
      </w:r>
      <w:r w:rsidR="00975B51">
        <w:rPr>
          <w:lang w:val="fr-FR"/>
        </w:rPr>
        <w:t> </w:t>
      </w:r>
      <w:r>
        <w:rPr>
          <w:lang w:val="fr-FR"/>
        </w:rPr>
        <w:t>enfants ont été scolarisés dans des établissements d’enseignement préscolaire, les documents d’identité perdus ont été remplacés et de nouveaux certificats de naissance ont été délivrés.</w:t>
      </w:r>
    </w:p>
    <w:p w14:paraId="76560F9E" w14:textId="35BA268E" w:rsidR="003A454B" w:rsidRPr="00593F42" w:rsidRDefault="003A454B" w:rsidP="003A454B">
      <w:pPr>
        <w:pStyle w:val="SingleTxtG"/>
      </w:pPr>
      <w:r>
        <w:rPr>
          <w:lang w:val="fr-FR"/>
        </w:rPr>
        <w:t>154.</w:t>
      </w:r>
      <w:r>
        <w:rPr>
          <w:lang w:val="fr-FR"/>
        </w:rPr>
        <w:tab/>
        <w:t xml:space="preserve">En collaboration avec l’UNICEF, le Ministère de la promotion des </w:t>
      </w:r>
      <w:proofErr w:type="spellStart"/>
      <w:r w:rsidRPr="008D37DD">
        <w:rPr>
          <w:i/>
          <w:iCs/>
          <w:lang w:val="fr-FR"/>
        </w:rPr>
        <w:t>makhallas</w:t>
      </w:r>
      <w:proofErr w:type="spellEnd"/>
      <w:r>
        <w:rPr>
          <w:lang w:val="fr-FR"/>
        </w:rPr>
        <w:t xml:space="preserve"> et des familles a mis en œuvre un projet conjoint intitulé «</w:t>
      </w:r>
      <w:r w:rsidR="00975B51">
        <w:rPr>
          <w:lang w:val="fr-FR"/>
        </w:rPr>
        <w:t> </w:t>
      </w:r>
      <w:r>
        <w:rPr>
          <w:lang w:val="fr-FR"/>
        </w:rPr>
        <w:t xml:space="preserve">Soutien et réintégration des enfants revenant de zones de conflit armé, des enfants migrants et des enfants sortant de centres éducatifs spécialisés et de centres éducatifs nationaux (centres fermés) après la </w:t>
      </w:r>
      <w:r w:rsidR="00B0330A">
        <w:rPr>
          <w:lang w:val="fr-FR"/>
        </w:rPr>
        <w:t>COVID</w:t>
      </w:r>
      <w:r w:rsidR="00B0330A">
        <w:rPr>
          <w:lang w:val="fr-FR"/>
        </w:rPr>
        <w:noBreakHyphen/>
        <w:t>19</w:t>
      </w:r>
      <w:r>
        <w:rPr>
          <w:lang w:val="fr-FR"/>
        </w:rPr>
        <w:t> ». Dans le cadre de ce projet, 20</w:t>
      </w:r>
      <w:r w:rsidR="00975B51">
        <w:rPr>
          <w:lang w:val="fr-FR"/>
        </w:rPr>
        <w:t> </w:t>
      </w:r>
      <w:proofErr w:type="spellStart"/>
      <w:r w:rsidRPr="008D37DD">
        <w:rPr>
          <w:i/>
          <w:iCs/>
          <w:lang w:val="fr-FR"/>
        </w:rPr>
        <w:t>makhallas</w:t>
      </w:r>
      <w:proofErr w:type="spellEnd"/>
      <w:r>
        <w:rPr>
          <w:lang w:val="fr-FR"/>
        </w:rPr>
        <w:t xml:space="preserve"> ont fait l’objet d’une analyse qui a porté sur les services qu’ils fournissent aux familles vulnérables. Une assistance sociale et juridique a été fournie à 414</w:t>
      </w:r>
      <w:r w:rsidR="00975B51">
        <w:rPr>
          <w:lang w:val="fr-FR"/>
        </w:rPr>
        <w:t> </w:t>
      </w:r>
      <w:r>
        <w:rPr>
          <w:lang w:val="fr-FR"/>
        </w:rPr>
        <w:t>enfants sortant de ces institutions, et une base de données a été créée pour suivre la situation de 546</w:t>
      </w:r>
      <w:r w:rsidR="00975B51">
        <w:rPr>
          <w:lang w:val="fr-FR"/>
        </w:rPr>
        <w:t> </w:t>
      </w:r>
      <w:r>
        <w:rPr>
          <w:lang w:val="fr-FR"/>
        </w:rPr>
        <w:t>enfants et de leur famille ayant bénéficié d’activités de réintégration.</w:t>
      </w:r>
    </w:p>
    <w:p w14:paraId="5EA20D45" w14:textId="73518B80"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C740E0">
        <w:rPr>
          <w:bCs/>
          <w:lang w:val="fr-FR"/>
        </w:rPr>
        <w:t> </w:t>
      </w:r>
      <w:r>
        <w:rPr>
          <w:bCs/>
          <w:lang w:val="fr-FR"/>
        </w:rPr>
        <w:t>13</w:t>
      </w:r>
      <w:r w:rsidR="00C740E0">
        <w:rPr>
          <w:bCs/>
          <w:lang w:val="fr-FR"/>
        </w:rPr>
        <w:t> </w:t>
      </w:r>
      <w:r>
        <w:rPr>
          <w:bCs/>
          <w:lang w:val="fr-FR"/>
        </w:rPr>
        <w:t>a) de la liste de points</w:t>
      </w:r>
      <w:r>
        <w:rPr>
          <w:lang w:val="fr-FR"/>
        </w:rPr>
        <w:t xml:space="preserve"> </w:t>
      </w:r>
    </w:p>
    <w:p w14:paraId="09E3E710" w14:textId="77777777" w:rsidR="003A454B" w:rsidRPr="00593F42" w:rsidRDefault="003A454B" w:rsidP="003A454B">
      <w:pPr>
        <w:pStyle w:val="SingleTxtG"/>
      </w:pPr>
      <w:r>
        <w:rPr>
          <w:lang w:val="fr-FR"/>
        </w:rPr>
        <w:t>155.</w:t>
      </w:r>
      <w:r>
        <w:rPr>
          <w:lang w:val="fr-FR"/>
        </w:rPr>
        <w:tab/>
        <w:t xml:space="preserve">Entre 2019 et 2021, des mesures ont été prises pour renforcer la protection des droits de l’enfant dans le domaine de la justice, rendre le système plus humain, </w:t>
      </w:r>
      <w:r w:rsidRPr="008477DE">
        <w:rPr>
          <w:lang w:val="fr-FR"/>
        </w:rPr>
        <w:t>alléger</w:t>
      </w:r>
      <w:r>
        <w:rPr>
          <w:lang w:val="fr-FR"/>
        </w:rPr>
        <w:t xml:space="preserve"> la responsabilité pénale et les sanctions encourues par les mineurs ainsi que consolider leur statut juridique dans les procédures pénales, civiles et administratives. </w:t>
      </w:r>
    </w:p>
    <w:p w14:paraId="0723FFDF" w14:textId="6F430ED1" w:rsidR="003A454B" w:rsidRPr="007B1EF8" w:rsidRDefault="003A454B" w:rsidP="003A454B">
      <w:pPr>
        <w:pStyle w:val="SingleTxtG"/>
        <w:rPr>
          <w:highlight w:val="yellow"/>
        </w:rPr>
      </w:pPr>
      <w:r>
        <w:rPr>
          <w:lang w:val="fr-FR"/>
        </w:rPr>
        <w:t>156.</w:t>
      </w:r>
      <w:r>
        <w:rPr>
          <w:lang w:val="fr-FR"/>
        </w:rPr>
        <w:tab/>
        <w:t>En 2019, le Code de procédure pénale a été modifié pour</w:t>
      </w:r>
      <w:r w:rsidR="00AD0A6D">
        <w:rPr>
          <w:lang w:val="fr-FR"/>
        </w:rPr>
        <w:t xml:space="preserve"> : </w:t>
      </w:r>
      <w:r>
        <w:rPr>
          <w:lang w:val="fr-FR"/>
        </w:rPr>
        <w:t>interdire le refus d’être représenté par un conseil dans les affaires concernant des mineurs (art.</w:t>
      </w:r>
      <w:r w:rsidR="00975B51">
        <w:rPr>
          <w:lang w:val="fr-FR"/>
        </w:rPr>
        <w:t> </w:t>
      </w:r>
      <w:r>
        <w:rPr>
          <w:lang w:val="fr-FR"/>
        </w:rPr>
        <w:t>52)</w:t>
      </w:r>
      <w:r w:rsidR="00AD0A6D">
        <w:rPr>
          <w:lang w:val="fr-FR"/>
        </w:rPr>
        <w:t> ;</w:t>
      </w:r>
      <w:r>
        <w:rPr>
          <w:lang w:val="fr-FR"/>
        </w:rPr>
        <w:t xml:space="preserve"> permettre non seulement aux parents du mineur mais aussi à une autre personne de confiance de participer à la procédure (art.</w:t>
      </w:r>
      <w:r w:rsidR="00975B51">
        <w:rPr>
          <w:lang w:val="fr-FR"/>
        </w:rPr>
        <w:t> </w:t>
      </w:r>
      <w:r>
        <w:rPr>
          <w:lang w:val="fr-FR"/>
        </w:rPr>
        <w:t>62)</w:t>
      </w:r>
      <w:r w:rsidR="00AD0A6D">
        <w:rPr>
          <w:lang w:val="fr-FR"/>
        </w:rPr>
        <w:t> ;</w:t>
      </w:r>
      <w:r>
        <w:rPr>
          <w:lang w:val="fr-FR"/>
        </w:rPr>
        <w:t xml:space="preserve"> préciser les droits et obligations du représentant légal (art.</w:t>
      </w:r>
      <w:r w:rsidR="00975B51">
        <w:rPr>
          <w:lang w:val="fr-FR"/>
        </w:rPr>
        <w:t> </w:t>
      </w:r>
      <w:r>
        <w:rPr>
          <w:lang w:val="fr-FR"/>
        </w:rPr>
        <w:t>61)</w:t>
      </w:r>
      <w:r w:rsidR="00AD0A6D">
        <w:rPr>
          <w:lang w:val="fr-FR"/>
        </w:rPr>
        <w:t> ;</w:t>
      </w:r>
      <w:r>
        <w:rPr>
          <w:lang w:val="fr-FR"/>
        </w:rPr>
        <w:t xml:space="preserve"> </w:t>
      </w:r>
      <w:r w:rsidRPr="00F335C9">
        <w:rPr>
          <w:lang w:val="fr-FR"/>
        </w:rPr>
        <w:t xml:space="preserve">définir </w:t>
      </w:r>
      <w:r>
        <w:rPr>
          <w:lang w:val="fr-FR"/>
        </w:rPr>
        <w:t xml:space="preserve">la </w:t>
      </w:r>
      <w:r w:rsidRPr="00F335C9">
        <w:rPr>
          <w:lang w:val="fr-FR"/>
        </w:rPr>
        <w:t>procédure d</w:t>
      </w:r>
      <w:r>
        <w:rPr>
          <w:lang w:val="fr-FR"/>
        </w:rPr>
        <w:t>’</w:t>
      </w:r>
      <w:r w:rsidRPr="00F335C9">
        <w:rPr>
          <w:lang w:val="fr-FR"/>
        </w:rPr>
        <w:t>audition des témoins mineurs ou des victimes en présence de leur représentant légal, d</w:t>
      </w:r>
      <w:r>
        <w:rPr>
          <w:lang w:val="fr-FR"/>
        </w:rPr>
        <w:t>’</w:t>
      </w:r>
      <w:r w:rsidRPr="00F335C9">
        <w:rPr>
          <w:lang w:val="fr-FR"/>
        </w:rPr>
        <w:t>un proche ou d</w:t>
      </w:r>
      <w:r>
        <w:rPr>
          <w:lang w:val="fr-FR"/>
        </w:rPr>
        <w:t>’</w:t>
      </w:r>
      <w:r w:rsidRPr="00F335C9">
        <w:rPr>
          <w:lang w:val="fr-FR"/>
        </w:rPr>
        <w:t>un enseignant</w:t>
      </w:r>
      <w:r w:rsidRPr="00F335C9">
        <w:rPr>
          <w:i/>
          <w:iCs/>
          <w:lang w:val="fr-FR"/>
        </w:rPr>
        <w:t xml:space="preserve"> </w:t>
      </w:r>
      <w:r w:rsidRPr="00F335C9">
        <w:rPr>
          <w:lang w:val="fr-FR"/>
        </w:rPr>
        <w:t>(art.</w:t>
      </w:r>
      <w:r w:rsidR="00975B51">
        <w:rPr>
          <w:lang w:val="fr-FR"/>
        </w:rPr>
        <w:t> </w:t>
      </w:r>
      <w:r w:rsidRPr="00F335C9">
        <w:rPr>
          <w:lang w:val="fr-FR"/>
        </w:rPr>
        <w:t>121</w:t>
      </w:r>
      <w:r w:rsidRPr="00CE035B">
        <w:rPr>
          <w:lang w:val="fr-FR"/>
        </w:rPr>
        <w:t>)</w:t>
      </w:r>
      <w:r w:rsidR="00763B47">
        <w:rPr>
          <w:lang w:val="fr-FR"/>
        </w:rPr>
        <w:t> ;</w:t>
      </w:r>
      <w:r w:rsidRPr="00CE035B">
        <w:rPr>
          <w:i/>
          <w:iCs/>
          <w:lang w:val="fr-FR"/>
        </w:rPr>
        <w:t xml:space="preserve"> </w:t>
      </w:r>
      <w:r>
        <w:rPr>
          <w:lang w:val="fr-FR"/>
        </w:rPr>
        <w:t>autoriser</w:t>
      </w:r>
      <w:r w:rsidRPr="00CE035B">
        <w:rPr>
          <w:lang w:val="fr-FR"/>
        </w:rPr>
        <w:t xml:space="preserve"> aux témoins mineurs de quitter la salle d</w:t>
      </w:r>
      <w:r>
        <w:rPr>
          <w:lang w:val="fr-FR"/>
        </w:rPr>
        <w:t>’</w:t>
      </w:r>
      <w:r w:rsidRPr="00CE035B">
        <w:rPr>
          <w:lang w:val="fr-FR"/>
        </w:rPr>
        <w:t>audience à la fin de leur audition (art.</w:t>
      </w:r>
      <w:r w:rsidR="00975B51">
        <w:rPr>
          <w:lang w:val="fr-FR"/>
        </w:rPr>
        <w:t> </w:t>
      </w:r>
      <w:r w:rsidRPr="00CE035B">
        <w:rPr>
          <w:lang w:val="fr-FR"/>
        </w:rPr>
        <w:t>442)</w:t>
      </w:r>
      <w:r w:rsidR="00763B47">
        <w:rPr>
          <w:lang w:val="fr-FR"/>
        </w:rPr>
        <w:t> ;</w:t>
      </w:r>
      <w:r w:rsidRPr="00CE035B">
        <w:rPr>
          <w:lang w:val="fr-FR"/>
        </w:rPr>
        <w:t xml:space="preserve"> et améliorer la procédure d</w:t>
      </w:r>
      <w:r>
        <w:rPr>
          <w:lang w:val="fr-FR"/>
        </w:rPr>
        <w:t>’</w:t>
      </w:r>
      <w:r w:rsidRPr="00CE035B">
        <w:rPr>
          <w:lang w:val="fr-FR"/>
        </w:rPr>
        <w:t>interrogatoire des suspects et des accusés mineurs (art.</w:t>
      </w:r>
      <w:r w:rsidR="00975B51">
        <w:rPr>
          <w:lang w:val="fr-FR"/>
        </w:rPr>
        <w:t> </w:t>
      </w:r>
      <w:r w:rsidRPr="00CE035B">
        <w:rPr>
          <w:lang w:val="fr-FR"/>
        </w:rPr>
        <w:t>553).</w:t>
      </w:r>
    </w:p>
    <w:p w14:paraId="0B1BC430" w14:textId="09E6338D" w:rsidR="003A454B" w:rsidRPr="00593F42" w:rsidRDefault="003A454B" w:rsidP="003A454B">
      <w:pPr>
        <w:pStyle w:val="SingleTxtG"/>
      </w:pPr>
      <w:r w:rsidRPr="00EF1281">
        <w:rPr>
          <w:lang w:val="fr-FR"/>
        </w:rPr>
        <w:lastRenderedPageBreak/>
        <w:t>157.</w:t>
      </w:r>
      <w:r w:rsidRPr="00EF1281">
        <w:rPr>
          <w:lang w:val="fr-FR"/>
        </w:rPr>
        <w:tab/>
        <w:t>La loi relative à la protection des droits de l</w:t>
      </w:r>
      <w:r>
        <w:rPr>
          <w:lang w:val="fr-FR"/>
        </w:rPr>
        <w:t>’</w:t>
      </w:r>
      <w:r w:rsidRPr="00EF1281">
        <w:rPr>
          <w:lang w:val="fr-FR"/>
        </w:rPr>
        <w:t>enfant a été complétée par une disposition garantissant la protection des droits des enfants dans les procédures pénales.</w:t>
      </w:r>
      <w:r w:rsidRPr="00EF1281">
        <w:rPr>
          <w:i/>
          <w:iCs/>
          <w:lang w:val="fr-FR"/>
        </w:rPr>
        <w:t xml:space="preserve"> </w:t>
      </w:r>
      <w:r>
        <w:rPr>
          <w:lang w:val="fr-FR"/>
        </w:rPr>
        <w:t>Elle proscrit</w:t>
      </w:r>
      <w:r w:rsidRPr="000C4C37">
        <w:rPr>
          <w:lang w:val="fr-FR"/>
        </w:rPr>
        <w:t xml:space="preserve"> l</w:t>
      </w:r>
      <w:r>
        <w:rPr>
          <w:lang w:val="fr-FR"/>
        </w:rPr>
        <w:t>’</w:t>
      </w:r>
      <w:r w:rsidRPr="000C4C37">
        <w:rPr>
          <w:lang w:val="fr-FR"/>
        </w:rPr>
        <w:t>exercice de toute contrainte physique ou morale sur un enfant, toute coercition en vue d</w:t>
      </w:r>
      <w:r>
        <w:rPr>
          <w:lang w:val="fr-FR"/>
        </w:rPr>
        <w:t>’</w:t>
      </w:r>
      <w:r w:rsidRPr="000C4C37">
        <w:rPr>
          <w:lang w:val="fr-FR"/>
        </w:rPr>
        <w:t>obtenir des déclaration</w:t>
      </w:r>
      <w:r>
        <w:rPr>
          <w:lang w:val="fr-FR"/>
        </w:rPr>
        <w:t>s</w:t>
      </w:r>
      <w:r w:rsidRPr="000C4C37">
        <w:rPr>
          <w:lang w:val="fr-FR"/>
        </w:rPr>
        <w:t xml:space="preserve"> ou des aveux</w:t>
      </w:r>
      <w:r>
        <w:rPr>
          <w:lang w:val="fr-FR"/>
        </w:rPr>
        <w:t xml:space="preserve"> ainsi que </w:t>
      </w:r>
      <w:r w:rsidRPr="00EA64FB">
        <w:rPr>
          <w:lang w:val="fr-FR"/>
        </w:rPr>
        <w:t>la conduite d</w:t>
      </w:r>
      <w:r>
        <w:rPr>
          <w:lang w:val="fr-FR"/>
        </w:rPr>
        <w:t>’</w:t>
      </w:r>
      <w:r w:rsidRPr="00EA64FB">
        <w:rPr>
          <w:lang w:val="fr-FR"/>
        </w:rPr>
        <w:t>actes de procédure concernant des enfants dans le cadre de l</w:t>
      </w:r>
      <w:r>
        <w:rPr>
          <w:lang w:val="fr-FR"/>
        </w:rPr>
        <w:t>’</w:t>
      </w:r>
      <w:r w:rsidRPr="00EA64FB">
        <w:rPr>
          <w:lang w:val="fr-FR"/>
        </w:rPr>
        <w:t>instruction et du procès en l</w:t>
      </w:r>
      <w:r>
        <w:rPr>
          <w:lang w:val="fr-FR"/>
        </w:rPr>
        <w:t>’</w:t>
      </w:r>
      <w:r w:rsidRPr="00EA64FB">
        <w:rPr>
          <w:lang w:val="fr-FR"/>
        </w:rPr>
        <w:t xml:space="preserve">absence </w:t>
      </w:r>
      <w:r>
        <w:rPr>
          <w:lang w:val="fr-FR"/>
        </w:rPr>
        <w:t>du</w:t>
      </w:r>
      <w:r w:rsidRPr="00EA64FB">
        <w:rPr>
          <w:lang w:val="fr-FR"/>
        </w:rPr>
        <w:t xml:space="preserve"> représentant légal. En</w:t>
      </w:r>
      <w:r w:rsidR="000E1830">
        <w:rPr>
          <w:lang w:val="fr-FR"/>
        </w:rPr>
        <w:t> </w:t>
      </w:r>
      <w:r w:rsidRPr="00EA64FB">
        <w:rPr>
          <w:lang w:val="fr-FR"/>
        </w:rPr>
        <w:t>outre,</w:t>
      </w:r>
      <w:r>
        <w:rPr>
          <w:lang w:val="fr-FR"/>
        </w:rPr>
        <w:t xml:space="preserve"> </w:t>
      </w:r>
      <w:r w:rsidRPr="00EA64FB">
        <w:rPr>
          <w:lang w:val="fr-FR"/>
        </w:rPr>
        <w:t>la présence obligatoire d</w:t>
      </w:r>
      <w:r>
        <w:rPr>
          <w:lang w:val="fr-FR"/>
        </w:rPr>
        <w:t>’</w:t>
      </w:r>
      <w:r w:rsidRPr="00EA64FB">
        <w:rPr>
          <w:lang w:val="fr-FR"/>
        </w:rPr>
        <w:t xml:space="preserve">un </w:t>
      </w:r>
      <w:r>
        <w:rPr>
          <w:lang w:val="fr-FR"/>
        </w:rPr>
        <w:t>défenseur</w:t>
      </w:r>
      <w:r w:rsidRPr="00EA64FB">
        <w:rPr>
          <w:lang w:val="fr-FR"/>
        </w:rPr>
        <w:t xml:space="preserve"> dans les affaires </w:t>
      </w:r>
      <w:r>
        <w:rPr>
          <w:lang w:val="fr-FR"/>
        </w:rPr>
        <w:t>concernant</w:t>
      </w:r>
      <w:r w:rsidRPr="00EA64FB">
        <w:rPr>
          <w:lang w:val="fr-FR"/>
        </w:rPr>
        <w:t xml:space="preserve"> des infractions commises par des mineurs à tous les stades de l</w:t>
      </w:r>
      <w:r>
        <w:rPr>
          <w:lang w:val="fr-FR"/>
        </w:rPr>
        <w:t>’</w:t>
      </w:r>
      <w:r w:rsidRPr="00EA64FB">
        <w:rPr>
          <w:lang w:val="fr-FR"/>
        </w:rPr>
        <w:t>instruction et du procès a été consacrée.</w:t>
      </w:r>
      <w:r>
        <w:rPr>
          <w:lang w:val="fr-FR"/>
        </w:rPr>
        <w:t xml:space="preserve"> Par</w:t>
      </w:r>
      <w:r w:rsidR="000E1830">
        <w:rPr>
          <w:lang w:val="fr-FR"/>
        </w:rPr>
        <w:t> </w:t>
      </w:r>
      <w:r>
        <w:rPr>
          <w:lang w:val="fr-FR"/>
        </w:rPr>
        <w:t xml:space="preserve">conséquent, le refus de l’enfant et de ses représentants légaux d’être représentés par un conseil est réputé irrecevable. </w:t>
      </w:r>
    </w:p>
    <w:p w14:paraId="4342256D" w14:textId="1D85399A" w:rsidR="003A454B" w:rsidRPr="00593F42" w:rsidRDefault="003A454B" w:rsidP="003A454B">
      <w:pPr>
        <w:pStyle w:val="SingleTxtG"/>
      </w:pPr>
      <w:r>
        <w:rPr>
          <w:lang w:val="fr-FR"/>
        </w:rPr>
        <w:t>158.</w:t>
      </w:r>
      <w:r>
        <w:rPr>
          <w:lang w:val="fr-FR"/>
        </w:rPr>
        <w:tab/>
        <w:t>La loi du 10</w:t>
      </w:r>
      <w:r w:rsidR="00975B51">
        <w:rPr>
          <w:lang w:val="fr-FR"/>
        </w:rPr>
        <w:t> </w:t>
      </w:r>
      <w:r>
        <w:rPr>
          <w:lang w:val="fr-FR"/>
        </w:rPr>
        <w:t>mars 2020 a introduit des modifications visant à renforcer le droit des enfants d’adresser des requêtes aux organes de l’État, y compris aux tribunaux, pour demander la protection de leurs droits et a défini les modalités d’examen de ces requêtes dans</w:t>
      </w:r>
      <w:r w:rsidR="007348C8">
        <w:rPr>
          <w:lang w:val="fr-FR"/>
        </w:rPr>
        <w:t xml:space="preserve"> : </w:t>
      </w:r>
      <w:r>
        <w:rPr>
          <w:lang w:val="fr-FR"/>
        </w:rPr>
        <w:t>le Code de la famille (art.</w:t>
      </w:r>
      <w:r w:rsidR="00975B51">
        <w:rPr>
          <w:lang w:val="fr-FR"/>
        </w:rPr>
        <w:t> </w:t>
      </w:r>
      <w:r>
        <w:rPr>
          <w:lang w:val="fr-FR"/>
        </w:rPr>
        <w:t>68 et 96)</w:t>
      </w:r>
      <w:r w:rsidR="000E1830">
        <w:rPr>
          <w:lang w:val="fr-FR"/>
        </w:rPr>
        <w:t> ;</w:t>
      </w:r>
      <w:r>
        <w:rPr>
          <w:lang w:val="fr-FR"/>
        </w:rPr>
        <w:t xml:space="preserve"> la loi relative à la protection des droits de l’enfant (art.</w:t>
      </w:r>
      <w:r w:rsidR="00975B51">
        <w:rPr>
          <w:lang w:val="fr-FR"/>
        </w:rPr>
        <w:t> </w:t>
      </w:r>
      <w:r>
        <w:rPr>
          <w:lang w:val="fr-FR"/>
        </w:rPr>
        <w:t>11 et 15)</w:t>
      </w:r>
      <w:r w:rsidR="00E46AC4">
        <w:rPr>
          <w:lang w:val="fr-FR"/>
        </w:rPr>
        <w:t> ;</w:t>
      </w:r>
      <w:r>
        <w:rPr>
          <w:lang w:val="fr-FR"/>
        </w:rPr>
        <w:t xml:space="preserve"> la loi relative aux requêtes émanant de personnes physiques et morales (art.</w:t>
      </w:r>
      <w:r w:rsidR="00975B51">
        <w:rPr>
          <w:lang w:val="fr-FR"/>
        </w:rPr>
        <w:t> </w:t>
      </w:r>
      <w:r>
        <w:rPr>
          <w:lang w:val="fr-FR"/>
        </w:rPr>
        <w:t>21)</w:t>
      </w:r>
      <w:r w:rsidR="00E46AC4">
        <w:rPr>
          <w:lang w:val="fr-FR"/>
        </w:rPr>
        <w:t> ;</w:t>
      </w:r>
      <w:r>
        <w:rPr>
          <w:lang w:val="fr-FR"/>
        </w:rPr>
        <w:t xml:space="preserve"> et le Code de procédure civile (art.</w:t>
      </w:r>
      <w:r w:rsidR="00975B51">
        <w:rPr>
          <w:lang w:val="fr-FR"/>
        </w:rPr>
        <w:t> </w:t>
      </w:r>
      <w:r>
        <w:rPr>
          <w:lang w:val="fr-FR"/>
        </w:rPr>
        <w:t xml:space="preserve">42). </w:t>
      </w:r>
    </w:p>
    <w:p w14:paraId="5BA2A515" w14:textId="159ADBC3" w:rsidR="003A454B" w:rsidRPr="00593F42" w:rsidRDefault="003A454B" w:rsidP="003A454B">
      <w:pPr>
        <w:pStyle w:val="SingleTxtG"/>
      </w:pPr>
      <w:r>
        <w:rPr>
          <w:lang w:val="fr-FR"/>
        </w:rPr>
        <w:t>159.</w:t>
      </w:r>
      <w:r>
        <w:rPr>
          <w:lang w:val="fr-FR"/>
        </w:rPr>
        <w:tab/>
        <w:t>En vertu du décret présidentiel du 9</w:t>
      </w:r>
      <w:r w:rsidR="00975B51">
        <w:rPr>
          <w:lang w:val="fr-FR"/>
        </w:rPr>
        <w:t> </w:t>
      </w:r>
      <w:r>
        <w:rPr>
          <w:lang w:val="fr-FR"/>
        </w:rPr>
        <w:t xml:space="preserve">août 2021, des commissions nationales et territoriales pour l’enfance ont été créées et le Plan d’action pour le renforcement du système de protection des droits de l’enfant a été approuvé. </w:t>
      </w:r>
    </w:p>
    <w:p w14:paraId="09A3F258" w14:textId="5962E9BA" w:rsidR="003A454B" w:rsidRPr="00593F42" w:rsidRDefault="003A454B" w:rsidP="003A454B">
      <w:pPr>
        <w:pStyle w:val="SingleTxtG"/>
      </w:pPr>
      <w:r>
        <w:rPr>
          <w:lang w:val="fr-FR"/>
        </w:rPr>
        <w:t>160.</w:t>
      </w:r>
      <w:r>
        <w:rPr>
          <w:lang w:val="fr-FR"/>
        </w:rPr>
        <w:tab/>
        <w:t>La loi du 7</w:t>
      </w:r>
      <w:r w:rsidR="00975B51">
        <w:rPr>
          <w:lang w:val="fr-FR"/>
        </w:rPr>
        <w:t> </w:t>
      </w:r>
      <w:r>
        <w:rPr>
          <w:lang w:val="fr-FR"/>
        </w:rPr>
        <w:t>décembre 2021 a porté modification du Code pénal, notamment en ce qui concerne l’âge de la responsabilité pénale de l’enfant, le type de sanctions pouvant être infligées et les sanctions encourues en cas de rapports sexuels avec une personne âgée de 16 à 18</w:t>
      </w:r>
      <w:r w:rsidR="007348C8">
        <w:rPr>
          <w:lang w:val="fr-FR"/>
        </w:rPr>
        <w:t> </w:t>
      </w:r>
      <w:r>
        <w:rPr>
          <w:lang w:val="fr-FR"/>
        </w:rPr>
        <w:t>ans en échange de biens matériels ou d’argent.</w:t>
      </w:r>
    </w:p>
    <w:p w14:paraId="7194DA08" w14:textId="0E4292BF" w:rsidR="003A454B" w:rsidRPr="00593F42" w:rsidRDefault="003A454B" w:rsidP="003A454B">
      <w:pPr>
        <w:pStyle w:val="SingleTxtG"/>
      </w:pPr>
      <w:r>
        <w:rPr>
          <w:lang w:val="fr-FR"/>
        </w:rPr>
        <w:t>161.</w:t>
      </w:r>
      <w:r>
        <w:rPr>
          <w:lang w:val="fr-FR"/>
        </w:rPr>
        <w:tab/>
      </w:r>
      <w:r w:rsidRPr="001C47BA">
        <w:rPr>
          <w:lang w:val="fr-FR"/>
        </w:rPr>
        <w:t>En</w:t>
      </w:r>
      <w:r>
        <w:rPr>
          <w:lang w:val="fr-FR"/>
        </w:rPr>
        <w:t xml:space="preserve"> 2021, 2</w:t>
      </w:r>
      <w:r w:rsidR="000469C8">
        <w:rPr>
          <w:lang w:val="fr-FR"/>
        </w:rPr>
        <w:t> </w:t>
      </w:r>
      <w:r>
        <w:rPr>
          <w:lang w:val="fr-FR"/>
        </w:rPr>
        <w:t>000</w:t>
      </w:r>
      <w:r w:rsidR="000469C8">
        <w:rPr>
          <w:lang w:val="fr-FR"/>
        </w:rPr>
        <w:t> </w:t>
      </w:r>
      <w:r>
        <w:rPr>
          <w:lang w:val="fr-FR"/>
        </w:rPr>
        <w:t>postes d’inspecteurs-psychologues pour mineurs ont été créés au sein des services du Ministère de l’intérieur des districts et des villes ainsi que dans les établissements d’enseignement général secondaire.</w:t>
      </w:r>
    </w:p>
    <w:p w14:paraId="767D4A5B" w14:textId="77777777" w:rsidR="003A454B" w:rsidRPr="00593F42" w:rsidRDefault="003A454B" w:rsidP="003A454B">
      <w:pPr>
        <w:pStyle w:val="SingleTxtG"/>
      </w:pPr>
      <w:r>
        <w:rPr>
          <w:lang w:val="fr-FR"/>
        </w:rPr>
        <w:t>162.</w:t>
      </w:r>
      <w:r>
        <w:rPr>
          <w:lang w:val="fr-FR"/>
        </w:rPr>
        <w:tab/>
        <w:t>La formation des juges en matière de travail avec les mineurs a été intégrée dans le programme de formation continue des juges ainsi que dans le programme de formation de la réserve judiciaire du Centre de formation continue des juristes près le Ministère de la justice.</w:t>
      </w:r>
    </w:p>
    <w:p w14:paraId="3F9A832A" w14:textId="79FEAD67"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5C654F">
        <w:rPr>
          <w:bCs/>
          <w:lang w:val="fr-FR"/>
        </w:rPr>
        <w:t> </w:t>
      </w:r>
      <w:r>
        <w:rPr>
          <w:bCs/>
          <w:lang w:val="fr-FR"/>
        </w:rPr>
        <w:t>1</w:t>
      </w:r>
      <w:r w:rsidR="005C654F">
        <w:rPr>
          <w:bCs/>
          <w:lang w:val="fr-FR"/>
        </w:rPr>
        <w:t>3 </w:t>
      </w:r>
      <w:r>
        <w:rPr>
          <w:bCs/>
          <w:lang w:val="fr-FR"/>
        </w:rPr>
        <w:t>b) de la liste de points</w:t>
      </w:r>
      <w:r>
        <w:rPr>
          <w:lang w:val="fr-FR"/>
        </w:rPr>
        <w:t xml:space="preserve"> </w:t>
      </w:r>
    </w:p>
    <w:p w14:paraId="25A6B0B6" w14:textId="1F57E3DC" w:rsidR="003A454B" w:rsidRPr="00593F42" w:rsidRDefault="003A454B" w:rsidP="003A454B">
      <w:pPr>
        <w:pStyle w:val="SingleTxtG"/>
      </w:pPr>
      <w:r>
        <w:rPr>
          <w:lang w:val="fr-FR"/>
        </w:rPr>
        <w:t>163.</w:t>
      </w:r>
      <w:r>
        <w:rPr>
          <w:lang w:val="fr-FR"/>
        </w:rPr>
        <w:tab/>
        <w:t>En vertu du Code de responsabilité administrative, il est interdit de placer les personnes âgées de moins de 18</w:t>
      </w:r>
      <w:r w:rsidR="000469C8">
        <w:rPr>
          <w:lang w:val="fr-FR"/>
        </w:rPr>
        <w:t> </w:t>
      </w:r>
      <w:r>
        <w:rPr>
          <w:lang w:val="fr-FR"/>
        </w:rPr>
        <w:t xml:space="preserve">ans en détention administrative. </w:t>
      </w:r>
    </w:p>
    <w:p w14:paraId="06D5F06A" w14:textId="1E5CB863" w:rsidR="003A454B" w:rsidRPr="00593F42" w:rsidRDefault="003A454B" w:rsidP="003A454B">
      <w:pPr>
        <w:pStyle w:val="SingleTxtG"/>
      </w:pPr>
      <w:r>
        <w:rPr>
          <w:lang w:val="fr-FR"/>
        </w:rPr>
        <w:t>164.</w:t>
      </w:r>
      <w:r>
        <w:rPr>
          <w:lang w:val="fr-FR"/>
        </w:rPr>
        <w:tab/>
        <w:t>Entre 2018 et 2020, les tribunaux administratifs ont examiné 3</w:t>
      </w:r>
      <w:r w:rsidR="000469C8">
        <w:rPr>
          <w:lang w:val="fr-FR"/>
        </w:rPr>
        <w:t> </w:t>
      </w:r>
      <w:r>
        <w:rPr>
          <w:lang w:val="fr-FR"/>
        </w:rPr>
        <w:t>407</w:t>
      </w:r>
      <w:r w:rsidR="000469C8">
        <w:rPr>
          <w:lang w:val="fr-FR"/>
        </w:rPr>
        <w:t> </w:t>
      </w:r>
      <w:r>
        <w:rPr>
          <w:lang w:val="fr-FR"/>
        </w:rPr>
        <w:t>affaires administratives (contre 1</w:t>
      </w:r>
      <w:r w:rsidR="000469C8">
        <w:rPr>
          <w:lang w:val="fr-FR"/>
        </w:rPr>
        <w:t> </w:t>
      </w:r>
      <w:r>
        <w:rPr>
          <w:lang w:val="fr-FR"/>
        </w:rPr>
        <w:t>312</w:t>
      </w:r>
      <w:r w:rsidR="000469C8">
        <w:rPr>
          <w:lang w:val="fr-FR"/>
        </w:rPr>
        <w:t> </w:t>
      </w:r>
      <w:r>
        <w:rPr>
          <w:lang w:val="fr-FR"/>
        </w:rPr>
        <w:t>affaires en 2018, 1</w:t>
      </w:r>
      <w:r w:rsidR="000469C8">
        <w:rPr>
          <w:lang w:val="fr-FR"/>
        </w:rPr>
        <w:t> </w:t>
      </w:r>
      <w:r>
        <w:rPr>
          <w:lang w:val="fr-FR"/>
        </w:rPr>
        <w:t>055 en 2019 et 1</w:t>
      </w:r>
      <w:r w:rsidR="000469C8">
        <w:rPr>
          <w:lang w:val="fr-FR"/>
        </w:rPr>
        <w:t> </w:t>
      </w:r>
      <w:r>
        <w:rPr>
          <w:lang w:val="fr-FR"/>
        </w:rPr>
        <w:t>040 en 2020) concernant 3</w:t>
      </w:r>
      <w:r w:rsidR="000469C8">
        <w:rPr>
          <w:lang w:val="fr-FR"/>
        </w:rPr>
        <w:t> </w:t>
      </w:r>
      <w:r>
        <w:rPr>
          <w:lang w:val="fr-FR"/>
        </w:rPr>
        <w:t>809</w:t>
      </w:r>
      <w:r w:rsidR="000469C8">
        <w:rPr>
          <w:lang w:val="fr-FR"/>
        </w:rPr>
        <w:t> </w:t>
      </w:r>
      <w:r>
        <w:rPr>
          <w:lang w:val="fr-FR"/>
        </w:rPr>
        <w:t>mineurs (contre 1</w:t>
      </w:r>
      <w:r w:rsidR="000469C8">
        <w:rPr>
          <w:lang w:val="fr-FR"/>
        </w:rPr>
        <w:t> </w:t>
      </w:r>
      <w:r>
        <w:rPr>
          <w:lang w:val="fr-FR"/>
        </w:rPr>
        <w:t>518</w:t>
      </w:r>
      <w:r w:rsidR="000469C8">
        <w:rPr>
          <w:lang w:val="fr-FR"/>
        </w:rPr>
        <w:t> </w:t>
      </w:r>
      <w:r>
        <w:rPr>
          <w:lang w:val="fr-FR"/>
        </w:rPr>
        <w:t>mineurs en 2018, 1</w:t>
      </w:r>
      <w:r w:rsidR="000469C8">
        <w:rPr>
          <w:lang w:val="fr-FR"/>
        </w:rPr>
        <w:t> </w:t>
      </w:r>
      <w:r>
        <w:rPr>
          <w:lang w:val="fr-FR"/>
        </w:rPr>
        <w:t>148 en 2019 et 1</w:t>
      </w:r>
      <w:r w:rsidR="000469C8">
        <w:rPr>
          <w:lang w:val="fr-FR"/>
        </w:rPr>
        <w:t> </w:t>
      </w:r>
      <w:r>
        <w:rPr>
          <w:lang w:val="fr-FR"/>
        </w:rPr>
        <w:t>143 en 2020). Parmi ces mineurs, 2</w:t>
      </w:r>
      <w:r w:rsidR="000469C8">
        <w:rPr>
          <w:lang w:val="fr-FR"/>
        </w:rPr>
        <w:t> </w:t>
      </w:r>
      <w:r>
        <w:rPr>
          <w:lang w:val="fr-FR"/>
        </w:rPr>
        <w:t>095 ont fait l’objet de sanctions administratives et 1</w:t>
      </w:r>
      <w:r w:rsidR="000469C8">
        <w:rPr>
          <w:lang w:val="fr-FR"/>
        </w:rPr>
        <w:t> </w:t>
      </w:r>
      <w:r>
        <w:rPr>
          <w:lang w:val="fr-FR"/>
        </w:rPr>
        <w:t>714 ont vu les poursuites à leur encontre abandonnées.</w:t>
      </w:r>
    </w:p>
    <w:p w14:paraId="5874D21F" w14:textId="019372B8" w:rsidR="003A454B" w:rsidRPr="000469C8" w:rsidRDefault="003A454B" w:rsidP="003A454B">
      <w:pPr>
        <w:pStyle w:val="SingleTxtG"/>
        <w:rPr>
          <w:spacing w:val="-2"/>
        </w:rPr>
      </w:pPr>
      <w:r>
        <w:rPr>
          <w:lang w:val="fr-FR"/>
        </w:rPr>
        <w:t>165.</w:t>
      </w:r>
      <w:r>
        <w:rPr>
          <w:lang w:val="fr-FR"/>
        </w:rPr>
        <w:tab/>
      </w:r>
      <w:r w:rsidRPr="000469C8">
        <w:rPr>
          <w:spacing w:val="-2"/>
          <w:lang w:val="fr-FR"/>
        </w:rPr>
        <w:t>Les personnes arrêtées et les personnes placées en détention provisoire sont détenues dans des cellules collectives, conformément à la loi relative à la détention provisoire dans le cadre de la procédure pénale. Elles sont réparties dans les cellules en fonction de leur personnalité et de leur compatibilité psychologique. Elles ne partagent pas les mêmes cellules et sont détenues comme suit</w:t>
      </w:r>
      <w:r w:rsidR="005579CA" w:rsidRPr="000469C8">
        <w:rPr>
          <w:spacing w:val="-2"/>
          <w:lang w:val="fr-FR"/>
        </w:rPr>
        <w:t> :</w:t>
      </w:r>
      <w:r w:rsidRPr="000469C8">
        <w:rPr>
          <w:spacing w:val="-2"/>
          <w:lang w:val="fr-FR"/>
        </w:rPr>
        <w:t xml:space="preserve"> les hommes sont séparés des femmes et les mineurs sont séparés des adultes. À titre exceptionnel et sur approbation du procureur, il est possible de placer des adultes ayant un comportement exemplaire dans les cellules où sont détenus des mineurs.</w:t>
      </w:r>
    </w:p>
    <w:p w14:paraId="14ADD145" w14:textId="2A153FE3"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F46043">
        <w:rPr>
          <w:bCs/>
          <w:lang w:val="fr-FR"/>
        </w:rPr>
        <w:t> </w:t>
      </w:r>
      <w:r>
        <w:rPr>
          <w:bCs/>
          <w:lang w:val="fr-FR"/>
        </w:rPr>
        <w:t>13</w:t>
      </w:r>
      <w:r w:rsidR="00F46043">
        <w:rPr>
          <w:bCs/>
          <w:lang w:val="fr-FR"/>
        </w:rPr>
        <w:t> </w:t>
      </w:r>
      <w:r>
        <w:rPr>
          <w:bCs/>
          <w:lang w:val="fr-FR"/>
        </w:rPr>
        <w:t>c) de la liste de points</w:t>
      </w:r>
      <w:r>
        <w:rPr>
          <w:lang w:val="fr-FR"/>
        </w:rPr>
        <w:t xml:space="preserve"> </w:t>
      </w:r>
    </w:p>
    <w:p w14:paraId="6B420E05" w14:textId="77777777" w:rsidR="003A454B" w:rsidRPr="00593F42" w:rsidRDefault="003A454B" w:rsidP="003A454B">
      <w:pPr>
        <w:pStyle w:val="SingleTxtG"/>
      </w:pPr>
      <w:r>
        <w:rPr>
          <w:lang w:val="fr-FR"/>
        </w:rPr>
        <w:t>166.</w:t>
      </w:r>
      <w:r>
        <w:rPr>
          <w:lang w:val="fr-FR"/>
        </w:rPr>
        <w:tab/>
        <w:t>Un projet de décret présidentiel relatif aux mesures visant à renforcer le système de protection des droits de l’enfant a été élaboré. Il prévoit la mise en place de mesures de substitution à la détention, notamment de mesures de justice réparatrice.</w:t>
      </w:r>
    </w:p>
    <w:p w14:paraId="6020BA5E" w14:textId="04F008C3"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F46043">
        <w:rPr>
          <w:bCs/>
          <w:lang w:val="fr-FR"/>
        </w:rPr>
        <w:t> </w:t>
      </w:r>
      <w:r>
        <w:rPr>
          <w:bCs/>
          <w:lang w:val="fr-FR"/>
        </w:rPr>
        <w:t>13</w:t>
      </w:r>
      <w:r w:rsidR="00F46043">
        <w:rPr>
          <w:bCs/>
          <w:lang w:val="fr-FR"/>
        </w:rPr>
        <w:t> </w:t>
      </w:r>
      <w:r>
        <w:rPr>
          <w:bCs/>
          <w:lang w:val="fr-FR"/>
        </w:rPr>
        <w:t>d) de la liste de points</w:t>
      </w:r>
      <w:r>
        <w:rPr>
          <w:lang w:val="fr-FR"/>
        </w:rPr>
        <w:t xml:space="preserve"> </w:t>
      </w:r>
    </w:p>
    <w:p w14:paraId="629A9F5C" w14:textId="77777777" w:rsidR="003A454B" w:rsidRPr="00593F42" w:rsidRDefault="003A454B" w:rsidP="003A454B">
      <w:pPr>
        <w:pStyle w:val="SingleTxtG"/>
      </w:pPr>
      <w:r>
        <w:rPr>
          <w:lang w:val="fr-FR"/>
        </w:rPr>
        <w:t>167.</w:t>
      </w:r>
      <w:r>
        <w:rPr>
          <w:lang w:val="fr-FR"/>
        </w:rPr>
        <w:tab/>
        <w:t xml:space="preserve">Sur ordre d’un procureur ou sur décision d’un tribunal, les personnes placées en détention provisoire peuvent être mises à l’isolement dans un centre de détention provisoire si elles sont accusées d’infractions graves ou particulièrement graves. Cette mesure ne </w:t>
      </w:r>
      <w:r>
        <w:rPr>
          <w:lang w:val="fr-FR"/>
        </w:rPr>
        <w:lastRenderedPageBreak/>
        <w:t>s’applique pas aux mineurs, aux personnes âgées de plus de soixante ans, aux personnes gravement malades et aux personnes présentant des troubles mentaux attestés par écrit par un médecin.</w:t>
      </w:r>
    </w:p>
    <w:p w14:paraId="60E065E2" w14:textId="303616C8"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312B68">
        <w:rPr>
          <w:bCs/>
          <w:lang w:val="fr-FR"/>
        </w:rPr>
        <w:t> </w:t>
      </w:r>
      <w:r>
        <w:rPr>
          <w:bCs/>
          <w:lang w:val="fr-FR"/>
        </w:rPr>
        <w:t>14 de la liste de points</w:t>
      </w:r>
      <w:r>
        <w:rPr>
          <w:lang w:val="fr-FR"/>
        </w:rPr>
        <w:t xml:space="preserve"> </w:t>
      </w:r>
    </w:p>
    <w:p w14:paraId="1BB18AA9" w14:textId="77777777" w:rsidR="003A454B" w:rsidRPr="00593F42" w:rsidRDefault="003A454B" w:rsidP="003A454B">
      <w:pPr>
        <w:pStyle w:val="SingleTxtG"/>
      </w:pPr>
      <w:r>
        <w:rPr>
          <w:lang w:val="fr-FR"/>
        </w:rPr>
        <w:t>168.</w:t>
      </w:r>
      <w:r>
        <w:rPr>
          <w:lang w:val="fr-FR"/>
        </w:rPr>
        <w:tab/>
        <w:t>Le Gouvernement prend des mesures pour prévenir et éradiquer la traite des êtres humains, y compris des enfants, la prostitution des enfants et la pornographie mettant en scène des enfants en menant d’importantes activités de sensibilisation et en coopérant avec l’Organisation internationale pour les migrations.</w:t>
      </w:r>
    </w:p>
    <w:p w14:paraId="05213D08" w14:textId="65990C23" w:rsidR="003A454B" w:rsidRPr="00593F42" w:rsidRDefault="003A454B" w:rsidP="003A454B">
      <w:pPr>
        <w:pStyle w:val="SingleTxtG"/>
      </w:pPr>
      <w:r>
        <w:rPr>
          <w:lang w:val="fr-FR"/>
        </w:rPr>
        <w:t>169.</w:t>
      </w:r>
      <w:r>
        <w:rPr>
          <w:lang w:val="fr-FR"/>
        </w:rPr>
        <w:tab/>
        <w:t>Aux fins de la coordination des activités de lutte contre la traite des êtres humains et conformément au décret présidentiel du 30</w:t>
      </w:r>
      <w:r w:rsidR="00312B68">
        <w:rPr>
          <w:lang w:val="fr-FR"/>
        </w:rPr>
        <w:t> </w:t>
      </w:r>
      <w:r>
        <w:rPr>
          <w:lang w:val="fr-FR"/>
        </w:rPr>
        <w:t xml:space="preserve">juillet 2019, la Commission nationale de lutte contre la traite des êtres humains et le travail forcé et ses subdivisions territoriales ont été créés, le Plan d’action pour 2018-2020 a été approuvé et le poste de </w:t>
      </w:r>
      <w:r w:rsidR="00312B68">
        <w:rPr>
          <w:lang w:val="fr-FR"/>
        </w:rPr>
        <w:t>R</w:t>
      </w:r>
      <w:r>
        <w:rPr>
          <w:lang w:val="fr-FR"/>
        </w:rPr>
        <w:t xml:space="preserve">apporteur national sur la lutte contre la traite des êtres humains, chargé de fournir au Président des informations à cet égard, notamment sur la traite des enfants, a été créé. </w:t>
      </w:r>
    </w:p>
    <w:p w14:paraId="672F01E5" w14:textId="3F096BE8" w:rsidR="003A454B" w:rsidRPr="00593F42" w:rsidRDefault="003A454B" w:rsidP="003A454B">
      <w:pPr>
        <w:pStyle w:val="SingleTxtG"/>
      </w:pPr>
      <w:r>
        <w:rPr>
          <w:lang w:val="fr-FR"/>
        </w:rPr>
        <w:t>170.</w:t>
      </w:r>
      <w:r>
        <w:rPr>
          <w:lang w:val="fr-FR"/>
        </w:rPr>
        <w:tab/>
        <w:t>Afin de prévenir la traite des êtres humains et le travail forcé, le décret présidentiel du 15</w:t>
      </w:r>
      <w:r w:rsidR="000469C8">
        <w:rPr>
          <w:lang w:val="fr-FR"/>
        </w:rPr>
        <w:t> </w:t>
      </w:r>
      <w:r>
        <w:rPr>
          <w:lang w:val="fr-FR"/>
        </w:rPr>
        <w:t>septembre 2020 a porté approbation d’un système de migration de main-d’œuvre sûre, ordonnée et régulière. Un fonds destiné à soutenir et à protéger les droits et les intérêts des citoyens travaillant à l’étranger a été créé, et la pratique consistant à assurer la vie et la santé des travailleurs migrants et à accorder des prêts hypothécaires aux membres de leur famille a été introduite.</w:t>
      </w:r>
    </w:p>
    <w:p w14:paraId="11688B8E" w14:textId="2093135D" w:rsidR="003A454B" w:rsidRPr="00593F42" w:rsidRDefault="003A454B" w:rsidP="003A454B">
      <w:pPr>
        <w:pStyle w:val="SingleTxtG"/>
      </w:pPr>
      <w:r>
        <w:rPr>
          <w:lang w:val="fr-FR"/>
        </w:rPr>
        <w:t>171.</w:t>
      </w:r>
      <w:r>
        <w:rPr>
          <w:lang w:val="fr-FR"/>
        </w:rPr>
        <w:tab/>
        <w:t>L’Ouzbékistan a adopté un ensemble de mesures portant sur les migrations internationales de main-d’œuvre, notamment des programmes de formation destinés aux travailleurs migrants. En outre, les modalités d’octroi de microcrédits aux personnes à faible revenu souhaitant émigrer pour travailler (jusqu’à 10</w:t>
      </w:r>
      <w:r w:rsidR="000469C8">
        <w:rPr>
          <w:lang w:val="fr-FR"/>
        </w:rPr>
        <w:t> </w:t>
      </w:r>
      <w:r>
        <w:rPr>
          <w:lang w:val="fr-FR"/>
        </w:rPr>
        <w:t xml:space="preserve">millions de </w:t>
      </w:r>
      <w:proofErr w:type="spellStart"/>
      <w:r>
        <w:rPr>
          <w:lang w:val="fr-FR"/>
        </w:rPr>
        <w:t>sum</w:t>
      </w:r>
      <w:proofErr w:type="spellEnd"/>
      <w:r>
        <w:rPr>
          <w:lang w:val="fr-FR"/>
        </w:rPr>
        <w:t xml:space="preserve"> pour un an) ont été définies, une plateforme d’assistance juridique en ligne a été créée à l’intention des travailleurs migrants, un certain nombre d’avantages sont accordés aux citoyens qui rentrent en Ouzbékistan et une ligne d’assistance a été mise en place pour répondre aux questions des citoyens à propos de la migration de travail.</w:t>
      </w:r>
    </w:p>
    <w:p w14:paraId="72BE867F" w14:textId="77777777" w:rsidR="003A454B" w:rsidRPr="00593F42" w:rsidRDefault="003A454B" w:rsidP="003A454B">
      <w:pPr>
        <w:pStyle w:val="SingleTxtG"/>
      </w:pPr>
      <w:r>
        <w:rPr>
          <w:lang w:val="fr-FR"/>
        </w:rPr>
        <w:t>172.</w:t>
      </w:r>
      <w:r>
        <w:rPr>
          <w:lang w:val="fr-FR"/>
        </w:rPr>
        <w:tab/>
        <w:t>Des mesures ont été prises pour améliorer la législation relative à la lutte contre la traite des enfants et des femmes, à la protection des droits des victimes de la traite des êtres humains et à l’identification des enfants sans abri, des enfants abandonnés et des enfants en situation de rue, ainsi que pour élaborer une approche systématique de la prévention des causes et des circonstances à l’origine de la pornographie mettant en scène des enfants et des femmes.</w:t>
      </w:r>
    </w:p>
    <w:p w14:paraId="123AB405" w14:textId="4EE8BDD4" w:rsidR="003A454B" w:rsidRPr="00593F42" w:rsidRDefault="003A454B" w:rsidP="003A454B">
      <w:pPr>
        <w:pStyle w:val="SingleTxtG"/>
      </w:pPr>
      <w:r>
        <w:rPr>
          <w:lang w:val="fr-FR"/>
        </w:rPr>
        <w:t>173.</w:t>
      </w:r>
      <w:r>
        <w:rPr>
          <w:lang w:val="fr-FR"/>
        </w:rPr>
        <w:tab/>
        <w:t>Afin de mettre en œuvre le Protocole facultatif, la loi du 25</w:t>
      </w:r>
      <w:r w:rsidR="00C822CD">
        <w:rPr>
          <w:lang w:val="fr-FR"/>
        </w:rPr>
        <w:t> </w:t>
      </w:r>
      <w:r>
        <w:rPr>
          <w:lang w:val="fr-FR"/>
        </w:rPr>
        <w:t>décembre 2020 a porté modification de l’article</w:t>
      </w:r>
      <w:r w:rsidR="000469C8">
        <w:rPr>
          <w:lang w:val="fr-FR"/>
        </w:rPr>
        <w:t> </w:t>
      </w:r>
      <w:r>
        <w:rPr>
          <w:lang w:val="fr-FR"/>
        </w:rPr>
        <w:t>130 du Code pénal et de l’article</w:t>
      </w:r>
      <w:r w:rsidR="00C822CD">
        <w:rPr>
          <w:lang w:val="fr-FR"/>
        </w:rPr>
        <w:t> </w:t>
      </w:r>
      <w:r>
        <w:rPr>
          <w:lang w:val="fr-FR"/>
        </w:rPr>
        <w:t>189 du Code de responsabilité administrative concernant la production, l’importation, la diffusion, la promotion et l’exposition de contenus pornographiques. La fabrication, l’importation, la diffusion, la promotion et l’exposition de contenus faisant l’apologie d’un culte de la violence ou de la cruauté sont passibles de poursuites pénales et administratives (art</w:t>
      </w:r>
      <w:r w:rsidR="001026B9">
        <w:rPr>
          <w:lang w:val="fr-FR"/>
        </w:rPr>
        <w:t>.</w:t>
      </w:r>
      <w:r w:rsidR="000469C8">
        <w:rPr>
          <w:lang w:val="fr-FR"/>
        </w:rPr>
        <w:t> </w:t>
      </w:r>
      <w:r>
        <w:rPr>
          <w:lang w:val="fr-FR"/>
        </w:rPr>
        <w:t>130</w:t>
      </w:r>
      <w:r w:rsidRPr="000469C8">
        <w:rPr>
          <w:sz w:val="18"/>
          <w:szCs w:val="18"/>
          <w:vertAlign w:val="superscript"/>
          <w:lang w:val="fr-FR"/>
        </w:rPr>
        <w:t>1</w:t>
      </w:r>
      <w:r>
        <w:rPr>
          <w:lang w:val="fr-FR"/>
        </w:rPr>
        <w:t xml:space="preserve"> du Code pénal et art</w:t>
      </w:r>
      <w:r w:rsidR="001026B9">
        <w:rPr>
          <w:lang w:val="fr-FR"/>
        </w:rPr>
        <w:t>. </w:t>
      </w:r>
      <w:r>
        <w:rPr>
          <w:lang w:val="fr-FR"/>
        </w:rPr>
        <w:t>189</w:t>
      </w:r>
      <w:r w:rsidRPr="00497E58">
        <w:rPr>
          <w:sz w:val="18"/>
          <w:szCs w:val="18"/>
          <w:vertAlign w:val="superscript"/>
          <w:lang w:val="fr-FR"/>
        </w:rPr>
        <w:t>1</w:t>
      </w:r>
      <w:r>
        <w:rPr>
          <w:lang w:val="fr-FR"/>
        </w:rPr>
        <w:t xml:space="preserve"> du Code des infractions administratives).</w:t>
      </w:r>
    </w:p>
    <w:p w14:paraId="7118DD49" w14:textId="5C884751" w:rsidR="003A454B" w:rsidRPr="00593F42" w:rsidRDefault="003A454B" w:rsidP="003A454B">
      <w:pPr>
        <w:pStyle w:val="SingleTxtG"/>
      </w:pPr>
      <w:r>
        <w:rPr>
          <w:lang w:val="fr-FR"/>
        </w:rPr>
        <w:t>174.</w:t>
      </w:r>
      <w:r>
        <w:rPr>
          <w:lang w:val="fr-FR"/>
        </w:rPr>
        <w:tab/>
        <w:t>Le 18</w:t>
      </w:r>
      <w:r w:rsidR="00497E58">
        <w:rPr>
          <w:lang w:val="fr-FR"/>
        </w:rPr>
        <w:t> </w:t>
      </w:r>
      <w:r>
        <w:rPr>
          <w:lang w:val="fr-FR"/>
        </w:rPr>
        <w:t xml:space="preserve">août 2020, une nouvelle version de la loi relative à la lutte contre la traite des êtres humains est entrée en vigueur. Il est envisagé de compléter le Code pénal par des articles sur la traite des enfants, sur la protection des droits des victimes de la traite des êtres humains, de leurs proches et des témoins ainsi que sur l’interdiction de divulguer des informations confidentielles sur les victimes de la traite des êtres humains, entre autres. </w:t>
      </w:r>
    </w:p>
    <w:p w14:paraId="61EE1F92" w14:textId="69035DC1" w:rsidR="003A454B" w:rsidRPr="00593F42" w:rsidRDefault="003A454B" w:rsidP="003A454B">
      <w:pPr>
        <w:pStyle w:val="SingleTxtG"/>
      </w:pPr>
      <w:r>
        <w:rPr>
          <w:lang w:val="fr-FR"/>
        </w:rPr>
        <w:t>175.</w:t>
      </w:r>
      <w:r>
        <w:rPr>
          <w:lang w:val="fr-FR"/>
        </w:rPr>
        <w:tab/>
        <w:t>Le fait d’avoir un rapport sexuel avec une personne âgée de 16 à 18</w:t>
      </w:r>
      <w:r w:rsidR="00497E58">
        <w:rPr>
          <w:lang w:val="fr-FR"/>
        </w:rPr>
        <w:t> </w:t>
      </w:r>
      <w:r>
        <w:rPr>
          <w:lang w:val="fr-FR"/>
        </w:rPr>
        <w:t>ans en échange de biens matériels ou d’argent est passible de sanctions pénales.</w:t>
      </w:r>
    </w:p>
    <w:p w14:paraId="073E0D2B" w14:textId="04413AC2" w:rsidR="003A454B" w:rsidRPr="00593F42" w:rsidRDefault="003A454B" w:rsidP="003A454B">
      <w:pPr>
        <w:pStyle w:val="SingleTxtG"/>
      </w:pPr>
      <w:r>
        <w:rPr>
          <w:lang w:val="fr-FR"/>
        </w:rPr>
        <w:t>176.</w:t>
      </w:r>
      <w:r>
        <w:rPr>
          <w:lang w:val="fr-FR"/>
        </w:rPr>
        <w:tab/>
        <w:t>Les ressortissants ouzbeks ainsi que les apatrides résidant de manière permanente en Ouzbékistan qui ont commis une infraction sur le territoire d’un autre État sont pénalement responsables au regard du Code pénal ouzbek s’ils n’ont pas exécuté une peine prononcée par une juridiction de l’État sur le territoire duquel l’infraction a été commise. Un</w:t>
      </w:r>
      <w:r w:rsidR="00497E58">
        <w:rPr>
          <w:lang w:val="fr-FR"/>
        </w:rPr>
        <w:t> </w:t>
      </w:r>
      <w:r>
        <w:rPr>
          <w:lang w:val="fr-FR"/>
        </w:rPr>
        <w:t>ressortissant ouzbek ne peut être extradé pour une infraction commise sur le territoire d’un autre État, sauf disposition en ce sens d’un traité ou d’un accord international.</w:t>
      </w:r>
    </w:p>
    <w:p w14:paraId="728BD806" w14:textId="77777777" w:rsidR="003A454B" w:rsidRPr="00593F42" w:rsidRDefault="003A454B" w:rsidP="003A454B">
      <w:pPr>
        <w:pStyle w:val="SingleTxtG"/>
      </w:pPr>
      <w:r>
        <w:rPr>
          <w:lang w:val="fr-FR"/>
        </w:rPr>
        <w:lastRenderedPageBreak/>
        <w:t>177.</w:t>
      </w:r>
      <w:r>
        <w:rPr>
          <w:lang w:val="fr-FR"/>
        </w:rPr>
        <w:tab/>
        <w:t>Les ressortissants étrangers et les apatrides ne résidant pas de manière permanente en Ouzbékistan et ayant commis une infraction en dehors du territoire ouzbek ne sont responsables au regard du Code pénal que dans les cas prévus par les traités ou accords internationaux.</w:t>
      </w:r>
    </w:p>
    <w:p w14:paraId="79EB613A" w14:textId="1C47E470" w:rsidR="003A454B" w:rsidRPr="00A81A67" w:rsidRDefault="003A454B" w:rsidP="003A454B">
      <w:pPr>
        <w:pStyle w:val="SingleTxtG"/>
      </w:pPr>
      <w:r>
        <w:rPr>
          <w:lang w:val="fr-FR"/>
        </w:rPr>
        <w:t>178.</w:t>
      </w:r>
      <w:r>
        <w:rPr>
          <w:lang w:val="fr-FR"/>
        </w:rPr>
        <w:tab/>
        <w:t>La décision du 25</w:t>
      </w:r>
      <w:r w:rsidR="00497E58">
        <w:rPr>
          <w:lang w:val="fr-FR"/>
        </w:rPr>
        <w:t> </w:t>
      </w:r>
      <w:r>
        <w:rPr>
          <w:lang w:val="fr-FR"/>
        </w:rPr>
        <w:t>mai 2012 de l’Assemblée plénière de la Cour suprême portant sur certaines questions relatives à la coopération internationale dans les procédures civiles et pénales, telle que modifiée le 10</w:t>
      </w:r>
      <w:r w:rsidR="00497E58">
        <w:rPr>
          <w:lang w:val="fr-FR"/>
        </w:rPr>
        <w:t> </w:t>
      </w:r>
      <w:r>
        <w:rPr>
          <w:lang w:val="fr-FR"/>
        </w:rPr>
        <w:t xml:space="preserve">juin 2021, a été complétée par une disposition </w:t>
      </w:r>
      <w:r w:rsidRPr="00A81A67">
        <w:rPr>
          <w:lang w:val="fr-FR"/>
        </w:rPr>
        <w:t>selon laquelle la question de savoir si un individu relève de la juridiction de l</w:t>
      </w:r>
      <w:r>
        <w:rPr>
          <w:lang w:val="fr-FR"/>
        </w:rPr>
        <w:t>’</w:t>
      </w:r>
      <w:r w:rsidRPr="00A81A67">
        <w:rPr>
          <w:lang w:val="fr-FR"/>
        </w:rPr>
        <w:t>Ouzbékistan est déterminée par les clauses juridictionnelles des accords internationaux conclus par l</w:t>
      </w:r>
      <w:r>
        <w:rPr>
          <w:lang w:val="fr-FR"/>
        </w:rPr>
        <w:t>’</w:t>
      </w:r>
      <w:r w:rsidRPr="00A81A67">
        <w:rPr>
          <w:lang w:val="fr-FR"/>
        </w:rPr>
        <w:t>Ouzbékistan dans le domaine de la lutte contre la criminalité et des procédures pénales</w:t>
      </w:r>
      <w:r w:rsidRPr="00A81A67">
        <w:rPr>
          <w:i/>
          <w:iCs/>
          <w:lang w:val="fr-FR"/>
        </w:rPr>
        <w:t>.</w:t>
      </w:r>
    </w:p>
    <w:p w14:paraId="55FDE26F" w14:textId="78AD2BF2"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6F7521">
        <w:rPr>
          <w:bCs/>
          <w:lang w:val="fr-FR"/>
        </w:rPr>
        <w:t> </w:t>
      </w:r>
      <w:r>
        <w:rPr>
          <w:bCs/>
          <w:lang w:val="fr-FR"/>
        </w:rPr>
        <w:t>15 de la liste de points</w:t>
      </w:r>
      <w:r>
        <w:rPr>
          <w:lang w:val="fr-FR"/>
        </w:rPr>
        <w:t xml:space="preserve"> </w:t>
      </w:r>
    </w:p>
    <w:p w14:paraId="07E4999D" w14:textId="1D44C568" w:rsidR="003A454B" w:rsidRPr="00593F42" w:rsidRDefault="003A454B" w:rsidP="003A454B">
      <w:pPr>
        <w:pStyle w:val="SingleTxtG"/>
      </w:pPr>
      <w:r>
        <w:rPr>
          <w:lang w:val="fr-FR"/>
        </w:rPr>
        <w:t>179.</w:t>
      </w:r>
      <w:r>
        <w:rPr>
          <w:lang w:val="fr-FR"/>
        </w:rPr>
        <w:tab/>
        <w:t>Le 12</w:t>
      </w:r>
      <w:r w:rsidR="00497E58">
        <w:rPr>
          <w:lang w:val="fr-FR"/>
        </w:rPr>
        <w:t> </w:t>
      </w:r>
      <w:r>
        <w:rPr>
          <w:lang w:val="fr-FR"/>
        </w:rPr>
        <w:t>décembre 2008, au moment de la ratification du Protocole facultatif à la Convention relative aux droits de l’enfant, concernant l’implication d’enfants dans les conflits armés, l’Ouzbékistan a déclaré qu’en vertu de la loi du 12</w:t>
      </w:r>
      <w:r w:rsidR="00497E58">
        <w:rPr>
          <w:lang w:val="fr-FR"/>
        </w:rPr>
        <w:t> </w:t>
      </w:r>
      <w:r>
        <w:rPr>
          <w:lang w:val="fr-FR"/>
        </w:rPr>
        <w:t>décembre 2002 relative à l’obligation militaire universelle et au service militaire, les citoyens ne peuvent être appelés sous les drapeaux qu’à partir de 18</w:t>
      </w:r>
      <w:r w:rsidR="00497E58">
        <w:rPr>
          <w:lang w:val="fr-FR"/>
        </w:rPr>
        <w:t> </w:t>
      </w:r>
      <w:r>
        <w:rPr>
          <w:lang w:val="fr-FR"/>
        </w:rPr>
        <w:t>ans.</w:t>
      </w:r>
    </w:p>
    <w:p w14:paraId="67E5D4FB" w14:textId="27549D83" w:rsidR="003A454B" w:rsidRPr="00593F42" w:rsidRDefault="003A454B" w:rsidP="003A454B">
      <w:pPr>
        <w:pStyle w:val="SingleTxtG"/>
      </w:pPr>
      <w:r>
        <w:rPr>
          <w:lang w:val="fr-FR"/>
        </w:rPr>
        <w:t>180.</w:t>
      </w:r>
      <w:r>
        <w:rPr>
          <w:lang w:val="fr-FR"/>
        </w:rPr>
        <w:tab/>
        <w:t>L’incitation de mineurs à participer aux activités d’associations civiles interdites (y</w:t>
      </w:r>
      <w:r w:rsidR="00497E58">
        <w:rPr>
          <w:lang w:val="fr-FR"/>
        </w:rPr>
        <w:t> </w:t>
      </w:r>
      <w:r>
        <w:rPr>
          <w:lang w:val="fr-FR"/>
        </w:rPr>
        <w:t xml:space="preserve">compris de groupes paramilitaires et de groupes armés) et d’organisations, mouvements ou sectes religieux est passible de poursuites pénales. </w:t>
      </w:r>
    </w:p>
    <w:p w14:paraId="77287CD1" w14:textId="2C5D76DC" w:rsidR="003A454B" w:rsidRPr="00593F42" w:rsidRDefault="003A454B" w:rsidP="003A454B">
      <w:pPr>
        <w:pStyle w:val="SingleTxtG"/>
      </w:pPr>
      <w:r>
        <w:rPr>
          <w:lang w:val="fr-FR"/>
        </w:rPr>
        <w:t>181.</w:t>
      </w:r>
      <w:r>
        <w:rPr>
          <w:lang w:val="fr-FR"/>
        </w:rPr>
        <w:tab/>
        <w:t>La législation nationale n’exige pas la double incrimination. Le Code pénal dispose que nul ne peut être poursuivi deux fois pour la même infraction. L’article</w:t>
      </w:r>
      <w:r w:rsidR="00497E58">
        <w:rPr>
          <w:lang w:val="fr-FR"/>
        </w:rPr>
        <w:t> </w:t>
      </w:r>
      <w:r>
        <w:rPr>
          <w:lang w:val="fr-FR"/>
        </w:rPr>
        <w:t>12 du Code pénal dispose que les ressortissants ouzbeks ainsi que les apatrides résidant de manière permanente en Ouzbékistan qui ont commis une infraction sur le territoire d’un autre État sont responsables au regard du Code pénal ouzbek uniquement s’ils n’ont pas exécuté une peine prononcée par une juridiction de l’État sur le territoire duquel l’infraction a été commise. Le</w:t>
      </w:r>
      <w:r w:rsidR="00497E58">
        <w:rPr>
          <w:lang w:val="fr-FR"/>
        </w:rPr>
        <w:t> </w:t>
      </w:r>
      <w:r>
        <w:rPr>
          <w:lang w:val="fr-FR"/>
        </w:rPr>
        <w:t>projet de révision du Code pénal prévoit l’exercice de la compétence extraterritoriale dans les dispositions de l’article intitulé «</w:t>
      </w:r>
      <w:r w:rsidR="00497E58">
        <w:rPr>
          <w:lang w:val="fr-FR"/>
        </w:rPr>
        <w:t> </w:t>
      </w:r>
      <w:r>
        <w:rPr>
          <w:lang w:val="fr-FR"/>
        </w:rPr>
        <w:t>Application de la législation pénale aux personnes ayant commis une infraction en dehors de l’Ouzbékistan</w:t>
      </w:r>
      <w:r w:rsidR="00497E58">
        <w:rPr>
          <w:lang w:val="fr-FR"/>
        </w:rPr>
        <w:t> </w:t>
      </w:r>
      <w:r>
        <w:rPr>
          <w:lang w:val="fr-FR"/>
        </w:rPr>
        <w:t>».</w:t>
      </w:r>
    </w:p>
    <w:p w14:paraId="674963BF" w14:textId="77777777" w:rsidR="003A454B" w:rsidRPr="00593F42" w:rsidRDefault="003A454B" w:rsidP="00497E58">
      <w:pPr>
        <w:pStyle w:val="H1G"/>
      </w:pPr>
      <w:r>
        <w:rPr>
          <w:lang w:val="fr-FR"/>
        </w:rPr>
        <w:tab/>
      </w:r>
      <w:r>
        <w:rPr>
          <w:lang w:val="fr-FR"/>
        </w:rPr>
        <w:tab/>
        <w:t>Deuxième partie</w:t>
      </w:r>
    </w:p>
    <w:p w14:paraId="0584801D" w14:textId="7BAFEB9A"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19619E">
        <w:rPr>
          <w:bCs/>
          <w:lang w:val="fr-FR"/>
        </w:rPr>
        <w:t> </w:t>
      </w:r>
      <w:r>
        <w:rPr>
          <w:bCs/>
          <w:lang w:val="fr-FR"/>
        </w:rPr>
        <w:t>16</w:t>
      </w:r>
      <w:r w:rsidR="0019619E">
        <w:rPr>
          <w:bCs/>
          <w:lang w:val="fr-FR"/>
        </w:rPr>
        <w:t> </w:t>
      </w:r>
      <w:r>
        <w:rPr>
          <w:bCs/>
          <w:lang w:val="fr-FR"/>
        </w:rPr>
        <w:t>a) de la liste de points</w:t>
      </w:r>
      <w:r>
        <w:rPr>
          <w:lang w:val="fr-FR"/>
        </w:rPr>
        <w:t xml:space="preserve"> </w:t>
      </w:r>
    </w:p>
    <w:p w14:paraId="47339753" w14:textId="22B54DEC" w:rsidR="003A454B" w:rsidRPr="00593F42" w:rsidRDefault="003A454B" w:rsidP="003A454B">
      <w:pPr>
        <w:pStyle w:val="SingleTxtG"/>
      </w:pPr>
      <w:r>
        <w:rPr>
          <w:lang w:val="fr-FR"/>
        </w:rPr>
        <w:t>182.</w:t>
      </w:r>
      <w:r>
        <w:rPr>
          <w:lang w:val="fr-FR"/>
        </w:rPr>
        <w:tab/>
        <w:t>Dans le cadre de la mise en œuvre de la Stratégie relative aux cinq axes prioritaires de développement pour la période 2017-2021, quelque 300</w:t>
      </w:r>
      <w:r w:rsidR="00356817">
        <w:rPr>
          <w:lang w:val="fr-FR"/>
        </w:rPr>
        <w:t> </w:t>
      </w:r>
      <w:r>
        <w:rPr>
          <w:lang w:val="fr-FR"/>
        </w:rPr>
        <w:t>lois et plus de 4</w:t>
      </w:r>
      <w:r w:rsidR="00356817">
        <w:rPr>
          <w:lang w:val="fr-FR"/>
        </w:rPr>
        <w:t> </w:t>
      </w:r>
      <w:r>
        <w:rPr>
          <w:lang w:val="fr-FR"/>
        </w:rPr>
        <w:t>000</w:t>
      </w:r>
      <w:r w:rsidR="00356817">
        <w:rPr>
          <w:lang w:val="fr-FR"/>
        </w:rPr>
        <w:t> </w:t>
      </w:r>
      <w:r>
        <w:rPr>
          <w:lang w:val="fr-FR"/>
        </w:rPr>
        <w:t>décrets et ordonnances présidentiels ont été adoptés entre 2017 et 2021 (voir annexe</w:t>
      </w:r>
      <w:r w:rsidR="00356817">
        <w:rPr>
          <w:lang w:val="fr-FR"/>
        </w:rPr>
        <w:t> </w:t>
      </w:r>
      <w:r>
        <w:rPr>
          <w:lang w:val="fr-FR"/>
        </w:rPr>
        <w:t>1).</w:t>
      </w:r>
    </w:p>
    <w:p w14:paraId="21412D3C" w14:textId="754E31B1"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0B3FC7">
        <w:rPr>
          <w:bCs/>
          <w:lang w:val="fr-FR"/>
        </w:rPr>
        <w:t> </w:t>
      </w:r>
      <w:r>
        <w:rPr>
          <w:bCs/>
          <w:lang w:val="fr-FR"/>
        </w:rPr>
        <w:t>16</w:t>
      </w:r>
      <w:r w:rsidR="000B3FC7">
        <w:rPr>
          <w:bCs/>
          <w:lang w:val="fr-FR"/>
        </w:rPr>
        <w:t> </w:t>
      </w:r>
      <w:r>
        <w:rPr>
          <w:bCs/>
          <w:lang w:val="fr-FR"/>
        </w:rPr>
        <w:t>b) de la liste de points</w:t>
      </w:r>
      <w:r>
        <w:rPr>
          <w:lang w:val="fr-FR"/>
        </w:rPr>
        <w:t xml:space="preserve"> </w:t>
      </w:r>
    </w:p>
    <w:p w14:paraId="5C7127B8" w14:textId="2DDE6D49" w:rsidR="003A454B" w:rsidRPr="00593F42" w:rsidRDefault="003A454B" w:rsidP="003A454B">
      <w:pPr>
        <w:pStyle w:val="SingleTxtG"/>
        <w:rPr>
          <w:iCs/>
        </w:rPr>
      </w:pPr>
      <w:r>
        <w:rPr>
          <w:lang w:val="fr-FR"/>
        </w:rPr>
        <w:t>183.</w:t>
      </w:r>
      <w:r>
        <w:rPr>
          <w:lang w:val="fr-FR"/>
        </w:rPr>
        <w:tab/>
        <w:t>Entre 2019 et 2021, 20 organisations visant à améliorer la situation des enfants ont été créées (voir annexe</w:t>
      </w:r>
      <w:r w:rsidR="00356817">
        <w:rPr>
          <w:lang w:val="fr-FR"/>
        </w:rPr>
        <w:t> </w:t>
      </w:r>
      <w:r>
        <w:rPr>
          <w:lang w:val="fr-FR"/>
        </w:rPr>
        <w:t>2).</w:t>
      </w:r>
    </w:p>
    <w:p w14:paraId="7C0D9E46" w14:textId="3F80CC8A"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0B3FC7">
        <w:rPr>
          <w:bCs/>
          <w:lang w:val="fr-FR"/>
        </w:rPr>
        <w:t> </w:t>
      </w:r>
      <w:r>
        <w:rPr>
          <w:bCs/>
          <w:lang w:val="fr-FR"/>
        </w:rPr>
        <w:t>16</w:t>
      </w:r>
      <w:r w:rsidR="000B3FC7">
        <w:rPr>
          <w:bCs/>
          <w:lang w:val="fr-FR"/>
        </w:rPr>
        <w:t> </w:t>
      </w:r>
      <w:r>
        <w:rPr>
          <w:bCs/>
          <w:lang w:val="fr-FR"/>
        </w:rPr>
        <w:t>c) de la liste de points</w:t>
      </w:r>
      <w:r>
        <w:rPr>
          <w:lang w:val="fr-FR"/>
        </w:rPr>
        <w:t xml:space="preserve"> </w:t>
      </w:r>
    </w:p>
    <w:p w14:paraId="317DDADE" w14:textId="69E133D8" w:rsidR="003A454B" w:rsidRPr="00593F42" w:rsidRDefault="003A454B" w:rsidP="003A454B">
      <w:pPr>
        <w:pStyle w:val="SingleTxtG"/>
      </w:pPr>
      <w:r>
        <w:rPr>
          <w:lang w:val="fr-FR"/>
        </w:rPr>
        <w:t>184.</w:t>
      </w:r>
      <w:r>
        <w:rPr>
          <w:lang w:val="fr-FR"/>
        </w:rPr>
        <w:tab/>
        <w:t>Entre 2019 et 2021, 18 feuilles de route, programmes</w:t>
      </w:r>
      <w:r w:rsidR="000B3FC7">
        <w:rPr>
          <w:lang w:val="fr-FR"/>
        </w:rPr>
        <w:t xml:space="preserve"> et </w:t>
      </w:r>
      <w:r>
        <w:rPr>
          <w:lang w:val="fr-FR"/>
        </w:rPr>
        <w:t>plans d’action ont été adoptés (voir annexe</w:t>
      </w:r>
      <w:r w:rsidR="00356817">
        <w:rPr>
          <w:lang w:val="fr-FR"/>
        </w:rPr>
        <w:t> </w:t>
      </w:r>
      <w:r>
        <w:rPr>
          <w:lang w:val="fr-FR"/>
        </w:rPr>
        <w:t xml:space="preserve">3). </w:t>
      </w:r>
    </w:p>
    <w:p w14:paraId="44423ECE" w14:textId="17888120"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0D0A85">
        <w:rPr>
          <w:bCs/>
          <w:lang w:val="fr-FR"/>
        </w:rPr>
        <w:t> </w:t>
      </w:r>
      <w:r>
        <w:rPr>
          <w:bCs/>
          <w:lang w:val="fr-FR"/>
        </w:rPr>
        <w:t>16</w:t>
      </w:r>
      <w:r w:rsidR="000D0A85">
        <w:rPr>
          <w:bCs/>
          <w:lang w:val="fr-FR"/>
        </w:rPr>
        <w:t> </w:t>
      </w:r>
      <w:r>
        <w:rPr>
          <w:bCs/>
          <w:lang w:val="fr-FR"/>
        </w:rPr>
        <w:t>d) de la liste de points</w:t>
      </w:r>
      <w:r>
        <w:rPr>
          <w:lang w:val="fr-FR"/>
        </w:rPr>
        <w:t xml:space="preserve"> </w:t>
      </w:r>
    </w:p>
    <w:p w14:paraId="3C703B9A" w14:textId="10A08537" w:rsidR="003A454B" w:rsidRPr="00593F42" w:rsidRDefault="003A454B" w:rsidP="003A454B">
      <w:pPr>
        <w:pStyle w:val="SingleTxtG"/>
        <w:rPr>
          <w:b/>
        </w:rPr>
      </w:pPr>
      <w:r>
        <w:rPr>
          <w:lang w:val="fr-FR"/>
        </w:rPr>
        <w:t>185.</w:t>
      </w:r>
      <w:r>
        <w:rPr>
          <w:lang w:val="fr-FR"/>
        </w:rPr>
        <w:tab/>
        <w:t>Entre 2019 et 2021, la République d’Ouzbékistan a ratifié la Convention des Nations</w:t>
      </w:r>
      <w:r w:rsidR="00356817">
        <w:rPr>
          <w:lang w:val="fr-FR"/>
        </w:rPr>
        <w:t> </w:t>
      </w:r>
      <w:r>
        <w:rPr>
          <w:lang w:val="fr-FR"/>
        </w:rPr>
        <w:t>Unies relative aux droits des personnes handicapées et les Conventions n</w:t>
      </w:r>
      <w:r>
        <w:rPr>
          <w:vertAlign w:val="superscript"/>
          <w:lang w:val="fr-FR"/>
        </w:rPr>
        <w:t>os</w:t>
      </w:r>
      <w:r w:rsidR="00356817">
        <w:rPr>
          <w:lang w:val="fr-FR"/>
        </w:rPr>
        <w:t> </w:t>
      </w:r>
      <w:r>
        <w:rPr>
          <w:lang w:val="fr-FR"/>
        </w:rPr>
        <w:t>144, 129, 81 et 187 de l’OIT ainsi que le Protocole relatif à la Convention de 1930 sur le travail forcé (</w:t>
      </w:r>
      <w:r w:rsidR="00356817" w:rsidRPr="00356817">
        <w:rPr>
          <w:rFonts w:eastAsia="MS Mincho"/>
          <w:lang w:val="fr-FR"/>
        </w:rPr>
        <w:t>n</w:t>
      </w:r>
      <w:r w:rsidR="00356817" w:rsidRPr="00356817">
        <w:rPr>
          <w:rFonts w:eastAsia="MS Mincho"/>
          <w:vertAlign w:val="superscript"/>
          <w:lang w:val="fr-FR"/>
        </w:rPr>
        <w:t>o</w:t>
      </w:r>
      <w:r w:rsidR="00356817">
        <w:rPr>
          <w:lang w:val="fr-FR"/>
        </w:rPr>
        <w:t> </w:t>
      </w:r>
      <w:r>
        <w:rPr>
          <w:lang w:val="fr-FR"/>
        </w:rPr>
        <w:t>29) de l’OIT (Genève, 11</w:t>
      </w:r>
      <w:r w:rsidR="00356817">
        <w:rPr>
          <w:lang w:val="fr-FR"/>
        </w:rPr>
        <w:t> </w:t>
      </w:r>
      <w:r>
        <w:rPr>
          <w:lang w:val="fr-FR"/>
        </w:rPr>
        <w:t xml:space="preserve">juin 2014). </w:t>
      </w:r>
    </w:p>
    <w:p w14:paraId="38AB69D3" w14:textId="77777777" w:rsidR="003A454B" w:rsidRPr="00593F42" w:rsidRDefault="003A454B" w:rsidP="00356817">
      <w:pPr>
        <w:pStyle w:val="H1G"/>
      </w:pPr>
      <w:r>
        <w:rPr>
          <w:lang w:val="fr-FR"/>
        </w:rPr>
        <w:lastRenderedPageBreak/>
        <w:tab/>
      </w:r>
      <w:r>
        <w:rPr>
          <w:lang w:val="fr-FR"/>
        </w:rPr>
        <w:tab/>
        <w:t>Troisième partie</w:t>
      </w:r>
    </w:p>
    <w:p w14:paraId="23078631" w14:textId="0C39C5E5" w:rsidR="003A454B" w:rsidRPr="00593F42" w:rsidRDefault="003A454B" w:rsidP="00356817">
      <w:pPr>
        <w:pStyle w:val="H23G"/>
        <w:rPr>
          <w:i/>
        </w:rPr>
      </w:pPr>
      <w:r>
        <w:rPr>
          <w:lang w:val="fr-FR"/>
        </w:rPr>
        <w:tab/>
      </w:r>
      <w:r>
        <w:rPr>
          <w:lang w:val="fr-FR"/>
        </w:rPr>
        <w:tab/>
      </w:r>
      <w:r>
        <w:rPr>
          <w:lang w:val="fr-FR"/>
        </w:rPr>
        <w:tab/>
        <w:t>Renseignements concernant le paragraphe</w:t>
      </w:r>
      <w:r w:rsidR="000D0A85">
        <w:rPr>
          <w:lang w:val="fr-FR"/>
        </w:rPr>
        <w:t> </w:t>
      </w:r>
      <w:r>
        <w:rPr>
          <w:lang w:val="fr-FR"/>
        </w:rPr>
        <w:t xml:space="preserve">17 de la liste de points </w:t>
      </w:r>
    </w:p>
    <w:p w14:paraId="72B3C4AA" w14:textId="636A90B0" w:rsidR="003A454B" w:rsidRPr="00593F42" w:rsidRDefault="003A454B" w:rsidP="003A454B">
      <w:pPr>
        <w:pStyle w:val="SingleTxtG"/>
      </w:pPr>
      <w:r>
        <w:rPr>
          <w:lang w:val="fr-FR"/>
        </w:rPr>
        <w:t>186.</w:t>
      </w:r>
      <w:r>
        <w:rPr>
          <w:lang w:val="fr-FR"/>
        </w:rPr>
        <w:tab/>
        <w:t>On trouvera dans le tableau ci-après des données sur le budget de la République d’Ouzbékistan</w:t>
      </w:r>
      <w:r w:rsidR="005579CA">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4353"/>
        <w:gridCol w:w="1040"/>
        <w:gridCol w:w="1040"/>
        <w:gridCol w:w="937"/>
      </w:tblGrid>
      <w:tr w:rsidR="00967A0D" w:rsidRPr="00967A0D" w14:paraId="60B2A656" w14:textId="77777777" w:rsidTr="00967A0D">
        <w:trPr>
          <w:tblHeader/>
        </w:trPr>
        <w:tc>
          <w:tcPr>
            <w:tcW w:w="4353" w:type="dxa"/>
            <w:tcBorders>
              <w:top w:val="single" w:sz="4" w:space="0" w:color="auto"/>
              <w:bottom w:val="single" w:sz="12" w:space="0" w:color="auto"/>
            </w:tcBorders>
            <w:shd w:val="clear" w:color="auto" w:fill="auto"/>
            <w:vAlign w:val="bottom"/>
          </w:tcPr>
          <w:p w14:paraId="758C96CE" w14:textId="77777777" w:rsidR="003A454B" w:rsidRPr="00967A0D" w:rsidRDefault="003A454B" w:rsidP="00967A0D">
            <w:pPr>
              <w:suppressAutoHyphens w:val="0"/>
              <w:spacing w:before="80" w:after="80" w:line="200" w:lineRule="exact"/>
              <w:rPr>
                <w:i/>
                <w:sz w:val="16"/>
              </w:rPr>
            </w:pPr>
          </w:p>
        </w:tc>
        <w:tc>
          <w:tcPr>
            <w:tcW w:w="1040" w:type="dxa"/>
            <w:tcBorders>
              <w:top w:val="single" w:sz="4" w:space="0" w:color="auto"/>
              <w:bottom w:val="single" w:sz="12" w:space="0" w:color="auto"/>
            </w:tcBorders>
            <w:shd w:val="clear" w:color="auto" w:fill="auto"/>
            <w:vAlign w:val="bottom"/>
          </w:tcPr>
          <w:p w14:paraId="2D825027" w14:textId="0D0A94A7" w:rsidR="003A454B" w:rsidRPr="00967A0D" w:rsidRDefault="003A454B" w:rsidP="00967A0D">
            <w:pPr>
              <w:suppressAutoHyphens w:val="0"/>
              <w:spacing w:before="80" w:after="80" w:line="200" w:lineRule="exact"/>
              <w:jc w:val="right"/>
              <w:rPr>
                <w:i/>
                <w:sz w:val="16"/>
              </w:rPr>
            </w:pPr>
            <w:r w:rsidRPr="00967A0D">
              <w:rPr>
                <w:i/>
                <w:iCs/>
                <w:sz w:val="16"/>
                <w:lang w:val="fr-FR"/>
              </w:rPr>
              <w:t>2019</w:t>
            </w:r>
          </w:p>
        </w:tc>
        <w:tc>
          <w:tcPr>
            <w:tcW w:w="1040" w:type="dxa"/>
            <w:tcBorders>
              <w:top w:val="single" w:sz="4" w:space="0" w:color="auto"/>
              <w:bottom w:val="single" w:sz="12" w:space="0" w:color="auto"/>
            </w:tcBorders>
            <w:shd w:val="clear" w:color="auto" w:fill="auto"/>
            <w:vAlign w:val="bottom"/>
          </w:tcPr>
          <w:p w14:paraId="7B49B09F" w14:textId="77777777" w:rsidR="003A454B" w:rsidRPr="00967A0D" w:rsidRDefault="003A454B" w:rsidP="00967A0D">
            <w:pPr>
              <w:suppressAutoHyphens w:val="0"/>
              <w:spacing w:before="80" w:after="80" w:line="200" w:lineRule="exact"/>
              <w:jc w:val="right"/>
              <w:rPr>
                <w:i/>
                <w:sz w:val="16"/>
              </w:rPr>
            </w:pPr>
            <w:r w:rsidRPr="00967A0D">
              <w:rPr>
                <w:i/>
                <w:iCs/>
                <w:sz w:val="16"/>
                <w:lang w:val="fr-FR"/>
              </w:rPr>
              <w:t>2020</w:t>
            </w:r>
            <w:r w:rsidRPr="00967A0D">
              <w:rPr>
                <w:i/>
                <w:sz w:val="16"/>
                <w:lang w:val="fr-FR"/>
              </w:rPr>
              <w:t xml:space="preserve"> </w:t>
            </w:r>
          </w:p>
        </w:tc>
        <w:tc>
          <w:tcPr>
            <w:tcW w:w="937" w:type="dxa"/>
            <w:tcBorders>
              <w:top w:val="single" w:sz="4" w:space="0" w:color="auto"/>
              <w:bottom w:val="single" w:sz="12" w:space="0" w:color="auto"/>
            </w:tcBorders>
            <w:shd w:val="clear" w:color="auto" w:fill="auto"/>
            <w:vAlign w:val="bottom"/>
          </w:tcPr>
          <w:p w14:paraId="70A763F5" w14:textId="5A99B0A9" w:rsidR="003A454B" w:rsidRPr="00967A0D" w:rsidRDefault="003A454B" w:rsidP="00967A0D">
            <w:pPr>
              <w:suppressAutoHyphens w:val="0"/>
              <w:spacing w:before="80" w:after="80" w:line="200" w:lineRule="exact"/>
              <w:jc w:val="right"/>
              <w:rPr>
                <w:i/>
                <w:sz w:val="16"/>
              </w:rPr>
            </w:pPr>
            <w:r w:rsidRPr="00967A0D">
              <w:rPr>
                <w:i/>
                <w:iCs/>
                <w:sz w:val="16"/>
                <w:lang w:val="fr-FR"/>
              </w:rPr>
              <w:t>2021</w:t>
            </w:r>
            <w:r w:rsidR="00967A0D">
              <w:rPr>
                <w:i/>
                <w:sz w:val="16"/>
              </w:rPr>
              <w:br/>
            </w:r>
            <w:r w:rsidRPr="00967A0D">
              <w:rPr>
                <w:i/>
                <w:iCs/>
                <w:sz w:val="16"/>
                <w:lang w:val="fr-FR"/>
              </w:rPr>
              <w:t>(projections)</w:t>
            </w:r>
          </w:p>
        </w:tc>
      </w:tr>
      <w:tr w:rsidR="00FB110F" w:rsidRPr="00967A0D" w14:paraId="7ECD7F41" w14:textId="77777777" w:rsidTr="00482A38">
        <w:tc>
          <w:tcPr>
            <w:tcW w:w="4353" w:type="dxa"/>
            <w:tcBorders>
              <w:top w:val="single" w:sz="4" w:space="0" w:color="auto"/>
              <w:bottom w:val="single" w:sz="12" w:space="0" w:color="auto"/>
            </w:tcBorders>
            <w:shd w:val="clear" w:color="auto" w:fill="auto"/>
          </w:tcPr>
          <w:p w14:paraId="60E0A3BF" w14:textId="77777777" w:rsidR="00FB110F" w:rsidRPr="00967A0D" w:rsidRDefault="00FB110F" w:rsidP="00482A38">
            <w:pPr>
              <w:suppressAutoHyphens w:val="0"/>
              <w:spacing w:before="40" w:after="40" w:line="220" w:lineRule="exact"/>
              <w:ind w:left="284"/>
              <w:rPr>
                <w:b/>
                <w:sz w:val="18"/>
              </w:rPr>
            </w:pPr>
            <w:r w:rsidRPr="00967A0D">
              <w:rPr>
                <w:b/>
                <w:bCs/>
                <w:sz w:val="18"/>
                <w:lang w:val="fr-FR"/>
              </w:rPr>
              <w:t>Dépenses (hors fonds d’affectation spéciale)</w:t>
            </w:r>
            <w:r>
              <w:rPr>
                <w:b/>
                <w:bCs/>
                <w:sz w:val="18"/>
                <w:lang w:val="fr-FR"/>
              </w:rPr>
              <w:br/>
            </w:r>
            <w:r w:rsidRPr="00967A0D">
              <w:rPr>
                <w:b/>
                <w:bCs/>
                <w:sz w:val="18"/>
                <w:lang w:val="fr-FR"/>
              </w:rPr>
              <w:t>TOTAL</w:t>
            </w:r>
          </w:p>
        </w:tc>
        <w:tc>
          <w:tcPr>
            <w:tcW w:w="1040" w:type="dxa"/>
            <w:tcBorders>
              <w:top w:val="single" w:sz="4" w:space="0" w:color="auto"/>
              <w:bottom w:val="single" w:sz="12" w:space="0" w:color="auto"/>
            </w:tcBorders>
            <w:shd w:val="clear" w:color="auto" w:fill="auto"/>
            <w:vAlign w:val="bottom"/>
          </w:tcPr>
          <w:p w14:paraId="24F6CEB9" w14:textId="77777777" w:rsidR="00FB110F" w:rsidRPr="00967A0D" w:rsidRDefault="00FB110F" w:rsidP="00482A38">
            <w:pPr>
              <w:suppressAutoHyphens w:val="0"/>
              <w:spacing w:before="40" w:after="40" w:line="220" w:lineRule="exact"/>
              <w:jc w:val="right"/>
              <w:rPr>
                <w:b/>
                <w:sz w:val="18"/>
              </w:rPr>
            </w:pPr>
            <w:r w:rsidRPr="00967A0D">
              <w:rPr>
                <w:b/>
                <w:bCs/>
                <w:sz w:val="18"/>
                <w:lang w:val="fr-FR"/>
              </w:rPr>
              <w:t>118 008,7</w:t>
            </w:r>
          </w:p>
        </w:tc>
        <w:tc>
          <w:tcPr>
            <w:tcW w:w="1040" w:type="dxa"/>
            <w:tcBorders>
              <w:top w:val="single" w:sz="4" w:space="0" w:color="auto"/>
              <w:bottom w:val="single" w:sz="12" w:space="0" w:color="auto"/>
            </w:tcBorders>
            <w:shd w:val="clear" w:color="auto" w:fill="auto"/>
            <w:vAlign w:val="bottom"/>
          </w:tcPr>
          <w:p w14:paraId="2B655E1C" w14:textId="77777777" w:rsidR="00FB110F" w:rsidRPr="00967A0D" w:rsidRDefault="00FB110F" w:rsidP="00482A38">
            <w:pPr>
              <w:suppressAutoHyphens w:val="0"/>
              <w:spacing w:before="40" w:after="40" w:line="220" w:lineRule="exact"/>
              <w:jc w:val="right"/>
              <w:rPr>
                <w:b/>
                <w:sz w:val="18"/>
              </w:rPr>
            </w:pPr>
            <w:r w:rsidRPr="00967A0D">
              <w:rPr>
                <w:b/>
                <w:bCs/>
                <w:sz w:val="18"/>
                <w:lang w:val="fr-FR"/>
              </w:rPr>
              <w:t>144 142,7</w:t>
            </w:r>
          </w:p>
        </w:tc>
        <w:tc>
          <w:tcPr>
            <w:tcW w:w="937" w:type="dxa"/>
            <w:tcBorders>
              <w:top w:val="single" w:sz="4" w:space="0" w:color="auto"/>
              <w:bottom w:val="single" w:sz="12" w:space="0" w:color="auto"/>
            </w:tcBorders>
            <w:shd w:val="clear" w:color="auto" w:fill="auto"/>
            <w:vAlign w:val="bottom"/>
          </w:tcPr>
          <w:p w14:paraId="6AD815E9" w14:textId="77777777" w:rsidR="00FB110F" w:rsidRPr="00967A0D" w:rsidRDefault="00FB110F" w:rsidP="00482A38">
            <w:pPr>
              <w:suppressAutoHyphens w:val="0"/>
              <w:spacing w:before="40" w:after="40" w:line="220" w:lineRule="exact"/>
              <w:jc w:val="right"/>
              <w:rPr>
                <w:b/>
                <w:sz w:val="18"/>
              </w:rPr>
            </w:pPr>
            <w:r w:rsidRPr="00967A0D">
              <w:rPr>
                <w:b/>
                <w:bCs/>
                <w:sz w:val="18"/>
                <w:lang w:val="fr-FR"/>
              </w:rPr>
              <w:t>187 607</w:t>
            </w:r>
          </w:p>
        </w:tc>
      </w:tr>
      <w:tr w:rsidR="003A454B" w:rsidRPr="00967A0D" w14:paraId="227DE50A" w14:textId="77777777" w:rsidTr="00967A0D">
        <w:tc>
          <w:tcPr>
            <w:tcW w:w="4353" w:type="dxa"/>
            <w:shd w:val="clear" w:color="auto" w:fill="auto"/>
          </w:tcPr>
          <w:p w14:paraId="0BEA3AE9" w14:textId="77777777" w:rsidR="003A454B" w:rsidRPr="00967A0D" w:rsidRDefault="003A454B" w:rsidP="00967A0D">
            <w:pPr>
              <w:suppressAutoHyphens w:val="0"/>
              <w:spacing w:before="40" w:after="40" w:line="220" w:lineRule="exact"/>
              <w:rPr>
                <w:sz w:val="18"/>
              </w:rPr>
            </w:pPr>
            <w:r w:rsidRPr="00967A0D">
              <w:rPr>
                <w:sz w:val="18"/>
                <w:lang w:val="fr-FR"/>
              </w:rPr>
              <w:t xml:space="preserve">Dépenses sociales </w:t>
            </w:r>
          </w:p>
        </w:tc>
        <w:tc>
          <w:tcPr>
            <w:tcW w:w="1040" w:type="dxa"/>
            <w:shd w:val="clear" w:color="auto" w:fill="auto"/>
            <w:vAlign w:val="bottom"/>
          </w:tcPr>
          <w:p w14:paraId="33E2B657" w14:textId="77777777" w:rsidR="003A454B" w:rsidRPr="00967A0D" w:rsidRDefault="003A454B" w:rsidP="00967A0D">
            <w:pPr>
              <w:suppressAutoHyphens w:val="0"/>
              <w:spacing w:before="40" w:after="40" w:line="220" w:lineRule="exact"/>
              <w:jc w:val="right"/>
              <w:rPr>
                <w:sz w:val="18"/>
              </w:rPr>
            </w:pPr>
            <w:r w:rsidRPr="00967A0D">
              <w:rPr>
                <w:sz w:val="18"/>
                <w:lang w:val="fr-FR"/>
              </w:rPr>
              <w:t>63 542,4</w:t>
            </w:r>
          </w:p>
        </w:tc>
        <w:tc>
          <w:tcPr>
            <w:tcW w:w="1040" w:type="dxa"/>
            <w:shd w:val="clear" w:color="auto" w:fill="auto"/>
            <w:vAlign w:val="bottom"/>
          </w:tcPr>
          <w:p w14:paraId="1B79FC34" w14:textId="77777777" w:rsidR="003A454B" w:rsidRPr="00967A0D" w:rsidRDefault="003A454B" w:rsidP="00967A0D">
            <w:pPr>
              <w:suppressAutoHyphens w:val="0"/>
              <w:spacing w:before="40" w:after="40" w:line="220" w:lineRule="exact"/>
              <w:jc w:val="right"/>
              <w:rPr>
                <w:sz w:val="18"/>
              </w:rPr>
            </w:pPr>
            <w:r w:rsidRPr="00967A0D">
              <w:rPr>
                <w:sz w:val="18"/>
                <w:lang w:val="fr-FR"/>
              </w:rPr>
              <w:t>74 231,8</w:t>
            </w:r>
          </w:p>
        </w:tc>
        <w:tc>
          <w:tcPr>
            <w:tcW w:w="937" w:type="dxa"/>
            <w:shd w:val="clear" w:color="auto" w:fill="auto"/>
            <w:vAlign w:val="bottom"/>
          </w:tcPr>
          <w:p w14:paraId="31CD0D24" w14:textId="77777777" w:rsidR="003A454B" w:rsidRPr="00967A0D" w:rsidRDefault="003A454B" w:rsidP="00967A0D">
            <w:pPr>
              <w:suppressAutoHyphens w:val="0"/>
              <w:spacing w:before="40" w:after="40" w:line="220" w:lineRule="exact"/>
              <w:jc w:val="right"/>
              <w:rPr>
                <w:sz w:val="18"/>
              </w:rPr>
            </w:pPr>
            <w:r w:rsidRPr="00967A0D">
              <w:rPr>
                <w:sz w:val="18"/>
                <w:lang w:val="fr-FR"/>
              </w:rPr>
              <w:t>91 694,4</w:t>
            </w:r>
          </w:p>
        </w:tc>
      </w:tr>
      <w:tr w:rsidR="003A454B" w:rsidRPr="00967A0D" w14:paraId="361B3124" w14:textId="77777777" w:rsidTr="00967A0D">
        <w:tc>
          <w:tcPr>
            <w:tcW w:w="4353" w:type="dxa"/>
            <w:shd w:val="clear" w:color="auto" w:fill="auto"/>
          </w:tcPr>
          <w:p w14:paraId="52C864A2" w14:textId="77777777" w:rsidR="003A454B" w:rsidRPr="00967A0D" w:rsidRDefault="003A454B" w:rsidP="00967A0D">
            <w:pPr>
              <w:suppressAutoHyphens w:val="0"/>
              <w:spacing w:before="40" w:after="40" w:line="220" w:lineRule="exact"/>
              <w:rPr>
                <w:sz w:val="18"/>
              </w:rPr>
            </w:pPr>
            <w:r w:rsidRPr="00967A0D">
              <w:rPr>
                <w:sz w:val="18"/>
                <w:lang w:val="fr-FR"/>
              </w:rPr>
              <w:t xml:space="preserve">Domaine social et protection sociale de la population </w:t>
            </w:r>
          </w:p>
        </w:tc>
        <w:tc>
          <w:tcPr>
            <w:tcW w:w="1040" w:type="dxa"/>
            <w:shd w:val="clear" w:color="auto" w:fill="auto"/>
            <w:vAlign w:val="bottom"/>
          </w:tcPr>
          <w:p w14:paraId="6CC976F0" w14:textId="77777777" w:rsidR="003A454B" w:rsidRPr="00967A0D" w:rsidRDefault="003A454B" w:rsidP="00967A0D">
            <w:pPr>
              <w:suppressAutoHyphens w:val="0"/>
              <w:spacing w:before="40" w:after="40" w:line="220" w:lineRule="exact"/>
              <w:jc w:val="right"/>
              <w:rPr>
                <w:sz w:val="18"/>
              </w:rPr>
            </w:pPr>
            <w:r w:rsidRPr="00967A0D">
              <w:rPr>
                <w:sz w:val="18"/>
                <w:lang w:val="fr-FR"/>
              </w:rPr>
              <w:t>59 416,7</w:t>
            </w:r>
          </w:p>
        </w:tc>
        <w:tc>
          <w:tcPr>
            <w:tcW w:w="1040" w:type="dxa"/>
            <w:shd w:val="clear" w:color="auto" w:fill="auto"/>
            <w:vAlign w:val="bottom"/>
          </w:tcPr>
          <w:p w14:paraId="07E4B819" w14:textId="77777777" w:rsidR="003A454B" w:rsidRPr="00967A0D" w:rsidRDefault="003A454B" w:rsidP="00967A0D">
            <w:pPr>
              <w:suppressAutoHyphens w:val="0"/>
              <w:spacing w:before="40" w:after="40" w:line="220" w:lineRule="exact"/>
              <w:jc w:val="right"/>
              <w:rPr>
                <w:sz w:val="18"/>
              </w:rPr>
            </w:pPr>
            <w:r w:rsidRPr="00967A0D">
              <w:rPr>
                <w:sz w:val="18"/>
                <w:lang w:val="fr-FR"/>
              </w:rPr>
              <w:t>63 176,7</w:t>
            </w:r>
          </w:p>
        </w:tc>
        <w:tc>
          <w:tcPr>
            <w:tcW w:w="937" w:type="dxa"/>
            <w:shd w:val="clear" w:color="auto" w:fill="auto"/>
            <w:vAlign w:val="bottom"/>
          </w:tcPr>
          <w:p w14:paraId="6C774190" w14:textId="77777777" w:rsidR="003A454B" w:rsidRPr="00967A0D" w:rsidRDefault="003A454B" w:rsidP="00967A0D">
            <w:pPr>
              <w:suppressAutoHyphens w:val="0"/>
              <w:spacing w:before="40" w:after="40" w:line="220" w:lineRule="exact"/>
              <w:jc w:val="right"/>
              <w:rPr>
                <w:sz w:val="18"/>
              </w:rPr>
            </w:pPr>
            <w:r w:rsidRPr="00967A0D">
              <w:rPr>
                <w:sz w:val="18"/>
                <w:lang w:val="fr-FR"/>
              </w:rPr>
              <w:t>75 241,2</w:t>
            </w:r>
          </w:p>
        </w:tc>
      </w:tr>
      <w:tr w:rsidR="003A454B" w:rsidRPr="00967A0D" w14:paraId="3BE01C6A" w14:textId="77777777" w:rsidTr="00967A0D">
        <w:tc>
          <w:tcPr>
            <w:tcW w:w="4353" w:type="dxa"/>
            <w:shd w:val="clear" w:color="auto" w:fill="auto"/>
          </w:tcPr>
          <w:p w14:paraId="4C39076C" w14:textId="77777777" w:rsidR="003A454B" w:rsidRPr="00967A0D" w:rsidRDefault="003A454B" w:rsidP="00967A0D">
            <w:pPr>
              <w:suppressAutoHyphens w:val="0"/>
              <w:spacing w:before="40" w:after="40" w:line="220" w:lineRule="exact"/>
              <w:rPr>
                <w:sz w:val="18"/>
              </w:rPr>
            </w:pPr>
            <w:r w:rsidRPr="00967A0D">
              <w:rPr>
                <w:sz w:val="18"/>
                <w:lang w:val="fr-FR"/>
              </w:rPr>
              <w:t xml:space="preserve">Éducation </w:t>
            </w:r>
          </w:p>
        </w:tc>
        <w:tc>
          <w:tcPr>
            <w:tcW w:w="1040" w:type="dxa"/>
            <w:shd w:val="clear" w:color="auto" w:fill="auto"/>
            <w:vAlign w:val="bottom"/>
          </w:tcPr>
          <w:p w14:paraId="42DE8FCD" w14:textId="77777777" w:rsidR="003A454B" w:rsidRPr="00967A0D" w:rsidRDefault="003A454B" w:rsidP="00967A0D">
            <w:pPr>
              <w:suppressAutoHyphens w:val="0"/>
              <w:spacing w:before="40" w:after="40" w:line="220" w:lineRule="exact"/>
              <w:jc w:val="right"/>
              <w:rPr>
                <w:sz w:val="18"/>
              </w:rPr>
            </w:pPr>
            <w:r w:rsidRPr="00967A0D">
              <w:rPr>
                <w:sz w:val="18"/>
                <w:lang w:val="fr-FR"/>
              </w:rPr>
              <w:t>33 536,1</w:t>
            </w:r>
          </w:p>
        </w:tc>
        <w:tc>
          <w:tcPr>
            <w:tcW w:w="1040" w:type="dxa"/>
            <w:shd w:val="clear" w:color="auto" w:fill="auto"/>
            <w:vAlign w:val="bottom"/>
          </w:tcPr>
          <w:p w14:paraId="6F3F95F1" w14:textId="77777777" w:rsidR="003A454B" w:rsidRPr="00967A0D" w:rsidRDefault="003A454B" w:rsidP="00967A0D">
            <w:pPr>
              <w:suppressAutoHyphens w:val="0"/>
              <w:spacing w:before="40" w:after="40" w:line="220" w:lineRule="exact"/>
              <w:jc w:val="right"/>
              <w:rPr>
                <w:sz w:val="18"/>
              </w:rPr>
            </w:pPr>
            <w:r w:rsidRPr="00967A0D">
              <w:rPr>
                <w:sz w:val="18"/>
                <w:lang w:val="fr-FR"/>
              </w:rPr>
              <w:t>29 961,1</w:t>
            </w:r>
          </w:p>
        </w:tc>
        <w:tc>
          <w:tcPr>
            <w:tcW w:w="937" w:type="dxa"/>
            <w:shd w:val="clear" w:color="auto" w:fill="auto"/>
            <w:vAlign w:val="bottom"/>
          </w:tcPr>
          <w:p w14:paraId="75684305" w14:textId="77777777" w:rsidR="003A454B" w:rsidRPr="00967A0D" w:rsidRDefault="003A454B" w:rsidP="00967A0D">
            <w:pPr>
              <w:suppressAutoHyphens w:val="0"/>
              <w:spacing w:before="40" w:after="40" w:line="220" w:lineRule="exact"/>
              <w:jc w:val="right"/>
              <w:rPr>
                <w:sz w:val="18"/>
              </w:rPr>
            </w:pPr>
            <w:r w:rsidRPr="00967A0D">
              <w:rPr>
                <w:sz w:val="18"/>
                <w:lang w:val="fr-FR"/>
              </w:rPr>
              <w:t>37 588,7</w:t>
            </w:r>
          </w:p>
        </w:tc>
      </w:tr>
      <w:tr w:rsidR="003A454B" w:rsidRPr="00967A0D" w14:paraId="2A829945" w14:textId="77777777" w:rsidTr="00967A0D">
        <w:tc>
          <w:tcPr>
            <w:tcW w:w="4353" w:type="dxa"/>
            <w:shd w:val="clear" w:color="auto" w:fill="auto"/>
          </w:tcPr>
          <w:p w14:paraId="1FAEE341" w14:textId="77777777" w:rsidR="003A454B" w:rsidRPr="00967A0D" w:rsidRDefault="003A454B" w:rsidP="00967A0D">
            <w:pPr>
              <w:suppressAutoHyphens w:val="0"/>
              <w:spacing w:before="40" w:after="40" w:line="220" w:lineRule="exact"/>
              <w:rPr>
                <w:sz w:val="18"/>
              </w:rPr>
            </w:pPr>
            <w:r w:rsidRPr="00967A0D">
              <w:rPr>
                <w:sz w:val="18"/>
                <w:lang w:val="fr-FR"/>
              </w:rPr>
              <w:t>Soins de santé</w:t>
            </w:r>
          </w:p>
        </w:tc>
        <w:tc>
          <w:tcPr>
            <w:tcW w:w="1040" w:type="dxa"/>
            <w:shd w:val="clear" w:color="auto" w:fill="auto"/>
            <w:vAlign w:val="bottom"/>
          </w:tcPr>
          <w:p w14:paraId="1350F8CD" w14:textId="77777777" w:rsidR="003A454B" w:rsidRPr="00967A0D" w:rsidRDefault="003A454B" w:rsidP="00967A0D">
            <w:pPr>
              <w:suppressAutoHyphens w:val="0"/>
              <w:spacing w:before="40" w:after="40" w:line="220" w:lineRule="exact"/>
              <w:jc w:val="right"/>
              <w:rPr>
                <w:sz w:val="18"/>
              </w:rPr>
            </w:pPr>
            <w:r w:rsidRPr="00967A0D">
              <w:rPr>
                <w:sz w:val="18"/>
                <w:lang w:val="fr-FR"/>
              </w:rPr>
              <w:t>14 977,4</w:t>
            </w:r>
          </w:p>
        </w:tc>
        <w:tc>
          <w:tcPr>
            <w:tcW w:w="1040" w:type="dxa"/>
            <w:shd w:val="clear" w:color="auto" w:fill="auto"/>
            <w:vAlign w:val="bottom"/>
          </w:tcPr>
          <w:p w14:paraId="24658F31" w14:textId="77777777" w:rsidR="003A454B" w:rsidRPr="00967A0D" w:rsidRDefault="003A454B" w:rsidP="00967A0D">
            <w:pPr>
              <w:suppressAutoHyphens w:val="0"/>
              <w:spacing w:before="40" w:after="40" w:line="220" w:lineRule="exact"/>
              <w:jc w:val="right"/>
              <w:rPr>
                <w:sz w:val="18"/>
              </w:rPr>
            </w:pPr>
            <w:r w:rsidRPr="00967A0D">
              <w:rPr>
                <w:sz w:val="18"/>
                <w:lang w:val="fr-FR"/>
              </w:rPr>
              <w:t>19 397,2</w:t>
            </w:r>
          </w:p>
        </w:tc>
        <w:tc>
          <w:tcPr>
            <w:tcW w:w="937" w:type="dxa"/>
            <w:shd w:val="clear" w:color="auto" w:fill="auto"/>
            <w:vAlign w:val="bottom"/>
          </w:tcPr>
          <w:p w14:paraId="6732FF8C" w14:textId="77777777" w:rsidR="003A454B" w:rsidRPr="00967A0D" w:rsidRDefault="003A454B" w:rsidP="00967A0D">
            <w:pPr>
              <w:suppressAutoHyphens w:val="0"/>
              <w:spacing w:before="40" w:after="40" w:line="220" w:lineRule="exact"/>
              <w:jc w:val="right"/>
              <w:rPr>
                <w:sz w:val="18"/>
              </w:rPr>
            </w:pPr>
            <w:r w:rsidRPr="00967A0D">
              <w:rPr>
                <w:sz w:val="18"/>
                <w:lang w:val="fr-FR"/>
              </w:rPr>
              <w:t>21 795,1</w:t>
            </w:r>
          </w:p>
        </w:tc>
      </w:tr>
      <w:tr w:rsidR="003A454B" w:rsidRPr="00967A0D" w14:paraId="77F1B9B1" w14:textId="77777777" w:rsidTr="00967A0D">
        <w:tc>
          <w:tcPr>
            <w:tcW w:w="4353" w:type="dxa"/>
            <w:shd w:val="clear" w:color="auto" w:fill="auto"/>
          </w:tcPr>
          <w:p w14:paraId="6F3EA5C2" w14:textId="77777777" w:rsidR="003A454B" w:rsidRPr="00967A0D" w:rsidRDefault="003A454B" w:rsidP="00967A0D">
            <w:pPr>
              <w:suppressAutoHyphens w:val="0"/>
              <w:spacing w:before="40" w:after="40" w:line="220" w:lineRule="exact"/>
              <w:rPr>
                <w:sz w:val="18"/>
              </w:rPr>
            </w:pPr>
            <w:r w:rsidRPr="00967A0D">
              <w:rPr>
                <w:sz w:val="18"/>
                <w:lang w:val="fr-FR"/>
              </w:rPr>
              <w:t xml:space="preserve">Culture et sport </w:t>
            </w:r>
          </w:p>
        </w:tc>
        <w:tc>
          <w:tcPr>
            <w:tcW w:w="1040" w:type="dxa"/>
            <w:shd w:val="clear" w:color="auto" w:fill="auto"/>
            <w:vAlign w:val="bottom"/>
          </w:tcPr>
          <w:p w14:paraId="5169FE6F" w14:textId="77777777" w:rsidR="003A454B" w:rsidRPr="00967A0D" w:rsidRDefault="003A454B" w:rsidP="00967A0D">
            <w:pPr>
              <w:suppressAutoHyphens w:val="0"/>
              <w:spacing w:before="40" w:after="40" w:line="220" w:lineRule="exact"/>
              <w:jc w:val="right"/>
              <w:rPr>
                <w:sz w:val="18"/>
              </w:rPr>
            </w:pPr>
            <w:r w:rsidRPr="00967A0D">
              <w:rPr>
                <w:sz w:val="18"/>
                <w:lang w:val="fr-FR"/>
              </w:rPr>
              <w:t>2 417,3</w:t>
            </w:r>
          </w:p>
        </w:tc>
        <w:tc>
          <w:tcPr>
            <w:tcW w:w="1040" w:type="dxa"/>
            <w:shd w:val="clear" w:color="auto" w:fill="auto"/>
            <w:vAlign w:val="bottom"/>
          </w:tcPr>
          <w:p w14:paraId="6A52C502" w14:textId="77777777" w:rsidR="003A454B" w:rsidRPr="00967A0D" w:rsidRDefault="003A454B" w:rsidP="00967A0D">
            <w:pPr>
              <w:suppressAutoHyphens w:val="0"/>
              <w:spacing w:before="40" w:after="40" w:line="220" w:lineRule="exact"/>
              <w:jc w:val="right"/>
              <w:rPr>
                <w:sz w:val="18"/>
              </w:rPr>
            </w:pPr>
            <w:r w:rsidRPr="00967A0D">
              <w:rPr>
                <w:sz w:val="18"/>
                <w:lang w:val="fr-FR"/>
              </w:rPr>
              <w:t>2 340,7</w:t>
            </w:r>
          </w:p>
        </w:tc>
        <w:tc>
          <w:tcPr>
            <w:tcW w:w="937" w:type="dxa"/>
            <w:shd w:val="clear" w:color="auto" w:fill="auto"/>
            <w:vAlign w:val="bottom"/>
          </w:tcPr>
          <w:p w14:paraId="045CD205" w14:textId="77777777" w:rsidR="003A454B" w:rsidRPr="00967A0D" w:rsidRDefault="003A454B" w:rsidP="00967A0D">
            <w:pPr>
              <w:suppressAutoHyphens w:val="0"/>
              <w:spacing w:before="40" w:after="40" w:line="220" w:lineRule="exact"/>
              <w:jc w:val="right"/>
              <w:rPr>
                <w:sz w:val="18"/>
              </w:rPr>
            </w:pPr>
            <w:r w:rsidRPr="00967A0D">
              <w:rPr>
                <w:sz w:val="18"/>
                <w:lang w:val="fr-FR"/>
              </w:rPr>
              <w:t>2 601,3</w:t>
            </w:r>
          </w:p>
        </w:tc>
      </w:tr>
      <w:tr w:rsidR="003A454B" w:rsidRPr="00967A0D" w14:paraId="16916ACC" w14:textId="77777777" w:rsidTr="00967A0D">
        <w:tc>
          <w:tcPr>
            <w:tcW w:w="4353" w:type="dxa"/>
            <w:shd w:val="clear" w:color="auto" w:fill="auto"/>
          </w:tcPr>
          <w:p w14:paraId="0F6DBE21" w14:textId="77777777" w:rsidR="003A454B" w:rsidRPr="00967A0D" w:rsidRDefault="003A454B" w:rsidP="00967A0D">
            <w:pPr>
              <w:suppressAutoHyphens w:val="0"/>
              <w:spacing w:before="40" w:after="40" w:line="220" w:lineRule="exact"/>
              <w:rPr>
                <w:sz w:val="18"/>
              </w:rPr>
            </w:pPr>
            <w:r w:rsidRPr="00967A0D">
              <w:rPr>
                <w:sz w:val="18"/>
                <w:lang w:val="fr-FR"/>
              </w:rPr>
              <w:t xml:space="preserve">Sciences </w:t>
            </w:r>
          </w:p>
        </w:tc>
        <w:tc>
          <w:tcPr>
            <w:tcW w:w="1040" w:type="dxa"/>
            <w:shd w:val="clear" w:color="auto" w:fill="auto"/>
            <w:vAlign w:val="bottom"/>
          </w:tcPr>
          <w:p w14:paraId="0023B12A" w14:textId="77777777" w:rsidR="003A454B" w:rsidRPr="00967A0D" w:rsidRDefault="003A454B" w:rsidP="00967A0D">
            <w:pPr>
              <w:suppressAutoHyphens w:val="0"/>
              <w:spacing w:before="40" w:after="40" w:line="220" w:lineRule="exact"/>
              <w:jc w:val="right"/>
              <w:rPr>
                <w:sz w:val="18"/>
              </w:rPr>
            </w:pPr>
            <w:r w:rsidRPr="00967A0D">
              <w:rPr>
                <w:sz w:val="18"/>
                <w:lang w:val="fr-FR"/>
              </w:rPr>
              <w:t>662,4</w:t>
            </w:r>
          </w:p>
        </w:tc>
        <w:tc>
          <w:tcPr>
            <w:tcW w:w="1040" w:type="dxa"/>
            <w:shd w:val="clear" w:color="auto" w:fill="auto"/>
            <w:vAlign w:val="bottom"/>
          </w:tcPr>
          <w:p w14:paraId="74503C12" w14:textId="77777777" w:rsidR="003A454B" w:rsidRPr="00967A0D" w:rsidRDefault="003A454B" w:rsidP="00967A0D">
            <w:pPr>
              <w:suppressAutoHyphens w:val="0"/>
              <w:spacing w:before="40" w:after="40" w:line="220" w:lineRule="exact"/>
              <w:jc w:val="right"/>
              <w:rPr>
                <w:sz w:val="18"/>
              </w:rPr>
            </w:pPr>
            <w:r w:rsidRPr="00967A0D">
              <w:rPr>
                <w:sz w:val="18"/>
                <w:lang w:val="fr-FR"/>
              </w:rPr>
              <w:t>823,8</w:t>
            </w:r>
          </w:p>
        </w:tc>
        <w:tc>
          <w:tcPr>
            <w:tcW w:w="937" w:type="dxa"/>
            <w:shd w:val="clear" w:color="auto" w:fill="auto"/>
            <w:vAlign w:val="bottom"/>
          </w:tcPr>
          <w:p w14:paraId="451D7800" w14:textId="77777777" w:rsidR="003A454B" w:rsidRPr="00967A0D" w:rsidRDefault="003A454B" w:rsidP="00967A0D">
            <w:pPr>
              <w:suppressAutoHyphens w:val="0"/>
              <w:spacing w:before="40" w:after="40" w:line="220" w:lineRule="exact"/>
              <w:jc w:val="right"/>
              <w:rPr>
                <w:sz w:val="18"/>
              </w:rPr>
            </w:pPr>
            <w:r w:rsidRPr="00967A0D">
              <w:rPr>
                <w:sz w:val="18"/>
                <w:lang w:val="fr-FR"/>
              </w:rPr>
              <w:t>1 199,3</w:t>
            </w:r>
          </w:p>
        </w:tc>
      </w:tr>
      <w:tr w:rsidR="003A454B" w:rsidRPr="00967A0D" w14:paraId="7331ABD7" w14:textId="77777777" w:rsidTr="00967A0D">
        <w:tc>
          <w:tcPr>
            <w:tcW w:w="4353" w:type="dxa"/>
            <w:shd w:val="clear" w:color="auto" w:fill="auto"/>
          </w:tcPr>
          <w:p w14:paraId="63BAE2EF" w14:textId="77777777" w:rsidR="003A454B" w:rsidRPr="00967A0D" w:rsidRDefault="003A454B" w:rsidP="00967A0D">
            <w:pPr>
              <w:suppressAutoHyphens w:val="0"/>
              <w:spacing w:before="40" w:after="40" w:line="220" w:lineRule="exact"/>
              <w:rPr>
                <w:sz w:val="18"/>
              </w:rPr>
            </w:pPr>
            <w:r w:rsidRPr="00967A0D">
              <w:rPr>
                <w:sz w:val="18"/>
                <w:lang w:val="fr-FR"/>
              </w:rPr>
              <w:t>Sécurité sociale</w:t>
            </w:r>
          </w:p>
        </w:tc>
        <w:tc>
          <w:tcPr>
            <w:tcW w:w="1040" w:type="dxa"/>
            <w:shd w:val="clear" w:color="auto" w:fill="auto"/>
            <w:vAlign w:val="bottom"/>
          </w:tcPr>
          <w:p w14:paraId="13A0C7F7" w14:textId="77777777" w:rsidR="003A454B" w:rsidRPr="00967A0D" w:rsidRDefault="003A454B" w:rsidP="00967A0D">
            <w:pPr>
              <w:suppressAutoHyphens w:val="0"/>
              <w:spacing w:before="40" w:after="40" w:line="220" w:lineRule="exact"/>
              <w:jc w:val="right"/>
              <w:rPr>
                <w:sz w:val="18"/>
              </w:rPr>
            </w:pPr>
            <w:r w:rsidRPr="00967A0D">
              <w:rPr>
                <w:sz w:val="18"/>
                <w:lang w:val="fr-FR"/>
              </w:rPr>
              <w:t>1 192,0</w:t>
            </w:r>
          </w:p>
        </w:tc>
        <w:tc>
          <w:tcPr>
            <w:tcW w:w="1040" w:type="dxa"/>
            <w:shd w:val="clear" w:color="auto" w:fill="auto"/>
            <w:vAlign w:val="bottom"/>
          </w:tcPr>
          <w:p w14:paraId="1A23F9BE" w14:textId="77777777" w:rsidR="003A454B" w:rsidRPr="00967A0D" w:rsidRDefault="003A454B" w:rsidP="00967A0D">
            <w:pPr>
              <w:suppressAutoHyphens w:val="0"/>
              <w:spacing w:before="40" w:after="40" w:line="220" w:lineRule="exact"/>
              <w:jc w:val="right"/>
              <w:rPr>
                <w:sz w:val="18"/>
              </w:rPr>
            </w:pPr>
            <w:r w:rsidRPr="00967A0D">
              <w:rPr>
                <w:sz w:val="18"/>
                <w:lang w:val="fr-FR"/>
              </w:rPr>
              <w:t>1 305,0</w:t>
            </w:r>
          </w:p>
        </w:tc>
        <w:tc>
          <w:tcPr>
            <w:tcW w:w="937" w:type="dxa"/>
            <w:shd w:val="clear" w:color="auto" w:fill="auto"/>
            <w:vAlign w:val="bottom"/>
          </w:tcPr>
          <w:p w14:paraId="7130AB89" w14:textId="77777777" w:rsidR="003A454B" w:rsidRPr="00967A0D" w:rsidRDefault="003A454B" w:rsidP="00967A0D">
            <w:pPr>
              <w:suppressAutoHyphens w:val="0"/>
              <w:spacing w:before="40" w:after="40" w:line="220" w:lineRule="exact"/>
              <w:jc w:val="right"/>
              <w:rPr>
                <w:sz w:val="18"/>
              </w:rPr>
            </w:pPr>
            <w:r w:rsidRPr="00967A0D">
              <w:rPr>
                <w:sz w:val="18"/>
                <w:lang w:val="fr-FR"/>
              </w:rPr>
              <w:t>1 865,1</w:t>
            </w:r>
          </w:p>
        </w:tc>
      </w:tr>
      <w:tr w:rsidR="003A454B" w:rsidRPr="00967A0D" w14:paraId="1473B2A7" w14:textId="77777777" w:rsidTr="00967A0D">
        <w:tc>
          <w:tcPr>
            <w:tcW w:w="4353" w:type="dxa"/>
            <w:shd w:val="clear" w:color="auto" w:fill="auto"/>
          </w:tcPr>
          <w:p w14:paraId="539A47B9" w14:textId="77777777" w:rsidR="003A454B" w:rsidRPr="00967A0D" w:rsidRDefault="003A454B" w:rsidP="00967A0D">
            <w:pPr>
              <w:suppressAutoHyphens w:val="0"/>
              <w:spacing w:before="40" w:after="40" w:line="220" w:lineRule="exact"/>
              <w:rPr>
                <w:sz w:val="18"/>
              </w:rPr>
            </w:pPr>
            <w:r w:rsidRPr="00967A0D">
              <w:rPr>
                <w:sz w:val="18"/>
                <w:lang w:val="fr-FR"/>
              </w:rPr>
              <w:t>Indemnités, assistance matérielle et compensations financières</w:t>
            </w:r>
          </w:p>
        </w:tc>
        <w:tc>
          <w:tcPr>
            <w:tcW w:w="1040" w:type="dxa"/>
            <w:shd w:val="clear" w:color="auto" w:fill="auto"/>
            <w:vAlign w:val="bottom"/>
          </w:tcPr>
          <w:p w14:paraId="60BE5E58" w14:textId="77777777" w:rsidR="003A454B" w:rsidRPr="00967A0D" w:rsidRDefault="003A454B" w:rsidP="00967A0D">
            <w:pPr>
              <w:suppressAutoHyphens w:val="0"/>
              <w:spacing w:before="40" w:after="40" w:line="220" w:lineRule="exact"/>
              <w:jc w:val="right"/>
              <w:rPr>
                <w:sz w:val="18"/>
              </w:rPr>
            </w:pPr>
            <w:r w:rsidRPr="00967A0D">
              <w:rPr>
                <w:sz w:val="18"/>
                <w:lang w:val="fr-FR"/>
              </w:rPr>
              <w:t>4 740,3</w:t>
            </w:r>
          </w:p>
        </w:tc>
        <w:tc>
          <w:tcPr>
            <w:tcW w:w="1040" w:type="dxa"/>
            <w:shd w:val="clear" w:color="auto" w:fill="auto"/>
            <w:vAlign w:val="bottom"/>
          </w:tcPr>
          <w:p w14:paraId="02364385" w14:textId="77777777" w:rsidR="003A454B" w:rsidRPr="00967A0D" w:rsidRDefault="003A454B" w:rsidP="00967A0D">
            <w:pPr>
              <w:suppressAutoHyphens w:val="0"/>
              <w:spacing w:before="40" w:after="40" w:line="220" w:lineRule="exact"/>
              <w:jc w:val="right"/>
              <w:rPr>
                <w:sz w:val="18"/>
              </w:rPr>
            </w:pPr>
            <w:r w:rsidRPr="00967A0D">
              <w:rPr>
                <w:sz w:val="18"/>
                <w:lang w:val="fr-FR"/>
              </w:rPr>
              <w:t>8 190,9</w:t>
            </w:r>
          </w:p>
        </w:tc>
        <w:tc>
          <w:tcPr>
            <w:tcW w:w="937" w:type="dxa"/>
            <w:shd w:val="clear" w:color="auto" w:fill="auto"/>
            <w:vAlign w:val="bottom"/>
          </w:tcPr>
          <w:p w14:paraId="76C8E7DB" w14:textId="77777777" w:rsidR="003A454B" w:rsidRPr="00967A0D" w:rsidRDefault="003A454B" w:rsidP="00967A0D">
            <w:pPr>
              <w:suppressAutoHyphens w:val="0"/>
              <w:spacing w:before="40" w:after="40" w:line="220" w:lineRule="exact"/>
              <w:jc w:val="right"/>
              <w:rPr>
                <w:sz w:val="18"/>
              </w:rPr>
            </w:pPr>
            <w:r w:rsidRPr="00967A0D">
              <w:rPr>
                <w:sz w:val="18"/>
                <w:lang w:val="fr-FR"/>
              </w:rPr>
              <w:t>10 191,7</w:t>
            </w:r>
          </w:p>
        </w:tc>
      </w:tr>
      <w:tr w:rsidR="003A454B" w:rsidRPr="00967A0D" w14:paraId="6640BED0" w14:textId="77777777" w:rsidTr="00967A0D">
        <w:tc>
          <w:tcPr>
            <w:tcW w:w="4353" w:type="dxa"/>
            <w:shd w:val="clear" w:color="auto" w:fill="auto"/>
          </w:tcPr>
          <w:p w14:paraId="35995F0D" w14:textId="77777777" w:rsidR="003A454B" w:rsidRPr="00967A0D" w:rsidRDefault="003A454B" w:rsidP="00967A0D">
            <w:pPr>
              <w:suppressAutoHyphens w:val="0"/>
              <w:spacing w:before="40" w:after="40" w:line="220" w:lineRule="exact"/>
              <w:rPr>
                <w:sz w:val="18"/>
              </w:rPr>
            </w:pPr>
            <w:r w:rsidRPr="00967A0D">
              <w:rPr>
                <w:sz w:val="18"/>
                <w:lang w:val="fr-FR"/>
              </w:rPr>
              <w:t xml:space="preserve">Autres </w:t>
            </w:r>
          </w:p>
        </w:tc>
        <w:tc>
          <w:tcPr>
            <w:tcW w:w="1040" w:type="dxa"/>
            <w:shd w:val="clear" w:color="auto" w:fill="auto"/>
            <w:vAlign w:val="bottom"/>
          </w:tcPr>
          <w:p w14:paraId="57E039E8" w14:textId="77777777" w:rsidR="003A454B" w:rsidRPr="00967A0D" w:rsidRDefault="003A454B" w:rsidP="00967A0D">
            <w:pPr>
              <w:suppressAutoHyphens w:val="0"/>
              <w:spacing w:before="40" w:after="40" w:line="220" w:lineRule="exact"/>
              <w:jc w:val="right"/>
              <w:rPr>
                <w:sz w:val="18"/>
              </w:rPr>
            </w:pPr>
            <w:r w:rsidRPr="00967A0D">
              <w:rPr>
                <w:sz w:val="18"/>
                <w:lang w:val="fr-FR"/>
              </w:rPr>
              <w:t>1 891,2</w:t>
            </w:r>
          </w:p>
        </w:tc>
        <w:tc>
          <w:tcPr>
            <w:tcW w:w="1040" w:type="dxa"/>
            <w:shd w:val="clear" w:color="auto" w:fill="auto"/>
            <w:vAlign w:val="bottom"/>
          </w:tcPr>
          <w:p w14:paraId="501A5E5C" w14:textId="77777777" w:rsidR="003A454B" w:rsidRPr="00967A0D" w:rsidRDefault="003A454B" w:rsidP="00967A0D">
            <w:pPr>
              <w:suppressAutoHyphens w:val="0"/>
              <w:spacing w:before="40" w:after="40" w:line="220" w:lineRule="exact"/>
              <w:jc w:val="right"/>
              <w:rPr>
                <w:sz w:val="18"/>
              </w:rPr>
            </w:pPr>
            <w:r w:rsidRPr="00967A0D">
              <w:rPr>
                <w:sz w:val="18"/>
                <w:lang w:val="fr-FR"/>
              </w:rPr>
              <w:t>1 158,0</w:t>
            </w:r>
          </w:p>
        </w:tc>
        <w:tc>
          <w:tcPr>
            <w:tcW w:w="937" w:type="dxa"/>
            <w:shd w:val="clear" w:color="auto" w:fill="auto"/>
            <w:vAlign w:val="bottom"/>
          </w:tcPr>
          <w:p w14:paraId="1EA2CA89" w14:textId="77777777" w:rsidR="003A454B" w:rsidRPr="00967A0D" w:rsidRDefault="003A454B" w:rsidP="00967A0D">
            <w:pPr>
              <w:suppressAutoHyphens w:val="0"/>
              <w:spacing w:before="40" w:after="40" w:line="220" w:lineRule="exact"/>
              <w:jc w:val="right"/>
              <w:rPr>
                <w:sz w:val="18"/>
              </w:rPr>
            </w:pPr>
            <w:r w:rsidRPr="00967A0D">
              <w:rPr>
                <w:sz w:val="18"/>
                <w:lang w:val="fr-FR"/>
              </w:rPr>
              <w:t>1 254,1</w:t>
            </w:r>
          </w:p>
        </w:tc>
      </w:tr>
      <w:tr w:rsidR="003A454B" w:rsidRPr="00967A0D" w14:paraId="0D6EE26B" w14:textId="77777777" w:rsidTr="00967A0D">
        <w:tc>
          <w:tcPr>
            <w:tcW w:w="4353" w:type="dxa"/>
            <w:shd w:val="clear" w:color="auto" w:fill="auto"/>
          </w:tcPr>
          <w:p w14:paraId="5CE5119E" w14:textId="77777777" w:rsidR="003A454B" w:rsidRPr="00967A0D" w:rsidRDefault="003A454B" w:rsidP="00967A0D">
            <w:pPr>
              <w:suppressAutoHyphens w:val="0"/>
              <w:spacing w:before="40" w:after="40" w:line="220" w:lineRule="exact"/>
              <w:rPr>
                <w:sz w:val="18"/>
              </w:rPr>
            </w:pPr>
            <w:r w:rsidRPr="00967A0D">
              <w:rPr>
                <w:sz w:val="18"/>
                <w:lang w:val="fr-FR"/>
              </w:rPr>
              <w:t>Subventions accordées aux Fonds de pension extrabudgétaire relevant du Ministère des finances</w:t>
            </w:r>
          </w:p>
        </w:tc>
        <w:tc>
          <w:tcPr>
            <w:tcW w:w="1040" w:type="dxa"/>
            <w:shd w:val="clear" w:color="auto" w:fill="auto"/>
            <w:vAlign w:val="bottom"/>
          </w:tcPr>
          <w:p w14:paraId="5AE1D55B" w14:textId="4B47C54E" w:rsidR="003A454B" w:rsidRPr="00967A0D" w:rsidRDefault="005E6825" w:rsidP="00967A0D">
            <w:pPr>
              <w:suppressAutoHyphens w:val="0"/>
              <w:spacing w:before="40" w:after="40" w:line="220" w:lineRule="exact"/>
              <w:jc w:val="right"/>
              <w:rPr>
                <w:sz w:val="18"/>
              </w:rPr>
            </w:pPr>
            <w:r>
              <w:rPr>
                <w:sz w:val="18"/>
                <w:lang w:val="fr-FR"/>
              </w:rPr>
              <w:t>-</w:t>
            </w:r>
          </w:p>
        </w:tc>
        <w:tc>
          <w:tcPr>
            <w:tcW w:w="1040" w:type="dxa"/>
            <w:shd w:val="clear" w:color="auto" w:fill="auto"/>
            <w:vAlign w:val="bottom"/>
          </w:tcPr>
          <w:p w14:paraId="24C2E0AC" w14:textId="77777777" w:rsidR="003A454B" w:rsidRPr="00967A0D" w:rsidRDefault="003A454B" w:rsidP="00967A0D">
            <w:pPr>
              <w:suppressAutoHyphens w:val="0"/>
              <w:spacing w:before="40" w:after="40" w:line="220" w:lineRule="exact"/>
              <w:jc w:val="right"/>
              <w:rPr>
                <w:sz w:val="18"/>
              </w:rPr>
            </w:pPr>
            <w:r w:rsidRPr="00967A0D">
              <w:rPr>
                <w:sz w:val="18"/>
                <w:lang w:val="fr-FR"/>
              </w:rPr>
              <w:t>9 117,0</w:t>
            </w:r>
          </w:p>
        </w:tc>
        <w:tc>
          <w:tcPr>
            <w:tcW w:w="937" w:type="dxa"/>
            <w:shd w:val="clear" w:color="auto" w:fill="auto"/>
            <w:vAlign w:val="bottom"/>
          </w:tcPr>
          <w:p w14:paraId="6331ED71" w14:textId="77777777" w:rsidR="003A454B" w:rsidRPr="00967A0D" w:rsidRDefault="003A454B" w:rsidP="00967A0D">
            <w:pPr>
              <w:suppressAutoHyphens w:val="0"/>
              <w:spacing w:before="40" w:after="40" w:line="220" w:lineRule="exact"/>
              <w:jc w:val="right"/>
              <w:rPr>
                <w:sz w:val="18"/>
              </w:rPr>
            </w:pPr>
            <w:r w:rsidRPr="00967A0D">
              <w:rPr>
                <w:sz w:val="18"/>
                <w:lang w:val="fr-FR"/>
              </w:rPr>
              <w:t>12 874,0</w:t>
            </w:r>
          </w:p>
        </w:tc>
      </w:tr>
      <w:tr w:rsidR="003A454B" w:rsidRPr="00967A0D" w14:paraId="22AA596E" w14:textId="77777777" w:rsidTr="00967A0D">
        <w:tc>
          <w:tcPr>
            <w:tcW w:w="4353" w:type="dxa"/>
            <w:shd w:val="clear" w:color="auto" w:fill="auto"/>
          </w:tcPr>
          <w:p w14:paraId="71F0D898" w14:textId="563F008E" w:rsidR="003A454B" w:rsidRPr="00967A0D" w:rsidRDefault="003A454B" w:rsidP="00967A0D">
            <w:pPr>
              <w:suppressAutoHyphens w:val="0"/>
              <w:spacing w:before="40" w:after="40" w:line="220" w:lineRule="exact"/>
              <w:rPr>
                <w:sz w:val="18"/>
              </w:rPr>
            </w:pPr>
            <w:r w:rsidRPr="00967A0D">
              <w:rPr>
                <w:sz w:val="18"/>
                <w:lang w:val="fr-FR"/>
              </w:rPr>
              <w:t>Lignes de crédit accordées aux banques aux fins du</w:t>
            </w:r>
            <w:r w:rsidR="001967FC">
              <w:rPr>
                <w:sz w:val="18"/>
                <w:lang w:val="fr-FR"/>
              </w:rPr>
              <w:t> </w:t>
            </w:r>
            <w:r w:rsidRPr="00967A0D">
              <w:rPr>
                <w:sz w:val="18"/>
                <w:lang w:val="fr-FR"/>
              </w:rPr>
              <w:t>cofinancement de programmes de construction de</w:t>
            </w:r>
            <w:r w:rsidR="001967FC">
              <w:rPr>
                <w:sz w:val="18"/>
                <w:lang w:val="fr-FR"/>
              </w:rPr>
              <w:t> </w:t>
            </w:r>
            <w:r w:rsidRPr="00967A0D">
              <w:rPr>
                <w:sz w:val="18"/>
                <w:lang w:val="fr-FR"/>
              </w:rPr>
              <w:t xml:space="preserve">logements </w:t>
            </w:r>
          </w:p>
        </w:tc>
        <w:tc>
          <w:tcPr>
            <w:tcW w:w="1040" w:type="dxa"/>
            <w:shd w:val="clear" w:color="auto" w:fill="auto"/>
            <w:vAlign w:val="bottom"/>
          </w:tcPr>
          <w:p w14:paraId="3FB22220" w14:textId="77777777" w:rsidR="003A454B" w:rsidRPr="00967A0D" w:rsidRDefault="003A454B" w:rsidP="00967A0D">
            <w:pPr>
              <w:suppressAutoHyphens w:val="0"/>
              <w:spacing w:before="40" w:after="40" w:line="220" w:lineRule="exact"/>
              <w:jc w:val="right"/>
              <w:rPr>
                <w:sz w:val="18"/>
              </w:rPr>
            </w:pPr>
            <w:r w:rsidRPr="00967A0D">
              <w:rPr>
                <w:sz w:val="18"/>
                <w:lang w:val="fr-FR"/>
              </w:rPr>
              <w:t>4 125,7</w:t>
            </w:r>
          </w:p>
        </w:tc>
        <w:tc>
          <w:tcPr>
            <w:tcW w:w="1040" w:type="dxa"/>
            <w:shd w:val="clear" w:color="auto" w:fill="auto"/>
            <w:vAlign w:val="bottom"/>
          </w:tcPr>
          <w:p w14:paraId="2FD3F679" w14:textId="77777777" w:rsidR="003A454B" w:rsidRPr="00967A0D" w:rsidRDefault="003A454B" w:rsidP="00967A0D">
            <w:pPr>
              <w:suppressAutoHyphens w:val="0"/>
              <w:spacing w:before="40" w:after="40" w:line="220" w:lineRule="exact"/>
              <w:jc w:val="right"/>
              <w:rPr>
                <w:sz w:val="18"/>
              </w:rPr>
            </w:pPr>
            <w:r w:rsidRPr="00967A0D">
              <w:rPr>
                <w:sz w:val="18"/>
                <w:lang w:val="fr-FR"/>
              </w:rPr>
              <w:t>1 938,2</w:t>
            </w:r>
          </w:p>
        </w:tc>
        <w:tc>
          <w:tcPr>
            <w:tcW w:w="937" w:type="dxa"/>
            <w:shd w:val="clear" w:color="auto" w:fill="auto"/>
            <w:vAlign w:val="bottom"/>
          </w:tcPr>
          <w:p w14:paraId="71A3596B" w14:textId="77777777" w:rsidR="003A454B" w:rsidRPr="00967A0D" w:rsidRDefault="003A454B" w:rsidP="00967A0D">
            <w:pPr>
              <w:suppressAutoHyphens w:val="0"/>
              <w:spacing w:before="40" w:after="40" w:line="220" w:lineRule="exact"/>
              <w:jc w:val="right"/>
              <w:rPr>
                <w:sz w:val="18"/>
              </w:rPr>
            </w:pPr>
            <w:r w:rsidRPr="00967A0D">
              <w:rPr>
                <w:sz w:val="18"/>
                <w:lang w:val="fr-FR"/>
              </w:rPr>
              <w:t>2 325,1</w:t>
            </w:r>
          </w:p>
        </w:tc>
      </w:tr>
      <w:tr w:rsidR="003A454B" w:rsidRPr="00967A0D" w14:paraId="53F1A3C3" w14:textId="77777777" w:rsidTr="00967A0D">
        <w:tc>
          <w:tcPr>
            <w:tcW w:w="4353" w:type="dxa"/>
            <w:shd w:val="clear" w:color="auto" w:fill="auto"/>
          </w:tcPr>
          <w:p w14:paraId="7C3598AA" w14:textId="77777777" w:rsidR="003A454B" w:rsidRPr="00967A0D" w:rsidRDefault="003A454B" w:rsidP="00967A0D">
            <w:pPr>
              <w:suppressAutoHyphens w:val="0"/>
              <w:spacing w:before="40" w:after="40" w:line="220" w:lineRule="exact"/>
              <w:rPr>
                <w:sz w:val="18"/>
              </w:rPr>
            </w:pPr>
            <w:r w:rsidRPr="00967A0D">
              <w:rPr>
                <w:sz w:val="18"/>
                <w:lang w:val="fr-FR"/>
              </w:rPr>
              <w:t xml:space="preserve">Dépenses sociales exprimées en proportion des dépenses publiques totales </w:t>
            </w:r>
          </w:p>
        </w:tc>
        <w:tc>
          <w:tcPr>
            <w:tcW w:w="1040" w:type="dxa"/>
            <w:shd w:val="clear" w:color="auto" w:fill="auto"/>
            <w:vAlign w:val="bottom"/>
          </w:tcPr>
          <w:p w14:paraId="2F2EAB71" w14:textId="77777777" w:rsidR="003A454B" w:rsidRPr="00967A0D" w:rsidRDefault="003A454B" w:rsidP="00967A0D">
            <w:pPr>
              <w:suppressAutoHyphens w:val="0"/>
              <w:spacing w:before="40" w:after="40" w:line="220" w:lineRule="exact"/>
              <w:jc w:val="right"/>
              <w:rPr>
                <w:sz w:val="18"/>
              </w:rPr>
            </w:pPr>
            <w:r w:rsidRPr="00967A0D">
              <w:rPr>
                <w:sz w:val="18"/>
                <w:lang w:val="fr-FR"/>
              </w:rPr>
              <w:t>53,8</w:t>
            </w:r>
          </w:p>
        </w:tc>
        <w:tc>
          <w:tcPr>
            <w:tcW w:w="1040" w:type="dxa"/>
            <w:shd w:val="clear" w:color="auto" w:fill="auto"/>
            <w:vAlign w:val="bottom"/>
          </w:tcPr>
          <w:p w14:paraId="2C73E74B" w14:textId="77777777" w:rsidR="003A454B" w:rsidRPr="00967A0D" w:rsidRDefault="003A454B" w:rsidP="00967A0D">
            <w:pPr>
              <w:suppressAutoHyphens w:val="0"/>
              <w:spacing w:before="40" w:after="40" w:line="220" w:lineRule="exact"/>
              <w:jc w:val="right"/>
              <w:rPr>
                <w:sz w:val="18"/>
              </w:rPr>
            </w:pPr>
            <w:r w:rsidRPr="00967A0D">
              <w:rPr>
                <w:sz w:val="18"/>
                <w:lang w:val="fr-FR"/>
              </w:rPr>
              <w:t>51,5</w:t>
            </w:r>
          </w:p>
        </w:tc>
        <w:tc>
          <w:tcPr>
            <w:tcW w:w="937" w:type="dxa"/>
            <w:shd w:val="clear" w:color="auto" w:fill="auto"/>
            <w:vAlign w:val="bottom"/>
          </w:tcPr>
          <w:p w14:paraId="757CE888" w14:textId="77777777" w:rsidR="003A454B" w:rsidRPr="00967A0D" w:rsidRDefault="003A454B" w:rsidP="00967A0D">
            <w:pPr>
              <w:suppressAutoHyphens w:val="0"/>
              <w:spacing w:before="40" w:after="40" w:line="220" w:lineRule="exact"/>
              <w:jc w:val="right"/>
              <w:rPr>
                <w:sz w:val="18"/>
              </w:rPr>
            </w:pPr>
            <w:r w:rsidRPr="00967A0D">
              <w:rPr>
                <w:sz w:val="18"/>
                <w:lang w:val="fr-FR"/>
              </w:rPr>
              <w:t>48,9</w:t>
            </w:r>
          </w:p>
        </w:tc>
      </w:tr>
      <w:tr w:rsidR="003A454B" w:rsidRPr="00967A0D" w14:paraId="6824FF17" w14:textId="77777777" w:rsidTr="00FB110F">
        <w:tc>
          <w:tcPr>
            <w:tcW w:w="4353" w:type="dxa"/>
            <w:shd w:val="clear" w:color="auto" w:fill="auto"/>
          </w:tcPr>
          <w:p w14:paraId="78246181" w14:textId="77777777" w:rsidR="003A454B" w:rsidRPr="00967A0D" w:rsidRDefault="003A454B" w:rsidP="00967A0D">
            <w:pPr>
              <w:suppressAutoHyphens w:val="0"/>
              <w:spacing w:before="40" w:after="40" w:line="220" w:lineRule="exact"/>
              <w:rPr>
                <w:sz w:val="18"/>
              </w:rPr>
            </w:pPr>
            <w:r w:rsidRPr="00967A0D">
              <w:rPr>
                <w:sz w:val="18"/>
                <w:lang w:val="fr-FR"/>
              </w:rPr>
              <w:t xml:space="preserve">Dépenses sociales exprimées en proportion du PIB national </w:t>
            </w:r>
          </w:p>
        </w:tc>
        <w:tc>
          <w:tcPr>
            <w:tcW w:w="1040" w:type="dxa"/>
            <w:shd w:val="clear" w:color="auto" w:fill="auto"/>
            <w:vAlign w:val="bottom"/>
          </w:tcPr>
          <w:p w14:paraId="26BD80C2" w14:textId="77777777" w:rsidR="003A454B" w:rsidRPr="00967A0D" w:rsidRDefault="003A454B" w:rsidP="00967A0D">
            <w:pPr>
              <w:suppressAutoHyphens w:val="0"/>
              <w:spacing w:before="40" w:after="40" w:line="220" w:lineRule="exact"/>
              <w:jc w:val="right"/>
              <w:rPr>
                <w:sz w:val="18"/>
              </w:rPr>
            </w:pPr>
            <w:r w:rsidRPr="00967A0D">
              <w:rPr>
                <w:sz w:val="18"/>
                <w:lang w:val="fr-FR"/>
              </w:rPr>
              <w:t>23,1</w:t>
            </w:r>
          </w:p>
        </w:tc>
        <w:tc>
          <w:tcPr>
            <w:tcW w:w="1040" w:type="dxa"/>
            <w:shd w:val="clear" w:color="auto" w:fill="auto"/>
            <w:vAlign w:val="bottom"/>
          </w:tcPr>
          <w:p w14:paraId="4F0165B9" w14:textId="77777777" w:rsidR="003A454B" w:rsidRPr="00967A0D" w:rsidRDefault="003A454B" w:rsidP="00967A0D">
            <w:pPr>
              <w:suppressAutoHyphens w:val="0"/>
              <w:spacing w:before="40" w:after="40" w:line="220" w:lineRule="exact"/>
              <w:jc w:val="right"/>
              <w:rPr>
                <w:sz w:val="18"/>
              </w:rPr>
            </w:pPr>
            <w:r w:rsidRPr="00967A0D">
              <w:rPr>
                <w:sz w:val="18"/>
                <w:lang w:val="fr-FR"/>
              </w:rPr>
              <w:t>22,1</w:t>
            </w:r>
          </w:p>
        </w:tc>
        <w:tc>
          <w:tcPr>
            <w:tcW w:w="937" w:type="dxa"/>
            <w:shd w:val="clear" w:color="auto" w:fill="auto"/>
            <w:vAlign w:val="bottom"/>
          </w:tcPr>
          <w:p w14:paraId="03A83C7B" w14:textId="77777777" w:rsidR="003A454B" w:rsidRPr="00967A0D" w:rsidRDefault="003A454B" w:rsidP="00967A0D">
            <w:pPr>
              <w:suppressAutoHyphens w:val="0"/>
              <w:spacing w:before="40" w:after="40" w:line="220" w:lineRule="exact"/>
              <w:jc w:val="right"/>
              <w:rPr>
                <w:sz w:val="18"/>
              </w:rPr>
            </w:pPr>
            <w:r w:rsidRPr="00967A0D">
              <w:rPr>
                <w:sz w:val="18"/>
                <w:lang w:val="fr-FR"/>
              </w:rPr>
              <w:t>27,2</w:t>
            </w:r>
          </w:p>
        </w:tc>
      </w:tr>
      <w:tr w:rsidR="00967A0D" w:rsidRPr="00967A0D" w14:paraId="07DE07B6" w14:textId="77777777" w:rsidTr="00FB110F">
        <w:tc>
          <w:tcPr>
            <w:tcW w:w="4353" w:type="dxa"/>
            <w:tcBorders>
              <w:bottom w:val="single" w:sz="12" w:space="0" w:color="auto"/>
            </w:tcBorders>
            <w:shd w:val="clear" w:color="auto" w:fill="auto"/>
          </w:tcPr>
          <w:p w14:paraId="6E5B0F56" w14:textId="77777777" w:rsidR="003A454B" w:rsidRPr="00967A0D" w:rsidRDefault="003A454B" w:rsidP="00967A0D">
            <w:pPr>
              <w:suppressAutoHyphens w:val="0"/>
              <w:spacing w:before="40" w:after="40" w:line="220" w:lineRule="exact"/>
              <w:rPr>
                <w:sz w:val="18"/>
              </w:rPr>
            </w:pPr>
            <w:r w:rsidRPr="00967A0D">
              <w:rPr>
                <w:sz w:val="18"/>
                <w:lang w:val="fr-FR"/>
              </w:rPr>
              <w:t xml:space="preserve">PIB national </w:t>
            </w:r>
          </w:p>
        </w:tc>
        <w:tc>
          <w:tcPr>
            <w:tcW w:w="1040" w:type="dxa"/>
            <w:tcBorders>
              <w:bottom w:val="single" w:sz="12" w:space="0" w:color="auto"/>
            </w:tcBorders>
            <w:shd w:val="clear" w:color="auto" w:fill="auto"/>
            <w:vAlign w:val="bottom"/>
          </w:tcPr>
          <w:p w14:paraId="36684B5B" w14:textId="77777777" w:rsidR="003A454B" w:rsidRPr="00967A0D" w:rsidRDefault="003A454B" w:rsidP="00967A0D">
            <w:pPr>
              <w:suppressAutoHyphens w:val="0"/>
              <w:spacing w:before="40" w:after="40" w:line="220" w:lineRule="exact"/>
              <w:jc w:val="right"/>
              <w:rPr>
                <w:sz w:val="18"/>
              </w:rPr>
            </w:pPr>
            <w:r w:rsidRPr="00967A0D">
              <w:rPr>
                <w:sz w:val="18"/>
                <w:lang w:val="fr-FR"/>
              </w:rPr>
              <w:t>511 838,1</w:t>
            </w:r>
          </w:p>
        </w:tc>
        <w:tc>
          <w:tcPr>
            <w:tcW w:w="1040" w:type="dxa"/>
            <w:tcBorders>
              <w:bottom w:val="single" w:sz="12" w:space="0" w:color="auto"/>
            </w:tcBorders>
            <w:shd w:val="clear" w:color="auto" w:fill="auto"/>
            <w:vAlign w:val="bottom"/>
          </w:tcPr>
          <w:p w14:paraId="5A1FB84D" w14:textId="77777777" w:rsidR="003A454B" w:rsidRPr="00967A0D" w:rsidRDefault="003A454B" w:rsidP="00967A0D">
            <w:pPr>
              <w:suppressAutoHyphens w:val="0"/>
              <w:spacing w:before="40" w:after="40" w:line="220" w:lineRule="exact"/>
              <w:jc w:val="right"/>
              <w:rPr>
                <w:sz w:val="18"/>
              </w:rPr>
            </w:pPr>
            <w:r w:rsidRPr="00967A0D">
              <w:rPr>
                <w:sz w:val="18"/>
                <w:lang w:val="fr-FR"/>
              </w:rPr>
              <w:t>653 546,4</w:t>
            </w:r>
          </w:p>
        </w:tc>
        <w:tc>
          <w:tcPr>
            <w:tcW w:w="937" w:type="dxa"/>
            <w:tcBorders>
              <w:bottom w:val="single" w:sz="12" w:space="0" w:color="auto"/>
            </w:tcBorders>
            <w:shd w:val="clear" w:color="auto" w:fill="auto"/>
            <w:vAlign w:val="bottom"/>
          </w:tcPr>
          <w:p w14:paraId="0DEE3E70" w14:textId="77777777" w:rsidR="003A454B" w:rsidRPr="00967A0D" w:rsidRDefault="003A454B" w:rsidP="00967A0D">
            <w:pPr>
              <w:suppressAutoHyphens w:val="0"/>
              <w:spacing w:before="40" w:after="40" w:line="220" w:lineRule="exact"/>
              <w:jc w:val="right"/>
              <w:rPr>
                <w:sz w:val="18"/>
              </w:rPr>
            </w:pPr>
            <w:r w:rsidRPr="00967A0D">
              <w:rPr>
                <w:sz w:val="18"/>
                <w:lang w:val="fr-FR"/>
              </w:rPr>
              <w:t>688 936,0</w:t>
            </w:r>
          </w:p>
        </w:tc>
      </w:tr>
    </w:tbl>
    <w:p w14:paraId="6BDA8D5B" w14:textId="42A95B38"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1967FC">
        <w:rPr>
          <w:bCs/>
          <w:lang w:val="fr-FR"/>
        </w:rPr>
        <w:t> </w:t>
      </w:r>
      <w:r>
        <w:rPr>
          <w:bCs/>
          <w:lang w:val="fr-FR"/>
        </w:rPr>
        <w:t>18 de la liste de points</w:t>
      </w:r>
      <w:r>
        <w:rPr>
          <w:lang w:val="fr-FR"/>
        </w:rPr>
        <w:t xml:space="preserve"> </w:t>
      </w:r>
    </w:p>
    <w:p w14:paraId="3A6DDDC3" w14:textId="691EA992" w:rsidR="003A454B" w:rsidRPr="00593F42" w:rsidRDefault="003A454B" w:rsidP="003A454B">
      <w:pPr>
        <w:pStyle w:val="SingleTxtG"/>
      </w:pPr>
      <w:r>
        <w:rPr>
          <w:lang w:val="fr-FR"/>
        </w:rPr>
        <w:t>187.</w:t>
      </w:r>
      <w:r>
        <w:rPr>
          <w:lang w:val="fr-FR"/>
        </w:rPr>
        <w:tab/>
        <w:t>Afin de prévenir l’abandon des mineurs et d’éviter que des enfants ne se retrouvent dans la rue, une base de données électronique unifiée («</w:t>
      </w:r>
      <w:r w:rsidR="005E6825">
        <w:rPr>
          <w:lang w:val="fr-FR"/>
        </w:rPr>
        <w:t> </w:t>
      </w:r>
      <w:r>
        <w:rPr>
          <w:lang w:val="fr-FR"/>
        </w:rPr>
        <w:t xml:space="preserve">Bola </w:t>
      </w:r>
      <w:proofErr w:type="spellStart"/>
      <w:r>
        <w:rPr>
          <w:lang w:val="fr-FR"/>
        </w:rPr>
        <w:t>khimoyasi</w:t>
      </w:r>
      <w:proofErr w:type="spellEnd"/>
      <w:r w:rsidR="005E6825">
        <w:rPr>
          <w:lang w:val="fr-FR"/>
        </w:rPr>
        <w:t> </w:t>
      </w:r>
      <w:r>
        <w:rPr>
          <w:lang w:val="fr-FR"/>
        </w:rPr>
        <w:t>») a été créée.</w:t>
      </w:r>
    </w:p>
    <w:p w14:paraId="23E14581" w14:textId="6138CA73" w:rsidR="003A454B" w:rsidRPr="00593F42" w:rsidRDefault="003A454B" w:rsidP="003A454B">
      <w:pPr>
        <w:pStyle w:val="SingleTxtG"/>
      </w:pPr>
      <w:r>
        <w:rPr>
          <w:lang w:val="fr-FR"/>
        </w:rPr>
        <w:t>188.</w:t>
      </w:r>
      <w:r>
        <w:rPr>
          <w:lang w:val="fr-FR"/>
        </w:rPr>
        <w:tab/>
        <w:t>Le décret présidentiel du 22</w:t>
      </w:r>
      <w:r w:rsidR="005E6825">
        <w:rPr>
          <w:lang w:val="fr-FR"/>
        </w:rPr>
        <w:t> </w:t>
      </w:r>
      <w:r>
        <w:rPr>
          <w:lang w:val="fr-FR"/>
        </w:rPr>
        <w:t>avril 2019 a porté approbation de la liste des indicateurs et autres informations devant être publiés sur le site Web stat.uz. Le Ministère de l’intérieur et la Cour suprême sont chargés de produire des données sur le nombre de mesures prises pour prévenir la délinquance juvénile, le nombre et la classification des infractions commises par des enfants, le nombre d’enfants placés en détention provisoire, le nombre d’enfants faisant l’objet de mesures non judiciaires, le nombre d’enfants condamnés et la nature des sanctions appliquées aux enfants. En 2021, le Centre de statistiques juridiques a été créé au sein du Ministère de l’intérieur.</w:t>
      </w:r>
    </w:p>
    <w:p w14:paraId="14341A2B" w14:textId="03CDCDFE"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1259B9">
        <w:rPr>
          <w:bCs/>
          <w:lang w:val="fr-FR"/>
        </w:rPr>
        <w:t> </w:t>
      </w:r>
      <w:r>
        <w:rPr>
          <w:bCs/>
          <w:lang w:val="fr-FR"/>
        </w:rPr>
        <w:t>18</w:t>
      </w:r>
      <w:r w:rsidR="001259B9">
        <w:rPr>
          <w:bCs/>
          <w:lang w:val="fr-FR"/>
        </w:rPr>
        <w:t> </w:t>
      </w:r>
      <w:r>
        <w:rPr>
          <w:bCs/>
          <w:lang w:val="fr-FR"/>
        </w:rPr>
        <w:t>a) de la liste de points</w:t>
      </w:r>
      <w:r>
        <w:rPr>
          <w:lang w:val="fr-FR"/>
        </w:rPr>
        <w:t xml:space="preserve"> </w:t>
      </w:r>
    </w:p>
    <w:p w14:paraId="2DDC8EDB" w14:textId="5D628B66" w:rsidR="003A454B" w:rsidRPr="00593F42" w:rsidRDefault="003A454B" w:rsidP="003A454B">
      <w:pPr>
        <w:pStyle w:val="SingleTxtG"/>
      </w:pPr>
      <w:r>
        <w:rPr>
          <w:lang w:val="fr-FR"/>
        </w:rPr>
        <w:t>189.</w:t>
      </w:r>
      <w:r>
        <w:rPr>
          <w:lang w:val="fr-FR"/>
        </w:rPr>
        <w:tab/>
        <w:t>En 2019, 6 474</w:t>
      </w:r>
      <w:r w:rsidR="005E6825">
        <w:rPr>
          <w:lang w:val="fr-FR"/>
        </w:rPr>
        <w:t> </w:t>
      </w:r>
      <w:r>
        <w:rPr>
          <w:lang w:val="fr-FR"/>
        </w:rPr>
        <w:t>parents et personnes qui en tiennent lieu ont été enregistrés dans un fichier préventif des organes du Ministère de l’intérieur recensant les personnes qui ont une incidence négative sur les enfants ou qui leur infligent des mauvais traitements</w:t>
      </w:r>
      <w:r w:rsidR="005579CA">
        <w:rPr>
          <w:lang w:val="fr-FR"/>
        </w:rPr>
        <w:t> ;</w:t>
      </w:r>
      <w:r>
        <w:rPr>
          <w:lang w:val="fr-FR"/>
        </w:rPr>
        <w:t xml:space="preserve"> ce chiffre s’établissait à </w:t>
      </w:r>
      <w:r w:rsidRPr="009E0ACD">
        <w:rPr>
          <w:lang w:val="fr-FR"/>
        </w:rPr>
        <w:t>5</w:t>
      </w:r>
      <w:r>
        <w:rPr>
          <w:lang w:val="fr-FR"/>
        </w:rPr>
        <w:t> </w:t>
      </w:r>
      <w:r w:rsidRPr="009E0ACD">
        <w:rPr>
          <w:lang w:val="fr-FR"/>
        </w:rPr>
        <w:t>549</w:t>
      </w:r>
      <w:r>
        <w:rPr>
          <w:lang w:val="fr-FR"/>
        </w:rPr>
        <w:t xml:space="preserve"> en 2020 et à </w:t>
      </w:r>
      <w:r w:rsidRPr="009E0ACD">
        <w:rPr>
          <w:lang w:val="fr-FR"/>
        </w:rPr>
        <w:t>5</w:t>
      </w:r>
      <w:r w:rsidR="005E6825">
        <w:rPr>
          <w:lang w:val="fr-FR"/>
        </w:rPr>
        <w:t> </w:t>
      </w:r>
      <w:r w:rsidRPr="009E0ACD">
        <w:rPr>
          <w:lang w:val="fr-FR"/>
        </w:rPr>
        <w:t>232</w:t>
      </w:r>
      <w:r>
        <w:rPr>
          <w:lang w:val="fr-FR"/>
        </w:rPr>
        <w:t xml:space="preserve"> en 2021.</w:t>
      </w:r>
    </w:p>
    <w:p w14:paraId="016139FC" w14:textId="36310D89" w:rsidR="003A454B" w:rsidRPr="00593F42" w:rsidRDefault="003A454B" w:rsidP="003A454B">
      <w:pPr>
        <w:pStyle w:val="SingleTxtG"/>
        <w:rPr>
          <w:spacing w:val="-4"/>
        </w:rPr>
      </w:pPr>
      <w:r>
        <w:rPr>
          <w:lang w:val="fr-FR"/>
        </w:rPr>
        <w:t>190.</w:t>
      </w:r>
      <w:r>
        <w:rPr>
          <w:lang w:val="fr-FR"/>
        </w:rPr>
        <w:tab/>
        <w:t>En 2019, 148</w:t>
      </w:r>
      <w:r w:rsidR="005E6825">
        <w:rPr>
          <w:lang w:val="fr-FR"/>
        </w:rPr>
        <w:t> </w:t>
      </w:r>
      <w:r>
        <w:rPr>
          <w:lang w:val="fr-FR"/>
        </w:rPr>
        <w:t>mineurs (dont 89</w:t>
      </w:r>
      <w:r w:rsidR="005E6825">
        <w:rPr>
          <w:lang w:val="fr-FR"/>
        </w:rPr>
        <w:t> </w:t>
      </w:r>
      <w:r>
        <w:rPr>
          <w:lang w:val="fr-FR"/>
        </w:rPr>
        <w:t>garçons et 59</w:t>
      </w:r>
      <w:r w:rsidR="005E6825">
        <w:rPr>
          <w:lang w:val="fr-FR"/>
        </w:rPr>
        <w:t> </w:t>
      </w:r>
      <w:r>
        <w:rPr>
          <w:lang w:val="fr-FR"/>
        </w:rPr>
        <w:t>filles) ont été placés dans des établissements nationaux de rééducation pour avoir commis divers actes antisociaux</w:t>
      </w:r>
      <w:r w:rsidR="005579CA">
        <w:rPr>
          <w:lang w:val="fr-FR"/>
        </w:rPr>
        <w:t> ;</w:t>
      </w:r>
      <w:r>
        <w:rPr>
          <w:lang w:val="fr-FR"/>
        </w:rPr>
        <w:t xml:space="preserve"> ce chiffre était de 113 (24/89) en 2020 et de 191 (56/135) en 2021.</w:t>
      </w:r>
    </w:p>
    <w:p w14:paraId="09FA2489" w14:textId="4A3C7929" w:rsidR="003A454B" w:rsidRPr="00593F42" w:rsidRDefault="003A454B" w:rsidP="005E6825">
      <w:pPr>
        <w:pStyle w:val="H23G"/>
        <w:rPr>
          <w:i/>
        </w:rPr>
      </w:pPr>
      <w:r>
        <w:rPr>
          <w:lang w:val="fr-FR"/>
        </w:rPr>
        <w:lastRenderedPageBreak/>
        <w:tab/>
      </w:r>
      <w:r>
        <w:rPr>
          <w:lang w:val="fr-FR"/>
        </w:rPr>
        <w:tab/>
      </w:r>
      <w:r>
        <w:rPr>
          <w:lang w:val="fr-FR"/>
        </w:rPr>
        <w:tab/>
        <w:t>Renseignements concernant le paragraphe</w:t>
      </w:r>
      <w:r w:rsidR="00FE6A98">
        <w:rPr>
          <w:lang w:val="fr-FR"/>
        </w:rPr>
        <w:t> </w:t>
      </w:r>
      <w:r>
        <w:rPr>
          <w:lang w:val="fr-FR"/>
        </w:rPr>
        <w:t>18</w:t>
      </w:r>
      <w:r w:rsidR="00FE6A98">
        <w:rPr>
          <w:lang w:val="fr-FR"/>
        </w:rPr>
        <w:t> </w:t>
      </w:r>
      <w:r>
        <w:rPr>
          <w:lang w:val="fr-FR"/>
        </w:rPr>
        <w:t xml:space="preserve">b) de la liste de points </w:t>
      </w:r>
    </w:p>
    <w:p w14:paraId="5C5840C9" w14:textId="77777777" w:rsidR="003A454B" w:rsidRPr="00593F42" w:rsidRDefault="003A454B" w:rsidP="005E6825">
      <w:pPr>
        <w:pStyle w:val="SingleTxtG"/>
      </w:pPr>
      <w:r>
        <w:rPr>
          <w:lang w:val="fr-FR"/>
        </w:rPr>
        <w:t>191.</w:t>
      </w:r>
      <w:r>
        <w:rPr>
          <w:lang w:val="fr-FR"/>
        </w:rPr>
        <w:tab/>
        <w:t>Il n’existe pas de données sur la consommation de drogues, d’alcool et de tabac chez les enfants.</w:t>
      </w:r>
    </w:p>
    <w:p w14:paraId="40BA3A05" w14:textId="27B4AF6B" w:rsidR="003A454B" w:rsidRPr="00593F42" w:rsidRDefault="003A454B" w:rsidP="005E6825">
      <w:pPr>
        <w:pStyle w:val="H23G"/>
        <w:rPr>
          <w:i/>
        </w:rPr>
      </w:pPr>
      <w:r>
        <w:rPr>
          <w:lang w:val="fr-FR"/>
        </w:rPr>
        <w:tab/>
      </w:r>
      <w:r>
        <w:rPr>
          <w:lang w:val="fr-FR"/>
        </w:rPr>
        <w:tab/>
      </w:r>
      <w:r>
        <w:rPr>
          <w:lang w:val="fr-FR"/>
        </w:rPr>
        <w:tab/>
        <w:t>Renseignements concernant le paragraphe</w:t>
      </w:r>
      <w:r w:rsidR="00FE6A98">
        <w:rPr>
          <w:lang w:val="fr-FR"/>
        </w:rPr>
        <w:t> </w:t>
      </w:r>
      <w:r>
        <w:rPr>
          <w:lang w:val="fr-FR"/>
        </w:rPr>
        <w:t>18</w:t>
      </w:r>
      <w:r w:rsidR="00FE6A98">
        <w:rPr>
          <w:lang w:val="fr-FR"/>
        </w:rPr>
        <w:t> </w:t>
      </w:r>
      <w:r>
        <w:rPr>
          <w:lang w:val="fr-FR"/>
        </w:rPr>
        <w:t xml:space="preserve">c) de la liste de points </w:t>
      </w:r>
    </w:p>
    <w:p w14:paraId="4350AFA0" w14:textId="39DE2BA4" w:rsidR="003A454B" w:rsidRPr="00593F42" w:rsidRDefault="003A454B" w:rsidP="005E6825">
      <w:pPr>
        <w:pStyle w:val="SingleTxtG"/>
      </w:pPr>
      <w:r>
        <w:rPr>
          <w:lang w:val="fr-FR"/>
        </w:rPr>
        <w:t>192.</w:t>
      </w:r>
      <w:r>
        <w:rPr>
          <w:lang w:val="fr-FR"/>
        </w:rPr>
        <w:tab/>
        <w:t>Le nombre d’enfants abandonnés et d’enfants en situation de rue placés dans les centres d’assistance sociale et juridique pour mineurs relevant des organes du Ministère de l’intérieur était de 7</w:t>
      </w:r>
      <w:r w:rsidR="005E6825">
        <w:rPr>
          <w:lang w:val="fr-FR"/>
        </w:rPr>
        <w:t> </w:t>
      </w:r>
      <w:r>
        <w:rPr>
          <w:lang w:val="fr-FR"/>
        </w:rPr>
        <w:t>644 en 2019, de 4</w:t>
      </w:r>
      <w:r w:rsidR="005E6825">
        <w:rPr>
          <w:lang w:val="fr-FR"/>
        </w:rPr>
        <w:t> </w:t>
      </w:r>
      <w:r>
        <w:rPr>
          <w:lang w:val="fr-FR"/>
        </w:rPr>
        <w:t>956 en 2020 et de 9</w:t>
      </w:r>
      <w:r w:rsidR="005E6825">
        <w:rPr>
          <w:lang w:val="fr-FR"/>
        </w:rPr>
        <w:t> </w:t>
      </w:r>
      <w:r>
        <w:rPr>
          <w:lang w:val="fr-FR"/>
        </w:rPr>
        <w:t>218 en 2021. Parmi eux, 5</w:t>
      </w:r>
      <w:r w:rsidR="005E6825">
        <w:rPr>
          <w:lang w:val="fr-FR"/>
        </w:rPr>
        <w:t> </w:t>
      </w:r>
      <w:r>
        <w:rPr>
          <w:lang w:val="fr-FR"/>
        </w:rPr>
        <w:t>369 (3 518/6</w:t>
      </w:r>
      <w:r w:rsidR="00892BAD">
        <w:rPr>
          <w:lang w:val="fr-FR"/>
        </w:rPr>
        <w:t> </w:t>
      </w:r>
      <w:r>
        <w:rPr>
          <w:lang w:val="fr-FR"/>
        </w:rPr>
        <w:t>342) sont scolarisés dans des écoles d’enseignement général et 743 (181/621) dans des collèges et des lycées.</w:t>
      </w:r>
    </w:p>
    <w:p w14:paraId="096E76DA" w14:textId="23825755"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892BAD">
        <w:rPr>
          <w:bCs/>
          <w:lang w:val="fr-FR"/>
        </w:rPr>
        <w:t> </w:t>
      </w:r>
      <w:r>
        <w:rPr>
          <w:bCs/>
          <w:lang w:val="fr-FR"/>
        </w:rPr>
        <w:t>18</w:t>
      </w:r>
      <w:r w:rsidR="00892BAD">
        <w:rPr>
          <w:bCs/>
          <w:lang w:val="fr-FR"/>
        </w:rPr>
        <w:t> </w:t>
      </w:r>
      <w:r>
        <w:rPr>
          <w:bCs/>
          <w:lang w:val="fr-FR"/>
        </w:rPr>
        <w:t>d) de la liste de points</w:t>
      </w:r>
      <w:r>
        <w:rPr>
          <w:lang w:val="fr-FR"/>
        </w:rPr>
        <w:t xml:space="preserve"> </w:t>
      </w:r>
    </w:p>
    <w:p w14:paraId="6DD247FC" w14:textId="77777777" w:rsidR="003A454B" w:rsidRPr="00593F42" w:rsidRDefault="003A454B" w:rsidP="003A454B">
      <w:pPr>
        <w:pStyle w:val="SingleTxtG"/>
      </w:pPr>
      <w:r>
        <w:rPr>
          <w:lang w:val="fr-FR"/>
        </w:rPr>
        <w:t>193.</w:t>
      </w:r>
      <w:r>
        <w:rPr>
          <w:lang w:val="fr-FR"/>
        </w:rPr>
        <w:tab/>
        <w:t>Le Ministère de l’emploi et des relations de travail ne collecte ni ne compile de statistiques sur les enfants travaillant dans les secteurs formel et informel de l’économie.</w:t>
      </w:r>
    </w:p>
    <w:p w14:paraId="372070A1" w14:textId="2751672E"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892BAD">
        <w:rPr>
          <w:bCs/>
          <w:lang w:val="fr-FR"/>
        </w:rPr>
        <w:t> </w:t>
      </w:r>
      <w:r>
        <w:rPr>
          <w:bCs/>
          <w:lang w:val="fr-FR"/>
        </w:rPr>
        <w:t>18</w:t>
      </w:r>
      <w:r w:rsidR="00892BAD">
        <w:rPr>
          <w:bCs/>
          <w:lang w:val="fr-FR"/>
        </w:rPr>
        <w:t> </w:t>
      </w:r>
      <w:r>
        <w:rPr>
          <w:bCs/>
          <w:lang w:val="fr-FR"/>
        </w:rPr>
        <w:t>e) de la liste de points</w:t>
      </w:r>
      <w:r>
        <w:rPr>
          <w:lang w:val="fr-FR"/>
        </w:rPr>
        <w:t xml:space="preserve"> </w:t>
      </w:r>
    </w:p>
    <w:p w14:paraId="728DA17C" w14:textId="26A914DA" w:rsidR="003A454B" w:rsidRPr="00593F42" w:rsidRDefault="003A454B" w:rsidP="003A454B">
      <w:pPr>
        <w:pStyle w:val="SingleTxtG"/>
      </w:pPr>
      <w:r>
        <w:rPr>
          <w:lang w:val="fr-FR"/>
        </w:rPr>
        <w:t>194.</w:t>
      </w:r>
      <w:r>
        <w:rPr>
          <w:lang w:val="fr-FR"/>
        </w:rPr>
        <w:tab/>
        <w:t>En Ouzbékistan, la vaccination est gratuite. Sept types de vaccins sont disponibles (ZF-UZ-VAC, Ouzbékistan-Chine</w:t>
      </w:r>
      <w:r w:rsidR="005579CA">
        <w:rPr>
          <w:lang w:val="fr-FR"/>
        </w:rPr>
        <w:t> ;</w:t>
      </w:r>
      <w:r>
        <w:rPr>
          <w:lang w:val="fr-FR"/>
        </w:rPr>
        <w:t xml:space="preserve"> Sputnik-V</w:t>
      </w:r>
      <w:r w:rsidR="00EA4254">
        <w:rPr>
          <w:lang w:val="fr-FR"/>
        </w:rPr>
        <w:t xml:space="preserve"> et</w:t>
      </w:r>
      <w:r>
        <w:rPr>
          <w:lang w:val="fr-FR"/>
        </w:rPr>
        <w:t xml:space="preserve"> Sputnik Light, Fédération de Russie</w:t>
      </w:r>
      <w:r w:rsidR="005579CA">
        <w:rPr>
          <w:lang w:val="fr-FR"/>
        </w:rPr>
        <w:t> ;</w:t>
      </w:r>
      <w:r>
        <w:rPr>
          <w:lang w:val="fr-FR"/>
        </w:rPr>
        <w:t xml:space="preserve"> Pfizer</w:t>
      </w:r>
      <w:r w:rsidR="00EA4254">
        <w:rPr>
          <w:lang w:val="fr-FR"/>
        </w:rPr>
        <w:t xml:space="preserve"> et</w:t>
      </w:r>
      <w:r>
        <w:rPr>
          <w:lang w:val="fr-FR"/>
        </w:rPr>
        <w:t xml:space="preserve"> Moderna, États-Unis</w:t>
      </w:r>
      <w:r w:rsidR="005579CA">
        <w:rPr>
          <w:lang w:val="fr-FR"/>
        </w:rPr>
        <w:t> ;</w:t>
      </w:r>
      <w:r>
        <w:rPr>
          <w:lang w:val="fr-FR"/>
        </w:rPr>
        <w:t xml:space="preserve"> AstraZeneca, Royaume-Uni</w:t>
      </w:r>
      <w:r w:rsidR="005579CA">
        <w:rPr>
          <w:lang w:val="fr-FR"/>
        </w:rPr>
        <w:t> ;</w:t>
      </w:r>
      <w:r>
        <w:rPr>
          <w:lang w:val="fr-FR"/>
        </w:rPr>
        <w:t xml:space="preserve"> </w:t>
      </w:r>
      <w:proofErr w:type="spellStart"/>
      <w:r>
        <w:rPr>
          <w:lang w:val="fr-FR"/>
        </w:rPr>
        <w:t>Sinovac</w:t>
      </w:r>
      <w:proofErr w:type="spellEnd"/>
      <w:r>
        <w:rPr>
          <w:lang w:val="fr-FR"/>
        </w:rPr>
        <w:t xml:space="preserve">, Chine). L’Ouzbékistan produit également des vaccins conjointement avec la République populaire de Chine et la Fédération de Russie. </w:t>
      </w:r>
    </w:p>
    <w:p w14:paraId="3E78F973" w14:textId="334E5AE1" w:rsidR="003A454B" w:rsidRPr="00593F42" w:rsidRDefault="003A454B" w:rsidP="003A454B">
      <w:pPr>
        <w:pStyle w:val="SingleTxtG"/>
      </w:pPr>
      <w:r>
        <w:rPr>
          <w:lang w:val="fr-FR"/>
        </w:rPr>
        <w:t>195.</w:t>
      </w:r>
      <w:r>
        <w:rPr>
          <w:lang w:val="fr-FR"/>
        </w:rPr>
        <w:tab/>
        <w:t>À ce jour, 18,6</w:t>
      </w:r>
      <w:r w:rsidR="00533169">
        <w:rPr>
          <w:lang w:val="fr-FR"/>
        </w:rPr>
        <w:t> </w:t>
      </w:r>
      <w:r>
        <w:rPr>
          <w:lang w:val="fr-FR"/>
        </w:rPr>
        <w:t>millions d’adultes (86,7</w:t>
      </w:r>
      <w:r w:rsidR="00B0330A">
        <w:rPr>
          <w:lang w:val="fr-FR"/>
        </w:rPr>
        <w:t> %</w:t>
      </w:r>
      <w:r>
        <w:rPr>
          <w:lang w:val="fr-FR"/>
        </w:rPr>
        <w:t>) ont été vaccinés, et 37,9</w:t>
      </w:r>
      <w:r w:rsidR="00533169">
        <w:rPr>
          <w:lang w:val="fr-FR"/>
        </w:rPr>
        <w:t> </w:t>
      </w:r>
      <w:r>
        <w:rPr>
          <w:lang w:val="fr-FR"/>
        </w:rPr>
        <w:t xml:space="preserve">millions </w:t>
      </w:r>
      <w:r w:rsidR="00EA4254">
        <w:rPr>
          <w:lang w:val="fr-FR"/>
        </w:rPr>
        <w:t xml:space="preserve">de </w:t>
      </w:r>
      <w:r>
        <w:rPr>
          <w:lang w:val="fr-FR"/>
        </w:rPr>
        <w:t xml:space="preserve">doses de vaccins ont été utilisées. Afin de prévenir la </w:t>
      </w:r>
      <w:r w:rsidR="00B0330A">
        <w:rPr>
          <w:lang w:val="fr-FR"/>
        </w:rPr>
        <w:t>COVID</w:t>
      </w:r>
      <w:r w:rsidR="00B0330A">
        <w:rPr>
          <w:lang w:val="fr-FR"/>
        </w:rPr>
        <w:noBreakHyphen/>
        <w:t>19</w:t>
      </w:r>
      <w:r>
        <w:rPr>
          <w:lang w:val="fr-FR"/>
        </w:rPr>
        <w:t>, depuis septembre 2021 les enfants de plus de 12</w:t>
      </w:r>
      <w:r w:rsidR="00533169">
        <w:rPr>
          <w:lang w:val="fr-FR"/>
        </w:rPr>
        <w:t> </w:t>
      </w:r>
      <w:r>
        <w:rPr>
          <w:lang w:val="fr-FR"/>
        </w:rPr>
        <w:t>ans peuvent se faire vacciner avec le vaccin Pfizer avec le consentement de leurs parents, conformément aux recommandations de l’OMS. La vaccination des enfants est facultative.</w:t>
      </w:r>
    </w:p>
    <w:p w14:paraId="42067DBB" w14:textId="77BD4322" w:rsidR="003A454B" w:rsidRPr="00593F42" w:rsidRDefault="003A454B" w:rsidP="003A454B">
      <w:pPr>
        <w:pStyle w:val="SingleTxtG"/>
      </w:pPr>
      <w:r>
        <w:rPr>
          <w:lang w:val="fr-FR"/>
        </w:rPr>
        <w:t>196.</w:t>
      </w:r>
      <w:r>
        <w:rPr>
          <w:lang w:val="fr-FR"/>
        </w:rPr>
        <w:tab/>
        <w:t xml:space="preserve">Le système de santé fonctionne comme prévu et tous les établissements de santé fournissent des soins selon leur spécialisation, y compris les services obstétriques et pédiatriques. Seules les institutions spécialisées dans le traitement de la </w:t>
      </w:r>
      <w:r w:rsidR="00B0330A">
        <w:rPr>
          <w:lang w:val="fr-FR"/>
        </w:rPr>
        <w:t>COVID</w:t>
      </w:r>
      <w:r w:rsidR="00B0330A">
        <w:rPr>
          <w:lang w:val="fr-FR"/>
        </w:rPr>
        <w:noBreakHyphen/>
        <w:t>19</w:t>
      </w:r>
      <w:r>
        <w:rPr>
          <w:lang w:val="fr-FR"/>
        </w:rPr>
        <w:t xml:space="preserve"> fournissent des soins de santé aux personnes atteintes de cette maladie. Un certain nombre d’établissements de santé qui avaient été ouverts pendant la pandémie pour traiter les patients atteints de la </w:t>
      </w:r>
      <w:r w:rsidR="00B0330A">
        <w:rPr>
          <w:lang w:val="fr-FR"/>
        </w:rPr>
        <w:t>COVID</w:t>
      </w:r>
      <w:r w:rsidR="00B0330A">
        <w:rPr>
          <w:lang w:val="fr-FR"/>
        </w:rPr>
        <w:noBreakHyphen/>
        <w:t>19</w:t>
      </w:r>
      <w:r>
        <w:rPr>
          <w:lang w:val="fr-FR"/>
        </w:rPr>
        <w:t xml:space="preserve"> sont restés en activité.</w:t>
      </w:r>
    </w:p>
    <w:p w14:paraId="0E123751" w14:textId="58D27E73"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EA4254">
        <w:rPr>
          <w:bCs/>
          <w:lang w:val="fr-FR"/>
        </w:rPr>
        <w:t> </w:t>
      </w:r>
      <w:r>
        <w:rPr>
          <w:bCs/>
          <w:lang w:val="fr-FR"/>
        </w:rPr>
        <w:t>19</w:t>
      </w:r>
      <w:r w:rsidR="00EA4254">
        <w:rPr>
          <w:bCs/>
          <w:lang w:val="fr-FR"/>
        </w:rPr>
        <w:t> </w:t>
      </w:r>
      <w:r>
        <w:rPr>
          <w:bCs/>
          <w:lang w:val="fr-FR"/>
        </w:rPr>
        <w:t>a) de la liste de points</w:t>
      </w:r>
      <w:r>
        <w:rPr>
          <w:lang w:val="fr-FR"/>
        </w:rPr>
        <w:t xml:space="preserve"> </w:t>
      </w:r>
    </w:p>
    <w:p w14:paraId="6BE0E3BB" w14:textId="742CB979" w:rsidR="003A454B" w:rsidRPr="00593F42" w:rsidRDefault="003A454B" w:rsidP="003A454B">
      <w:pPr>
        <w:pStyle w:val="SingleTxtG"/>
      </w:pPr>
      <w:r>
        <w:rPr>
          <w:lang w:val="fr-FR"/>
        </w:rPr>
        <w:t>197.</w:t>
      </w:r>
      <w:r>
        <w:rPr>
          <w:lang w:val="fr-FR"/>
        </w:rPr>
        <w:tab/>
        <w:t>En Ouzbékistan, 70</w:t>
      </w:r>
      <w:r w:rsidR="00533169">
        <w:rPr>
          <w:lang w:val="fr-FR"/>
        </w:rPr>
        <w:t> </w:t>
      </w:r>
      <w:r>
        <w:rPr>
          <w:lang w:val="fr-FR"/>
        </w:rPr>
        <w:t>520</w:t>
      </w:r>
      <w:r w:rsidR="00533169">
        <w:rPr>
          <w:lang w:val="fr-FR"/>
        </w:rPr>
        <w:t> </w:t>
      </w:r>
      <w:r>
        <w:rPr>
          <w:lang w:val="fr-FR"/>
        </w:rPr>
        <w:t>enfants sont séparés de leurs parents dans le cadre d’une tutelle, d’une curatelle ou d’une adoption.</w:t>
      </w:r>
    </w:p>
    <w:p w14:paraId="2D8D7DD0" w14:textId="7B0E4D15" w:rsidR="003A454B" w:rsidRPr="00593F42" w:rsidRDefault="003A454B" w:rsidP="003A454B">
      <w:pPr>
        <w:pStyle w:val="SingleTxtG"/>
      </w:pPr>
      <w:r>
        <w:rPr>
          <w:lang w:val="fr-FR"/>
        </w:rPr>
        <w:t>198.</w:t>
      </w:r>
      <w:r>
        <w:rPr>
          <w:lang w:val="fr-FR"/>
        </w:rPr>
        <w:tab/>
        <w:t>On trouvera dans le tableau ci-après des informations sur la tutelle, la curatelle et le placement familial par région</w:t>
      </w:r>
      <w:r w:rsidR="005579CA">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502"/>
        <w:gridCol w:w="538"/>
        <w:gridCol w:w="378"/>
        <w:gridCol w:w="542"/>
        <w:gridCol w:w="350"/>
        <w:gridCol w:w="574"/>
        <w:gridCol w:w="532"/>
        <w:gridCol w:w="350"/>
        <w:gridCol w:w="520"/>
        <w:gridCol w:w="407"/>
        <w:gridCol w:w="584"/>
        <w:gridCol w:w="540"/>
        <w:gridCol w:w="6"/>
        <w:gridCol w:w="556"/>
        <w:gridCol w:w="567"/>
        <w:gridCol w:w="424"/>
      </w:tblGrid>
      <w:tr w:rsidR="003A454B" w:rsidRPr="00AF502E" w14:paraId="1382A2DE" w14:textId="77777777" w:rsidTr="00482A38">
        <w:trPr>
          <w:tblHeader/>
        </w:trPr>
        <w:tc>
          <w:tcPr>
            <w:tcW w:w="1960" w:type="dxa"/>
            <w:gridSpan w:val="4"/>
            <w:tcBorders>
              <w:top w:val="single" w:sz="4" w:space="0" w:color="auto"/>
              <w:bottom w:val="single" w:sz="12" w:space="0" w:color="auto"/>
            </w:tcBorders>
            <w:shd w:val="clear" w:color="auto" w:fill="auto"/>
            <w:vAlign w:val="bottom"/>
          </w:tcPr>
          <w:p w14:paraId="28205839" w14:textId="72D44D0B" w:rsidR="003A454B" w:rsidRPr="00586746" w:rsidRDefault="003A454B" w:rsidP="00482A38">
            <w:pPr>
              <w:suppressAutoHyphens w:val="0"/>
              <w:spacing w:before="80" w:after="80" w:line="200" w:lineRule="exact"/>
              <w:ind w:left="28"/>
              <w:jc w:val="right"/>
              <w:rPr>
                <w:i/>
                <w:sz w:val="16"/>
                <w:szCs w:val="16"/>
              </w:rPr>
            </w:pPr>
            <w:r w:rsidRPr="00586746">
              <w:rPr>
                <w:i/>
                <w:iCs/>
                <w:sz w:val="16"/>
                <w:szCs w:val="16"/>
                <w:lang w:val="fr-FR"/>
              </w:rPr>
              <w:t>Nombre d</w:t>
            </w:r>
            <w:r>
              <w:rPr>
                <w:i/>
                <w:iCs/>
                <w:sz w:val="16"/>
                <w:szCs w:val="16"/>
                <w:lang w:val="fr-FR"/>
              </w:rPr>
              <w:t>’</w:t>
            </w:r>
            <w:r w:rsidRPr="00586746">
              <w:rPr>
                <w:i/>
                <w:iCs/>
                <w:sz w:val="16"/>
                <w:szCs w:val="16"/>
                <w:lang w:val="fr-FR"/>
              </w:rPr>
              <w:t xml:space="preserve">enfants placés </w:t>
            </w:r>
            <w:r w:rsidR="00533169">
              <w:rPr>
                <w:i/>
                <w:iCs/>
                <w:sz w:val="16"/>
                <w:szCs w:val="16"/>
                <w:lang w:val="fr-FR"/>
              </w:rPr>
              <w:br/>
            </w:r>
            <w:r w:rsidRPr="00586746">
              <w:rPr>
                <w:i/>
                <w:iCs/>
                <w:sz w:val="16"/>
                <w:szCs w:val="16"/>
                <w:lang w:val="fr-FR"/>
              </w:rPr>
              <w:t>en famille d</w:t>
            </w:r>
            <w:r>
              <w:rPr>
                <w:i/>
                <w:iCs/>
                <w:sz w:val="16"/>
                <w:szCs w:val="16"/>
                <w:lang w:val="fr-FR"/>
              </w:rPr>
              <w:t>’</w:t>
            </w:r>
            <w:r w:rsidRPr="00586746">
              <w:rPr>
                <w:i/>
                <w:iCs/>
                <w:sz w:val="16"/>
                <w:szCs w:val="16"/>
                <w:lang w:val="fr-FR"/>
              </w:rPr>
              <w:t>accueil en 2019</w:t>
            </w:r>
          </w:p>
        </w:tc>
        <w:tc>
          <w:tcPr>
            <w:tcW w:w="350" w:type="dxa"/>
            <w:vMerge w:val="restart"/>
            <w:tcBorders>
              <w:top w:val="single" w:sz="4" w:space="0" w:color="auto"/>
              <w:bottom w:val="single" w:sz="12" w:space="0" w:color="auto"/>
            </w:tcBorders>
            <w:shd w:val="clear" w:color="auto" w:fill="auto"/>
            <w:textDirection w:val="btLr"/>
            <w:vAlign w:val="center"/>
          </w:tcPr>
          <w:p w14:paraId="7BE55D5E" w14:textId="6CFF607F" w:rsidR="003A454B" w:rsidRPr="00586746" w:rsidRDefault="003A454B" w:rsidP="00FE7269">
            <w:pPr>
              <w:suppressAutoHyphens w:val="0"/>
              <w:spacing w:before="80" w:line="200" w:lineRule="exact"/>
              <w:jc w:val="center"/>
              <w:rPr>
                <w:i/>
                <w:sz w:val="16"/>
                <w:szCs w:val="16"/>
              </w:rPr>
            </w:pPr>
            <w:r w:rsidRPr="00586746">
              <w:rPr>
                <w:i/>
                <w:iCs/>
                <w:sz w:val="16"/>
                <w:szCs w:val="16"/>
                <w:lang w:val="fr-FR"/>
              </w:rPr>
              <w:t xml:space="preserve">Nombre </w:t>
            </w:r>
            <w:r w:rsidRPr="00AF502E">
              <w:rPr>
                <w:i/>
                <w:iCs/>
                <w:spacing w:val="-40"/>
                <w:sz w:val="16"/>
                <w:szCs w:val="16"/>
                <w:lang w:val="fr-FR"/>
              </w:rPr>
              <w:t>d</w:t>
            </w:r>
            <w:r w:rsidR="008A09AB" w:rsidRPr="00AF502E">
              <w:rPr>
                <w:i/>
                <w:iCs/>
                <w:spacing w:val="-40"/>
                <w:sz w:val="16"/>
                <w:szCs w:val="16"/>
                <w:lang w:val="fr-FR"/>
              </w:rPr>
              <w:t>’</w:t>
            </w:r>
            <w:r w:rsidRPr="00AF502E">
              <w:rPr>
                <w:i/>
                <w:iCs/>
                <w:spacing w:val="-40"/>
                <w:sz w:val="16"/>
                <w:szCs w:val="16"/>
                <w:lang w:val="fr-FR"/>
              </w:rPr>
              <w:t>e</w:t>
            </w:r>
            <w:r w:rsidRPr="00586746">
              <w:rPr>
                <w:i/>
                <w:iCs/>
                <w:sz w:val="16"/>
                <w:szCs w:val="16"/>
                <w:lang w:val="fr-FR"/>
              </w:rPr>
              <w:t>nfants placés dans des institutions en 2019</w:t>
            </w:r>
          </w:p>
        </w:tc>
        <w:tc>
          <w:tcPr>
            <w:tcW w:w="1976" w:type="dxa"/>
            <w:gridSpan w:val="4"/>
            <w:tcBorders>
              <w:top w:val="single" w:sz="4" w:space="0" w:color="auto"/>
              <w:bottom w:val="single" w:sz="12" w:space="0" w:color="auto"/>
            </w:tcBorders>
            <w:shd w:val="clear" w:color="auto" w:fill="auto"/>
            <w:vAlign w:val="bottom"/>
          </w:tcPr>
          <w:p w14:paraId="293BD71C" w14:textId="1835899D" w:rsidR="003A454B" w:rsidRPr="00586746" w:rsidRDefault="003A454B" w:rsidP="00482A38">
            <w:pPr>
              <w:suppressAutoHyphens w:val="0"/>
              <w:spacing w:before="80" w:after="80" w:line="200" w:lineRule="exact"/>
              <w:ind w:left="28"/>
              <w:jc w:val="right"/>
              <w:rPr>
                <w:i/>
                <w:sz w:val="16"/>
                <w:szCs w:val="16"/>
              </w:rPr>
            </w:pPr>
            <w:r w:rsidRPr="00586746">
              <w:rPr>
                <w:i/>
                <w:iCs/>
                <w:sz w:val="16"/>
                <w:szCs w:val="16"/>
                <w:lang w:val="fr-FR"/>
              </w:rPr>
              <w:t>Nombre d</w:t>
            </w:r>
            <w:r>
              <w:rPr>
                <w:i/>
                <w:iCs/>
                <w:sz w:val="16"/>
                <w:szCs w:val="16"/>
                <w:lang w:val="fr-FR"/>
              </w:rPr>
              <w:t>’</w:t>
            </w:r>
            <w:r w:rsidRPr="00586746">
              <w:rPr>
                <w:i/>
                <w:iCs/>
                <w:sz w:val="16"/>
                <w:szCs w:val="16"/>
                <w:lang w:val="fr-FR"/>
              </w:rPr>
              <w:t xml:space="preserve">enfants placés </w:t>
            </w:r>
            <w:r w:rsidR="00F90FD5">
              <w:rPr>
                <w:i/>
                <w:iCs/>
                <w:sz w:val="16"/>
                <w:szCs w:val="16"/>
                <w:lang w:val="fr-FR"/>
              </w:rPr>
              <w:br/>
            </w:r>
            <w:r w:rsidRPr="00586746">
              <w:rPr>
                <w:i/>
                <w:iCs/>
                <w:sz w:val="16"/>
                <w:szCs w:val="16"/>
                <w:lang w:val="fr-FR"/>
              </w:rPr>
              <w:t>en famille d</w:t>
            </w:r>
            <w:r>
              <w:rPr>
                <w:i/>
                <w:iCs/>
                <w:sz w:val="16"/>
                <w:szCs w:val="16"/>
                <w:lang w:val="fr-FR"/>
              </w:rPr>
              <w:t>’</w:t>
            </w:r>
            <w:r w:rsidRPr="00586746">
              <w:rPr>
                <w:i/>
                <w:iCs/>
                <w:sz w:val="16"/>
                <w:szCs w:val="16"/>
                <w:lang w:val="fr-FR"/>
              </w:rPr>
              <w:t>accueil en 2020</w:t>
            </w:r>
          </w:p>
        </w:tc>
        <w:tc>
          <w:tcPr>
            <w:tcW w:w="407" w:type="dxa"/>
            <w:vMerge w:val="restart"/>
            <w:tcBorders>
              <w:top w:val="single" w:sz="4" w:space="0" w:color="auto"/>
              <w:bottom w:val="single" w:sz="12" w:space="0" w:color="auto"/>
            </w:tcBorders>
            <w:shd w:val="clear" w:color="auto" w:fill="auto"/>
            <w:textDirection w:val="btLr"/>
            <w:vAlign w:val="center"/>
          </w:tcPr>
          <w:p w14:paraId="77B81FAA" w14:textId="0C0C10B4" w:rsidR="003A454B" w:rsidRPr="00AF502E" w:rsidRDefault="003A454B" w:rsidP="00FE7269">
            <w:pPr>
              <w:suppressAutoHyphens w:val="0"/>
              <w:spacing w:before="80" w:line="200" w:lineRule="exact"/>
              <w:jc w:val="center"/>
              <w:rPr>
                <w:i/>
                <w:spacing w:val="-2"/>
                <w:sz w:val="16"/>
                <w:szCs w:val="16"/>
              </w:rPr>
            </w:pPr>
            <w:r w:rsidRPr="00AF502E">
              <w:rPr>
                <w:i/>
                <w:iCs/>
                <w:spacing w:val="-2"/>
                <w:sz w:val="16"/>
                <w:szCs w:val="16"/>
                <w:lang w:val="fr-FR"/>
              </w:rPr>
              <w:t xml:space="preserve">Nombre </w:t>
            </w:r>
            <w:r w:rsidRPr="00AF502E">
              <w:rPr>
                <w:i/>
                <w:iCs/>
                <w:spacing w:val="-40"/>
                <w:sz w:val="16"/>
                <w:szCs w:val="16"/>
                <w:lang w:val="fr-FR"/>
              </w:rPr>
              <w:t>d</w:t>
            </w:r>
            <w:r w:rsidR="00AF502E" w:rsidRPr="00AF502E">
              <w:rPr>
                <w:i/>
                <w:iCs/>
                <w:spacing w:val="-40"/>
                <w:sz w:val="16"/>
                <w:szCs w:val="16"/>
                <w:lang w:val="fr-FR"/>
              </w:rPr>
              <w:t>’</w:t>
            </w:r>
            <w:r w:rsidRPr="00AF502E">
              <w:rPr>
                <w:i/>
                <w:iCs/>
                <w:spacing w:val="-2"/>
                <w:sz w:val="16"/>
                <w:szCs w:val="16"/>
                <w:lang w:val="fr-FR"/>
              </w:rPr>
              <w:t>enfants placés dans des institutions en 2020</w:t>
            </w:r>
          </w:p>
        </w:tc>
        <w:tc>
          <w:tcPr>
            <w:tcW w:w="2253" w:type="dxa"/>
            <w:gridSpan w:val="5"/>
            <w:tcBorders>
              <w:top w:val="single" w:sz="4" w:space="0" w:color="auto"/>
              <w:bottom w:val="single" w:sz="12" w:space="0" w:color="auto"/>
            </w:tcBorders>
            <w:shd w:val="clear" w:color="auto" w:fill="auto"/>
            <w:vAlign w:val="bottom"/>
          </w:tcPr>
          <w:p w14:paraId="6DA3BC6F" w14:textId="58ED116B" w:rsidR="003A454B" w:rsidRPr="00586746" w:rsidRDefault="003A454B" w:rsidP="00482A38">
            <w:pPr>
              <w:suppressAutoHyphens w:val="0"/>
              <w:spacing w:before="80" w:after="80" w:line="200" w:lineRule="exact"/>
              <w:ind w:left="28"/>
              <w:jc w:val="right"/>
              <w:rPr>
                <w:i/>
                <w:sz w:val="16"/>
                <w:szCs w:val="16"/>
              </w:rPr>
            </w:pPr>
            <w:r w:rsidRPr="00586746">
              <w:rPr>
                <w:i/>
                <w:iCs/>
                <w:sz w:val="16"/>
                <w:szCs w:val="16"/>
                <w:lang w:val="fr-FR"/>
              </w:rPr>
              <w:t>Nombre d</w:t>
            </w:r>
            <w:r>
              <w:rPr>
                <w:i/>
                <w:iCs/>
                <w:sz w:val="16"/>
                <w:szCs w:val="16"/>
                <w:lang w:val="fr-FR"/>
              </w:rPr>
              <w:t>’</w:t>
            </w:r>
            <w:r w:rsidRPr="00586746">
              <w:rPr>
                <w:i/>
                <w:iCs/>
                <w:sz w:val="16"/>
                <w:szCs w:val="16"/>
                <w:lang w:val="fr-FR"/>
              </w:rPr>
              <w:t xml:space="preserve">enfants placés </w:t>
            </w:r>
            <w:r w:rsidR="00F90FD5">
              <w:rPr>
                <w:i/>
                <w:iCs/>
                <w:sz w:val="16"/>
                <w:szCs w:val="16"/>
                <w:lang w:val="fr-FR"/>
              </w:rPr>
              <w:br/>
            </w:r>
            <w:r w:rsidRPr="00586746">
              <w:rPr>
                <w:i/>
                <w:iCs/>
                <w:sz w:val="16"/>
                <w:szCs w:val="16"/>
                <w:lang w:val="fr-FR"/>
              </w:rPr>
              <w:t>en famille d</w:t>
            </w:r>
            <w:r>
              <w:rPr>
                <w:i/>
                <w:iCs/>
                <w:sz w:val="16"/>
                <w:szCs w:val="16"/>
                <w:lang w:val="fr-FR"/>
              </w:rPr>
              <w:t>’</w:t>
            </w:r>
            <w:r w:rsidRPr="00586746">
              <w:rPr>
                <w:i/>
                <w:iCs/>
                <w:sz w:val="16"/>
                <w:szCs w:val="16"/>
                <w:lang w:val="fr-FR"/>
              </w:rPr>
              <w:t>accueil en 2021</w:t>
            </w:r>
          </w:p>
        </w:tc>
        <w:tc>
          <w:tcPr>
            <w:tcW w:w="424" w:type="dxa"/>
            <w:vMerge w:val="restart"/>
            <w:tcBorders>
              <w:top w:val="single" w:sz="4" w:space="0" w:color="auto"/>
              <w:bottom w:val="single" w:sz="12" w:space="0" w:color="auto"/>
            </w:tcBorders>
            <w:shd w:val="clear" w:color="auto" w:fill="auto"/>
            <w:textDirection w:val="btLr"/>
            <w:vAlign w:val="center"/>
          </w:tcPr>
          <w:p w14:paraId="3D80DBF2" w14:textId="77777777" w:rsidR="003A454B" w:rsidRPr="00AF502E" w:rsidRDefault="003A454B" w:rsidP="00FE7269">
            <w:pPr>
              <w:suppressAutoHyphens w:val="0"/>
              <w:spacing w:before="80" w:line="200" w:lineRule="exact"/>
              <w:jc w:val="center"/>
              <w:rPr>
                <w:i/>
                <w:spacing w:val="-2"/>
                <w:sz w:val="16"/>
                <w:szCs w:val="16"/>
              </w:rPr>
            </w:pPr>
            <w:r w:rsidRPr="00AF502E">
              <w:rPr>
                <w:i/>
                <w:iCs/>
                <w:spacing w:val="-2"/>
                <w:sz w:val="16"/>
                <w:szCs w:val="16"/>
                <w:lang w:val="fr-FR"/>
              </w:rPr>
              <w:t xml:space="preserve">Nombre </w:t>
            </w:r>
            <w:r w:rsidRPr="00FE7269">
              <w:rPr>
                <w:i/>
                <w:iCs/>
                <w:spacing w:val="-40"/>
                <w:sz w:val="16"/>
                <w:szCs w:val="16"/>
                <w:lang w:val="fr-FR"/>
              </w:rPr>
              <w:t>d’e</w:t>
            </w:r>
            <w:r w:rsidRPr="00AF502E">
              <w:rPr>
                <w:i/>
                <w:iCs/>
                <w:spacing w:val="-2"/>
                <w:sz w:val="16"/>
                <w:szCs w:val="16"/>
                <w:lang w:val="fr-FR"/>
              </w:rPr>
              <w:t>nfants placés dans des institutions en 2021</w:t>
            </w:r>
          </w:p>
        </w:tc>
      </w:tr>
      <w:tr w:rsidR="003A454B" w:rsidRPr="00AF502E" w14:paraId="5C62BE76" w14:textId="77777777" w:rsidTr="00533169">
        <w:trPr>
          <w:cantSplit/>
          <w:trHeight w:hRule="exact" w:val="113"/>
          <w:tblHeader/>
        </w:trPr>
        <w:tc>
          <w:tcPr>
            <w:tcW w:w="1960" w:type="dxa"/>
            <w:gridSpan w:val="4"/>
            <w:tcBorders>
              <w:top w:val="single" w:sz="12" w:space="0" w:color="auto"/>
            </w:tcBorders>
            <w:shd w:val="clear" w:color="auto" w:fill="auto"/>
          </w:tcPr>
          <w:p w14:paraId="15AECADC" w14:textId="77777777" w:rsidR="003A454B" w:rsidRPr="00586746" w:rsidRDefault="003A454B" w:rsidP="00482A38">
            <w:pPr>
              <w:suppressAutoHyphens w:val="0"/>
              <w:spacing w:before="100" w:beforeAutospacing="1" w:after="100" w:afterAutospacing="1" w:line="160" w:lineRule="exact"/>
              <w:rPr>
                <w:sz w:val="16"/>
                <w:szCs w:val="16"/>
              </w:rPr>
            </w:pPr>
          </w:p>
        </w:tc>
        <w:tc>
          <w:tcPr>
            <w:tcW w:w="350" w:type="dxa"/>
            <w:vMerge/>
            <w:tcBorders>
              <w:top w:val="single" w:sz="12" w:space="0" w:color="auto"/>
            </w:tcBorders>
            <w:shd w:val="clear" w:color="auto" w:fill="auto"/>
            <w:textDirection w:val="btLr"/>
            <w:vAlign w:val="bottom"/>
          </w:tcPr>
          <w:p w14:paraId="6DA913D7" w14:textId="77777777" w:rsidR="003A454B" w:rsidRPr="00586746" w:rsidRDefault="003A454B" w:rsidP="00482A38">
            <w:pPr>
              <w:suppressAutoHyphens w:val="0"/>
              <w:spacing w:before="100" w:beforeAutospacing="1" w:after="100" w:afterAutospacing="1" w:line="220" w:lineRule="exact"/>
              <w:jc w:val="right"/>
              <w:rPr>
                <w:sz w:val="16"/>
                <w:szCs w:val="16"/>
              </w:rPr>
            </w:pPr>
          </w:p>
        </w:tc>
        <w:tc>
          <w:tcPr>
            <w:tcW w:w="1976" w:type="dxa"/>
            <w:gridSpan w:val="4"/>
            <w:tcBorders>
              <w:top w:val="single" w:sz="12" w:space="0" w:color="auto"/>
            </w:tcBorders>
            <w:shd w:val="clear" w:color="auto" w:fill="auto"/>
            <w:vAlign w:val="bottom"/>
          </w:tcPr>
          <w:p w14:paraId="0A6B089C" w14:textId="77777777" w:rsidR="003A454B" w:rsidRPr="00586746" w:rsidRDefault="003A454B" w:rsidP="00482A38">
            <w:pPr>
              <w:suppressAutoHyphens w:val="0"/>
              <w:spacing w:before="100" w:beforeAutospacing="1" w:after="100" w:afterAutospacing="1" w:line="220" w:lineRule="exact"/>
              <w:jc w:val="right"/>
              <w:rPr>
                <w:sz w:val="16"/>
                <w:szCs w:val="16"/>
              </w:rPr>
            </w:pPr>
          </w:p>
        </w:tc>
        <w:tc>
          <w:tcPr>
            <w:tcW w:w="407" w:type="dxa"/>
            <w:vMerge/>
            <w:tcBorders>
              <w:top w:val="single" w:sz="12" w:space="0" w:color="auto"/>
            </w:tcBorders>
            <w:shd w:val="clear" w:color="auto" w:fill="auto"/>
            <w:textDirection w:val="btLr"/>
            <w:vAlign w:val="bottom"/>
          </w:tcPr>
          <w:p w14:paraId="4735F28F" w14:textId="77777777" w:rsidR="003A454B" w:rsidRPr="00586746" w:rsidRDefault="003A454B" w:rsidP="00482A38">
            <w:pPr>
              <w:suppressAutoHyphens w:val="0"/>
              <w:spacing w:before="100" w:beforeAutospacing="1" w:after="100" w:afterAutospacing="1" w:line="220" w:lineRule="exact"/>
              <w:jc w:val="right"/>
              <w:rPr>
                <w:sz w:val="16"/>
                <w:szCs w:val="16"/>
              </w:rPr>
            </w:pPr>
          </w:p>
        </w:tc>
        <w:tc>
          <w:tcPr>
            <w:tcW w:w="2253" w:type="dxa"/>
            <w:gridSpan w:val="5"/>
            <w:tcBorders>
              <w:top w:val="single" w:sz="12" w:space="0" w:color="auto"/>
            </w:tcBorders>
            <w:shd w:val="clear" w:color="auto" w:fill="auto"/>
            <w:vAlign w:val="bottom"/>
          </w:tcPr>
          <w:p w14:paraId="7BA72007" w14:textId="77777777" w:rsidR="003A454B" w:rsidRPr="00586746" w:rsidRDefault="003A454B" w:rsidP="00482A38">
            <w:pPr>
              <w:suppressAutoHyphens w:val="0"/>
              <w:spacing w:before="100" w:beforeAutospacing="1" w:after="100" w:afterAutospacing="1" w:line="220" w:lineRule="exact"/>
              <w:jc w:val="right"/>
              <w:rPr>
                <w:sz w:val="16"/>
                <w:szCs w:val="16"/>
              </w:rPr>
            </w:pPr>
          </w:p>
        </w:tc>
        <w:tc>
          <w:tcPr>
            <w:tcW w:w="424" w:type="dxa"/>
            <w:vMerge/>
            <w:tcBorders>
              <w:top w:val="single" w:sz="12" w:space="0" w:color="auto"/>
            </w:tcBorders>
            <w:shd w:val="clear" w:color="auto" w:fill="auto"/>
            <w:textDirection w:val="btLr"/>
            <w:vAlign w:val="bottom"/>
          </w:tcPr>
          <w:p w14:paraId="5584A2B4" w14:textId="77777777" w:rsidR="003A454B" w:rsidRPr="00AF502E" w:rsidRDefault="003A454B" w:rsidP="00482A38">
            <w:pPr>
              <w:suppressAutoHyphens w:val="0"/>
              <w:spacing w:before="100" w:beforeAutospacing="1" w:after="100" w:afterAutospacing="1" w:line="220" w:lineRule="exact"/>
              <w:jc w:val="right"/>
              <w:rPr>
                <w:spacing w:val="-2"/>
                <w:sz w:val="16"/>
                <w:szCs w:val="16"/>
              </w:rPr>
            </w:pPr>
          </w:p>
        </w:tc>
      </w:tr>
      <w:tr w:rsidR="003A454B" w:rsidRPr="00AF502E" w14:paraId="076837D9" w14:textId="77777777" w:rsidTr="00482A38">
        <w:trPr>
          <w:cantSplit/>
          <w:trHeight w:val="2936"/>
          <w:tblHeader/>
        </w:trPr>
        <w:tc>
          <w:tcPr>
            <w:tcW w:w="502" w:type="dxa"/>
            <w:shd w:val="clear" w:color="auto" w:fill="auto"/>
            <w:textDirection w:val="btLr"/>
            <w:vAlign w:val="bottom"/>
          </w:tcPr>
          <w:p w14:paraId="5331A45C"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Tutelle</w:t>
            </w:r>
          </w:p>
        </w:tc>
        <w:tc>
          <w:tcPr>
            <w:tcW w:w="538" w:type="dxa"/>
            <w:shd w:val="clear" w:color="auto" w:fill="auto"/>
            <w:textDirection w:val="btLr"/>
            <w:vAlign w:val="bottom"/>
          </w:tcPr>
          <w:p w14:paraId="327B420D"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Curatelle</w:t>
            </w:r>
          </w:p>
        </w:tc>
        <w:tc>
          <w:tcPr>
            <w:tcW w:w="378" w:type="dxa"/>
            <w:shd w:val="clear" w:color="auto" w:fill="auto"/>
            <w:textDirection w:val="btLr"/>
            <w:vAlign w:val="bottom"/>
          </w:tcPr>
          <w:p w14:paraId="3DA1C464"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Placement familial</w:t>
            </w:r>
          </w:p>
        </w:tc>
        <w:tc>
          <w:tcPr>
            <w:tcW w:w="542" w:type="dxa"/>
            <w:shd w:val="clear" w:color="auto" w:fill="auto"/>
            <w:textDirection w:val="btLr"/>
            <w:vAlign w:val="bottom"/>
          </w:tcPr>
          <w:p w14:paraId="01F7F7BD"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Adoption</w:t>
            </w:r>
          </w:p>
        </w:tc>
        <w:tc>
          <w:tcPr>
            <w:tcW w:w="350" w:type="dxa"/>
            <w:vMerge/>
            <w:shd w:val="clear" w:color="auto" w:fill="auto"/>
            <w:vAlign w:val="bottom"/>
          </w:tcPr>
          <w:p w14:paraId="20E7C51C" w14:textId="77777777" w:rsidR="003A454B" w:rsidRPr="00586746" w:rsidRDefault="003A454B" w:rsidP="00482A38">
            <w:pPr>
              <w:suppressAutoHyphens w:val="0"/>
              <w:spacing w:before="40" w:after="40" w:line="220" w:lineRule="exact"/>
              <w:jc w:val="right"/>
              <w:rPr>
                <w:sz w:val="16"/>
                <w:szCs w:val="16"/>
              </w:rPr>
            </w:pPr>
          </w:p>
        </w:tc>
        <w:tc>
          <w:tcPr>
            <w:tcW w:w="574" w:type="dxa"/>
            <w:shd w:val="clear" w:color="auto" w:fill="auto"/>
            <w:textDirection w:val="btLr"/>
            <w:vAlign w:val="bottom"/>
          </w:tcPr>
          <w:p w14:paraId="76818688"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Tutelle</w:t>
            </w:r>
          </w:p>
        </w:tc>
        <w:tc>
          <w:tcPr>
            <w:tcW w:w="532" w:type="dxa"/>
            <w:shd w:val="clear" w:color="auto" w:fill="auto"/>
            <w:textDirection w:val="btLr"/>
            <w:vAlign w:val="bottom"/>
          </w:tcPr>
          <w:p w14:paraId="62130B90"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Curatelle</w:t>
            </w:r>
          </w:p>
        </w:tc>
        <w:tc>
          <w:tcPr>
            <w:tcW w:w="350" w:type="dxa"/>
            <w:shd w:val="clear" w:color="auto" w:fill="auto"/>
            <w:textDirection w:val="btLr"/>
            <w:vAlign w:val="bottom"/>
          </w:tcPr>
          <w:p w14:paraId="0FAF6C68"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Placement familial</w:t>
            </w:r>
          </w:p>
        </w:tc>
        <w:tc>
          <w:tcPr>
            <w:tcW w:w="520" w:type="dxa"/>
            <w:shd w:val="clear" w:color="auto" w:fill="auto"/>
            <w:textDirection w:val="btLr"/>
            <w:vAlign w:val="bottom"/>
          </w:tcPr>
          <w:p w14:paraId="57DE8422"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Adoption</w:t>
            </w:r>
          </w:p>
        </w:tc>
        <w:tc>
          <w:tcPr>
            <w:tcW w:w="407" w:type="dxa"/>
            <w:vMerge/>
            <w:shd w:val="clear" w:color="auto" w:fill="auto"/>
            <w:vAlign w:val="bottom"/>
          </w:tcPr>
          <w:p w14:paraId="0E7FE897" w14:textId="77777777" w:rsidR="003A454B" w:rsidRPr="00586746" w:rsidRDefault="003A454B" w:rsidP="00482A38">
            <w:pPr>
              <w:suppressAutoHyphens w:val="0"/>
              <w:spacing w:before="40" w:after="40" w:line="220" w:lineRule="exact"/>
              <w:jc w:val="right"/>
              <w:rPr>
                <w:sz w:val="16"/>
                <w:szCs w:val="16"/>
              </w:rPr>
            </w:pPr>
          </w:p>
        </w:tc>
        <w:tc>
          <w:tcPr>
            <w:tcW w:w="584" w:type="dxa"/>
            <w:shd w:val="clear" w:color="auto" w:fill="auto"/>
            <w:textDirection w:val="btLr"/>
            <w:vAlign w:val="bottom"/>
          </w:tcPr>
          <w:p w14:paraId="5C0AB355"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Tutelle</w:t>
            </w:r>
          </w:p>
        </w:tc>
        <w:tc>
          <w:tcPr>
            <w:tcW w:w="540" w:type="dxa"/>
            <w:shd w:val="clear" w:color="auto" w:fill="auto"/>
            <w:textDirection w:val="btLr"/>
            <w:vAlign w:val="bottom"/>
          </w:tcPr>
          <w:p w14:paraId="218EB2DA"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Curatelle</w:t>
            </w:r>
          </w:p>
        </w:tc>
        <w:tc>
          <w:tcPr>
            <w:tcW w:w="562" w:type="dxa"/>
            <w:gridSpan w:val="2"/>
            <w:shd w:val="clear" w:color="auto" w:fill="auto"/>
            <w:textDirection w:val="btLr"/>
            <w:vAlign w:val="bottom"/>
          </w:tcPr>
          <w:p w14:paraId="7A70090B"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Placement familial</w:t>
            </w:r>
          </w:p>
        </w:tc>
        <w:tc>
          <w:tcPr>
            <w:tcW w:w="567" w:type="dxa"/>
            <w:shd w:val="clear" w:color="auto" w:fill="auto"/>
            <w:textDirection w:val="btLr"/>
            <w:vAlign w:val="bottom"/>
          </w:tcPr>
          <w:p w14:paraId="3717DF83" w14:textId="77777777" w:rsidR="003A454B" w:rsidRPr="00586746" w:rsidRDefault="003A454B" w:rsidP="00482A38">
            <w:pPr>
              <w:suppressAutoHyphens w:val="0"/>
              <w:spacing w:before="40" w:line="220" w:lineRule="exact"/>
              <w:jc w:val="right"/>
              <w:rPr>
                <w:sz w:val="16"/>
                <w:szCs w:val="16"/>
              </w:rPr>
            </w:pPr>
            <w:r w:rsidRPr="00586746">
              <w:rPr>
                <w:sz w:val="16"/>
                <w:szCs w:val="16"/>
                <w:lang w:val="fr-FR"/>
              </w:rPr>
              <w:t>Adoption</w:t>
            </w:r>
          </w:p>
        </w:tc>
        <w:tc>
          <w:tcPr>
            <w:tcW w:w="424" w:type="dxa"/>
            <w:vMerge/>
            <w:shd w:val="clear" w:color="auto" w:fill="auto"/>
            <w:vAlign w:val="bottom"/>
          </w:tcPr>
          <w:p w14:paraId="29E66973" w14:textId="77777777" w:rsidR="003A454B" w:rsidRPr="00AF502E" w:rsidRDefault="003A454B" w:rsidP="00482A38">
            <w:pPr>
              <w:suppressAutoHyphens w:val="0"/>
              <w:spacing w:before="40" w:after="40" w:line="220" w:lineRule="exact"/>
              <w:jc w:val="right"/>
              <w:rPr>
                <w:spacing w:val="-2"/>
                <w:sz w:val="16"/>
                <w:szCs w:val="16"/>
              </w:rPr>
            </w:pPr>
          </w:p>
        </w:tc>
      </w:tr>
      <w:tr w:rsidR="003A454B" w:rsidRPr="00586746" w14:paraId="368ED5C9" w14:textId="77777777" w:rsidTr="00482A38">
        <w:trPr>
          <w:trHeight w:val="281"/>
        </w:trPr>
        <w:tc>
          <w:tcPr>
            <w:tcW w:w="502" w:type="dxa"/>
            <w:tcBorders>
              <w:bottom w:val="single" w:sz="12" w:space="0" w:color="auto"/>
            </w:tcBorders>
            <w:shd w:val="clear" w:color="auto" w:fill="auto"/>
          </w:tcPr>
          <w:p w14:paraId="443335DB"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18 632</w:t>
            </w:r>
          </w:p>
        </w:tc>
        <w:tc>
          <w:tcPr>
            <w:tcW w:w="538" w:type="dxa"/>
            <w:tcBorders>
              <w:bottom w:val="single" w:sz="12" w:space="0" w:color="auto"/>
            </w:tcBorders>
            <w:shd w:val="clear" w:color="auto" w:fill="auto"/>
          </w:tcPr>
          <w:p w14:paraId="7BA5EAF8"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10 038</w:t>
            </w:r>
          </w:p>
        </w:tc>
        <w:tc>
          <w:tcPr>
            <w:tcW w:w="378" w:type="dxa"/>
            <w:tcBorders>
              <w:bottom w:val="single" w:sz="12" w:space="0" w:color="auto"/>
            </w:tcBorders>
            <w:shd w:val="clear" w:color="auto" w:fill="auto"/>
          </w:tcPr>
          <w:p w14:paraId="27343930"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588</w:t>
            </w:r>
          </w:p>
        </w:tc>
        <w:tc>
          <w:tcPr>
            <w:tcW w:w="542" w:type="dxa"/>
            <w:tcBorders>
              <w:bottom w:val="single" w:sz="12" w:space="0" w:color="auto"/>
            </w:tcBorders>
            <w:shd w:val="clear" w:color="auto" w:fill="auto"/>
          </w:tcPr>
          <w:p w14:paraId="19829B1D"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30 256</w:t>
            </w:r>
          </w:p>
        </w:tc>
        <w:tc>
          <w:tcPr>
            <w:tcW w:w="350" w:type="dxa"/>
            <w:tcBorders>
              <w:bottom w:val="single" w:sz="12" w:space="0" w:color="auto"/>
            </w:tcBorders>
            <w:shd w:val="clear" w:color="auto" w:fill="auto"/>
            <w:vAlign w:val="bottom"/>
          </w:tcPr>
          <w:p w14:paraId="4285759C"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379</w:t>
            </w:r>
          </w:p>
        </w:tc>
        <w:tc>
          <w:tcPr>
            <w:tcW w:w="574" w:type="dxa"/>
            <w:tcBorders>
              <w:bottom w:val="single" w:sz="12" w:space="0" w:color="auto"/>
            </w:tcBorders>
            <w:shd w:val="clear" w:color="auto" w:fill="auto"/>
            <w:vAlign w:val="bottom"/>
          </w:tcPr>
          <w:p w14:paraId="14FDC5DB"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23 753</w:t>
            </w:r>
          </w:p>
        </w:tc>
        <w:tc>
          <w:tcPr>
            <w:tcW w:w="532" w:type="dxa"/>
            <w:tcBorders>
              <w:bottom w:val="single" w:sz="12" w:space="0" w:color="auto"/>
            </w:tcBorders>
            <w:shd w:val="clear" w:color="auto" w:fill="auto"/>
            <w:vAlign w:val="bottom"/>
          </w:tcPr>
          <w:p w14:paraId="669C106A"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14 459</w:t>
            </w:r>
          </w:p>
        </w:tc>
        <w:tc>
          <w:tcPr>
            <w:tcW w:w="350" w:type="dxa"/>
            <w:tcBorders>
              <w:bottom w:val="single" w:sz="12" w:space="0" w:color="auto"/>
            </w:tcBorders>
            <w:shd w:val="clear" w:color="auto" w:fill="auto"/>
            <w:vAlign w:val="bottom"/>
          </w:tcPr>
          <w:p w14:paraId="0C2E92A5"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901</w:t>
            </w:r>
          </w:p>
        </w:tc>
        <w:tc>
          <w:tcPr>
            <w:tcW w:w="520" w:type="dxa"/>
            <w:tcBorders>
              <w:bottom w:val="single" w:sz="12" w:space="0" w:color="auto"/>
            </w:tcBorders>
            <w:shd w:val="clear" w:color="auto" w:fill="auto"/>
            <w:vAlign w:val="bottom"/>
          </w:tcPr>
          <w:p w14:paraId="71BC7923"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32 315</w:t>
            </w:r>
          </w:p>
        </w:tc>
        <w:tc>
          <w:tcPr>
            <w:tcW w:w="407" w:type="dxa"/>
            <w:tcBorders>
              <w:bottom w:val="single" w:sz="12" w:space="0" w:color="auto"/>
            </w:tcBorders>
            <w:shd w:val="clear" w:color="auto" w:fill="auto"/>
            <w:vAlign w:val="bottom"/>
          </w:tcPr>
          <w:p w14:paraId="66803291"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284</w:t>
            </w:r>
          </w:p>
        </w:tc>
        <w:tc>
          <w:tcPr>
            <w:tcW w:w="584" w:type="dxa"/>
            <w:tcBorders>
              <w:bottom w:val="single" w:sz="12" w:space="0" w:color="auto"/>
            </w:tcBorders>
            <w:shd w:val="clear" w:color="auto" w:fill="auto"/>
            <w:vAlign w:val="bottom"/>
          </w:tcPr>
          <w:p w14:paraId="5F20D272"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25 376</w:t>
            </w:r>
          </w:p>
        </w:tc>
        <w:tc>
          <w:tcPr>
            <w:tcW w:w="546" w:type="dxa"/>
            <w:gridSpan w:val="2"/>
            <w:tcBorders>
              <w:bottom w:val="single" w:sz="12" w:space="0" w:color="auto"/>
            </w:tcBorders>
            <w:shd w:val="clear" w:color="auto" w:fill="auto"/>
            <w:vAlign w:val="bottom"/>
          </w:tcPr>
          <w:p w14:paraId="09363D3A"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15 145</w:t>
            </w:r>
          </w:p>
        </w:tc>
        <w:tc>
          <w:tcPr>
            <w:tcW w:w="556" w:type="dxa"/>
            <w:tcBorders>
              <w:bottom w:val="single" w:sz="12" w:space="0" w:color="auto"/>
            </w:tcBorders>
            <w:shd w:val="clear" w:color="auto" w:fill="auto"/>
            <w:vAlign w:val="bottom"/>
          </w:tcPr>
          <w:p w14:paraId="00D79D6F"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1 108</w:t>
            </w:r>
          </w:p>
        </w:tc>
        <w:tc>
          <w:tcPr>
            <w:tcW w:w="567" w:type="dxa"/>
            <w:tcBorders>
              <w:bottom w:val="single" w:sz="12" w:space="0" w:color="auto"/>
            </w:tcBorders>
            <w:shd w:val="clear" w:color="auto" w:fill="auto"/>
            <w:vAlign w:val="bottom"/>
          </w:tcPr>
          <w:p w14:paraId="6ABF6A1D"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33 835</w:t>
            </w:r>
          </w:p>
        </w:tc>
        <w:tc>
          <w:tcPr>
            <w:tcW w:w="424" w:type="dxa"/>
            <w:tcBorders>
              <w:bottom w:val="single" w:sz="12" w:space="0" w:color="auto"/>
            </w:tcBorders>
            <w:shd w:val="clear" w:color="auto" w:fill="auto"/>
            <w:vAlign w:val="bottom"/>
          </w:tcPr>
          <w:p w14:paraId="4C56BC9E" w14:textId="77777777" w:rsidR="003A454B" w:rsidRPr="00586746" w:rsidRDefault="003A454B" w:rsidP="00482A38">
            <w:pPr>
              <w:suppressAutoHyphens w:val="0"/>
              <w:spacing w:before="40" w:after="40" w:line="220" w:lineRule="exact"/>
              <w:jc w:val="right"/>
              <w:rPr>
                <w:sz w:val="16"/>
                <w:szCs w:val="16"/>
              </w:rPr>
            </w:pPr>
            <w:r w:rsidRPr="00586746">
              <w:rPr>
                <w:sz w:val="16"/>
                <w:szCs w:val="16"/>
                <w:lang w:val="fr-FR"/>
              </w:rPr>
              <w:t>384</w:t>
            </w:r>
          </w:p>
        </w:tc>
      </w:tr>
    </w:tbl>
    <w:p w14:paraId="20AC5870" w14:textId="6F5713F7" w:rsidR="003A454B" w:rsidRPr="00593F42" w:rsidRDefault="003A454B" w:rsidP="003A454B">
      <w:pPr>
        <w:pStyle w:val="H23G"/>
        <w:rPr>
          <w:b w:val="0"/>
          <w:i/>
        </w:rPr>
      </w:pPr>
      <w:r>
        <w:rPr>
          <w:lang w:val="fr-FR"/>
        </w:rPr>
        <w:lastRenderedPageBreak/>
        <w:tab/>
      </w:r>
      <w:r>
        <w:rPr>
          <w:lang w:val="fr-FR"/>
        </w:rPr>
        <w:tab/>
      </w:r>
      <w:r>
        <w:rPr>
          <w:lang w:val="fr-FR"/>
        </w:rPr>
        <w:tab/>
      </w:r>
      <w:r>
        <w:rPr>
          <w:bCs/>
          <w:lang w:val="fr-FR"/>
        </w:rPr>
        <w:t>Renseignements concernant le paragraphe</w:t>
      </w:r>
      <w:r w:rsidR="00F015B0">
        <w:rPr>
          <w:bCs/>
          <w:lang w:val="fr-FR"/>
        </w:rPr>
        <w:t> </w:t>
      </w:r>
      <w:r>
        <w:rPr>
          <w:bCs/>
          <w:lang w:val="fr-FR"/>
        </w:rPr>
        <w:t>19</w:t>
      </w:r>
      <w:r w:rsidR="00F015B0">
        <w:rPr>
          <w:bCs/>
          <w:lang w:val="fr-FR"/>
        </w:rPr>
        <w:t> </w:t>
      </w:r>
      <w:r>
        <w:rPr>
          <w:bCs/>
          <w:lang w:val="fr-FR"/>
        </w:rPr>
        <w:t>b) de la liste de points</w:t>
      </w:r>
      <w:r>
        <w:rPr>
          <w:lang w:val="fr-FR"/>
        </w:rPr>
        <w:t xml:space="preserve"> </w:t>
      </w:r>
    </w:p>
    <w:p w14:paraId="0EC9810E" w14:textId="5FD9F6C9" w:rsidR="003A454B" w:rsidRPr="00593F42" w:rsidRDefault="003A454B" w:rsidP="003A454B">
      <w:pPr>
        <w:pStyle w:val="SingleTxtG"/>
      </w:pPr>
      <w:r>
        <w:rPr>
          <w:lang w:val="fr-FR"/>
        </w:rPr>
        <w:t>199.</w:t>
      </w:r>
      <w:r>
        <w:rPr>
          <w:lang w:val="fr-FR"/>
        </w:rPr>
        <w:tab/>
        <w:t>Quelque 297</w:t>
      </w:r>
      <w:r w:rsidR="0028216F">
        <w:rPr>
          <w:lang w:val="fr-FR"/>
        </w:rPr>
        <w:t> </w:t>
      </w:r>
      <w:r>
        <w:rPr>
          <w:lang w:val="fr-FR"/>
        </w:rPr>
        <w:t xml:space="preserve">enfants sont placés dans des institutions pour des périodes allant de </w:t>
      </w:r>
      <w:r w:rsidR="0028216F">
        <w:rPr>
          <w:lang w:val="fr-FR"/>
        </w:rPr>
        <w:t>trois</w:t>
      </w:r>
      <w:r>
        <w:rPr>
          <w:lang w:val="fr-FR"/>
        </w:rPr>
        <w:t xml:space="preserve"> mois à </w:t>
      </w:r>
      <w:r w:rsidR="0028216F">
        <w:rPr>
          <w:lang w:val="fr-FR"/>
        </w:rPr>
        <w:t>trois</w:t>
      </w:r>
      <w:r>
        <w:rPr>
          <w:lang w:val="fr-FR"/>
        </w:rPr>
        <w:t xml:space="preserve"> ans.</w:t>
      </w:r>
    </w:p>
    <w:p w14:paraId="6368AAAF" w14:textId="59610683"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371B35">
        <w:rPr>
          <w:bCs/>
          <w:lang w:val="fr-FR"/>
        </w:rPr>
        <w:t> </w:t>
      </w:r>
      <w:r>
        <w:rPr>
          <w:bCs/>
          <w:lang w:val="fr-FR"/>
        </w:rPr>
        <w:t>19</w:t>
      </w:r>
      <w:r w:rsidR="00371B35">
        <w:rPr>
          <w:bCs/>
          <w:lang w:val="fr-FR"/>
        </w:rPr>
        <w:t> </w:t>
      </w:r>
      <w:r>
        <w:rPr>
          <w:bCs/>
          <w:lang w:val="fr-FR"/>
        </w:rPr>
        <w:t>c) de la liste de points</w:t>
      </w:r>
      <w:r>
        <w:rPr>
          <w:lang w:val="fr-FR"/>
        </w:rPr>
        <w:t xml:space="preserve"> </w:t>
      </w:r>
    </w:p>
    <w:p w14:paraId="70C1334B" w14:textId="792FA5EB" w:rsidR="003A454B" w:rsidRPr="00DE03F3" w:rsidRDefault="003A454B" w:rsidP="00DE03F3">
      <w:pPr>
        <w:pStyle w:val="SingleTxtG"/>
      </w:pPr>
      <w:r>
        <w:rPr>
          <w:lang w:val="fr-FR"/>
        </w:rPr>
        <w:t>200.</w:t>
      </w:r>
      <w:r>
        <w:rPr>
          <w:lang w:val="fr-FR"/>
        </w:rPr>
        <w:tab/>
        <w:t>L’Ouzbékistan compte 1</w:t>
      </w:r>
      <w:r w:rsidR="00DE03F3">
        <w:rPr>
          <w:lang w:val="fr-FR"/>
        </w:rPr>
        <w:t> </w:t>
      </w:r>
      <w:r>
        <w:rPr>
          <w:lang w:val="fr-FR"/>
        </w:rPr>
        <w:t>108</w:t>
      </w:r>
      <w:r w:rsidR="00DE03F3">
        <w:rPr>
          <w:lang w:val="fr-FR"/>
        </w:rPr>
        <w:t> </w:t>
      </w:r>
      <w:r>
        <w:rPr>
          <w:lang w:val="fr-FR"/>
        </w:rPr>
        <w:t>enfants placés en famille d’accueil.</w:t>
      </w:r>
    </w:p>
    <w:p w14:paraId="3ED9BE74" w14:textId="10BCDEF2" w:rsidR="003A454B" w:rsidRPr="00593F42" w:rsidRDefault="003A454B" w:rsidP="00DE03F3">
      <w:pPr>
        <w:pStyle w:val="H23G"/>
        <w:rPr>
          <w:i/>
        </w:rPr>
      </w:pPr>
      <w:r>
        <w:rPr>
          <w:lang w:val="fr-FR"/>
        </w:rPr>
        <w:tab/>
      </w:r>
      <w:r>
        <w:rPr>
          <w:lang w:val="fr-FR"/>
        </w:rPr>
        <w:tab/>
      </w:r>
      <w:r>
        <w:rPr>
          <w:lang w:val="fr-FR"/>
        </w:rPr>
        <w:tab/>
        <w:t>Renseignements concernant le paragraphe</w:t>
      </w:r>
      <w:r w:rsidR="00B94A3F">
        <w:rPr>
          <w:lang w:val="fr-FR"/>
        </w:rPr>
        <w:t> </w:t>
      </w:r>
      <w:r>
        <w:rPr>
          <w:lang w:val="fr-FR"/>
        </w:rPr>
        <w:t>20</w:t>
      </w:r>
      <w:r w:rsidR="00B94A3F">
        <w:rPr>
          <w:lang w:val="fr-FR"/>
        </w:rPr>
        <w:t> </w:t>
      </w:r>
      <w:r>
        <w:rPr>
          <w:lang w:val="fr-FR"/>
        </w:rPr>
        <w:t xml:space="preserve">a) de la liste de points </w:t>
      </w:r>
    </w:p>
    <w:p w14:paraId="426C4BDF" w14:textId="77777777" w:rsidR="003A454B" w:rsidRPr="00806E3F" w:rsidRDefault="003A454B" w:rsidP="003A454B">
      <w:pPr>
        <w:pStyle w:val="SingleTxtG"/>
      </w:pPr>
      <w:r>
        <w:rPr>
          <w:lang w:val="fr-FR"/>
        </w:rPr>
        <w:t>201.</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1559"/>
        <w:gridCol w:w="1560"/>
        <w:gridCol w:w="1274"/>
      </w:tblGrid>
      <w:tr w:rsidR="003A454B" w:rsidRPr="00DE03F3" w14:paraId="445DDE07" w14:textId="77777777" w:rsidTr="00DE03F3">
        <w:trPr>
          <w:tblHeader/>
        </w:trPr>
        <w:tc>
          <w:tcPr>
            <w:tcW w:w="2977" w:type="dxa"/>
            <w:tcBorders>
              <w:top w:val="single" w:sz="4" w:space="0" w:color="auto"/>
              <w:bottom w:val="single" w:sz="12" w:space="0" w:color="auto"/>
            </w:tcBorders>
            <w:shd w:val="clear" w:color="auto" w:fill="auto"/>
            <w:vAlign w:val="bottom"/>
          </w:tcPr>
          <w:p w14:paraId="4FA77AC9" w14:textId="77777777" w:rsidR="003A454B" w:rsidRPr="00DE03F3" w:rsidRDefault="003A454B" w:rsidP="00DE03F3">
            <w:pPr>
              <w:suppressAutoHyphens w:val="0"/>
              <w:spacing w:before="80" w:after="80" w:line="200" w:lineRule="exact"/>
              <w:rPr>
                <w:i/>
                <w:sz w:val="16"/>
              </w:rPr>
            </w:pPr>
          </w:p>
        </w:tc>
        <w:tc>
          <w:tcPr>
            <w:tcW w:w="1559" w:type="dxa"/>
            <w:tcBorders>
              <w:top w:val="single" w:sz="4" w:space="0" w:color="auto"/>
              <w:bottom w:val="single" w:sz="12" w:space="0" w:color="auto"/>
            </w:tcBorders>
            <w:shd w:val="clear" w:color="auto" w:fill="auto"/>
            <w:vAlign w:val="bottom"/>
          </w:tcPr>
          <w:p w14:paraId="671E4383" w14:textId="77777777" w:rsidR="003A454B" w:rsidRPr="00DE03F3" w:rsidRDefault="003A454B" w:rsidP="00DE03F3">
            <w:pPr>
              <w:suppressAutoHyphens w:val="0"/>
              <w:spacing w:before="80" w:after="80" w:line="200" w:lineRule="exact"/>
              <w:jc w:val="right"/>
              <w:rPr>
                <w:i/>
                <w:sz w:val="16"/>
              </w:rPr>
            </w:pPr>
            <w:r w:rsidRPr="00DE03F3">
              <w:rPr>
                <w:i/>
                <w:iCs/>
                <w:sz w:val="16"/>
                <w:lang w:val="fr-FR"/>
              </w:rPr>
              <w:t>Au 1</w:t>
            </w:r>
            <w:r w:rsidRPr="00DE03F3">
              <w:rPr>
                <w:i/>
                <w:iCs/>
                <w:sz w:val="16"/>
                <w:vertAlign w:val="superscript"/>
                <w:lang w:val="fr-FR"/>
              </w:rPr>
              <w:t xml:space="preserve">er </w:t>
            </w:r>
            <w:r w:rsidRPr="00DE03F3">
              <w:rPr>
                <w:i/>
                <w:iCs/>
                <w:sz w:val="16"/>
                <w:lang w:val="fr-FR"/>
              </w:rPr>
              <w:t>janvier 2018</w:t>
            </w:r>
            <w:r w:rsidRPr="00DE03F3">
              <w:rPr>
                <w:i/>
                <w:sz w:val="16"/>
                <w:lang w:val="fr-FR"/>
              </w:rPr>
              <w:t xml:space="preserve"> </w:t>
            </w:r>
          </w:p>
        </w:tc>
        <w:tc>
          <w:tcPr>
            <w:tcW w:w="1560" w:type="dxa"/>
            <w:tcBorders>
              <w:top w:val="single" w:sz="4" w:space="0" w:color="auto"/>
              <w:bottom w:val="single" w:sz="12" w:space="0" w:color="auto"/>
            </w:tcBorders>
            <w:shd w:val="clear" w:color="auto" w:fill="auto"/>
            <w:vAlign w:val="bottom"/>
          </w:tcPr>
          <w:p w14:paraId="0F10F845" w14:textId="77777777" w:rsidR="003A454B" w:rsidRPr="00DE03F3" w:rsidRDefault="003A454B" w:rsidP="00DE03F3">
            <w:pPr>
              <w:suppressAutoHyphens w:val="0"/>
              <w:spacing w:before="80" w:after="80" w:line="200" w:lineRule="exact"/>
              <w:jc w:val="right"/>
              <w:rPr>
                <w:i/>
                <w:sz w:val="16"/>
              </w:rPr>
            </w:pPr>
            <w:r w:rsidRPr="00DE03F3">
              <w:rPr>
                <w:i/>
                <w:iCs/>
                <w:sz w:val="16"/>
                <w:lang w:val="fr-FR"/>
              </w:rPr>
              <w:t>Au 1</w:t>
            </w:r>
            <w:r w:rsidRPr="00DE03F3">
              <w:rPr>
                <w:i/>
                <w:iCs/>
                <w:sz w:val="16"/>
                <w:vertAlign w:val="superscript"/>
                <w:lang w:val="fr-FR"/>
              </w:rPr>
              <w:t>er</w:t>
            </w:r>
            <w:r w:rsidRPr="00DE03F3">
              <w:rPr>
                <w:i/>
                <w:iCs/>
                <w:sz w:val="16"/>
                <w:lang w:val="fr-FR"/>
              </w:rPr>
              <w:t xml:space="preserve"> janvier 2019</w:t>
            </w:r>
          </w:p>
        </w:tc>
        <w:tc>
          <w:tcPr>
            <w:tcW w:w="1274" w:type="dxa"/>
            <w:tcBorders>
              <w:top w:val="single" w:sz="4" w:space="0" w:color="auto"/>
              <w:bottom w:val="single" w:sz="12" w:space="0" w:color="auto"/>
            </w:tcBorders>
            <w:shd w:val="clear" w:color="auto" w:fill="auto"/>
            <w:vAlign w:val="bottom"/>
          </w:tcPr>
          <w:p w14:paraId="19113653" w14:textId="77777777" w:rsidR="003A454B" w:rsidRPr="00DE03F3" w:rsidRDefault="003A454B" w:rsidP="00DE03F3">
            <w:pPr>
              <w:suppressAutoHyphens w:val="0"/>
              <w:spacing w:before="80" w:after="80" w:line="200" w:lineRule="exact"/>
              <w:jc w:val="right"/>
              <w:rPr>
                <w:i/>
                <w:sz w:val="16"/>
              </w:rPr>
            </w:pPr>
            <w:r w:rsidRPr="00DE03F3">
              <w:rPr>
                <w:i/>
                <w:iCs/>
                <w:sz w:val="16"/>
                <w:lang w:val="fr-FR"/>
              </w:rPr>
              <w:t>Au 1</w:t>
            </w:r>
            <w:r w:rsidRPr="00DE03F3">
              <w:rPr>
                <w:i/>
                <w:iCs/>
                <w:sz w:val="16"/>
                <w:vertAlign w:val="superscript"/>
                <w:lang w:val="fr-FR"/>
              </w:rPr>
              <w:t>er</w:t>
            </w:r>
            <w:r w:rsidRPr="00DE03F3">
              <w:rPr>
                <w:i/>
                <w:iCs/>
                <w:sz w:val="16"/>
                <w:lang w:val="fr-FR"/>
              </w:rPr>
              <w:t xml:space="preserve"> janvier 2020</w:t>
            </w:r>
          </w:p>
        </w:tc>
      </w:tr>
      <w:tr w:rsidR="00FB110F" w:rsidRPr="00DE03F3" w14:paraId="7438D6BA" w14:textId="77777777" w:rsidTr="00482A38">
        <w:tc>
          <w:tcPr>
            <w:tcW w:w="2977" w:type="dxa"/>
            <w:tcBorders>
              <w:top w:val="single" w:sz="4" w:space="0" w:color="auto"/>
              <w:bottom w:val="single" w:sz="12" w:space="0" w:color="auto"/>
            </w:tcBorders>
            <w:shd w:val="clear" w:color="auto" w:fill="auto"/>
          </w:tcPr>
          <w:p w14:paraId="325EC42D" w14:textId="77777777" w:rsidR="00FB110F" w:rsidRPr="00DE03F3" w:rsidRDefault="00FB110F" w:rsidP="00482A38">
            <w:pPr>
              <w:suppressAutoHyphens w:val="0"/>
              <w:spacing w:before="40" w:after="40" w:line="220" w:lineRule="exact"/>
              <w:ind w:left="284"/>
              <w:rPr>
                <w:b/>
                <w:sz w:val="18"/>
              </w:rPr>
            </w:pPr>
            <w:r w:rsidRPr="00DE03F3">
              <w:rPr>
                <w:b/>
                <w:bCs/>
                <w:sz w:val="18"/>
                <w:lang w:val="fr-FR"/>
              </w:rPr>
              <w:t xml:space="preserve">Nombre total d’enfants âgés </w:t>
            </w:r>
            <w:r>
              <w:rPr>
                <w:b/>
                <w:bCs/>
                <w:sz w:val="18"/>
                <w:lang w:val="fr-FR"/>
              </w:rPr>
              <w:br/>
            </w:r>
            <w:r w:rsidRPr="00DE03F3">
              <w:rPr>
                <w:b/>
                <w:bCs/>
                <w:sz w:val="18"/>
                <w:lang w:val="fr-FR"/>
              </w:rPr>
              <w:t>de moins de 16 ans</w:t>
            </w:r>
          </w:p>
        </w:tc>
        <w:tc>
          <w:tcPr>
            <w:tcW w:w="1559" w:type="dxa"/>
            <w:tcBorders>
              <w:top w:val="single" w:sz="4" w:space="0" w:color="auto"/>
              <w:bottom w:val="single" w:sz="12" w:space="0" w:color="auto"/>
            </w:tcBorders>
            <w:shd w:val="clear" w:color="auto" w:fill="auto"/>
            <w:vAlign w:val="bottom"/>
          </w:tcPr>
          <w:p w14:paraId="7898B9D3" w14:textId="77777777" w:rsidR="00FB110F" w:rsidRPr="00DE03F3" w:rsidRDefault="00FB110F" w:rsidP="00482A38">
            <w:pPr>
              <w:suppressAutoHyphens w:val="0"/>
              <w:spacing w:before="40" w:after="40" w:line="220" w:lineRule="exact"/>
              <w:jc w:val="right"/>
              <w:rPr>
                <w:b/>
                <w:sz w:val="18"/>
              </w:rPr>
            </w:pPr>
            <w:r w:rsidRPr="00DE03F3">
              <w:rPr>
                <w:b/>
                <w:bCs/>
                <w:sz w:val="18"/>
                <w:lang w:val="fr-FR"/>
              </w:rPr>
              <w:t>10 134 274</w:t>
            </w:r>
          </w:p>
        </w:tc>
        <w:tc>
          <w:tcPr>
            <w:tcW w:w="1560" w:type="dxa"/>
            <w:tcBorders>
              <w:top w:val="single" w:sz="4" w:space="0" w:color="auto"/>
              <w:bottom w:val="single" w:sz="12" w:space="0" w:color="auto"/>
            </w:tcBorders>
            <w:shd w:val="clear" w:color="auto" w:fill="auto"/>
            <w:vAlign w:val="bottom"/>
          </w:tcPr>
          <w:p w14:paraId="161DDECC" w14:textId="77777777" w:rsidR="00FB110F" w:rsidRPr="00DE03F3" w:rsidRDefault="00FB110F" w:rsidP="00482A38">
            <w:pPr>
              <w:suppressAutoHyphens w:val="0"/>
              <w:spacing w:before="40" w:after="40" w:line="220" w:lineRule="exact"/>
              <w:jc w:val="right"/>
              <w:rPr>
                <w:b/>
                <w:sz w:val="18"/>
              </w:rPr>
            </w:pPr>
            <w:r w:rsidRPr="00DE03F3">
              <w:rPr>
                <w:b/>
                <w:bCs/>
                <w:sz w:val="18"/>
                <w:lang w:val="fr-FR"/>
              </w:rPr>
              <w:t>10 442 831</w:t>
            </w:r>
          </w:p>
        </w:tc>
        <w:tc>
          <w:tcPr>
            <w:tcW w:w="1274" w:type="dxa"/>
            <w:tcBorders>
              <w:top w:val="single" w:sz="4" w:space="0" w:color="auto"/>
              <w:bottom w:val="single" w:sz="12" w:space="0" w:color="auto"/>
            </w:tcBorders>
            <w:shd w:val="clear" w:color="auto" w:fill="auto"/>
            <w:vAlign w:val="bottom"/>
          </w:tcPr>
          <w:p w14:paraId="12F8F76D" w14:textId="77777777" w:rsidR="00FB110F" w:rsidRPr="00DE03F3" w:rsidRDefault="00FB110F" w:rsidP="00482A38">
            <w:pPr>
              <w:suppressAutoHyphens w:val="0"/>
              <w:spacing w:before="40" w:after="40" w:line="220" w:lineRule="exact"/>
              <w:jc w:val="right"/>
              <w:rPr>
                <w:b/>
                <w:sz w:val="18"/>
              </w:rPr>
            </w:pPr>
            <w:r w:rsidRPr="00DE03F3">
              <w:rPr>
                <w:b/>
                <w:bCs/>
                <w:sz w:val="18"/>
                <w:lang w:val="fr-FR"/>
              </w:rPr>
              <w:t>10 694 173</w:t>
            </w:r>
          </w:p>
        </w:tc>
      </w:tr>
      <w:tr w:rsidR="003A454B" w:rsidRPr="00DE03F3" w14:paraId="0E4CD417" w14:textId="77777777" w:rsidTr="00DE03F3">
        <w:tc>
          <w:tcPr>
            <w:tcW w:w="2977" w:type="dxa"/>
            <w:shd w:val="clear" w:color="auto" w:fill="auto"/>
          </w:tcPr>
          <w:p w14:paraId="22B0FB40" w14:textId="7E8DA303" w:rsidR="003A454B" w:rsidRPr="00DE03F3" w:rsidRDefault="003A454B" w:rsidP="00DE03F3">
            <w:pPr>
              <w:suppressAutoHyphens w:val="0"/>
              <w:spacing w:before="40" w:after="40" w:line="220" w:lineRule="exact"/>
              <w:rPr>
                <w:sz w:val="18"/>
                <w:szCs w:val="14"/>
              </w:rPr>
            </w:pPr>
            <w:r w:rsidRPr="00DE03F3">
              <w:rPr>
                <w:sz w:val="18"/>
                <w:szCs w:val="14"/>
                <w:lang w:val="fr-FR"/>
              </w:rPr>
              <w:t xml:space="preserve">Nombre d’enfants âgés de moins </w:t>
            </w:r>
            <w:r w:rsidR="008148C4">
              <w:rPr>
                <w:sz w:val="18"/>
                <w:szCs w:val="14"/>
                <w:lang w:val="fr-FR"/>
              </w:rPr>
              <w:br/>
            </w:r>
            <w:r w:rsidRPr="00DE03F3">
              <w:rPr>
                <w:sz w:val="18"/>
                <w:szCs w:val="14"/>
                <w:lang w:val="fr-FR"/>
              </w:rPr>
              <w:t>de 16 ans présentant un handicap</w:t>
            </w:r>
          </w:p>
        </w:tc>
        <w:tc>
          <w:tcPr>
            <w:tcW w:w="1559" w:type="dxa"/>
            <w:shd w:val="clear" w:color="auto" w:fill="auto"/>
            <w:vAlign w:val="bottom"/>
          </w:tcPr>
          <w:p w14:paraId="7AA3943F"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101 475</w:t>
            </w:r>
          </w:p>
        </w:tc>
        <w:tc>
          <w:tcPr>
            <w:tcW w:w="1560" w:type="dxa"/>
            <w:shd w:val="clear" w:color="auto" w:fill="auto"/>
            <w:vAlign w:val="bottom"/>
          </w:tcPr>
          <w:p w14:paraId="707B3875"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109 610</w:t>
            </w:r>
          </w:p>
        </w:tc>
        <w:tc>
          <w:tcPr>
            <w:tcW w:w="1274" w:type="dxa"/>
            <w:shd w:val="clear" w:color="auto" w:fill="auto"/>
            <w:vAlign w:val="bottom"/>
          </w:tcPr>
          <w:p w14:paraId="4231DF35"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116 707</w:t>
            </w:r>
          </w:p>
        </w:tc>
      </w:tr>
      <w:tr w:rsidR="003A454B" w:rsidRPr="00DE03F3" w14:paraId="4E1549BD" w14:textId="77777777" w:rsidTr="00DE03F3">
        <w:tc>
          <w:tcPr>
            <w:tcW w:w="2977" w:type="dxa"/>
            <w:shd w:val="clear" w:color="auto" w:fill="auto"/>
          </w:tcPr>
          <w:p w14:paraId="3471360C" w14:textId="06F161B4" w:rsidR="003A454B" w:rsidRPr="00DE03F3" w:rsidRDefault="003A454B" w:rsidP="008148C4">
            <w:pPr>
              <w:suppressAutoHyphens w:val="0"/>
              <w:spacing w:before="40" w:after="40" w:line="220" w:lineRule="exact"/>
              <w:ind w:left="170"/>
              <w:rPr>
                <w:sz w:val="18"/>
                <w:szCs w:val="14"/>
              </w:rPr>
            </w:pPr>
            <w:r w:rsidRPr="00DE03F3">
              <w:rPr>
                <w:sz w:val="18"/>
                <w:szCs w:val="14"/>
                <w:lang w:val="fr-FR"/>
              </w:rPr>
              <w:t>Prévalence pour 1 000 enfants</w:t>
            </w:r>
          </w:p>
        </w:tc>
        <w:tc>
          <w:tcPr>
            <w:tcW w:w="1559" w:type="dxa"/>
            <w:shd w:val="clear" w:color="auto" w:fill="auto"/>
            <w:vAlign w:val="bottom"/>
          </w:tcPr>
          <w:p w14:paraId="76332CF8"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10,0</w:t>
            </w:r>
          </w:p>
        </w:tc>
        <w:tc>
          <w:tcPr>
            <w:tcW w:w="1560" w:type="dxa"/>
            <w:shd w:val="clear" w:color="auto" w:fill="auto"/>
            <w:vAlign w:val="bottom"/>
          </w:tcPr>
          <w:p w14:paraId="2451124B"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10,5</w:t>
            </w:r>
          </w:p>
        </w:tc>
        <w:tc>
          <w:tcPr>
            <w:tcW w:w="1274" w:type="dxa"/>
            <w:shd w:val="clear" w:color="auto" w:fill="auto"/>
            <w:vAlign w:val="bottom"/>
          </w:tcPr>
          <w:p w14:paraId="553785CF"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10,9</w:t>
            </w:r>
          </w:p>
        </w:tc>
      </w:tr>
      <w:tr w:rsidR="003A454B" w:rsidRPr="00DE03F3" w14:paraId="659C7158" w14:textId="77777777" w:rsidTr="00DE03F3">
        <w:tc>
          <w:tcPr>
            <w:tcW w:w="6096" w:type="dxa"/>
            <w:gridSpan w:val="3"/>
            <w:shd w:val="clear" w:color="auto" w:fill="auto"/>
          </w:tcPr>
          <w:p w14:paraId="21BAB4F3" w14:textId="770E725D" w:rsidR="003A454B" w:rsidRPr="00DE03F3" w:rsidRDefault="003A454B" w:rsidP="00DE03F3">
            <w:pPr>
              <w:suppressAutoHyphens w:val="0"/>
              <w:spacing w:before="40" w:after="40" w:line="220" w:lineRule="exact"/>
              <w:rPr>
                <w:sz w:val="18"/>
                <w:szCs w:val="14"/>
              </w:rPr>
            </w:pPr>
            <w:r w:rsidRPr="00DE03F3">
              <w:rPr>
                <w:sz w:val="18"/>
                <w:szCs w:val="14"/>
                <w:lang w:val="fr-FR"/>
              </w:rPr>
              <w:t>Dont</w:t>
            </w:r>
            <w:r w:rsidR="005579CA" w:rsidRPr="00DE03F3">
              <w:rPr>
                <w:sz w:val="18"/>
                <w:szCs w:val="14"/>
                <w:lang w:val="fr-FR"/>
              </w:rPr>
              <w:t> :</w:t>
            </w:r>
            <w:r w:rsidRPr="00DE03F3">
              <w:rPr>
                <w:sz w:val="18"/>
                <w:szCs w:val="14"/>
                <w:lang w:val="fr-FR"/>
              </w:rPr>
              <w:t xml:space="preserve"> </w:t>
            </w:r>
          </w:p>
        </w:tc>
        <w:tc>
          <w:tcPr>
            <w:tcW w:w="1274" w:type="dxa"/>
            <w:shd w:val="clear" w:color="auto" w:fill="auto"/>
            <w:vAlign w:val="bottom"/>
          </w:tcPr>
          <w:p w14:paraId="12BC873A" w14:textId="77777777" w:rsidR="003A454B" w:rsidRPr="00DE03F3" w:rsidRDefault="003A454B" w:rsidP="00DE03F3">
            <w:pPr>
              <w:suppressAutoHyphens w:val="0"/>
              <w:spacing w:before="40" w:after="40" w:line="220" w:lineRule="exact"/>
              <w:jc w:val="right"/>
              <w:rPr>
                <w:sz w:val="18"/>
                <w:szCs w:val="14"/>
              </w:rPr>
            </w:pPr>
          </w:p>
        </w:tc>
      </w:tr>
      <w:tr w:rsidR="003A454B" w:rsidRPr="00DE03F3" w14:paraId="77D84F5E" w14:textId="77777777" w:rsidTr="00DE03F3">
        <w:tc>
          <w:tcPr>
            <w:tcW w:w="2977" w:type="dxa"/>
            <w:shd w:val="clear" w:color="auto" w:fill="auto"/>
          </w:tcPr>
          <w:p w14:paraId="3DB51C6E"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Garçons</w:t>
            </w:r>
          </w:p>
        </w:tc>
        <w:tc>
          <w:tcPr>
            <w:tcW w:w="1559" w:type="dxa"/>
            <w:shd w:val="clear" w:color="auto" w:fill="auto"/>
            <w:vAlign w:val="bottom"/>
          </w:tcPr>
          <w:p w14:paraId="68106B2B" w14:textId="71FC8D02" w:rsidR="003A454B" w:rsidRPr="00DE03F3" w:rsidRDefault="003A454B" w:rsidP="00DE03F3">
            <w:pPr>
              <w:suppressAutoHyphens w:val="0"/>
              <w:spacing w:before="40" w:after="40" w:line="220" w:lineRule="exact"/>
              <w:jc w:val="right"/>
              <w:rPr>
                <w:sz w:val="18"/>
                <w:szCs w:val="14"/>
              </w:rPr>
            </w:pPr>
            <w:r w:rsidRPr="00DE03F3">
              <w:rPr>
                <w:sz w:val="18"/>
                <w:szCs w:val="14"/>
                <w:lang w:val="fr-FR"/>
              </w:rPr>
              <w:t>54 832 (54</w:t>
            </w:r>
            <w:r w:rsidR="00B0330A" w:rsidRPr="00DE03F3">
              <w:rPr>
                <w:sz w:val="18"/>
                <w:szCs w:val="14"/>
                <w:lang w:val="fr-FR"/>
              </w:rPr>
              <w:t> %</w:t>
            </w:r>
            <w:r w:rsidRPr="00DE03F3">
              <w:rPr>
                <w:sz w:val="18"/>
                <w:szCs w:val="14"/>
                <w:lang w:val="fr-FR"/>
              </w:rPr>
              <w:t>)</w:t>
            </w:r>
          </w:p>
        </w:tc>
        <w:tc>
          <w:tcPr>
            <w:tcW w:w="1560" w:type="dxa"/>
            <w:shd w:val="clear" w:color="auto" w:fill="auto"/>
            <w:vAlign w:val="bottom"/>
          </w:tcPr>
          <w:p w14:paraId="58EC4E33" w14:textId="0FC1E100" w:rsidR="003A454B" w:rsidRPr="00DE03F3" w:rsidRDefault="003A454B" w:rsidP="00DE03F3">
            <w:pPr>
              <w:suppressAutoHyphens w:val="0"/>
              <w:spacing w:before="40" w:after="40" w:line="220" w:lineRule="exact"/>
              <w:jc w:val="right"/>
              <w:rPr>
                <w:sz w:val="18"/>
                <w:szCs w:val="14"/>
              </w:rPr>
            </w:pPr>
            <w:r w:rsidRPr="00DE03F3">
              <w:rPr>
                <w:sz w:val="18"/>
                <w:szCs w:val="14"/>
                <w:lang w:val="fr-FR"/>
              </w:rPr>
              <w:t>59 163 (54</w:t>
            </w:r>
            <w:r w:rsidR="00B0330A" w:rsidRPr="00DE03F3">
              <w:rPr>
                <w:sz w:val="18"/>
                <w:szCs w:val="14"/>
                <w:lang w:val="fr-FR"/>
              </w:rPr>
              <w:t> %</w:t>
            </w:r>
            <w:r w:rsidRPr="00DE03F3">
              <w:rPr>
                <w:sz w:val="18"/>
                <w:szCs w:val="14"/>
                <w:lang w:val="fr-FR"/>
              </w:rPr>
              <w:t>)</w:t>
            </w:r>
          </w:p>
        </w:tc>
        <w:tc>
          <w:tcPr>
            <w:tcW w:w="1274" w:type="dxa"/>
            <w:shd w:val="clear" w:color="auto" w:fill="auto"/>
            <w:vAlign w:val="bottom"/>
          </w:tcPr>
          <w:p w14:paraId="7C80E4D9" w14:textId="337C6BCC" w:rsidR="003A454B" w:rsidRPr="00DE03F3" w:rsidRDefault="003A454B" w:rsidP="00DE03F3">
            <w:pPr>
              <w:suppressAutoHyphens w:val="0"/>
              <w:spacing w:before="40" w:after="40" w:line="220" w:lineRule="exact"/>
              <w:jc w:val="right"/>
              <w:rPr>
                <w:sz w:val="18"/>
                <w:szCs w:val="14"/>
              </w:rPr>
            </w:pPr>
            <w:r w:rsidRPr="00DE03F3">
              <w:rPr>
                <w:sz w:val="18"/>
                <w:szCs w:val="14"/>
                <w:lang w:val="fr-FR"/>
              </w:rPr>
              <w:t>63 294 (54,2</w:t>
            </w:r>
            <w:r w:rsidR="00B0330A" w:rsidRPr="00DE03F3">
              <w:rPr>
                <w:sz w:val="18"/>
                <w:szCs w:val="14"/>
                <w:lang w:val="fr-FR"/>
              </w:rPr>
              <w:t> %</w:t>
            </w:r>
            <w:r w:rsidRPr="00DE03F3">
              <w:rPr>
                <w:sz w:val="18"/>
                <w:szCs w:val="14"/>
                <w:lang w:val="fr-FR"/>
              </w:rPr>
              <w:t>)</w:t>
            </w:r>
          </w:p>
        </w:tc>
      </w:tr>
      <w:tr w:rsidR="003A454B" w:rsidRPr="00DE03F3" w14:paraId="142D4659" w14:textId="77777777" w:rsidTr="00DE03F3">
        <w:tc>
          <w:tcPr>
            <w:tcW w:w="2977" w:type="dxa"/>
            <w:shd w:val="clear" w:color="auto" w:fill="auto"/>
          </w:tcPr>
          <w:p w14:paraId="4069B0C6"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 xml:space="preserve">Filles </w:t>
            </w:r>
          </w:p>
        </w:tc>
        <w:tc>
          <w:tcPr>
            <w:tcW w:w="1559" w:type="dxa"/>
            <w:shd w:val="clear" w:color="auto" w:fill="auto"/>
            <w:vAlign w:val="bottom"/>
          </w:tcPr>
          <w:p w14:paraId="31AF7DDD" w14:textId="0495BB69" w:rsidR="003A454B" w:rsidRPr="00DE03F3" w:rsidRDefault="003A454B" w:rsidP="00DE03F3">
            <w:pPr>
              <w:suppressAutoHyphens w:val="0"/>
              <w:spacing w:before="40" w:after="40" w:line="220" w:lineRule="exact"/>
              <w:jc w:val="right"/>
              <w:rPr>
                <w:sz w:val="18"/>
                <w:szCs w:val="14"/>
              </w:rPr>
            </w:pPr>
            <w:r w:rsidRPr="00DE03F3">
              <w:rPr>
                <w:sz w:val="18"/>
                <w:szCs w:val="14"/>
                <w:lang w:val="fr-FR"/>
              </w:rPr>
              <w:t>46 643 (46</w:t>
            </w:r>
            <w:r w:rsidR="00B0330A" w:rsidRPr="00DE03F3">
              <w:rPr>
                <w:sz w:val="18"/>
                <w:szCs w:val="14"/>
                <w:lang w:val="fr-FR"/>
              </w:rPr>
              <w:t> %</w:t>
            </w:r>
            <w:r w:rsidRPr="00DE03F3">
              <w:rPr>
                <w:sz w:val="18"/>
                <w:szCs w:val="14"/>
                <w:lang w:val="fr-FR"/>
              </w:rPr>
              <w:t>)</w:t>
            </w:r>
          </w:p>
        </w:tc>
        <w:tc>
          <w:tcPr>
            <w:tcW w:w="1560" w:type="dxa"/>
            <w:shd w:val="clear" w:color="auto" w:fill="auto"/>
            <w:vAlign w:val="bottom"/>
          </w:tcPr>
          <w:p w14:paraId="347C4A46" w14:textId="57FEDB02" w:rsidR="003A454B" w:rsidRPr="00DE03F3" w:rsidRDefault="003A454B" w:rsidP="00DE03F3">
            <w:pPr>
              <w:suppressAutoHyphens w:val="0"/>
              <w:spacing w:before="40" w:after="40" w:line="220" w:lineRule="exact"/>
              <w:jc w:val="right"/>
              <w:rPr>
                <w:sz w:val="18"/>
                <w:szCs w:val="14"/>
              </w:rPr>
            </w:pPr>
            <w:r w:rsidRPr="00DE03F3">
              <w:rPr>
                <w:sz w:val="18"/>
                <w:szCs w:val="14"/>
                <w:lang w:val="fr-FR"/>
              </w:rPr>
              <w:t>50 447 (46</w:t>
            </w:r>
            <w:r w:rsidR="00B0330A" w:rsidRPr="00DE03F3">
              <w:rPr>
                <w:sz w:val="18"/>
                <w:szCs w:val="14"/>
                <w:lang w:val="fr-FR"/>
              </w:rPr>
              <w:t> %</w:t>
            </w:r>
            <w:r w:rsidRPr="00DE03F3">
              <w:rPr>
                <w:sz w:val="18"/>
                <w:szCs w:val="14"/>
                <w:lang w:val="fr-FR"/>
              </w:rPr>
              <w:t>)</w:t>
            </w:r>
          </w:p>
        </w:tc>
        <w:tc>
          <w:tcPr>
            <w:tcW w:w="1274" w:type="dxa"/>
            <w:shd w:val="clear" w:color="auto" w:fill="auto"/>
            <w:vAlign w:val="bottom"/>
          </w:tcPr>
          <w:p w14:paraId="1F3A21BE" w14:textId="0855F655" w:rsidR="003A454B" w:rsidRPr="00DE03F3" w:rsidRDefault="003A454B" w:rsidP="00DE03F3">
            <w:pPr>
              <w:suppressAutoHyphens w:val="0"/>
              <w:spacing w:before="40" w:after="40" w:line="220" w:lineRule="exact"/>
              <w:jc w:val="right"/>
              <w:rPr>
                <w:sz w:val="18"/>
                <w:szCs w:val="14"/>
              </w:rPr>
            </w:pPr>
            <w:r w:rsidRPr="00DE03F3">
              <w:rPr>
                <w:sz w:val="18"/>
                <w:szCs w:val="14"/>
                <w:lang w:val="fr-FR"/>
              </w:rPr>
              <w:t>53 413 (45,8</w:t>
            </w:r>
            <w:r w:rsidR="00B0330A" w:rsidRPr="00DE03F3">
              <w:rPr>
                <w:sz w:val="18"/>
                <w:szCs w:val="14"/>
                <w:lang w:val="fr-FR"/>
              </w:rPr>
              <w:t> %</w:t>
            </w:r>
            <w:r w:rsidRPr="00DE03F3">
              <w:rPr>
                <w:sz w:val="18"/>
                <w:szCs w:val="14"/>
                <w:lang w:val="fr-FR"/>
              </w:rPr>
              <w:t>)</w:t>
            </w:r>
          </w:p>
        </w:tc>
      </w:tr>
      <w:tr w:rsidR="003A454B" w:rsidRPr="00DE03F3" w14:paraId="2DBFA92B" w14:textId="77777777" w:rsidTr="00DE03F3">
        <w:tc>
          <w:tcPr>
            <w:tcW w:w="6096" w:type="dxa"/>
            <w:gridSpan w:val="3"/>
            <w:shd w:val="clear" w:color="auto" w:fill="auto"/>
          </w:tcPr>
          <w:p w14:paraId="27F09362" w14:textId="26BA87DD" w:rsidR="003A454B" w:rsidRPr="00DE03F3" w:rsidRDefault="003A454B" w:rsidP="00DE03F3">
            <w:pPr>
              <w:suppressAutoHyphens w:val="0"/>
              <w:spacing w:before="40" w:after="40" w:line="220" w:lineRule="exact"/>
              <w:rPr>
                <w:sz w:val="18"/>
                <w:szCs w:val="14"/>
              </w:rPr>
            </w:pPr>
            <w:r w:rsidRPr="00DE03F3">
              <w:rPr>
                <w:sz w:val="18"/>
                <w:szCs w:val="14"/>
                <w:lang w:val="fr-FR"/>
              </w:rPr>
              <w:t>Par âge</w:t>
            </w:r>
            <w:r w:rsidR="005579CA" w:rsidRPr="00DE03F3">
              <w:rPr>
                <w:sz w:val="18"/>
                <w:szCs w:val="14"/>
                <w:lang w:val="fr-FR"/>
              </w:rPr>
              <w:t> :</w:t>
            </w:r>
          </w:p>
        </w:tc>
        <w:tc>
          <w:tcPr>
            <w:tcW w:w="1274" w:type="dxa"/>
            <w:shd w:val="clear" w:color="auto" w:fill="auto"/>
            <w:vAlign w:val="bottom"/>
          </w:tcPr>
          <w:p w14:paraId="5352E247" w14:textId="77777777" w:rsidR="003A454B" w:rsidRPr="00DE03F3" w:rsidRDefault="003A454B" w:rsidP="00DE03F3">
            <w:pPr>
              <w:suppressAutoHyphens w:val="0"/>
              <w:spacing w:before="40" w:after="40" w:line="220" w:lineRule="exact"/>
              <w:jc w:val="right"/>
              <w:rPr>
                <w:sz w:val="18"/>
                <w:szCs w:val="14"/>
              </w:rPr>
            </w:pPr>
          </w:p>
        </w:tc>
      </w:tr>
      <w:tr w:rsidR="003A454B" w:rsidRPr="00DE03F3" w14:paraId="4AAB762A" w14:textId="77777777" w:rsidTr="00DE03F3">
        <w:tc>
          <w:tcPr>
            <w:tcW w:w="2977" w:type="dxa"/>
            <w:shd w:val="clear" w:color="auto" w:fill="auto"/>
          </w:tcPr>
          <w:p w14:paraId="2CC99543"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Enfants âgés de 7 à 16 ans</w:t>
            </w:r>
          </w:p>
        </w:tc>
        <w:tc>
          <w:tcPr>
            <w:tcW w:w="1559" w:type="dxa"/>
            <w:shd w:val="clear" w:color="auto" w:fill="auto"/>
            <w:vAlign w:val="bottom"/>
          </w:tcPr>
          <w:p w14:paraId="4C6FFF7C" w14:textId="4550D386" w:rsidR="003A454B" w:rsidRPr="00DE03F3" w:rsidRDefault="003A454B" w:rsidP="00DE03F3">
            <w:pPr>
              <w:suppressAutoHyphens w:val="0"/>
              <w:spacing w:before="40" w:after="40" w:line="220" w:lineRule="exact"/>
              <w:jc w:val="right"/>
              <w:rPr>
                <w:sz w:val="18"/>
                <w:szCs w:val="14"/>
              </w:rPr>
            </w:pPr>
            <w:r w:rsidRPr="00DE03F3">
              <w:rPr>
                <w:sz w:val="18"/>
                <w:szCs w:val="14"/>
                <w:lang w:val="fr-FR"/>
              </w:rPr>
              <w:t>64,2</w:t>
            </w:r>
            <w:r w:rsidR="00B0330A" w:rsidRPr="00DE03F3">
              <w:rPr>
                <w:sz w:val="18"/>
                <w:szCs w:val="14"/>
                <w:lang w:val="fr-FR"/>
              </w:rPr>
              <w:t> %</w:t>
            </w:r>
            <w:r w:rsidRPr="00DE03F3">
              <w:rPr>
                <w:sz w:val="18"/>
                <w:szCs w:val="14"/>
                <w:lang w:val="fr-FR"/>
              </w:rPr>
              <w:t xml:space="preserve"> (65 197)</w:t>
            </w:r>
          </w:p>
        </w:tc>
        <w:tc>
          <w:tcPr>
            <w:tcW w:w="1560" w:type="dxa"/>
            <w:shd w:val="clear" w:color="auto" w:fill="auto"/>
            <w:vAlign w:val="bottom"/>
          </w:tcPr>
          <w:p w14:paraId="7FA91135" w14:textId="60570D96" w:rsidR="003A454B" w:rsidRPr="00DE03F3" w:rsidRDefault="003A454B" w:rsidP="00DE03F3">
            <w:pPr>
              <w:suppressAutoHyphens w:val="0"/>
              <w:spacing w:before="40" w:after="40" w:line="220" w:lineRule="exact"/>
              <w:jc w:val="right"/>
              <w:rPr>
                <w:sz w:val="18"/>
                <w:szCs w:val="14"/>
              </w:rPr>
            </w:pPr>
            <w:r w:rsidRPr="00DE03F3">
              <w:rPr>
                <w:sz w:val="18"/>
                <w:szCs w:val="14"/>
                <w:lang w:val="fr-FR"/>
              </w:rPr>
              <w:t>63</w:t>
            </w:r>
            <w:r w:rsidR="00B0330A" w:rsidRPr="00DE03F3">
              <w:rPr>
                <w:sz w:val="18"/>
                <w:szCs w:val="14"/>
                <w:lang w:val="fr-FR"/>
              </w:rPr>
              <w:t> %</w:t>
            </w:r>
            <w:r w:rsidRPr="00DE03F3">
              <w:rPr>
                <w:sz w:val="18"/>
                <w:szCs w:val="14"/>
                <w:lang w:val="fr-FR"/>
              </w:rPr>
              <w:t xml:space="preserve"> (69 105)</w:t>
            </w:r>
          </w:p>
        </w:tc>
        <w:tc>
          <w:tcPr>
            <w:tcW w:w="1274" w:type="dxa"/>
            <w:shd w:val="clear" w:color="auto" w:fill="auto"/>
            <w:vAlign w:val="bottom"/>
          </w:tcPr>
          <w:p w14:paraId="1406244E" w14:textId="56610D9D" w:rsidR="003A454B" w:rsidRPr="00DE03F3" w:rsidRDefault="003A454B" w:rsidP="00DE03F3">
            <w:pPr>
              <w:suppressAutoHyphens w:val="0"/>
              <w:spacing w:before="40" w:after="40" w:line="220" w:lineRule="exact"/>
              <w:jc w:val="right"/>
              <w:rPr>
                <w:sz w:val="18"/>
                <w:szCs w:val="14"/>
              </w:rPr>
            </w:pPr>
            <w:r w:rsidRPr="00DE03F3">
              <w:rPr>
                <w:sz w:val="18"/>
                <w:szCs w:val="14"/>
                <w:lang w:val="fr-FR"/>
              </w:rPr>
              <w:t>63</w:t>
            </w:r>
            <w:r w:rsidR="00B0330A" w:rsidRPr="00DE03F3">
              <w:rPr>
                <w:sz w:val="18"/>
                <w:szCs w:val="14"/>
                <w:lang w:val="fr-FR"/>
              </w:rPr>
              <w:t> %</w:t>
            </w:r>
          </w:p>
        </w:tc>
      </w:tr>
      <w:tr w:rsidR="003A454B" w:rsidRPr="00DE03F3" w14:paraId="70ACE0B3" w14:textId="77777777" w:rsidTr="00DE03F3">
        <w:tc>
          <w:tcPr>
            <w:tcW w:w="2977" w:type="dxa"/>
            <w:shd w:val="clear" w:color="auto" w:fill="auto"/>
          </w:tcPr>
          <w:p w14:paraId="2EE0FB15"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Enfants âgés de 0 à 6 ans et 11 mois</w:t>
            </w:r>
          </w:p>
        </w:tc>
        <w:tc>
          <w:tcPr>
            <w:tcW w:w="1559" w:type="dxa"/>
            <w:shd w:val="clear" w:color="auto" w:fill="auto"/>
            <w:vAlign w:val="bottom"/>
          </w:tcPr>
          <w:p w14:paraId="080D1598" w14:textId="08A8411A" w:rsidR="003A454B" w:rsidRPr="00DE03F3" w:rsidRDefault="003A454B" w:rsidP="00DE03F3">
            <w:pPr>
              <w:suppressAutoHyphens w:val="0"/>
              <w:spacing w:before="40" w:after="40" w:line="220" w:lineRule="exact"/>
              <w:jc w:val="right"/>
              <w:rPr>
                <w:sz w:val="18"/>
                <w:szCs w:val="14"/>
              </w:rPr>
            </w:pPr>
            <w:r w:rsidRPr="00DE03F3">
              <w:rPr>
                <w:sz w:val="18"/>
                <w:szCs w:val="14"/>
                <w:lang w:val="fr-FR"/>
              </w:rPr>
              <w:t>35,8</w:t>
            </w:r>
            <w:r w:rsidR="00B0330A" w:rsidRPr="00DE03F3">
              <w:rPr>
                <w:sz w:val="18"/>
                <w:szCs w:val="14"/>
                <w:lang w:val="fr-FR"/>
              </w:rPr>
              <w:t> %</w:t>
            </w:r>
            <w:r w:rsidRPr="00DE03F3">
              <w:rPr>
                <w:sz w:val="18"/>
                <w:szCs w:val="14"/>
                <w:lang w:val="fr-FR"/>
              </w:rPr>
              <w:t xml:space="preserve"> (36 278)</w:t>
            </w:r>
          </w:p>
        </w:tc>
        <w:tc>
          <w:tcPr>
            <w:tcW w:w="1560" w:type="dxa"/>
            <w:shd w:val="clear" w:color="auto" w:fill="auto"/>
            <w:vAlign w:val="bottom"/>
          </w:tcPr>
          <w:p w14:paraId="79022E33" w14:textId="6CCACEC7" w:rsidR="003A454B" w:rsidRPr="00DE03F3" w:rsidRDefault="003A454B" w:rsidP="00DE03F3">
            <w:pPr>
              <w:suppressAutoHyphens w:val="0"/>
              <w:spacing w:before="40" w:after="40" w:line="220" w:lineRule="exact"/>
              <w:jc w:val="right"/>
              <w:rPr>
                <w:sz w:val="18"/>
                <w:szCs w:val="14"/>
              </w:rPr>
            </w:pPr>
            <w:r w:rsidRPr="00DE03F3">
              <w:rPr>
                <w:sz w:val="18"/>
                <w:szCs w:val="14"/>
                <w:lang w:val="fr-FR"/>
              </w:rPr>
              <w:t>37</w:t>
            </w:r>
            <w:r w:rsidR="00B0330A" w:rsidRPr="00DE03F3">
              <w:rPr>
                <w:sz w:val="18"/>
                <w:szCs w:val="14"/>
                <w:lang w:val="fr-FR"/>
              </w:rPr>
              <w:t> %</w:t>
            </w:r>
            <w:r w:rsidRPr="00DE03F3">
              <w:rPr>
                <w:sz w:val="18"/>
                <w:szCs w:val="14"/>
                <w:lang w:val="fr-FR"/>
              </w:rPr>
              <w:t xml:space="preserve"> (40 505)</w:t>
            </w:r>
          </w:p>
        </w:tc>
        <w:tc>
          <w:tcPr>
            <w:tcW w:w="1274" w:type="dxa"/>
            <w:shd w:val="clear" w:color="auto" w:fill="auto"/>
            <w:vAlign w:val="bottom"/>
          </w:tcPr>
          <w:p w14:paraId="63B34D64" w14:textId="2C821E01" w:rsidR="003A454B" w:rsidRPr="00DE03F3" w:rsidRDefault="003A454B" w:rsidP="00DE03F3">
            <w:pPr>
              <w:suppressAutoHyphens w:val="0"/>
              <w:spacing w:before="40" w:after="40" w:line="220" w:lineRule="exact"/>
              <w:jc w:val="right"/>
              <w:rPr>
                <w:sz w:val="18"/>
                <w:szCs w:val="14"/>
              </w:rPr>
            </w:pPr>
            <w:r w:rsidRPr="00DE03F3">
              <w:rPr>
                <w:sz w:val="18"/>
                <w:szCs w:val="14"/>
                <w:lang w:val="fr-FR"/>
              </w:rPr>
              <w:t>37</w:t>
            </w:r>
            <w:r w:rsidR="00B0330A" w:rsidRPr="00DE03F3">
              <w:rPr>
                <w:sz w:val="18"/>
                <w:szCs w:val="14"/>
                <w:lang w:val="fr-FR"/>
              </w:rPr>
              <w:t> %</w:t>
            </w:r>
          </w:p>
        </w:tc>
      </w:tr>
      <w:tr w:rsidR="00E84746" w:rsidRPr="00DE03F3" w14:paraId="0B8D8755" w14:textId="77777777" w:rsidTr="00DE03F3">
        <w:tc>
          <w:tcPr>
            <w:tcW w:w="2977" w:type="dxa"/>
            <w:shd w:val="clear" w:color="auto" w:fill="auto"/>
          </w:tcPr>
          <w:p w14:paraId="3CFB84E5" w14:textId="68A0A1F9" w:rsidR="00E84746" w:rsidRPr="00DE03F3" w:rsidRDefault="00E84746" w:rsidP="00E84746">
            <w:pPr>
              <w:suppressAutoHyphens w:val="0"/>
              <w:spacing w:before="40" w:after="40" w:line="220" w:lineRule="exact"/>
              <w:rPr>
                <w:sz w:val="18"/>
                <w:szCs w:val="14"/>
                <w:lang w:val="fr-FR"/>
              </w:rPr>
            </w:pPr>
            <w:r w:rsidRPr="00DE03F3">
              <w:rPr>
                <w:sz w:val="18"/>
                <w:szCs w:val="14"/>
                <w:lang w:val="fr-FR"/>
              </w:rPr>
              <w:t xml:space="preserve">Lieu de résidence des enfants </w:t>
            </w:r>
            <w:r>
              <w:rPr>
                <w:sz w:val="18"/>
                <w:szCs w:val="14"/>
                <w:lang w:val="fr-FR"/>
              </w:rPr>
              <w:br/>
            </w:r>
            <w:r w:rsidRPr="00DE03F3">
              <w:rPr>
                <w:sz w:val="18"/>
                <w:szCs w:val="14"/>
                <w:lang w:val="fr-FR"/>
              </w:rPr>
              <w:t>présentant un handicap :</w:t>
            </w:r>
          </w:p>
        </w:tc>
        <w:tc>
          <w:tcPr>
            <w:tcW w:w="1559" w:type="dxa"/>
            <w:shd w:val="clear" w:color="auto" w:fill="auto"/>
            <w:vAlign w:val="bottom"/>
          </w:tcPr>
          <w:p w14:paraId="1826136B" w14:textId="77777777" w:rsidR="00E84746" w:rsidRPr="00DE03F3" w:rsidRDefault="00E84746" w:rsidP="00DE03F3">
            <w:pPr>
              <w:suppressAutoHyphens w:val="0"/>
              <w:spacing w:before="40" w:after="40" w:line="220" w:lineRule="exact"/>
              <w:jc w:val="right"/>
              <w:rPr>
                <w:sz w:val="18"/>
                <w:szCs w:val="14"/>
                <w:lang w:val="fr-FR"/>
              </w:rPr>
            </w:pPr>
          </w:p>
        </w:tc>
        <w:tc>
          <w:tcPr>
            <w:tcW w:w="1560" w:type="dxa"/>
            <w:shd w:val="clear" w:color="auto" w:fill="auto"/>
            <w:vAlign w:val="bottom"/>
          </w:tcPr>
          <w:p w14:paraId="07C3BBA1" w14:textId="77777777" w:rsidR="00E84746" w:rsidRPr="00DE03F3" w:rsidRDefault="00E84746" w:rsidP="00DE03F3">
            <w:pPr>
              <w:suppressAutoHyphens w:val="0"/>
              <w:spacing w:before="40" w:after="40" w:line="220" w:lineRule="exact"/>
              <w:jc w:val="right"/>
              <w:rPr>
                <w:sz w:val="18"/>
                <w:szCs w:val="14"/>
                <w:lang w:val="fr-FR"/>
              </w:rPr>
            </w:pPr>
          </w:p>
        </w:tc>
        <w:tc>
          <w:tcPr>
            <w:tcW w:w="1274" w:type="dxa"/>
            <w:shd w:val="clear" w:color="auto" w:fill="auto"/>
            <w:vAlign w:val="bottom"/>
          </w:tcPr>
          <w:p w14:paraId="7B01B519" w14:textId="77777777" w:rsidR="00E84746" w:rsidRPr="00DE03F3" w:rsidRDefault="00E84746" w:rsidP="00DE03F3">
            <w:pPr>
              <w:suppressAutoHyphens w:val="0"/>
              <w:spacing w:before="40" w:after="40" w:line="220" w:lineRule="exact"/>
              <w:jc w:val="right"/>
              <w:rPr>
                <w:sz w:val="18"/>
                <w:szCs w:val="14"/>
                <w:lang w:val="fr-FR"/>
              </w:rPr>
            </w:pPr>
          </w:p>
        </w:tc>
      </w:tr>
      <w:tr w:rsidR="003A454B" w:rsidRPr="00DE03F3" w14:paraId="1965431C" w14:textId="77777777" w:rsidTr="00FB110F">
        <w:tc>
          <w:tcPr>
            <w:tcW w:w="2977" w:type="dxa"/>
            <w:shd w:val="clear" w:color="auto" w:fill="auto"/>
          </w:tcPr>
          <w:p w14:paraId="36A89A26"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Milieu urbain</w:t>
            </w:r>
          </w:p>
        </w:tc>
        <w:tc>
          <w:tcPr>
            <w:tcW w:w="1559" w:type="dxa"/>
            <w:shd w:val="clear" w:color="auto" w:fill="auto"/>
            <w:vAlign w:val="bottom"/>
          </w:tcPr>
          <w:p w14:paraId="7D2E7BEB"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45 235</w:t>
            </w:r>
          </w:p>
        </w:tc>
        <w:tc>
          <w:tcPr>
            <w:tcW w:w="1560" w:type="dxa"/>
            <w:shd w:val="clear" w:color="auto" w:fill="auto"/>
            <w:vAlign w:val="bottom"/>
          </w:tcPr>
          <w:p w14:paraId="7B54D796"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48 180</w:t>
            </w:r>
          </w:p>
        </w:tc>
        <w:tc>
          <w:tcPr>
            <w:tcW w:w="1274" w:type="dxa"/>
            <w:shd w:val="clear" w:color="auto" w:fill="auto"/>
            <w:vAlign w:val="bottom"/>
          </w:tcPr>
          <w:p w14:paraId="00DF8105"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48 590</w:t>
            </w:r>
          </w:p>
        </w:tc>
      </w:tr>
      <w:tr w:rsidR="00890509" w:rsidRPr="00DE03F3" w14:paraId="102FAB0E" w14:textId="77777777" w:rsidTr="00FB110F">
        <w:tc>
          <w:tcPr>
            <w:tcW w:w="2977" w:type="dxa"/>
            <w:tcBorders>
              <w:bottom w:val="single" w:sz="12" w:space="0" w:color="auto"/>
            </w:tcBorders>
            <w:shd w:val="clear" w:color="auto" w:fill="auto"/>
          </w:tcPr>
          <w:p w14:paraId="5CCC35AE" w14:textId="77777777" w:rsidR="003A454B" w:rsidRPr="00DE03F3" w:rsidRDefault="003A454B" w:rsidP="005F2550">
            <w:pPr>
              <w:suppressAutoHyphens w:val="0"/>
              <w:spacing w:before="40" w:after="40" w:line="220" w:lineRule="exact"/>
              <w:ind w:left="170"/>
              <w:rPr>
                <w:sz w:val="18"/>
                <w:szCs w:val="14"/>
              </w:rPr>
            </w:pPr>
            <w:r w:rsidRPr="00DE03F3">
              <w:rPr>
                <w:sz w:val="18"/>
                <w:szCs w:val="14"/>
                <w:lang w:val="fr-FR"/>
              </w:rPr>
              <w:t>Milieu rural</w:t>
            </w:r>
          </w:p>
        </w:tc>
        <w:tc>
          <w:tcPr>
            <w:tcW w:w="1559" w:type="dxa"/>
            <w:tcBorders>
              <w:bottom w:val="single" w:sz="12" w:space="0" w:color="auto"/>
            </w:tcBorders>
            <w:shd w:val="clear" w:color="auto" w:fill="auto"/>
            <w:vAlign w:val="bottom"/>
          </w:tcPr>
          <w:p w14:paraId="21343582"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56 240</w:t>
            </w:r>
          </w:p>
        </w:tc>
        <w:tc>
          <w:tcPr>
            <w:tcW w:w="1560" w:type="dxa"/>
            <w:tcBorders>
              <w:bottom w:val="single" w:sz="12" w:space="0" w:color="auto"/>
            </w:tcBorders>
            <w:shd w:val="clear" w:color="auto" w:fill="auto"/>
            <w:vAlign w:val="bottom"/>
          </w:tcPr>
          <w:p w14:paraId="6AF57D90" w14:textId="77777777" w:rsidR="003A454B" w:rsidRPr="00DE03F3" w:rsidRDefault="003A454B" w:rsidP="00DE03F3">
            <w:pPr>
              <w:suppressAutoHyphens w:val="0"/>
              <w:spacing w:before="40" w:after="40" w:line="220" w:lineRule="exact"/>
              <w:jc w:val="right"/>
              <w:rPr>
                <w:sz w:val="18"/>
                <w:szCs w:val="14"/>
              </w:rPr>
            </w:pPr>
            <w:r w:rsidRPr="00DE03F3">
              <w:rPr>
                <w:sz w:val="18"/>
                <w:szCs w:val="14"/>
                <w:lang w:val="fr-FR"/>
              </w:rPr>
              <w:t>61 430</w:t>
            </w:r>
          </w:p>
        </w:tc>
        <w:tc>
          <w:tcPr>
            <w:tcW w:w="1274" w:type="dxa"/>
            <w:tcBorders>
              <w:bottom w:val="single" w:sz="12" w:space="0" w:color="auto"/>
            </w:tcBorders>
            <w:shd w:val="clear" w:color="auto" w:fill="auto"/>
            <w:vAlign w:val="bottom"/>
          </w:tcPr>
          <w:p w14:paraId="66DEE623" w14:textId="38C19D8A" w:rsidR="003A454B" w:rsidRPr="00DE03F3" w:rsidRDefault="003A454B" w:rsidP="00DE03F3">
            <w:pPr>
              <w:suppressAutoHyphens w:val="0"/>
              <w:spacing w:before="40" w:after="40" w:line="220" w:lineRule="exact"/>
              <w:jc w:val="right"/>
              <w:rPr>
                <w:sz w:val="18"/>
                <w:szCs w:val="14"/>
              </w:rPr>
            </w:pPr>
            <w:r w:rsidRPr="00DE03F3">
              <w:rPr>
                <w:sz w:val="18"/>
                <w:szCs w:val="14"/>
                <w:lang w:val="fr-FR"/>
              </w:rPr>
              <w:t>68 117</w:t>
            </w:r>
          </w:p>
        </w:tc>
      </w:tr>
    </w:tbl>
    <w:p w14:paraId="0FC1DF80" w14:textId="287D97F3"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B94A3F">
        <w:rPr>
          <w:bCs/>
          <w:lang w:val="fr-FR"/>
        </w:rPr>
        <w:t> </w:t>
      </w:r>
      <w:r>
        <w:rPr>
          <w:bCs/>
          <w:lang w:val="fr-FR"/>
        </w:rPr>
        <w:t>20</w:t>
      </w:r>
      <w:r w:rsidR="00B94A3F">
        <w:rPr>
          <w:bCs/>
          <w:lang w:val="fr-FR"/>
        </w:rPr>
        <w:t> </w:t>
      </w:r>
      <w:r>
        <w:rPr>
          <w:bCs/>
          <w:lang w:val="fr-FR"/>
        </w:rPr>
        <w:t>b) de la liste de points</w:t>
      </w:r>
      <w:r>
        <w:rPr>
          <w:lang w:val="fr-FR"/>
        </w:rPr>
        <w:t xml:space="preserve"> </w:t>
      </w:r>
    </w:p>
    <w:p w14:paraId="1BA7F9CF" w14:textId="2623183E" w:rsidR="003A454B" w:rsidRPr="00593F42" w:rsidRDefault="003A454B" w:rsidP="003A454B">
      <w:pPr>
        <w:pStyle w:val="SingleTxtG"/>
      </w:pPr>
      <w:r>
        <w:rPr>
          <w:lang w:val="fr-FR"/>
        </w:rPr>
        <w:t>202.</w:t>
      </w:r>
      <w:r>
        <w:rPr>
          <w:lang w:val="fr-FR"/>
        </w:rPr>
        <w:tab/>
        <w:t>On trouvera dans le tableau ci-après des informations sur le taux de scolarisation des enfants présentant un handicap</w:t>
      </w:r>
      <w:r w:rsidR="005579CA">
        <w:rPr>
          <w:lang w:val="fr-FR"/>
        </w:rPr>
        <w:t> :</w:t>
      </w:r>
    </w:p>
    <w:tbl>
      <w:tblPr>
        <w:tblW w:w="7370" w:type="dxa"/>
        <w:tblInd w:w="1134" w:type="dxa"/>
        <w:tblLayout w:type="fixed"/>
        <w:tblCellMar>
          <w:left w:w="0" w:type="dxa"/>
          <w:right w:w="0" w:type="dxa"/>
        </w:tblCellMar>
        <w:tblLook w:val="04A0" w:firstRow="1" w:lastRow="0" w:firstColumn="1" w:lastColumn="0" w:noHBand="0" w:noVBand="1"/>
      </w:tblPr>
      <w:tblGrid>
        <w:gridCol w:w="2602"/>
        <w:gridCol w:w="1668"/>
        <w:gridCol w:w="1721"/>
        <w:gridCol w:w="1379"/>
      </w:tblGrid>
      <w:tr w:rsidR="003A454B" w:rsidRPr="00AB054D" w14:paraId="7EF0F02E" w14:textId="77777777" w:rsidTr="00482A38">
        <w:trPr>
          <w:tblHeader/>
        </w:trPr>
        <w:tc>
          <w:tcPr>
            <w:tcW w:w="2602" w:type="dxa"/>
            <w:tcBorders>
              <w:top w:val="single" w:sz="4" w:space="0" w:color="auto"/>
              <w:bottom w:val="single" w:sz="8" w:space="0" w:color="auto"/>
            </w:tcBorders>
            <w:shd w:val="clear" w:color="auto" w:fill="auto"/>
            <w:vAlign w:val="bottom"/>
          </w:tcPr>
          <w:p w14:paraId="1627388B" w14:textId="77777777" w:rsidR="003A454B" w:rsidRPr="00AB054D" w:rsidRDefault="003A454B" w:rsidP="00482A38">
            <w:pPr>
              <w:suppressAutoHyphens w:val="0"/>
              <w:spacing w:before="80" w:after="80" w:line="200" w:lineRule="exact"/>
              <w:ind w:left="28"/>
              <w:rPr>
                <w:i/>
                <w:sz w:val="14"/>
                <w:szCs w:val="14"/>
              </w:rPr>
            </w:pPr>
          </w:p>
        </w:tc>
        <w:tc>
          <w:tcPr>
            <w:tcW w:w="1668" w:type="dxa"/>
            <w:tcBorders>
              <w:top w:val="single" w:sz="4" w:space="0" w:color="auto"/>
              <w:bottom w:val="single" w:sz="8" w:space="0" w:color="auto"/>
            </w:tcBorders>
            <w:shd w:val="clear" w:color="auto" w:fill="auto"/>
            <w:vAlign w:val="bottom"/>
          </w:tcPr>
          <w:p w14:paraId="79B0E4C4" w14:textId="77777777" w:rsidR="003A454B" w:rsidRPr="00AB054D" w:rsidRDefault="003A454B" w:rsidP="00482A38">
            <w:pPr>
              <w:suppressAutoHyphens w:val="0"/>
              <w:spacing w:before="80" w:after="80" w:line="200" w:lineRule="exact"/>
              <w:ind w:left="28"/>
              <w:jc w:val="right"/>
              <w:rPr>
                <w:i/>
                <w:sz w:val="14"/>
                <w:szCs w:val="14"/>
              </w:rPr>
            </w:pPr>
            <w:r w:rsidRPr="00AB054D">
              <w:rPr>
                <w:i/>
                <w:iCs/>
                <w:sz w:val="14"/>
                <w:szCs w:val="14"/>
                <w:lang w:val="fr-FR"/>
              </w:rPr>
              <w:t>2020</w:t>
            </w:r>
          </w:p>
        </w:tc>
        <w:tc>
          <w:tcPr>
            <w:tcW w:w="1721" w:type="dxa"/>
            <w:tcBorders>
              <w:top w:val="single" w:sz="4" w:space="0" w:color="auto"/>
              <w:bottom w:val="single" w:sz="8" w:space="0" w:color="auto"/>
            </w:tcBorders>
            <w:shd w:val="clear" w:color="auto" w:fill="auto"/>
            <w:vAlign w:val="bottom"/>
          </w:tcPr>
          <w:p w14:paraId="12451CDB" w14:textId="77777777" w:rsidR="003A454B" w:rsidRPr="00AB054D" w:rsidRDefault="003A454B" w:rsidP="00482A38">
            <w:pPr>
              <w:suppressAutoHyphens w:val="0"/>
              <w:spacing w:before="80" w:after="80" w:line="200" w:lineRule="exact"/>
              <w:ind w:left="28"/>
              <w:jc w:val="right"/>
              <w:rPr>
                <w:i/>
                <w:sz w:val="14"/>
                <w:szCs w:val="14"/>
              </w:rPr>
            </w:pPr>
            <w:r w:rsidRPr="00AB054D">
              <w:rPr>
                <w:i/>
                <w:iCs/>
                <w:sz w:val="14"/>
                <w:szCs w:val="14"/>
                <w:lang w:val="fr-FR"/>
              </w:rPr>
              <w:t>2019</w:t>
            </w:r>
            <w:r w:rsidRPr="00AB054D">
              <w:rPr>
                <w:sz w:val="14"/>
                <w:szCs w:val="14"/>
                <w:lang w:val="fr-FR"/>
              </w:rPr>
              <w:t xml:space="preserve"> </w:t>
            </w:r>
          </w:p>
        </w:tc>
        <w:tc>
          <w:tcPr>
            <w:tcW w:w="1379" w:type="dxa"/>
            <w:tcBorders>
              <w:top w:val="single" w:sz="4" w:space="0" w:color="auto"/>
              <w:bottom w:val="single" w:sz="8" w:space="0" w:color="auto"/>
            </w:tcBorders>
            <w:shd w:val="clear" w:color="auto" w:fill="auto"/>
            <w:vAlign w:val="bottom"/>
          </w:tcPr>
          <w:p w14:paraId="0070B589" w14:textId="77777777" w:rsidR="003A454B" w:rsidRPr="00AB054D" w:rsidRDefault="003A454B" w:rsidP="00482A38">
            <w:pPr>
              <w:suppressAutoHyphens w:val="0"/>
              <w:spacing w:before="80" w:after="80" w:line="200" w:lineRule="exact"/>
              <w:ind w:left="28"/>
              <w:jc w:val="right"/>
              <w:rPr>
                <w:i/>
                <w:sz w:val="14"/>
                <w:szCs w:val="14"/>
              </w:rPr>
            </w:pPr>
            <w:r w:rsidRPr="00AB054D">
              <w:rPr>
                <w:i/>
                <w:iCs/>
                <w:sz w:val="14"/>
                <w:szCs w:val="14"/>
                <w:lang w:val="fr-FR"/>
              </w:rPr>
              <w:t>2018</w:t>
            </w:r>
          </w:p>
        </w:tc>
      </w:tr>
      <w:tr w:rsidR="003A454B" w:rsidRPr="00126734" w14:paraId="32B38495" w14:textId="77777777" w:rsidTr="00482A38">
        <w:tc>
          <w:tcPr>
            <w:tcW w:w="2602" w:type="dxa"/>
            <w:tcBorders>
              <w:top w:val="single" w:sz="8" w:space="0" w:color="auto"/>
              <w:bottom w:val="single" w:sz="12" w:space="0" w:color="auto"/>
            </w:tcBorders>
            <w:shd w:val="clear" w:color="auto" w:fill="auto"/>
          </w:tcPr>
          <w:p w14:paraId="7C3B0361" w14:textId="770F63C4" w:rsidR="003A454B" w:rsidRPr="00126734" w:rsidRDefault="00B94A3F" w:rsidP="00126734">
            <w:pPr>
              <w:suppressAutoHyphens w:val="0"/>
              <w:spacing w:before="80" w:after="80" w:line="220" w:lineRule="exact"/>
              <w:ind w:left="283"/>
              <w:rPr>
                <w:b/>
                <w:sz w:val="18"/>
                <w:szCs w:val="18"/>
              </w:rPr>
            </w:pPr>
            <w:r>
              <w:rPr>
                <w:b/>
                <w:bCs/>
                <w:sz w:val="18"/>
                <w:szCs w:val="18"/>
                <w:lang w:val="fr-FR"/>
              </w:rPr>
              <w:t>Total</w:t>
            </w:r>
            <w:r w:rsidR="003A454B" w:rsidRPr="00126734">
              <w:rPr>
                <w:b/>
                <w:bCs/>
                <w:sz w:val="18"/>
                <w:szCs w:val="18"/>
                <w:lang w:val="fr-FR"/>
              </w:rPr>
              <w:t xml:space="preserve"> </w:t>
            </w:r>
          </w:p>
        </w:tc>
        <w:tc>
          <w:tcPr>
            <w:tcW w:w="1668" w:type="dxa"/>
            <w:tcBorders>
              <w:top w:val="single" w:sz="8" w:space="0" w:color="auto"/>
              <w:bottom w:val="single" w:sz="12" w:space="0" w:color="auto"/>
            </w:tcBorders>
            <w:shd w:val="clear" w:color="auto" w:fill="auto"/>
            <w:vAlign w:val="bottom"/>
          </w:tcPr>
          <w:p w14:paraId="7EFD908D" w14:textId="40CF8E0E" w:rsidR="003A454B" w:rsidRPr="00126734" w:rsidRDefault="003A454B" w:rsidP="00126734">
            <w:pPr>
              <w:suppressAutoHyphens w:val="0"/>
              <w:spacing w:before="80" w:after="80" w:line="220" w:lineRule="exact"/>
              <w:jc w:val="right"/>
              <w:rPr>
                <w:b/>
                <w:sz w:val="18"/>
                <w:szCs w:val="18"/>
              </w:rPr>
            </w:pPr>
            <w:r w:rsidRPr="00126734">
              <w:rPr>
                <w:b/>
                <w:bCs/>
                <w:sz w:val="18"/>
                <w:szCs w:val="18"/>
                <w:lang w:val="fr-FR"/>
              </w:rPr>
              <w:t>63</w:t>
            </w:r>
            <w:r w:rsidR="00B0330A" w:rsidRPr="00126734">
              <w:rPr>
                <w:b/>
                <w:bCs/>
                <w:sz w:val="18"/>
                <w:szCs w:val="18"/>
                <w:lang w:val="fr-FR"/>
              </w:rPr>
              <w:t> %</w:t>
            </w:r>
            <w:r w:rsidRPr="00126734">
              <w:rPr>
                <w:b/>
                <w:bCs/>
                <w:sz w:val="18"/>
                <w:szCs w:val="18"/>
                <w:lang w:val="fr-FR"/>
              </w:rPr>
              <w:t xml:space="preserve"> (73 463)</w:t>
            </w:r>
          </w:p>
        </w:tc>
        <w:tc>
          <w:tcPr>
            <w:tcW w:w="1721" w:type="dxa"/>
            <w:tcBorders>
              <w:top w:val="single" w:sz="8" w:space="0" w:color="auto"/>
              <w:bottom w:val="single" w:sz="12" w:space="0" w:color="auto"/>
            </w:tcBorders>
            <w:shd w:val="clear" w:color="auto" w:fill="auto"/>
            <w:vAlign w:val="bottom"/>
          </w:tcPr>
          <w:p w14:paraId="609F7C37" w14:textId="37B2E524" w:rsidR="003A454B" w:rsidRPr="00126734" w:rsidRDefault="003A454B" w:rsidP="00126734">
            <w:pPr>
              <w:suppressAutoHyphens w:val="0"/>
              <w:spacing w:before="80" w:after="80" w:line="220" w:lineRule="exact"/>
              <w:jc w:val="right"/>
              <w:rPr>
                <w:b/>
                <w:sz w:val="18"/>
                <w:szCs w:val="18"/>
              </w:rPr>
            </w:pPr>
            <w:r w:rsidRPr="00126734">
              <w:rPr>
                <w:b/>
                <w:bCs/>
                <w:sz w:val="18"/>
                <w:szCs w:val="18"/>
                <w:lang w:val="fr-FR"/>
              </w:rPr>
              <w:t>63</w:t>
            </w:r>
            <w:r w:rsidR="00B0330A" w:rsidRPr="00126734">
              <w:rPr>
                <w:b/>
                <w:bCs/>
                <w:sz w:val="18"/>
                <w:szCs w:val="18"/>
                <w:lang w:val="fr-FR"/>
              </w:rPr>
              <w:t> %</w:t>
            </w:r>
            <w:r w:rsidRPr="00126734">
              <w:rPr>
                <w:b/>
                <w:bCs/>
                <w:sz w:val="18"/>
                <w:szCs w:val="18"/>
                <w:lang w:val="fr-FR"/>
              </w:rPr>
              <w:t xml:space="preserve"> (69 105)</w:t>
            </w:r>
          </w:p>
        </w:tc>
        <w:tc>
          <w:tcPr>
            <w:tcW w:w="1379" w:type="dxa"/>
            <w:tcBorders>
              <w:top w:val="single" w:sz="8" w:space="0" w:color="auto"/>
              <w:bottom w:val="single" w:sz="12" w:space="0" w:color="auto"/>
            </w:tcBorders>
            <w:shd w:val="clear" w:color="auto" w:fill="auto"/>
            <w:vAlign w:val="bottom"/>
          </w:tcPr>
          <w:p w14:paraId="616D21B8" w14:textId="5032148B" w:rsidR="003A454B" w:rsidRPr="00126734" w:rsidRDefault="003A454B" w:rsidP="00126734">
            <w:pPr>
              <w:suppressAutoHyphens w:val="0"/>
              <w:spacing w:before="80" w:after="80" w:line="220" w:lineRule="exact"/>
              <w:jc w:val="right"/>
              <w:rPr>
                <w:b/>
                <w:sz w:val="18"/>
                <w:szCs w:val="18"/>
              </w:rPr>
            </w:pPr>
            <w:r w:rsidRPr="00126734">
              <w:rPr>
                <w:b/>
                <w:bCs/>
                <w:sz w:val="18"/>
                <w:szCs w:val="18"/>
                <w:lang w:val="fr-FR"/>
              </w:rPr>
              <w:t>64,2</w:t>
            </w:r>
            <w:r w:rsidR="00B0330A" w:rsidRPr="00126734">
              <w:rPr>
                <w:b/>
                <w:bCs/>
                <w:sz w:val="18"/>
                <w:szCs w:val="18"/>
                <w:lang w:val="fr-FR"/>
              </w:rPr>
              <w:t> %</w:t>
            </w:r>
            <w:r w:rsidRPr="00126734">
              <w:rPr>
                <w:b/>
                <w:bCs/>
                <w:sz w:val="18"/>
                <w:szCs w:val="18"/>
                <w:lang w:val="fr-FR"/>
              </w:rPr>
              <w:t xml:space="preserve"> (65 197)</w:t>
            </w:r>
          </w:p>
        </w:tc>
      </w:tr>
      <w:tr w:rsidR="003A454B" w:rsidRPr="00E92530" w14:paraId="03083907" w14:textId="77777777" w:rsidTr="00482A38">
        <w:tc>
          <w:tcPr>
            <w:tcW w:w="7370" w:type="dxa"/>
            <w:gridSpan w:val="4"/>
            <w:tcBorders>
              <w:top w:val="single" w:sz="12" w:space="0" w:color="auto"/>
            </w:tcBorders>
            <w:shd w:val="clear" w:color="auto" w:fill="auto"/>
          </w:tcPr>
          <w:p w14:paraId="2BF221D2" w14:textId="7CDAD7EE" w:rsidR="003A454B" w:rsidRPr="00E92530" w:rsidRDefault="003A454B" w:rsidP="00E92530">
            <w:pPr>
              <w:suppressAutoHyphens w:val="0"/>
              <w:spacing w:before="40" w:after="40" w:line="220" w:lineRule="atLeast"/>
              <w:rPr>
                <w:sz w:val="18"/>
                <w:szCs w:val="18"/>
              </w:rPr>
            </w:pPr>
            <w:r w:rsidRPr="00E92530">
              <w:rPr>
                <w:sz w:val="18"/>
                <w:szCs w:val="18"/>
                <w:lang w:val="fr-FR"/>
              </w:rPr>
              <w:t>En proportion d’enfants qui</w:t>
            </w:r>
            <w:r w:rsidR="005579CA" w:rsidRPr="00E92530">
              <w:rPr>
                <w:sz w:val="18"/>
                <w:szCs w:val="18"/>
                <w:lang w:val="fr-FR"/>
              </w:rPr>
              <w:t> :</w:t>
            </w:r>
          </w:p>
        </w:tc>
      </w:tr>
      <w:tr w:rsidR="003A454B" w:rsidRPr="00E92530" w14:paraId="2E7A9F5A" w14:textId="77777777" w:rsidTr="00482A38">
        <w:tc>
          <w:tcPr>
            <w:tcW w:w="2602" w:type="dxa"/>
            <w:shd w:val="clear" w:color="auto" w:fill="auto"/>
          </w:tcPr>
          <w:p w14:paraId="6D807CCF" w14:textId="7F14C97C" w:rsidR="003A454B" w:rsidRPr="00E92530" w:rsidRDefault="00E92530" w:rsidP="00E92530">
            <w:pPr>
              <w:suppressAutoHyphens w:val="0"/>
              <w:spacing w:before="40" w:after="40" w:line="220" w:lineRule="atLeast"/>
              <w:ind w:left="170"/>
              <w:rPr>
                <w:iCs/>
                <w:sz w:val="18"/>
                <w:szCs w:val="18"/>
              </w:rPr>
            </w:pPr>
            <w:r>
              <w:rPr>
                <w:sz w:val="18"/>
                <w:szCs w:val="18"/>
                <w:lang w:val="fr-FR"/>
              </w:rPr>
              <w:t>É</w:t>
            </w:r>
            <w:r w:rsidR="003A454B" w:rsidRPr="00E92530">
              <w:rPr>
                <w:sz w:val="18"/>
                <w:szCs w:val="18"/>
                <w:lang w:val="fr-FR"/>
              </w:rPr>
              <w:t>tudient dans des établissements d’enseignement général</w:t>
            </w:r>
          </w:p>
        </w:tc>
        <w:tc>
          <w:tcPr>
            <w:tcW w:w="1668" w:type="dxa"/>
            <w:shd w:val="clear" w:color="auto" w:fill="auto"/>
            <w:vAlign w:val="bottom"/>
          </w:tcPr>
          <w:p w14:paraId="7541050A" w14:textId="50DB2EF3"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57</w:t>
            </w:r>
            <w:r w:rsidR="00B0330A" w:rsidRPr="00E92530">
              <w:rPr>
                <w:sz w:val="18"/>
                <w:szCs w:val="18"/>
                <w:lang w:val="fr-FR"/>
              </w:rPr>
              <w:t> %</w:t>
            </w:r>
            <w:r w:rsidRPr="00E92530">
              <w:rPr>
                <w:sz w:val="18"/>
                <w:szCs w:val="18"/>
                <w:lang w:val="fr-FR"/>
              </w:rPr>
              <w:t xml:space="preserve"> (42 154)</w:t>
            </w:r>
          </w:p>
        </w:tc>
        <w:tc>
          <w:tcPr>
            <w:tcW w:w="1721" w:type="dxa"/>
            <w:shd w:val="clear" w:color="auto" w:fill="auto"/>
            <w:vAlign w:val="bottom"/>
          </w:tcPr>
          <w:p w14:paraId="5A6B3A81" w14:textId="6CE24E22"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55,6</w:t>
            </w:r>
            <w:r w:rsidR="00B0330A" w:rsidRPr="00E92530">
              <w:rPr>
                <w:sz w:val="18"/>
                <w:szCs w:val="18"/>
                <w:lang w:val="fr-FR"/>
              </w:rPr>
              <w:t> %</w:t>
            </w:r>
            <w:r w:rsidRPr="00E92530">
              <w:rPr>
                <w:sz w:val="18"/>
                <w:szCs w:val="18"/>
                <w:lang w:val="fr-FR"/>
              </w:rPr>
              <w:t xml:space="preserve"> (38 478)</w:t>
            </w:r>
          </w:p>
        </w:tc>
        <w:tc>
          <w:tcPr>
            <w:tcW w:w="1379" w:type="dxa"/>
            <w:shd w:val="clear" w:color="auto" w:fill="auto"/>
            <w:vAlign w:val="bottom"/>
          </w:tcPr>
          <w:p w14:paraId="5EB05A07" w14:textId="63A10E4C"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57</w:t>
            </w:r>
            <w:r w:rsidR="00B0330A" w:rsidRPr="00E92530">
              <w:rPr>
                <w:sz w:val="18"/>
                <w:szCs w:val="18"/>
                <w:lang w:val="fr-FR"/>
              </w:rPr>
              <w:t> %</w:t>
            </w:r>
            <w:r w:rsidRPr="00E92530">
              <w:rPr>
                <w:sz w:val="18"/>
                <w:szCs w:val="18"/>
                <w:lang w:val="fr-FR"/>
              </w:rPr>
              <w:t xml:space="preserve"> (37 230)</w:t>
            </w:r>
          </w:p>
        </w:tc>
      </w:tr>
      <w:tr w:rsidR="003A454B" w:rsidRPr="00E92530" w14:paraId="2E85597F" w14:textId="77777777" w:rsidTr="00482A38">
        <w:tc>
          <w:tcPr>
            <w:tcW w:w="2602" w:type="dxa"/>
            <w:shd w:val="clear" w:color="auto" w:fill="auto"/>
          </w:tcPr>
          <w:p w14:paraId="31400D3F" w14:textId="6558EAC2" w:rsidR="003A454B" w:rsidRPr="00E92530" w:rsidRDefault="00932156" w:rsidP="00E92530">
            <w:pPr>
              <w:suppressAutoHyphens w:val="0"/>
              <w:spacing w:before="40" w:after="40" w:line="220" w:lineRule="atLeast"/>
              <w:ind w:left="170"/>
              <w:rPr>
                <w:iCs/>
                <w:sz w:val="18"/>
                <w:szCs w:val="18"/>
              </w:rPr>
            </w:pPr>
            <w:r>
              <w:rPr>
                <w:sz w:val="18"/>
                <w:szCs w:val="18"/>
                <w:lang w:val="fr-FR"/>
              </w:rPr>
              <w:t>É</w:t>
            </w:r>
            <w:r w:rsidR="003A454B" w:rsidRPr="00E92530">
              <w:rPr>
                <w:sz w:val="18"/>
                <w:szCs w:val="18"/>
                <w:lang w:val="fr-FR"/>
              </w:rPr>
              <w:t>tudient à domicile</w:t>
            </w:r>
          </w:p>
        </w:tc>
        <w:tc>
          <w:tcPr>
            <w:tcW w:w="1668" w:type="dxa"/>
            <w:shd w:val="clear" w:color="auto" w:fill="auto"/>
            <w:vAlign w:val="bottom"/>
          </w:tcPr>
          <w:p w14:paraId="014903A8" w14:textId="208D3FE3"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18</w:t>
            </w:r>
            <w:r w:rsidR="00B0330A" w:rsidRPr="00E92530">
              <w:rPr>
                <w:sz w:val="18"/>
                <w:szCs w:val="18"/>
                <w:lang w:val="fr-FR"/>
              </w:rPr>
              <w:t> %</w:t>
            </w:r>
            <w:r w:rsidRPr="00E92530">
              <w:rPr>
                <w:sz w:val="18"/>
                <w:szCs w:val="18"/>
                <w:lang w:val="fr-FR"/>
              </w:rPr>
              <w:t xml:space="preserve"> (13 166)</w:t>
            </w:r>
          </w:p>
        </w:tc>
        <w:tc>
          <w:tcPr>
            <w:tcW w:w="1721" w:type="dxa"/>
            <w:shd w:val="clear" w:color="auto" w:fill="auto"/>
            <w:vAlign w:val="bottom"/>
          </w:tcPr>
          <w:p w14:paraId="691DE85F" w14:textId="46F58516"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18,7</w:t>
            </w:r>
            <w:r w:rsidR="00B0330A" w:rsidRPr="00E92530">
              <w:rPr>
                <w:sz w:val="18"/>
                <w:szCs w:val="18"/>
                <w:lang w:val="fr-FR"/>
              </w:rPr>
              <w:t> %</w:t>
            </w:r>
            <w:r w:rsidRPr="00E92530">
              <w:rPr>
                <w:sz w:val="18"/>
                <w:szCs w:val="18"/>
                <w:lang w:val="fr-FR"/>
              </w:rPr>
              <w:t xml:space="preserve"> (12 929)</w:t>
            </w:r>
          </w:p>
        </w:tc>
        <w:tc>
          <w:tcPr>
            <w:tcW w:w="1379" w:type="dxa"/>
            <w:shd w:val="clear" w:color="auto" w:fill="auto"/>
            <w:vAlign w:val="bottom"/>
          </w:tcPr>
          <w:p w14:paraId="3B686206" w14:textId="0AB53899"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18</w:t>
            </w:r>
            <w:r w:rsidR="00B0330A" w:rsidRPr="00E92530">
              <w:rPr>
                <w:sz w:val="18"/>
                <w:szCs w:val="18"/>
                <w:lang w:val="fr-FR"/>
              </w:rPr>
              <w:t> %</w:t>
            </w:r>
            <w:r w:rsidRPr="00E92530">
              <w:rPr>
                <w:sz w:val="18"/>
                <w:szCs w:val="18"/>
                <w:lang w:val="fr-FR"/>
              </w:rPr>
              <w:t xml:space="preserve"> (11 684)</w:t>
            </w:r>
          </w:p>
        </w:tc>
      </w:tr>
      <w:tr w:rsidR="003A454B" w:rsidRPr="00E92530" w14:paraId="5686234A" w14:textId="77777777" w:rsidTr="00482A38">
        <w:tc>
          <w:tcPr>
            <w:tcW w:w="2602" w:type="dxa"/>
            <w:shd w:val="clear" w:color="auto" w:fill="auto"/>
          </w:tcPr>
          <w:p w14:paraId="4CC72465" w14:textId="0123DD22" w:rsidR="003A454B" w:rsidRPr="00E92530" w:rsidRDefault="00932156" w:rsidP="00E92530">
            <w:pPr>
              <w:suppressAutoHyphens w:val="0"/>
              <w:spacing w:before="40" w:after="40" w:line="220" w:lineRule="atLeast"/>
              <w:ind w:left="170"/>
              <w:rPr>
                <w:iCs/>
                <w:sz w:val="18"/>
                <w:szCs w:val="18"/>
              </w:rPr>
            </w:pPr>
            <w:r>
              <w:rPr>
                <w:sz w:val="18"/>
                <w:szCs w:val="18"/>
                <w:lang w:val="fr-FR"/>
              </w:rPr>
              <w:t>É</w:t>
            </w:r>
            <w:r w:rsidR="003A454B" w:rsidRPr="00E92530">
              <w:rPr>
                <w:sz w:val="18"/>
                <w:szCs w:val="18"/>
                <w:lang w:val="fr-FR"/>
              </w:rPr>
              <w:t xml:space="preserve">tudient dans des établissements spécialisés </w:t>
            </w:r>
          </w:p>
        </w:tc>
        <w:tc>
          <w:tcPr>
            <w:tcW w:w="1668" w:type="dxa"/>
            <w:shd w:val="clear" w:color="auto" w:fill="auto"/>
            <w:vAlign w:val="bottom"/>
          </w:tcPr>
          <w:p w14:paraId="0ECC0691" w14:textId="3B39E99D"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12</w:t>
            </w:r>
            <w:r w:rsidR="00B0330A" w:rsidRPr="00E92530">
              <w:rPr>
                <w:sz w:val="18"/>
                <w:szCs w:val="18"/>
                <w:lang w:val="fr-FR"/>
              </w:rPr>
              <w:t> %</w:t>
            </w:r>
            <w:r w:rsidRPr="00E92530">
              <w:rPr>
                <w:sz w:val="18"/>
                <w:szCs w:val="18"/>
                <w:lang w:val="fr-FR"/>
              </w:rPr>
              <w:t xml:space="preserve"> (8 899)</w:t>
            </w:r>
          </w:p>
        </w:tc>
        <w:tc>
          <w:tcPr>
            <w:tcW w:w="1721" w:type="dxa"/>
            <w:shd w:val="clear" w:color="auto" w:fill="auto"/>
            <w:vAlign w:val="bottom"/>
          </w:tcPr>
          <w:p w14:paraId="4424B447" w14:textId="757E5B6A"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12</w:t>
            </w:r>
            <w:r w:rsidR="00B0330A" w:rsidRPr="00E92530">
              <w:rPr>
                <w:sz w:val="18"/>
                <w:szCs w:val="18"/>
                <w:lang w:val="fr-FR"/>
              </w:rPr>
              <w:t> %</w:t>
            </w:r>
            <w:r w:rsidRPr="00E92530">
              <w:rPr>
                <w:sz w:val="18"/>
                <w:szCs w:val="18"/>
                <w:lang w:val="fr-FR"/>
              </w:rPr>
              <w:t xml:space="preserve"> (8 381)</w:t>
            </w:r>
          </w:p>
        </w:tc>
        <w:tc>
          <w:tcPr>
            <w:tcW w:w="1379" w:type="dxa"/>
            <w:shd w:val="clear" w:color="auto" w:fill="auto"/>
            <w:vAlign w:val="bottom"/>
          </w:tcPr>
          <w:p w14:paraId="4F24EC32" w14:textId="2D3A7D6B"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12</w:t>
            </w:r>
            <w:r w:rsidR="00B0330A" w:rsidRPr="00E92530">
              <w:rPr>
                <w:sz w:val="18"/>
                <w:szCs w:val="18"/>
                <w:lang w:val="fr-FR"/>
              </w:rPr>
              <w:t> %</w:t>
            </w:r>
            <w:r w:rsidRPr="00E92530">
              <w:rPr>
                <w:sz w:val="18"/>
                <w:szCs w:val="18"/>
                <w:lang w:val="fr-FR"/>
              </w:rPr>
              <w:t xml:space="preserve"> (7 844)</w:t>
            </w:r>
          </w:p>
        </w:tc>
      </w:tr>
      <w:tr w:rsidR="003A454B" w:rsidRPr="00E92530" w14:paraId="679EF0BC" w14:textId="77777777" w:rsidTr="00482A38">
        <w:tc>
          <w:tcPr>
            <w:tcW w:w="2602" w:type="dxa"/>
            <w:tcBorders>
              <w:bottom w:val="single" w:sz="12" w:space="0" w:color="auto"/>
            </w:tcBorders>
            <w:shd w:val="clear" w:color="auto" w:fill="auto"/>
          </w:tcPr>
          <w:p w14:paraId="7304A1A6" w14:textId="5AE810E0" w:rsidR="003A454B" w:rsidRPr="00E92530" w:rsidRDefault="00453F6F" w:rsidP="009E40A1">
            <w:pPr>
              <w:suppressAutoHyphens w:val="0"/>
              <w:spacing w:before="40" w:after="40" w:line="220" w:lineRule="atLeast"/>
              <w:rPr>
                <w:sz w:val="18"/>
                <w:szCs w:val="18"/>
              </w:rPr>
            </w:pPr>
            <w:r>
              <w:rPr>
                <w:sz w:val="18"/>
                <w:szCs w:val="18"/>
                <w:lang w:val="fr-FR"/>
              </w:rPr>
              <w:t>S</w:t>
            </w:r>
            <w:r w:rsidR="003A454B" w:rsidRPr="00E92530">
              <w:rPr>
                <w:sz w:val="18"/>
                <w:szCs w:val="18"/>
                <w:lang w:val="fr-FR"/>
              </w:rPr>
              <w:t xml:space="preserve">ont reconnus comme inaptes </w:t>
            </w:r>
            <w:r>
              <w:rPr>
                <w:sz w:val="18"/>
                <w:szCs w:val="18"/>
                <w:lang w:val="fr-FR"/>
              </w:rPr>
              <w:br/>
            </w:r>
            <w:r w:rsidR="003A454B" w:rsidRPr="00E92530">
              <w:rPr>
                <w:sz w:val="18"/>
                <w:szCs w:val="18"/>
                <w:lang w:val="fr-FR"/>
              </w:rPr>
              <w:t>à suivre un enseignement</w:t>
            </w:r>
          </w:p>
        </w:tc>
        <w:tc>
          <w:tcPr>
            <w:tcW w:w="1668" w:type="dxa"/>
            <w:tcBorders>
              <w:bottom w:val="single" w:sz="12" w:space="0" w:color="auto"/>
            </w:tcBorders>
            <w:shd w:val="clear" w:color="auto" w:fill="auto"/>
            <w:vAlign w:val="bottom"/>
          </w:tcPr>
          <w:p w14:paraId="13BA605B" w14:textId="31A0FFB7"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13</w:t>
            </w:r>
            <w:r w:rsidR="00B0330A" w:rsidRPr="00E92530">
              <w:rPr>
                <w:sz w:val="18"/>
                <w:szCs w:val="18"/>
                <w:lang w:val="fr-FR"/>
              </w:rPr>
              <w:t> %</w:t>
            </w:r>
            <w:r w:rsidRPr="00E92530">
              <w:rPr>
                <w:sz w:val="18"/>
                <w:szCs w:val="18"/>
                <w:lang w:val="fr-FR"/>
              </w:rPr>
              <w:t xml:space="preserve"> (9 251)</w:t>
            </w:r>
          </w:p>
        </w:tc>
        <w:tc>
          <w:tcPr>
            <w:tcW w:w="1721" w:type="dxa"/>
            <w:tcBorders>
              <w:bottom w:val="single" w:sz="12" w:space="0" w:color="auto"/>
            </w:tcBorders>
            <w:shd w:val="clear" w:color="auto" w:fill="auto"/>
            <w:vAlign w:val="bottom"/>
          </w:tcPr>
          <w:p w14:paraId="700F510E" w14:textId="0457482B"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13,4</w:t>
            </w:r>
            <w:r w:rsidR="00B0330A" w:rsidRPr="00E92530">
              <w:rPr>
                <w:sz w:val="18"/>
                <w:szCs w:val="18"/>
                <w:lang w:val="fr-FR"/>
              </w:rPr>
              <w:t> %</w:t>
            </w:r>
            <w:r w:rsidRPr="00E92530">
              <w:rPr>
                <w:sz w:val="18"/>
                <w:szCs w:val="18"/>
                <w:lang w:val="fr-FR"/>
              </w:rPr>
              <w:t xml:space="preserve"> (9 317)</w:t>
            </w:r>
          </w:p>
        </w:tc>
        <w:tc>
          <w:tcPr>
            <w:tcW w:w="1379" w:type="dxa"/>
            <w:tcBorders>
              <w:bottom w:val="single" w:sz="12" w:space="0" w:color="auto"/>
            </w:tcBorders>
            <w:shd w:val="clear" w:color="auto" w:fill="auto"/>
            <w:vAlign w:val="bottom"/>
          </w:tcPr>
          <w:p w14:paraId="16A589AA" w14:textId="5901ABF4" w:rsidR="003A454B" w:rsidRPr="00E92530" w:rsidRDefault="003A454B" w:rsidP="00E92530">
            <w:pPr>
              <w:suppressAutoHyphens w:val="0"/>
              <w:spacing w:before="40" w:after="40" w:line="220" w:lineRule="atLeast"/>
              <w:jc w:val="right"/>
              <w:rPr>
                <w:sz w:val="18"/>
                <w:szCs w:val="18"/>
              </w:rPr>
            </w:pPr>
            <w:r w:rsidRPr="00E92530">
              <w:rPr>
                <w:sz w:val="18"/>
                <w:szCs w:val="18"/>
                <w:lang w:val="fr-FR"/>
              </w:rPr>
              <w:t>13</w:t>
            </w:r>
            <w:r w:rsidR="00B0330A" w:rsidRPr="00E92530">
              <w:rPr>
                <w:sz w:val="18"/>
                <w:szCs w:val="18"/>
                <w:lang w:val="fr-FR"/>
              </w:rPr>
              <w:t> %</w:t>
            </w:r>
            <w:r w:rsidRPr="00E92530">
              <w:rPr>
                <w:sz w:val="18"/>
                <w:szCs w:val="18"/>
                <w:lang w:val="fr-FR"/>
              </w:rPr>
              <w:t xml:space="preserve"> (8 439)</w:t>
            </w:r>
          </w:p>
        </w:tc>
      </w:tr>
    </w:tbl>
    <w:p w14:paraId="57863C0E" w14:textId="034BF1A5" w:rsidR="003A454B" w:rsidRPr="00593F42" w:rsidRDefault="003A454B" w:rsidP="003A454B">
      <w:pPr>
        <w:pStyle w:val="SingleTxtG"/>
        <w:spacing w:before="120"/>
      </w:pPr>
      <w:r>
        <w:rPr>
          <w:lang w:val="fr-FR"/>
        </w:rPr>
        <w:t xml:space="preserve">En 2020 et 2021, les provinces de </w:t>
      </w:r>
      <w:r w:rsidRPr="009E4C0E">
        <w:rPr>
          <w:lang w:val="fr-FR"/>
        </w:rPr>
        <w:t xml:space="preserve">Samarcande </w:t>
      </w:r>
      <w:r>
        <w:rPr>
          <w:lang w:val="fr-FR"/>
        </w:rPr>
        <w:t xml:space="preserve">et de </w:t>
      </w:r>
      <w:proofErr w:type="spellStart"/>
      <w:r>
        <w:rPr>
          <w:lang w:val="fr-FR"/>
        </w:rPr>
        <w:t>Sourkhan</w:t>
      </w:r>
      <w:proofErr w:type="spellEnd"/>
      <w:r>
        <w:rPr>
          <w:lang w:val="fr-FR"/>
        </w:rPr>
        <w:t>-Daria affichaient le taux de scolarisation le plus élevé (94</w:t>
      </w:r>
      <w:r w:rsidR="00B0330A">
        <w:rPr>
          <w:lang w:val="fr-FR"/>
        </w:rPr>
        <w:t> %</w:t>
      </w:r>
      <w:r>
        <w:rPr>
          <w:lang w:val="fr-FR"/>
        </w:rPr>
        <w:t>) et celles de Navoï et Boukhara le taux le plus faible.</w:t>
      </w:r>
    </w:p>
    <w:p w14:paraId="53BAC42B" w14:textId="4B73E2FF"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9E40A1">
        <w:rPr>
          <w:bCs/>
          <w:lang w:val="fr-FR"/>
        </w:rPr>
        <w:t> </w:t>
      </w:r>
      <w:r>
        <w:rPr>
          <w:bCs/>
          <w:lang w:val="fr-FR"/>
        </w:rPr>
        <w:t>20</w:t>
      </w:r>
      <w:r w:rsidR="009E40A1">
        <w:rPr>
          <w:bCs/>
          <w:lang w:val="fr-FR"/>
        </w:rPr>
        <w:t> </w:t>
      </w:r>
      <w:r>
        <w:rPr>
          <w:bCs/>
          <w:lang w:val="fr-FR"/>
        </w:rPr>
        <w:t>c) de la liste de points</w:t>
      </w:r>
      <w:r>
        <w:rPr>
          <w:lang w:val="fr-FR"/>
        </w:rPr>
        <w:t xml:space="preserve"> </w:t>
      </w:r>
    </w:p>
    <w:p w14:paraId="3F0492B8" w14:textId="20B026E9" w:rsidR="003A454B" w:rsidRPr="00593F42" w:rsidRDefault="003A454B" w:rsidP="003A454B">
      <w:pPr>
        <w:pStyle w:val="SingleTxtG"/>
      </w:pPr>
      <w:r>
        <w:rPr>
          <w:lang w:val="fr-FR"/>
        </w:rPr>
        <w:t>203.</w:t>
      </w:r>
      <w:r>
        <w:rPr>
          <w:lang w:val="fr-FR"/>
        </w:rPr>
        <w:tab/>
        <w:t>L’Ouzbékistan compte 13</w:t>
      </w:r>
      <w:r w:rsidR="00453F6F">
        <w:rPr>
          <w:lang w:val="fr-FR"/>
        </w:rPr>
        <w:t> </w:t>
      </w:r>
      <w:r>
        <w:rPr>
          <w:lang w:val="fr-FR"/>
        </w:rPr>
        <w:t>008</w:t>
      </w:r>
      <w:r w:rsidR="00453F6F">
        <w:rPr>
          <w:lang w:val="fr-FR"/>
        </w:rPr>
        <w:t> </w:t>
      </w:r>
      <w:r>
        <w:rPr>
          <w:lang w:val="fr-FR"/>
        </w:rPr>
        <w:t>enfants scolarisés dans des écoles ordinaires.</w:t>
      </w:r>
    </w:p>
    <w:p w14:paraId="2D7D624E" w14:textId="26FD6A79"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9E40A1">
        <w:rPr>
          <w:bCs/>
          <w:lang w:val="fr-FR"/>
        </w:rPr>
        <w:t> </w:t>
      </w:r>
      <w:r>
        <w:rPr>
          <w:bCs/>
          <w:lang w:val="fr-FR"/>
        </w:rPr>
        <w:t>20</w:t>
      </w:r>
      <w:r w:rsidR="009E40A1">
        <w:rPr>
          <w:bCs/>
          <w:lang w:val="fr-FR"/>
        </w:rPr>
        <w:t> </w:t>
      </w:r>
      <w:r>
        <w:rPr>
          <w:bCs/>
          <w:lang w:val="fr-FR"/>
        </w:rPr>
        <w:t>d) de la liste de points</w:t>
      </w:r>
      <w:r>
        <w:rPr>
          <w:lang w:val="fr-FR"/>
        </w:rPr>
        <w:t xml:space="preserve"> </w:t>
      </w:r>
    </w:p>
    <w:p w14:paraId="3E310C6C" w14:textId="5FC84F83" w:rsidR="003A454B" w:rsidRPr="00593F42" w:rsidRDefault="003A454B" w:rsidP="003A454B">
      <w:pPr>
        <w:pStyle w:val="SingleTxtG"/>
        <w:rPr>
          <w:spacing w:val="-2"/>
        </w:rPr>
      </w:pPr>
      <w:r>
        <w:rPr>
          <w:lang w:val="fr-FR"/>
        </w:rPr>
        <w:t>204.</w:t>
      </w:r>
      <w:r>
        <w:rPr>
          <w:lang w:val="fr-FR"/>
        </w:rPr>
        <w:tab/>
        <w:t>On dénombrait 5</w:t>
      </w:r>
      <w:r w:rsidR="00453F6F">
        <w:rPr>
          <w:lang w:val="fr-FR"/>
        </w:rPr>
        <w:t> </w:t>
      </w:r>
      <w:r>
        <w:rPr>
          <w:lang w:val="fr-FR"/>
        </w:rPr>
        <w:t>255</w:t>
      </w:r>
      <w:r w:rsidR="00453F6F">
        <w:rPr>
          <w:lang w:val="fr-FR"/>
        </w:rPr>
        <w:t> </w:t>
      </w:r>
      <w:r>
        <w:rPr>
          <w:lang w:val="fr-FR"/>
        </w:rPr>
        <w:t>élèves scolarisés dans des écoles spécialisées en 2018, 5</w:t>
      </w:r>
      <w:r w:rsidR="00453F6F">
        <w:rPr>
          <w:lang w:val="fr-FR"/>
        </w:rPr>
        <w:t> </w:t>
      </w:r>
      <w:r>
        <w:rPr>
          <w:lang w:val="fr-FR"/>
        </w:rPr>
        <w:t>383 en 2019 et 5</w:t>
      </w:r>
      <w:r w:rsidR="00453F6F">
        <w:rPr>
          <w:lang w:val="fr-FR"/>
        </w:rPr>
        <w:t> </w:t>
      </w:r>
      <w:r>
        <w:rPr>
          <w:lang w:val="fr-FR"/>
        </w:rPr>
        <w:t>435 en 2020.</w:t>
      </w:r>
    </w:p>
    <w:p w14:paraId="7AB66D03" w14:textId="2C7358A4" w:rsidR="003A454B" w:rsidRPr="00593F42" w:rsidRDefault="003A454B" w:rsidP="003A454B">
      <w:pPr>
        <w:pStyle w:val="H23G"/>
        <w:rPr>
          <w:b w:val="0"/>
          <w:i/>
        </w:rPr>
      </w:pPr>
      <w:r>
        <w:rPr>
          <w:lang w:val="fr-FR"/>
        </w:rPr>
        <w:lastRenderedPageBreak/>
        <w:tab/>
      </w:r>
      <w:r>
        <w:rPr>
          <w:lang w:val="fr-FR"/>
        </w:rPr>
        <w:tab/>
      </w:r>
      <w:r>
        <w:rPr>
          <w:lang w:val="fr-FR"/>
        </w:rPr>
        <w:tab/>
      </w:r>
      <w:r>
        <w:rPr>
          <w:bCs/>
          <w:lang w:val="fr-FR"/>
        </w:rPr>
        <w:t>Renseignements concernant le paragraphe</w:t>
      </w:r>
      <w:r w:rsidR="009E40A1">
        <w:rPr>
          <w:bCs/>
          <w:lang w:val="fr-FR"/>
        </w:rPr>
        <w:t> </w:t>
      </w:r>
      <w:r>
        <w:rPr>
          <w:bCs/>
          <w:lang w:val="fr-FR"/>
        </w:rPr>
        <w:t>20</w:t>
      </w:r>
      <w:r w:rsidR="009E40A1">
        <w:rPr>
          <w:bCs/>
          <w:lang w:val="fr-FR"/>
        </w:rPr>
        <w:t> </w:t>
      </w:r>
      <w:r>
        <w:rPr>
          <w:bCs/>
          <w:lang w:val="fr-FR"/>
        </w:rPr>
        <w:t>e) de la liste de points</w:t>
      </w:r>
      <w:r>
        <w:rPr>
          <w:lang w:val="fr-FR"/>
        </w:rPr>
        <w:t xml:space="preserve"> </w:t>
      </w:r>
    </w:p>
    <w:p w14:paraId="43810DDE" w14:textId="5D6D50BC" w:rsidR="003A454B" w:rsidRPr="00593F42" w:rsidRDefault="003A454B" w:rsidP="003A454B">
      <w:pPr>
        <w:pStyle w:val="SingleTxtG"/>
        <w:rPr>
          <w:b/>
        </w:rPr>
      </w:pPr>
      <w:r>
        <w:rPr>
          <w:lang w:val="fr-FR"/>
        </w:rPr>
        <w:t>205.</w:t>
      </w:r>
      <w:r>
        <w:rPr>
          <w:lang w:val="fr-FR"/>
        </w:rPr>
        <w:tab/>
        <w:t>On dénombrait 12</w:t>
      </w:r>
      <w:r w:rsidR="00453F6F">
        <w:rPr>
          <w:lang w:val="fr-FR"/>
        </w:rPr>
        <w:t> </w:t>
      </w:r>
      <w:r>
        <w:rPr>
          <w:lang w:val="fr-FR"/>
        </w:rPr>
        <w:t>676</w:t>
      </w:r>
      <w:r w:rsidR="00453F6F">
        <w:rPr>
          <w:lang w:val="fr-FR"/>
        </w:rPr>
        <w:t> </w:t>
      </w:r>
      <w:r>
        <w:rPr>
          <w:lang w:val="fr-FR"/>
        </w:rPr>
        <w:t>enfants scolarisés à domicile en 2018, 13</w:t>
      </w:r>
      <w:r w:rsidR="00453F6F">
        <w:rPr>
          <w:lang w:val="fr-FR"/>
        </w:rPr>
        <w:t> </w:t>
      </w:r>
      <w:r>
        <w:rPr>
          <w:lang w:val="fr-FR"/>
        </w:rPr>
        <w:t>868 en 2019 et 13</w:t>
      </w:r>
      <w:r w:rsidR="00453F6F">
        <w:rPr>
          <w:lang w:val="fr-FR"/>
        </w:rPr>
        <w:t> </w:t>
      </w:r>
      <w:r>
        <w:rPr>
          <w:lang w:val="fr-FR"/>
        </w:rPr>
        <w:t>272 en 2020.</w:t>
      </w:r>
    </w:p>
    <w:p w14:paraId="48FDC834" w14:textId="542F9255"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F322EE">
        <w:rPr>
          <w:bCs/>
          <w:lang w:val="fr-FR"/>
        </w:rPr>
        <w:t> </w:t>
      </w:r>
      <w:r>
        <w:rPr>
          <w:bCs/>
          <w:lang w:val="fr-FR"/>
        </w:rPr>
        <w:t>21</w:t>
      </w:r>
      <w:r w:rsidR="00F322EE">
        <w:rPr>
          <w:bCs/>
          <w:lang w:val="fr-FR"/>
        </w:rPr>
        <w:t> </w:t>
      </w:r>
      <w:r>
        <w:rPr>
          <w:bCs/>
          <w:lang w:val="fr-FR"/>
        </w:rPr>
        <w:t>a) de la liste de points</w:t>
      </w:r>
      <w:r>
        <w:rPr>
          <w:lang w:val="fr-FR"/>
        </w:rPr>
        <w:t xml:space="preserve"> </w:t>
      </w:r>
    </w:p>
    <w:p w14:paraId="4AF64277" w14:textId="400DAC08" w:rsidR="003A454B" w:rsidRPr="00593F42" w:rsidRDefault="003A454B" w:rsidP="003A454B">
      <w:pPr>
        <w:pStyle w:val="SingleTxtG"/>
      </w:pPr>
      <w:r>
        <w:rPr>
          <w:lang w:val="fr-FR"/>
        </w:rPr>
        <w:t>206.</w:t>
      </w:r>
      <w:r>
        <w:rPr>
          <w:lang w:val="fr-FR"/>
        </w:rPr>
        <w:tab/>
        <w:t>En 2019, 5 048</w:t>
      </w:r>
      <w:r w:rsidR="00453F6F">
        <w:rPr>
          <w:lang w:val="fr-FR"/>
        </w:rPr>
        <w:t> </w:t>
      </w:r>
      <w:r>
        <w:rPr>
          <w:lang w:val="fr-FR"/>
        </w:rPr>
        <w:t>mineurs ont été enregistrés dans le fichier préventif des organes du Ministère de l’intérieur pour avoir commis des infractions et d’autres actes antisociaux</w:t>
      </w:r>
      <w:r w:rsidR="005579CA">
        <w:rPr>
          <w:lang w:val="fr-FR"/>
        </w:rPr>
        <w:t> ;</w:t>
      </w:r>
      <w:r>
        <w:rPr>
          <w:lang w:val="fr-FR"/>
        </w:rPr>
        <w:t xml:space="preserve"> ce</w:t>
      </w:r>
      <w:r w:rsidR="00453F6F">
        <w:rPr>
          <w:lang w:val="fr-FR"/>
        </w:rPr>
        <w:t> </w:t>
      </w:r>
      <w:r>
        <w:rPr>
          <w:lang w:val="fr-FR"/>
        </w:rPr>
        <w:t>chiffre était de 4 257 en 2020 et de 3 896 en 2021.</w:t>
      </w:r>
    </w:p>
    <w:p w14:paraId="6460A552" w14:textId="69C4AEA4" w:rsidR="003A454B" w:rsidRPr="00593F42" w:rsidRDefault="003A454B" w:rsidP="003A454B">
      <w:pPr>
        <w:pStyle w:val="SingleTxtG"/>
      </w:pPr>
      <w:r>
        <w:rPr>
          <w:lang w:val="fr-FR"/>
        </w:rPr>
        <w:t>207.</w:t>
      </w:r>
      <w:r>
        <w:rPr>
          <w:lang w:val="fr-FR"/>
        </w:rPr>
        <w:tab/>
        <w:t>Le nombre d’infractions commises par des mineurs ou impliquant des mineurs était de 739 en 2019, de 1</w:t>
      </w:r>
      <w:r w:rsidR="00453F6F">
        <w:rPr>
          <w:lang w:val="fr-FR"/>
        </w:rPr>
        <w:t> </w:t>
      </w:r>
      <w:r>
        <w:rPr>
          <w:lang w:val="fr-FR"/>
        </w:rPr>
        <w:t>134 en 2020 et de 1</w:t>
      </w:r>
      <w:r w:rsidR="00453F6F">
        <w:rPr>
          <w:lang w:val="fr-FR"/>
        </w:rPr>
        <w:t> </w:t>
      </w:r>
      <w:r>
        <w:rPr>
          <w:lang w:val="fr-FR"/>
        </w:rPr>
        <w:t>752 en 2021. Parmi les auteurs de ces infractions, 527 (818/1</w:t>
      </w:r>
      <w:r w:rsidR="00F322EE">
        <w:rPr>
          <w:lang w:val="fr-FR"/>
        </w:rPr>
        <w:t> </w:t>
      </w:r>
      <w:r>
        <w:rPr>
          <w:lang w:val="fr-FR"/>
        </w:rPr>
        <w:t>439) étaient scolarisés dans des établissements d’enseignement général et 167 (95/229) dans des collèges et des lycées (771/1</w:t>
      </w:r>
      <w:r w:rsidR="00613892">
        <w:rPr>
          <w:lang w:val="fr-FR"/>
        </w:rPr>
        <w:t> </w:t>
      </w:r>
      <w:r>
        <w:rPr>
          <w:lang w:val="fr-FR"/>
        </w:rPr>
        <w:t>205/1 834 garçons et 47/71/156</w:t>
      </w:r>
      <w:r w:rsidR="00613892">
        <w:rPr>
          <w:lang w:val="fr-FR"/>
        </w:rPr>
        <w:t> </w:t>
      </w:r>
      <w:r>
        <w:rPr>
          <w:lang w:val="fr-FR"/>
        </w:rPr>
        <w:t xml:space="preserve">filles). Parmi ces infractions, </w:t>
      </w:r>
      <w:r w:rsidR="00613892">
        <w:rPr>
          <w:lang w:val="fr-FR"/>
        </w:rPr>
        <w:t>neuf</w:t>
      </w:r>
      <w:r>
        <w:rPr>
          <w:lang w:val="fr-FR"/>
        </w:rPr>
        <w:t xml:space="preserve"> en 2019, 11 en 2020 et </w:t>
      </w:r>
      <w:r w:rsidR="00613892">
        <w:rPr>
          <w:lang w:val="fr-FR"/>
        </w:rPr>
        <w:t>neuf</w:t>
      </w:r>
      <w:r>
        <w:rPr>
          <w:lang w:val="fr-FR"/>
        </w:rPr>
        <w:t xml:space="preserve"> en 2021 étaient commises par des mineurs en état d’ivresse.</w:t>
      </w:r>
    </w:p>
    <w:p w14:paraId="6AB32FAD" w14:textId="19C89375"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260FCA">
        <w:rPr>
          <w:bCs/>
          <w:lang w:val="fr-FR"/>
        </w:rPr>
        <w:t> </w:t>
      </w:r>
      <w:r>
        <w:rPr>
          <w:bCs/>
          <w:lang w:val="fr-FR"/>
        </w:rPr>
        <w:t>21</w:t>
      </w:r>
      <w:r w:rsidR="00260FCA">
        <w:rPr>
          <w:bCs/>
          <w:lang w:val="fr-FR"/>
        </w:rPr>
        <w:t> </w:t>
      </w:r>
      <w:r>
        <w:rPr>
          <w:bCs/>
          <w:lang w:val="fr-FR"/>
        </w:rPr>
        <w:t xml:space="preserve">b) </w:t>
      </w:r>
      <w:r w:rsidR="00E070AE">
        <w:rPr>
          <w:bCs/>
          <w:lang w:val="fr-FR"/>
        </w:rPr>
        <w:t xml:space="preserve">et d) </w:t>
      </w:r>
      <w:r>
        <w:rPr>
          <w:bCs/>
          <w:lang w:val="fr-FR"/>
        </w:rPr>
        <w:t>de la liste de points</w:t>
      </w:r>
      <w:r>
        <w:rPr>
          <w:lang w:val="fr-FR"/>
        </w:rPr>
        <w:t xml:space="preserve"> </w:t>
      </w:r>
    </w:p>
    <w:p w14:paraId="7738E778" w14:textId="77777777" w:rsidR="003A454B" w:rsidRPr="00593F42" w:rsidRDefault="003A454B" w:rsidP="003A454B">
      <w:pPr>
        <w:pStyle w:val="SingleTxtG"/>
      </w:pPr>
      <w:r>
        <w:rPr>
          <w:lang w:val="fr-FR"/>
        </w:rPr>
        <w:t>208.</w:t>
      </w:r>
      <w:r>
        <w:rPr>
          <w:lang w:val="fr-FR"/>
        </w:rPr>
        <w:tab/>
        <w:t>Quatre-vingt-six mineurs sont placés dans des centres de détention provisoire.</w:t>
      </w:r>
    </w:p>
    <w:p w14:paraId="5D14EED0" w14:textId="605534FE"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E070AE">
        <w:rPr>
          <w:bCs/>
          <w:lang w:val="fr-FR"/>
        </w:rPr>
        <w:t> </w:t>
      </w:r>
      <w:r>
        <w:rPr>
          <w:bCs/>
          <w:lang w:val="fr-FR"/>
        </w:rPr>
        <w:t>21</w:t>
      </w:r>
      <w:r w:rsidR="00E070AE">
        <w:rPr>
          <w:bCs/>
          <w:lang w:val="fr-FR"/>
        </w:rPr>
        <w:t> </w:t>
      </w:r>
      <w:r>
        <w:rPr>
          <w:bCs/>
          <w:lang w:val="fr-FR"/>
        </w:rPr>
        <w:t>c) de la liste de points</w:t>
      </w:r>
      <w:r>
        <w:rPr>
          <w:lang w:val="fr-FR"/>
        </w:rPr>
        <w:t xml:space="preserve"> </w:t>
      </w:r>
    </w:p>
    <w:p w14:paraId="071A8419" w14:textId="77777777" w:rsidR="003A454B" w:rsidRPr="00593F42" w:rsidRDefault="003A454B" w:rsidP="003A454B">
      <w:pPr>
        <w:pStyle w:val="SingleTxtG"/>
        <w:rPr>
          <w:b/>
        </w:rPr>
      </w:pPr>
      <w:r>
        <w:rPr>
          <w:lang w:val="fr-FR"/>
        </w:rPr>
        <w:t>209.</w:t>
      </w:r>
      <w:r>
        <w:rPr>
          <w:lang w:val="fr-FR"/>
        </w:rPr>
        <w:tab/>
        <w:t xml:space="preserve">On trouvera dans le tableau ci-après des informations sur les mineurs qui ont été enregistrés auprès des services de probation des organes du Ministère de l’intérieur pour avoir commis des infractions. </w:t>
      </w:r>
    </w:p>
    <w:tbl>
      <w:tblPr>
        <w:tblW w:w="7370" w:type="dxa"/>
        <w:tblInd w:w="1134" w:type="dxa"/>
        <w:tblLayout w:type="fixed"/>
        <w:tblCellMar>
          <w:left w:w="0" w:type="dxa"/>
          <w:right w:w="0" w:type="dxa"/>
        </w:tblCellMar>
        <w:tblLook w:val="04A0" w:firstRow="1" w:lastRow="0" w:firstColumn="1" w:lastColumn="0" w:noHBand="0" w:noVBand="1"/>
      </w:tblPr>
      <w:tblGrid>
        <w:gridCol w:w="2347"/>
        <w:gridCol w:w="1704"/>
        <w:gridCol w:w="1704"/>
        <w:gridCol w:w="1615"/>
      </w:tblGrid>
      <w:tr w:rsidR="00453F6F" w:rsidRPr="00453F6F" w14:paraId="38D82882" w14:textId="77777777" w:rsidTr="00F9513A">
        <w:trPr>
          <w:tblHeader/>
        </w:trPr>
        <w:tc>
          <w:tcPr>
            <w:tcW w:w="2347" w:type="dxa"/>
            <w:tcBorders>
              <w:top w:val="single" w:sz="4" w:space="0" w:color="auto"/>
              <w:bottom w:val="single" w:sz="12" w:space="0" w:color="auto"/>
            </w:tcBorders>
            <w:shd w:val="clear" w:color="auto" w:fill="auto"/>
            <w:vAlign w:val="bottom"/>
          </w:tcPr>
          <w:p w14:paraId="1F4A6117" w14:textId="77777777" w:rsidR="003A454B" w:rsidRPr="00453F6F" w:rsidRDefault="003A454B" w:rsidP="00453F6F">
            <w:pPr>
              <w:suppressAutoHyphens w:val="0"/>
              <w:spacing w:before="80" w:after="80" w:line="200" w:lineRule="exact"/>
              <w:rPr>
                <w:i/>
                <w:sz w:val="16"/>
              </w:rPr>
            </w:pPr>
          </w:p>
        </w:tc>
        <w:tc>
          <w:tcPr>
            <w:tcW w:w="1704" w:type="dxa"/>
            <w:tcBorders>
              <w:top w:val="single" w:sz="4" w:space="0" w:color="auto"/>
              <w:bottom w:val="single" w:sz="12" w:space="0" w:color="auto"/>
            </w:tcBorders>
            <w:shd w:val="clear" w:color="auto" w:fill="auto"/>
            <w:vAlign w:val="bottom"/>
          </w:tcPr>
          <w:p w14:paraId="037B7711" w14:textId="77777777" w:rsidR="003A454B" w:rsidRPr="00453F6F" w:rsidRDefault="003A454B" w:rsidP="00453F6F">
            <w:pPr>
              <w:suppressAutoHyphens w:val="0"/>
              <w:spacing w:before="80" w:after="80" w:line="200" w:lineRule="exact"/>
              <w:jc w:val="right"/>
              <w:rPr>
                <w:i/>
                <w:sz w:val="16"/>
              </w:rPr>
            </w:pPr>
            <w:r w:rsidRPr="00453F6F">
              <w:rPr>
                <w:i/>
                <w:iCs/>
                <w:sz w:val="16"/>
                <w:lang w:val="fr-FR"/>
              </w:rPr>
              <w:t>2019</w:t>
            </w:r>
            <w:r w:rsidRPr="00453F6F">
              <w:rPr>
                <w:i/>
                <w:sz w:val="16"/>
                <w:lang w:val="fr-FR"/>
              </w:rPr>
              <w:t xml:space="preserve"> </w:t>
            </w:r>
          </w:p>
        </w:tc>
        <w:tc>
          <w:tcPr>
            <w:tcW w:w="1704" w:type="dxa"/>
            <w:tcBorders>
              <w:top w:val="single" w:sz="4" w:space="0" w:color="auto"/>
              <w:bottom w:val="single" w:sz="12" w:space="0" w:color="auto"/>
            </w:tcBorders>
            <w:shd w:val="clear" w:color="auto" w:fill="auto"/>
            <w:vAlign w:val="bottom"/>
          </w:tcPr>
          <w:p w14:paraId="32937422" w14:textId="77777777" w:rsidR="003A454B" w:rsidRPr="00453F6F" w:rsidRDefault="003A454B" w:rsidP="00453F6F">
            <w:pPr>
              <w:suppressAutoHyphens w:val="0"/>
              <w:spacing w:before="80" w:after="80" w:line="200" w:lineRule="exact"/>
              <w:jc w:val="right"/>
              <w:rPr>
                <w:i/>
                <w:sz w:val="16"/>
              </w:rPr>
            </w:pPr>
            <w:r w:rsidRPr="00453F6F">
              <w:rPr>
                <w:i/>
                <w:iCs/>
                <w:sz w:val="16"/>
                <w:lang w:val="fr-FR"/>
              </w:rPr>
              <w:t>2020</w:t>
            </w:r>
            <w:r w:rsidRPr="00453F6F">
              <w:rPr>
                <w:i/>
                <w:sz w:val="16"/>
                <w:lang w:val="fr-FR"/>
              </w:rPr>
              <w:t xml:space="preserve"> </w:t>
            </w:r>
          </w:p>
        </w:tc>
        <w:tc>
          <w:tcPr>
            <w:tcW w:w="1615" w:type="dxa"/>
            <w:tcBorders>
              <w:top w:val="single" w:sz="4" w:space="0" w:color="auto"/>
              <w:bottom w:val="single" w:sz="12" w:space="0" w:color="auto"/>
            </w:tcBorders>
            <w:shd w:val="clear" w:color="auto" w:fill="auto"/>
            <w:vAlign w:val="bottom"/>
          </w:tcPr>
          <w:p w14:paraId="5DDB1597" w14:textId="77777777" w:rsidR="003A454B" w:rsidRPr="00453F6F" w:rsidRDefault="003A454B" w:rsidP="00453F6F">
            <w:pPr>
              <w:suppressAutoHyphens w:val="0"/>
              <w:spacing w:before="80" w:after="80" w:line="200" w:lineRule="exact"/>
              <w:jc w:val="right"/>
              <w:rPr>
                <w:i/>
                <w:sz w:val="16"/>
              </w:rPr>
            </w:pPr>
            <w:r w:rsidRPr="00453F6F">
              <w:rPr>
                <w:i/>
                <w:iCs/>
                <w:sz w:val="16"/>
                <w:lang w:val="fr-FR"/>
              </w:rPr>
              <w:t>2021</w:t>
            </w:r>
            <w:r w:rsidRPr="00453F6F">
              <w:rPr>
                <w:i/>
                <w:sz w:val="16"/>
                <w:lang w:val="fr-FR"/>
              </w:rPr>
              <w:t xml:space="preserve"> </w:t>
            </w:r>
          </w:p>
        </w:tc>
      </w:tr>
      <w:tr w:rsidR="003A454B" w:rsidRPr="00F9513A" w14:paraId="130F01CC" w14:textId="77777777" w:rsidTr="00F9513A">
        <w:tc>
          <w:tcPr>
            <w:tcW w:w="2347" w:type="dxa"/>
            <w:tcBorders>
              <w:top w:val="single" w:sz="12" w:space="0" w:color="auto"/>
              <w:bottom w:val="single" w:sz="12" w:space="0" w:color="auto"/>
            </w:tcBorders>
            <w:shd w:val="clear" w:color="auto" w:fill="auto"/>
          </w:tcPr>
          <w:p w14:paraId="5796D738" w14:textId="77777777" w:rsidR="003A454B" w:rsidRPr="00F9513A" w:rsidRDefault="003A454B" w:rsidP="00453F6F">
            <w:pPr>
              <w:suppressAutoHyphens w:val="0"/>
              <w:spacing w:before="80" w:after="80" w:line="220" w:lineRule="exact"/>
              <w:ind w:left="283"/>
              <w:rPr>
                <w:b/>
                <w:sz w:val="18"/>
              </w:rPr>
            </w:pPr>
            <w:r w:rsidRPr="00F9513A">
              <w:rPr>
                <w:b/>
                <w:sz w:val="18"/>
                <w:lang w:val="fr-FR"/>
              </w:rPr>
              <w:t>Total, dont</w:t>
            </w:r>
          </w:p>
        </w:tc>
        <w:tc>
          <w:tcPr>
            <w:tcW w:w="1704" w:type="dxa"/>
            <w:tcBorders>
              <w:top w:val="single" w:sz="12" w:space="0" w:color="auto"/>
              <w:bottom w:val="single" w:sz="12" w:space="0" w:color="auto"/>
            </w:tcBorders>
            <w:shd w:val="clear" w:color="auto" w:fill="auto"/>
            <w:vAlign w:val="bottom"/>
          </w:tcPr>
          <w:p w14:paraId="50CB70EF" w14:textId="77777777" w:rsidR="003A454B" w:rsidRPr="00F9513A" w:rsidRDefault="003A454B" w:rsidP="00453F6F">
            <w:pPr>
              <w:suppressAutoHyphens w:val="0"/>
              <w:spacing w:before="80" w:after="80" w:line="220" w:lineRule="exact"/>
              <w:jc w:val="right"/>
              <w:rPr>
                <w:b/>
                <w:sz w:val="18"/>
              </w:rPr>
            </w:pPr>
            <w:r w:rsidRPr="00F9513A">
              <w:rPr>
                <w:b/>
                <w:sz w:val="18"/>
                <w:lang w:val="fr-FR"/>
              </w:rPr>
              <w:t>172</w:t>
            </w:r>
          </w:p>
        </w:tc>
        <w:tc>
          <w:tcPr>
            <w:tcW w:w="1704" w:type="dxa"/>
            <w:tcBorders>
              <w:top w:val="single" w:sz="12" w:space="0" w:color="auto"/>
              <w:bottom w:val="single" w:sz="12" w:space="0" w:color="auto"/>
            </w:tcBorders>
            <w:shd w:val="clear" w:color="auto" w:fill="auto"/>
            <w:vAlign w:val="bottom"/>
          </w:tcPr>
          <w:p w14:paraId="27B868C0" w14:textId="77777777" w:rsidR="003A454B" w:rsidRPr="00F9513A" w:rsidRDefault="003A454B" w:rsidP="00453F6F">
            <w:pPr>
              <w:suppressAutoHyphens w:val="0"/>
              <w:spacing w:before="80" w:after="80" w:line="220" w:lineRule="exact"/>
              <w:jc w:val="right"/>
              <w:rPr>
                <w:b/>
                <w:sz w:val="18"/>
              </w:rPr>
            </w:pPr>
            <w:r w:rsidRPr="00F9513A">
              <w:rPr>
                <w:b/>
                <w:sz w:val="18"/>
                <w:lang w:val="fr-FR"/>
              </w:rPr>
              <w:t>190</w:t>
            </w:r>
          </w:p>
        </w:tc>
        <w:tc>
          <w:tcPr>
            <w:tcW w:w="1615" w:type="dxa"/>
            <w:tcBorders>
              <w:top w:val="single" w:sz="12" w:space="0" w:color="auto"/>
              <w:bottom w:val="single" w:sz="12" w:space="0" w:color="auto"/>
            </w:tcBorders>
            <w:shd w:val="clear" w:color="auto" w:fill="auto"/>
            <w:vAlign w:val="bottom"/>
          </w:tcPr>
          <w:p w14:paraId="6897651D" w14:textId="77777777" w:rsidR="003A454B" w:rsidRPr="00F9513A" w:rsidRDefault="003A454B" w:rsidP="00453F6F">
            <w:pPr>
              <w:suppressAutoHyphens w:val="0"/>
              <w:spacing w:before="80" w:after="80" w:line="220" w:lineRule="exact"/>
              <w:jc w:val="right"/>
              <w:rPr>
                <w:b/>
                <w:sz w:val="18"/>
              </w:rPr>
            </w:pPr>
            <w:r w:rsidRPr="00F9513A">
              <w:rPr>
                <w:b/>
                <w:sz w:val="18"/>
                <w:lang w:val="fr-FR"/>
              </w:rPr>
              <w:t>381</w:t>
            </w:r>
          </w:p>
        </w:tc>
      </w:tr>
      <w:tr w:rsidR="003A454B" w:rsidRPr="00453F6F" w14:paraId="2E8D10F9" w14:textId="77777777" w:rsidTr="00453F6F">
        <w:tc>
          <w:tcPr>
            <w:tcW w:w="2347" w:type="dxa"/>
            <w:tcBorders>
              <w:top w:val="single" w:sz="12" w:space="0" w:color="auto"/>
            </w:tcBorders>
            <w:shd w:val="clear" w:color="auto" w:fill="auto"/>
          </w:tcPr>
          <w:p w14:paraId="41C4B70A" w14:textId="77777777" w:rsidR="003A454B" w:rsidRPr="00453F6F" w:rsidRDefault="003A454B" w:rsidP="00F9513A">
            <w:pPr>
              <w:suppressAutoHyphens w:val="0"/>
              <w:spacing w:before="40" w:after="40" w:line="220" w:lineRule="exact"/>
              <w:ind w:left="170"/>
              <w:rPr>
                <w:iCs/>
                <w:sz w:val="18"/>
              </w:rPr>
            </w:pPr>
            <w:r w:rsidRPr="00453F6F">
              <w:rPr>
                <w:sz w:val="18"/>
                <w:lang w:val="fr-FR"/>
              </w:rPr>
              <w:t>Garçons</w:t>
            </w:r>
          </w:p>
        </w:tc>
        <w:tc>
          <w:tcPr>
            <w:tcW w:w="1704" w:type="dxa"/>
            <w:tcBorders>
              <w:top w:val="single" w:sz="12" w:space="0" w:color="auto"/>
            </w:tcBorders>
            <w:shd w:val="clear" w:color="auto" w:fill="auto"/>
            <w:vAlign w:val="bottom"/>
          </w:tcPr>
          <w:p w14:paraId="32AEE2DC" w14:textId="77777777" w:rsidR="003A454B" w:rsidRPr="00453F6F" w:rsidRDefault="003A454B" w:rsidP="00453F6F">
            <w:pPr>
              <w:suppressAutoHyphens w:val="0"/>
              <w:spacing w:before="40" w:after="40" w:line="220" w:lineRule="exact"/>
              <w:jc w:val="right"/>
              <w:rPr>
                <w:sz w:val="18"/>
              </w:rPr>
            </w:pPr>
            <w:r w:rsidRPr="00453F6F">
              <w:rPr>
                <w:sz w:val="18"/>
                <w:lang w:val="fr-FR"/>
              </w:rPr>
              <w:t>160</w:t>
            </w:r>
          </w:p>
        </w:tc>
        <w:tc>
          <w:tcPr>
            <w:tcW w:w="1704" w:type="dxa"/>
            <w:tcBorders>
              <w:top w:val="single" w:sz="12" w:space="0" w:color="auto"/>
            </w:tcBorders>
            <w:shd w:val="clear" w:color="auto" w:fill="auto"/>
            <w:vAlign w:val="bottom"/>
          </w:tcPr>
          <w:p w14:paraId="7A41DECC" w14:textId="77777777" w:rsidR="003A454B" w:rsidRPr="00453F6F" w:rsidRDefault="003A454B" w:rsidP="00453F6F">
            <w:pPr>
              <w:suppressAutoHyphens w:val="0"/>
              <w:spacing w:before="40" w:after="40" w:line="220" w:lineRule="exact"/>
              <w:jc w:val="right"/>
              <w:rPr>
                <w:sz w:val="18"/>
              </w:rPr>
            </w:pPr>
            <w:r w:rsidRPr="00453F6F">
              <w:rPr>
                <w:sz w:val="18"/>
                <w:lang w:val="fr-FR"/>
              </w:rPr>
              <w:t>180</w:t>
            </w:r>
          </w:p>
        </w:tc>
        <w:tc>
          <w:tcPr>
            <w:tcW w:w="1615" w:type="dxa"/>
            <w:tcBorders>
              <w:top w:val="single" w:sz="12" w:space="0" w:color="auto"/>
            </w:tcBorders>
            <w:shd w:val="clear" w:color="auto" w:fill="auto"/>
            <w:vAlign w:val="bottom"/>
          </w:tcPr>
          <w:p w14:paraId="4C0D1FE2" w14:textId="77777777" w:rsidR="003A454B" w:rsidRPr="00453F6F" w:rsidRDefault="003A454B" w:rsidP="00453F6F">
            <w:pPr>
              <w:suppressAutoHyphens w:val="0"/>
              <w:spacing w:before="40" w:after="40" w:line="220" w:lineRule="exact"/>
              <w:jc w:val="right"/>
              <w:rPr>
                <w:sz w:val="18"/>
              </w:rPr>
            </w:pPr>
            <w:r w:rsidRPr="00453F6F">
              <w:rPr>
                <w:sz w:val="18"/>
                <w:lang w:val="fr-FR"/>
              </w:rPr>
              <w:t>360</w:t>
            </w:r>
          </w:p>
        </w:tc>
      </w:tr>
      <w:tr w:rsidR="003A454B" w:rsidRPr="00453F6F" w14:paraId="52AE8280" w14:textId="77777777" w:rsidTr="00453F6F">
        <w:tc>
          <w:tcPr>
            <w:tcW w:w="2347" w:type="dxa"/>
            <w:shd w:val="clear" w:color="auto" w:fill="auto"/>
          </w:tcPr>
          <w:p w14:paraId="74D0DB33" w14:textId="77777777" w:rsidR="003A454B" w:rsidRPr="00453F6F" w:rsidRDefault="003A454B" w:rsidP="00F9513A">
            <w:pPr>
              <w:suppressAutoHyphens w:val="0"/>
              <w:spacing w:before="40" w:after="40" w:line="220" w:lineRule="exact"/>
              <w:ind w:left="170"/>
              <w:rPr>
                <w:iCs/>
                <w:sz w:val="18"/>
              </w:rPr>
            </w:pPr>
            <w:r w:rsidRPr="00453F6F">
              <w:rPr>
                <w:sz w:val="18"/>
                <w:lang w:val="fr-FR"/>
              </w:rPr>
              <w:t>Filles</w:t>
            </w:r>
          </w:p>
        </w:tc>
        <w:tc>
          <w:tcPr>
            <w:tcW w:w="1704" w:type="dxa"/>
            <w:shd w:val="clear" w:color="auto" w:fill="auto"/>
            <w:vAlign w:val="bottom"/>
          </w:tcPr>
          <w:p w14:paraId="0B761CF4" w14:textId="77777777" w:rsidR="003A454B" w:rsidRPr="00453F6F" w:rsidRDefault="003A454B" w:rsidP="00453F6F">
            <w:pPr>
              <w:suppressAutoHyphens w:val="0"/>
              <w:spacing w:before="40" w:after="40" w:line="220" w:lineRule="exact"/>
              <w:jc w:val="right"/>
              <w:rPr>
                <w:sz w:val="18"/>
              </w:rPr>
            </w:pPr>
            <w:r w:rsidRPr="00453F6F">
              <w:rPr>
                <w:sz w:val="18"/>
                <w:lang w:val="fr-FR"/>
              </w:rPr>
              <w:t>12</w:t>
            </w:r>
          </w:p>
        </w:tc>
        <w:tc>
          <w:tcPr>
            <w:tcW w:w="1704" w:type="dxa"/>
            <w:shd w:val="clear" w:color="auto" w:fill="auto"/>
            <w:vAlign w:val="bottom"/>
          </w:tcPr>
          <w:p w14:paraId="4D4185FF" w14:textId="77777777" w:rsidR="003A454B" w:rsidRPr="00453F6F" w:rsidRDefault="003A454B" w:rsidP="00453F6F">
            <w:pPr>
              <w:suppressAutoHyphens w:val="0"/>
              <w:spacing w:before="40" w:after="40" w:line="220" w:lineRule="exact"/>
              <w:jc w:val="right"/>
              <w:rPr>
                <w:sz w:val="18"/>
              </w:rPr>
            </w:pPr>
            <w:r w:rsidRPr="00453F6F">
              <w:rPr>
                <w:sz w:val="18"/>
                <w:lang w:val="fr-FR"/>
              </w:rPr>
              <w:t>10</w:t>
            </w:r>
          </w:p>
        </w:tc>
        <w:tc>
          <w:tcPr>
            <w:tcW w:w="1615" w:type="dxa"/>
            <w:shd w:val="clear" w:color="auto" w:fill="auto"/>
            <w:vAlign w:val="bottom"/>
          </w:tcPr>
          <w:p w14:paraId="65BE5ACE" w14:textId="77777777" w:rsidR="003A454B" w:rsidRPr="00453F6F" w:rsidRDefault="003A454B" w:rsidP="00453F6F">
            <w:pPr>
              <w:suppressAutoHyphens w:val="0"/>
              <w:spacing w:before="40" w:after="40" w:line="220" w:lineRule="exact"/>
              <w:jc w:val="right"/>
              <w:rPr>
                <w:sz w:val="18"/>
              </w:rPr>
            </w:pPr>
            <w:r w:rsidRPr="00453F6F">
              <w:rPr>
                <w:sz w:val="18"/>
                <w:lang w:val="fr-FR"/>
              </w:rPr>
              <w:t>21</w:t>
            </w:r>
          </w:p>
        </w:tc>
      </w:tr>
      <w:tr w:rsidR="003A454B" w:rsidRPr="00453F6F" w14:paraId="5CCE9F27" w14:textId="77777777" w:rsidTr="00453F6F">
        <w:tc>
          <w:tcPr>
            <w:tcW w:w="2347" w:type="dxa"/>
            <w:shd w:val="clear" w:color="auto" w:fill="auto"/>
          </w:tcPr>
          <w:p w14:paraId="0BD15766" w14:textId="34D4D0FE" w:rsidR="003A454B" w:rsidRPr="00453F6F" w:rsidRDefault="003A454B" w:rsidP="00453F6F">
            <w:pPr>
              <w:suppressAutoHyphens w:val="0"/>
              <w:spacing w:before="40" w:after="40" w:line="220" w:lineRule="exact"/>
              <w:rPr>
                <w:sz w:val="18"/>
              </w:rPr>
            </w:pPr>
            <w:r w:rsidRPr="00453F6F">
              <w:rPr>
                <w:sz w:val="18"/>
                <w:lang w:val="fr-FR"/>
              </w:rPr>
              <w:t>Selon le groupe ethnique</w:t>
            </w:r>
            <w:r w:rsidR="005579CA" w:rsidRPr="00453F6F">
              <w:rPr>
                <w:sz w:val="18"/>
                <w:lang w:val="fr-FR"/>
              </w:rPr>
              <w:t> :</w:t>
            </w:r>
          </w:p>
        </w:tc>
        <w:tc>
          <w:tcPr>
            <w:tcW w:w="1704" w:type="dxa"/>
            <w:shd w:val="clear" w:color="auto" w:fill="auto"/>
            <w:vAlign w:val="bottom"/>
          </w:tcPr>
          <w:p w14:paraId="791290EF" w14:textId="77777777" w:rsidR="003A454B" w:rsidRPr="00453F6F" w:rsidRDefault="003A454B" w:rsidP="00453F6F">
            <w:pPr>
              <w:suppressAutoHyphens w:val="0"/>
              <w:spacing w:before="40" w:after="40" w:line="220" w:lineRule="exact"/>
              <w:jc w:val="right"/>
              <w:rPr>
                <w:sz w:val="18"/>
              </w:rPr>
            </w:pPr>
          </w:p>
        </w:tc>
        <w:tc>
          <w:tcPr>
            <w:tcW w:w="1704" w:type="dxa"/>
            <w:shd w:val="clear" w:color="auto" w:fill="auto"/>
            <w:vAlign w:val="bottom"/>
          </w:tcPr>
          <w:p w14:paraId="584F1975" w14:textId="77777777" w:rsidR="003A454B" w:rsidRPr="00453F6F" w:rsidRDefault="003A454B" w:rsidP="00453F6F">
            <w:pPr>
              <w:suppressAutoHyphens w:val="0"/>
              <w:spacing w:before="40" w:after="40" w:line="220" w:lineRule="exact"/>
              <w:jc w:val="right"/>
              <w:rPr>
                <w:sz w:val="18"/>
              </w:rPr>
            </w:pPr>
          </w:p>
        </w:tc>
        <w:tc>
          <w:tcPr>
            <w:tcW w:w="1615" w:type="dxa"/>
            <w:shd w:val="clear" w:color="auto" w:fill="auto"/>
            <w:vAlign w:val="bottom"/>
          </w:tcPr>
          <w:p w14:paraId="6D90886D" w14:textId="77777777" w:rsidR="003A454B" w:rsidRPr="00453F6F" w:rsidRDefault="003A454B" w:rsidP="00453F6F">
            <w:pPr>
              <w:suppressAutoHyphens w:val="0"/>
              <w:spacing w:before="40" w:after="40" w:line="220" w:lineRule="exact"/>
              <w:jc w:val="right"/>
              <w:rPr>
                <w:sz w:val="18"/>
              </w:rPr>
            </w:pPr>
          </w:p>
        </w:tc>
      </w:tr>
      <w:tr w:rsidR="003A454B" w:rsidRPr="00453F6F" w14:paraId="68E7D593" w14:textId="77777777" w:rsidTr="00453F6F">
        <w:tc>
          <w:tcPr>
            <w:tcW w:w="2347" w:type="dxa"/>
            <w:shd w:val="clear" w:color="auto" w:fill="auto"/>
          </w:tcPr>
          <w:p w14:paraId="7DBC882F" w14:textId="77777777" w:rsidR="003A454B" w:rsidRPr="00453F6F" w:rsidRDefault="003A454B" w:rsidP="00F9513A">
            <w:pPr>
              <w:suppressAutoHyphens w:val="0"/>
              <w:spacing w:before="40" w:after="40" w:line="220" w:lineRule="exact"/>
              <w:ind w:left="170"/>
              <w:rPr>
                <w:iCs/>
                <w:sz w:val="18"/>
              </w:rPr>
            </w:pPr>
            <w:r w:rsidRPr="00453F6F">
              <w:rPr>
                <w:sz w:val="18"/>
                <w:lang w:val="fr-FR"/>
              </w:rPr>
              <w:t>Ouzbeks</w:t>
            </w:r>
          </w:p>
        </w:tc>
        <w:tc>
          <w:tcPr>
            <w:tcW w:w="1704" w:type="dxa"/>
            <w:shd w:val="clear" w:color="auto" w:fill="auto"/>
            <w:vAlign w:val="bottom"/>
          </w:tcPr>
          <w:p w14:paraId="44C17E4B" w14:textId="77777777" w:rsidR="003A454B" w:rsidRPr="00453F6F" w:rsidRDefault="003A454B" w:rsidP="00453F6F">
            <w:pPr>
              <w:suppressAutoHyphens w:val="0"/>
              <w:spacing w:before="40" w:after="40" w:line="220" w:lineRule="exact"/>
              <w:jc w:val="right"/>
              <w:rPr>
                <w:sz w:val="18"/>
              </w:rPr>
            </w:pPr>
            <w:r w:rsidRPr="00453F6F">
              <w:rPr>
                <w:sz w:val="18"/>
                <w:lang w:val="fr-FR"/>
              </w:rPr>
              <w:t>160</w:t>
            </w:r>
          </w:p>
        </w:tc>
        <w:tc>
          <w:tcPr>
            <w:tcW w:w="1704" w:type="dxa"/>
            <w:shd w:val="clear" w:color="auto" w:fill="auto"/>
            <w:vAlign w:val="bottom"/>
          </w:tcPr>
          <w:p w14:paraId="4E16C99A" w14:textId="77777777" w:rsidR="003A454B" w:rsidRPr="00453F6F" w:rsidRDefault="003A454B" w:rsidP="00453F6F">
            <w:pPr>
              <w:suppressAutoHyphens w:val="0"/>
              <w:spacing w:before="40" w:after="40" w:line="220" w:lineRule="exact"/>
              <w:jc w:val="right"/>
              <w:rPr>
                <w:sz w:val="18"/>
              </w:rPr>
            </w:pPr>
            <w:r w:rsidRPr="00453F6F">
              <w:rPr>
                <w:sz w:val="18"/>
                <w:lang w:val="fr-FR"/>
              </w:rPr>
              <w:t>172</w:t>
            </w:r>
          </w:p>
        </w:tc>
        <w:tc>
          <w:tcPr>
            <w:tcW w:w="1615" w:type="dxa"/>
            <w:shd w:val="clear" w:color="auto" w:fill="auto"/>
            <w:vAlign w:val="bottom"/>
          </w:tcPr>
          <w:p w14:paraId="5B41084A" w14:textId="77777777" w:rsidR="003A454B" w:rsidRPr="00453F6F" w:rsidRDefault="003A454B" w:rsidP="00453F6F">
            <w:pPr>
              <w:suppressAutoHyphens w:val="0"/>
              <w:spacing w:before="40" w:after="40" w:line="220" w:lineRule="exact"/>
              <w:jc w:val="right"/>
              <w:rPr>
                <w:sz w:val="18"/>
              </w:rPr>
            </w:pPr>
            <w:r w:rsidRPr="00453F6F">
              <w:rPr>
                <w:sz w:val="18"/>
                <w:lang w:val="fr-FR"/>
              </w:rPr>
              <w:t>365</w:t>
            </w:r>
          </w:p>
        </w:tc>
      </w:tr>
      <w:tr w:rsidR="003A454B" w:rsidRPr="00453F6F" w14:paraId="251E7A35" w14:textId="77777777" w:rsidTr="00453F6F">
        <w:tc>
          <w:tcPr>
            <w:tcW w:w="2347" w:type="dxa"/>
            <w:shd w:val="clear" w:color="auto" w:fill="auto"/>
          </w:tcPr>
          <w:p w14:paraId="20F94850" w14:textId="77777777" w:rsidR="003A454B" w:rsidRPr="00453F6F" w:rsidRDefault="003A454B" w:rsidP="00F9513A">
            <w:pPr>
              <w:suppressAutoHyphens w:val="0"/>
              <w:spacing w:before="40" w:after="40" w:line="220" w:lineRule="exact"/>
              <w:ind w:left="170"/>
              <w:rPr>
                <w:iCs/>
                <w:sz w:val="18"/>
              </w:rPr>
            </w:pPr>
            <w:r w:rsidRPr="00453F6F">
              <w:rPr>
                <w:sz w:val="18"/>
                <w:lang w:val="fr-FR"/>
              </w:rPr>
              <w:t>Russes</w:t>
            </w:r>
          </w:p>
        </w:tc>
        <w:tc>
          <w:tcPr>
            <w:tcW w:w="1704" w:type="dxa"/>
            <w:shd w:val="clear" w:color="auto" w:fill="auto"/>
            <w:vAlign w:val="bottom"/>
          </w:tcPr>
          <w:p w14:paraId="1657EBB9" w14:textId="77777777" w:rsidR="003A454B" w:rsidRPr="00453F6F" w:rsidRDefault="003A454B" w:rsidP="00453F6F">
            <w:pPr>
              <w:suppressAutoHyphens w:val="0"/>
              <w:spacing w:before="40" w:after="40" w:line="220" w:lineRule="exact"/>
              <w:jc w:val="right"/>
              <w:rPr>
                <w:sz w:val="18"/>
              </w:rPr>
            </w:pPr>
            <w:r w:rsidRPr="00453F6F">
              <w:rPr>
                <w:sz w:val="18"/>
                <w:lang w:val="fr-FR"/>
              </w:rPr>
              <w:t>8</w:t>
            </w:r>
          </w:p>
        </w:tc>
        <w:tc>
          <w:tcPr>
            <w:tcW w:w="1704" w:type="dxa"/>
            <w:shd w:val="clear" w:color="auto" w:fill="auto"/>
            <w:vAlign w:val="bottom"/>
          </w:tcPr>
          <w:p w14:paraId="45FAD6B2" w14:textId="77777777" w:rsidR="003A454B" w:rsidRPr="00453F6F" w:rsidRDefault="003A454B" w:rsidP="00453F6F">
            <w:pPr>
              <w:suppressAutoHyphens w:val="0"/>
              <w:spacing w:before="40" w:after="40" w:line="220" w:lineRule="exact"/>
              <w:jc w:val="right"/>
              <w:rPr>
                <w:sz w:val="18"/>
              </w:rPr>
            </w:pPr>
            <w:r w:rsidRPr="00453F6F">
              <w:rPr>
                <w:sz w:val="18"/>
                <w:lang w:val="fr-FR"/>
              </w:rPr>
              <w:t>4</w:t>
            </w:r>
          </w:p>
        </w:tc>
        <w:tc>
          <w:tcPr>
            <w:tcW w:w="1615" w:type="dxa"/>
            <w:shd w:val="clear" w:color="auto" w:fill="auto"/>
            <w:vAlign w:val="bottom"/>
          </w:tcPr>
          <w:p w14:paraId="430B573C" w14:textId="77777777" w:rsidR="003A454B" w:rsidRPr="00453F6F" w:rsidRDefault="003A454B" w:rsidP="00453F6F">
            <w:pPr>
              <w:suppressAutoHyphens w:val="0"/>
              <w:spacing w:before="40" w:after="40" w:line="220" w:lineRule="exact"/>
              <w:jc w:val="right"/>
              <w:rPr>
                <w:sz w:val="18"/>
              </w:rPr>
            </w:pPr>
            <w:r w:rsidRPr="00453F6F">
              <w:rPr>
                <w:sz w:val="18"/>
                <w:lang w:val="fr-FR"/>
              </w:rPr>
              <w:t>7</w:t>
            </w:r>
          </w:p>
        </w:tc>
      </w:tr>
      <w:tr w:rsidR="003A454B" w:rsidRPr="00453F6F" w14:paraId="74DE2F74" w14:textId="77777777" w:rsidTr="00453F6F">
        <w:tc>
          <w:tcPr>
            <w:tcW w:w="2347" w:type="dxa"/>
            <w:shd w:val="clear" w:color="auto" w:fill="auto"/>
          </w:tcPr>
          <w:p w14:paraId="1D42FBD4" w14:textId="77777777" w:rsidR="003A454B" w:rsidRPr="00453F6F" w:rsidRDefault="003A454B" w:rsidP="00F9513A">
            <w:pPr>
              <w:suppressAutoHyphens w:val="0"/>
              <w:spacing w:before="40" w:after="40" w:line="220" w:lineRule="exact"/>
              <w:ind w:left="170"/>
              <w:rPr>
                <w:iCs/>
                <w:sz w:val="18"/>
              </w:rPr>
            </w:pPr>
            <w:r w:rsidRPr="00453F6F">
              <w:rPr>
                <w:sz w:val="18"/>
                <w:lang w:val="fr-FR"/>
              </w:rPr>
              <w:t>Kazakhs</w:t>
            </w:r>
          </w:p>
        </w:tc>
        <w:tc>
          <w:tcPr>
            <w:tcW w:w="1704" w:type="dxa"/>
            <w:shd w:val="clear" w:color="auto" w:fill="auto"/>
            <w:vAlign w:val="bottom"/>
          </w:tcPr>
          <w:p w14:paraId="2DC3ACD0" w14:textId="77777777" w:rsidR="003A454B" w:rsidRPr="00453F6F" w:rsidRDefault="003A454B" w:rsidP="00453F6F">
            <w:pPr>
              <w:suppressAutoHyphens w:val="0"/>
              <w:spacing w:before="40" w:after="40" w:line="220" w:lineRule="exact"/>
              <w:jc w:val="right"/>
              <w:rPr>
                <w:sz w:val="18"/>
              </w:rPr>
            </w:pPr>
            <w:r w:rsidRPr="00453F6F">
              <w:rPr>
                <w:sz w:val="18"/>
                <w:lang w:val="fr-FR"/>
              </w:rPr>
              <w:t>1</w:t>
            </w:r>
          </w:p>
        </w:tc>
        <w:tc>
          <w:tcPr>
            <w:tcW w:w="1704" w:type="dxa"/>
            <w:shd w:val="clear" w:color="auto" w:fill="auto"/>
            <w:vAlign w:val="bottom"/>
          </w:tcPr>
          <w:p w14:paraId="46C97543" w14:textId="77777777" w:rsidR="003A454B" w:rsidRPr="00453F6F" w:rsidRDefault="003A454B" w:rsidP="00453F6F">
            <w:pPr>
              <w:suppressAutoHyphens w:val="0"/>
              <w:spacing w:before="40" w:after="40" w:line="220" w:lineRule="exact"/>
              <w:jc w:val="right"/>
              <w:rPr>
                <w:sz w:val="18"/>
              </w:rPr>
            </w:pPr>
            <w:r w:rsidRPr="00453F6F">
              <w:rPr>
                <w:sz w:val="18"/>
                <w:lang w:val="fr-FR"/>
              </w:rPr>
              <w:t>2</w:t>
            </w:r>
          </w:p>
        </w:tc>
        <w:tc>
          <w:tcPr>
            <w:tcW w:w="1615" w:type="dxa"/>
            <w:shd w:val="clear" w:color="auto" w:fill="auto"/>
            <w:vAlign w:val="bottom"/>
          </w:tcPr>
          <w:p w14:paraId="39A4730B" w14:textId="77777777" w:rsidR="003A454B" w:rsidRPr="00453F6F" w:rsidRDefault="003A454B" w:rsidP="00453F6F">
            <w:pPr>
              <w:suppressAutoHyphens w:val="0"/>
              <w:spacing w:before="40" w:after="40" w:line="220" w:lineRule="exact"/>
              <w:jc w:val="right"/>
              <w:rPr>
                <w:sz w:val="18"/>
              </w:rPr>
            </w:pPr>
            <w:r w:rsidRPr="00453F6F">
              <w:rPr>
                <w:sz w:val="18"/>
                <w:lang w:val="fr-FR"/>
              </w:rPr>
              <w:t>0</w:t>
            </w:r>
          </w:p>
        </w:tc>
      </w:tr>
      <w:tr w:rsidR="003A454B" w:rsidRPr="00453F6F" w14:paraId="1093C6B9" w14:textId="77777777" w:rsidTr="00453F6F">
        <w:tc>
          <w:tcPr>
            <w:tcW w:w="2347" w:type="dxa"/>
            <w:tcBorders>
              <w:bottom w:val="single" w:sz="12" w:space="0" w:color="auto"/>
            </w:tcBorders>
            <w:shd w:val="clear" w:color="auto" w:fill="auto"/>
          </w:tcPr>
          <w:p w14:paraId="0ACF79C4" w14:textId="77777777" w:rsidR="003A454B" w:rsidRPr="00453F6F" w:rsidRDefault="003A454B" w:rsidP="00F9513A">
            <w:pPr>
              <w:suppressAutoHyphens w:val="0"/>
              <w:spacing w:before="40" w:after="40" w:line="220" w:lineRule="exact"/>
              <w:ind w:left="170"/>
              <w:rPr>
                <w:iCs/>
                <w:sz w:val="18"/>
              </w:rPr>
            </w:pPr>
            <w:r w:rsidRPr="00453F6F">
              <w:rPr>
                <w:sz w:val="18"/>
                <w:lang w:val="fr-FR"/>
              </w:rPr>
              <w:t xml:space="preserve">Autres groupes ethniques </w:t>
            </w:r>
          </w:p>
        </w:tc>
        <w:tc>
          <w:tcPr>
            <w:tcW w:w="1704" w:type="dxa"/>
            <w:tcBorders>
              <w:bottom w:val="single" w:sz="12" w:space="0" w:color="auto"/>
            </w:tcBorders>
            <w:shd w:val="clear" w:color="auto" w:fill="auto"/>
            <w:vAlign w:val="bottom"/>
          </w:tcPr>
          <w:p w14:paraId="547F1B29" w14:textId="77777777" w:rsidR="003A454B" w:rsidRPr="00453F6F" w:rsidRDefault="003A454B" w:rsidP="00453F6F">
            <w:pPr>
              <w:suppressAutoHyphens w:val="0"/>
              <w:spacing w:before="40" w:after="40" w:line="220" w:lineRule="exact"/>
              <w:jc w:val="right"/>
              <w:rPr>
                <w:sz w:val="18"/>
              </w:rPr>
            </w:pPr>
            <w:r w:rsidRPr="00453F6F">
              <w:rPr>
                <w:sz w:val="18"/>
                <w:lang w:val="fr-FR"/>
              </w:rPr>
              <w:t>3</w:t>
            </w:r>
          </w:p>
        </w:tc>
        <w:tc>
          <w:tcPr>
            <w:tcW w:w="1704" w:type="dxa"/>
            <w:tcBorders>
              <w:bottom w:val="single" w:sz="12" w:space="0" w:color="auto"/>
            </w:tcBorders>
            <w:shd w:val="clear" w:color="auto" w:fill="auto"/>
            <w:vAlign w:val="bottom"/>
          </w:tcPr>
          <w:p w14:paraId="2B41CE42" w14:textId="77777777" w:rsidR="003A454B" w:rsidRPr="00453F6F" w:rsidRDefault="003A454B" w:rsidP="00453F6F">
            <w:pPr>
              <w:suppressAutoHyphens w:val="0"/>
              <w:spacing w:before="40" w:after="40" w:line="220" w:lineRule="exact"/>
              <w:jc w:val="right"/>
              <w:rPr>
                <w:sz w:val="18"/>
              </w:rPr>
            </w:pPr>
            <w:r w:rsidRPr="00453F6F">
              <w:rPr>
                <w:sz w:val="18"/>
                <w:lang w:val="fr-FR"/>
              </w:rPr>
              <w:t>12</w:t>
            </w:r>
          </w:p>
        </w:tc>
        <w:tc>
          <w:tcPr>
            <w:tcW w:w="1615" w:type="dxa"/>
            <w:tcBorders>
              <w:bottom w:val="single" w:sz="12" w:space="0" w:color="auto"/>
            </w:tcBorders>
            <w:shd w:val="clear" w:color="auto" w:fill="auto"/>
            <w:vAlign w:val="bottom"/>
          </w:tcPr>
          <w:p w14:paraId="16929611" w14:textId="77777777" w:rsidR="003A454B" w:rsidRPr="00453F6F" w:rsidRDefault="003A454B" w:rsidP="00453F6F">
            <w:pPr>
              <w:suppressAutoHyphens w:val="0"/>
              <w:spacing w:before="40" w:after="40" w:line="220" w:lineRule="exact"/>
              <w:jc w:val="right"/>
              <w:rPr>
                <w:sz w:val="18"/>
              </w:rPr>
            </w:pPr>
            <w:r w:rsidRPr="00453F6F">
              <w:rPr>
                <w:sz w:val="18"/>
                <w:lang w:val="fr-FR"/>
              </w:rPr>
              <w:t>9</w:t>
            </w:r>
          </w:p>
        </w:tc>
      </w:tr>
    </w:tbl>
    <w:p w14:paraId="103B51B2" w14:textId="29F7585F"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177E66">
        <w:rPr>
          <w:bCs/>
          <w:lang w:val="fr-FR"/>
        </w:rPr>
        <w:t> </w:t>
      </w:r>
      <w:r>
        <w:rPr>
          <w:bCs/>
          <w:lang w:val="fr-FR"/>
        </w:rPr>
        <w:t>21</w:t>
      </w:r>
      <w:r w:rsidR="00177E66">
        <w:rPr>
          <w:bCs/>
          <w:lang w:val="fr-FR"/>
        </w:rPr>
        <w:t> </w:t>
      </w:r>
      <w:r>
        <w:rPr>
          <w:bCs/>
          <w:lang w:val="fr-FR"/>
        </w:rPr>
        <w:t>e) de la liste de points</w:t>
      </w:r>
      <w:r>
        <w:rPr>
          <w:lang w:val="fr-FR"/>
        </w:rPr>
        <w:t xml:space="preserve"> </w:t>
      </w:r>
    </w:p>
    <w:p w14:paraId="4EB9CCC4" w14:textId="77777777" w:rsidR="003A454B" w:rsidRPr="00593F42" w:rsidRDefault="003A454B" w:rsidP="003A454B">
      <w:pPr>
        <w:pStyle w:val="SingleTxtG"/>
      </w:pPr>
      <w:r>
        <w:rPr>
          <w:lang w:val="fr-FR"/>
        </w:rPr>
        <w:t>210.</w:t>
      </w:r>
      <w:r>
        <w:rPr>
          <w:lang w:val="fr-FR"/>
        </w:rPr>
        <w:tab/>
        <w:t>Cinquante-cinq mineurs sont placés dans une colonie de rééducation pour mineurs pour avoir violé les articles ci-après du Code pénal.</w:t>
      </w:r>
    </w:p>
    <w:tbl>
      <w:tblPr>
        <w:tblW w:w="7370" w:type="dxa"/>
        <w:tblInd w:w="1134" w:type="dxa"/>
        <w:tblLayout w:type="fixed"/>
        <w:tblCellMar>
          <w:left w:w="0" w:type="dxa"/>
          <w:right w:w="0" w:type="dxa"/>
        </w:tblCellMar>
        <w:tblLook w:val="04A0" w:firstRow="1" w:lastRow="0" w:firstColumn="1" w:lastColumn="0" w:noHBand="0" w:noVBand="1"/>
      </w:tblPr>
      <w:tblGrid>
        <w:gridCol w:w="6586"/>
        <w:gridCol w:w="784"/>
      </w:tblGrid>
      <w:tr w:rsidR="003A454B" w:rsidRPr="00806E3F" w14:paraId="3C40CC4A" w14:textId="77777777" w:rsidTr="00482A38">
        <w:trPr>
          <w:tblHeader/>
        </w:trPr>
        <w:tc>
          <w:tcPr>
            <w:tcW w:w="6586" w:type="dxa"/>
            <w:tcBorders>
              <w:top w:val="single" w:sz="4" w:space="0" w:color="auto"/>
            </w:tcBorders>
            <w:shd w:val="clear" w:color="auto" w:fill="auto"/>
            <w:vAlign w:val="bottom"/>
          </w:tcPr>
          <w:p w14:paraId="48F15065" w14:textId="77777777" w:rsidR="003A454B" w:rsidRPr="00806E3F" w:rsidRDefault="003A454B" w:rsidP="00220179">
            <w:pPr>
              <w:suppressAutoHyphens w:val="0"/>
              <w:spacing w:before="40" w:after="40" w:line="220" w:lineRule="exact"/>
              <w:rPr>
                <w:sz w:val="18"/>
              </w:rPr>
            </w:pPr>
            <w:r>
              <w:rPr>
                <w:lang w:val="fr-FR"/>
              </w:rPr>
              <w:t>Article 118 (Viol)</w:t>
            </w:r>
          </w:p>
        </w:tc>
        <w:tc>
          <w:tcPr>
            <w:tcW w:w="784" w:type="dxa"/>
            <w:tcBorders>
              <w:top w:val="single" w:sz="4" w:space="0" w:color="auto"/>
            </w:tcBorders>
            <w:shd w:val="clear" w:color="auto" w:fill="auto"/>
            <w:vAlign w:val="bottom"/>
          </w:tcPr>
          <w:p w14:paraId="6CA620AF" w14:textId="77777777" w:rsidR="003A454B" w:rsidRPr="00806E3F" w:rsidRDefault="003A454B" w:rsidP="00220179">
            <w:pPr>
              <w:suppressAutoHyphens w:val="0"/>
              <w:spacing w:before="40" w:after="40" w:line="220" w:lineRule="exact"/>
              <w:jc w:val="right"/>
              <w:rPr>
                <w:sz w:val="18"/>
              </w:rPr>
            </w:pPr>
            <w:r>
              <w:rPr>
                <w:lang w:val="fr-FR"/>
              </w:rPr>
              <w:t>13</w:t>
            </w:r>
          </w:p>
        </w:tc>
      </w:tr>
      <w:tr w:rsidR="003A454B" w:rsidRPr="00806E3F" w14:paraId="1D37F9E2" w14:textId="77777777" w:rsidTr="00482A38">
        <w:tc>
          <w:tcPr>
            <w:tcW w:w="6586" w:type="dxa"/>
            <w:shd w:val="clear" w:color="auto" w:fill="auto"/>
          </w:tcPr>
          <w:p w14:paraId="1CEA1052" w14:textId="77777777" w:rsidR="003A454B" w:rsidRPr="00806E3F" w:rsidRDefault="003A454B" w:rsidP="00220179">
            <w:pPr>
              <w:suppressAutoHyphens w:val="0"/>
              <w:spacing w:before="40" w:after="40" w:line="220" w:lineRule="exact"/>
              <w:rPr>
                <w:sz w:val="18"/>
              </w:rPr>
            </w:pPr>
            <w:r>
              <w:rPr>
                <w:lang w:val="fr-FR"/>
              </w:rPr>
              <w:t>Article 97 (Meurtre)</w:t>
            </w:r>
          </w:p>
        </w:tc>
        <w:tc>
          <w:tcPr>
            <w:tcW w:w="784" w:type="dxa"/>
            <w:shd w:val="clear" w:color="auto" w:fill="auto"/>
            <w:vAlign w:val="bottom"/>
          </w:tcPr>
          <w:p w14:paraId="5A80E0AC" w14:textId="77777777" w:rsidR="003A454B" w:rsidRPr="00806E3F" w:rsidRDefault="003A454B" w:rsidP="00220179">
            <w:pPr>
              <w:suppressAutoHyphens w:val="0"/>
              <w:spacing w:before="40" w:after="40" w:line="220" w:lineRule="exact"/>
              <w:jc w:val="right"/>
              <w:rPr>
                <w:sz w:val="18"/>
              </w:rPr>
            </w:pPr>
            <w:r>
              <w:rPr>
                <w:lang w:val="fr-FR"/>
              </w:rPr>
              <w:t>9</w:t>
            </w:r>
          </w:p>
        </w:tc>
      </w:tr>
      <w:tr w:rsidR="003A454B" w:rsidRPr="00806E3F" w14:paraId="354C23C9" w14:textId="77777777" w:rsidTr="00482A38">
        <w:tc>
          <w:tcPr>
            <w:tcW w:w="6586" w:type="dxa"/>
            <w:shd w:val="clear" w:color="auto" w:fill="auto"/>
          </w:tcPr>
          <w:p w14:paraId="077A0CF3" w14:textId="77777777" w:rsidR="003A454B" w:rsidRPr="00593F42" w:rsidRDefault="003A454B" w:rsidP="00220179">
            <w:pPr>
              <w:suppressAutoHyphens w:val="0"/>
              <w:spacing w:before="40" w:after="40" w:line="220" w:lineRule="exact"/>
              <w:rPr>
                <w:sz w:val="18"/>
              </w:rPr>
            </w:pPr>
            <w:r>
              <w:rPr>
                <w:lang w:val="fr-FR"/>
              </w:rPr>
              <w:t>Article 104 (Atteinte corporelle grave infligée volontairement)</w:t>
            </w:r>
          </w:p>
        </w:tc>
        <w:tc>
          <w:tcPr>
            <w:tcW w:w="784" w:type="dxa"/>
            <w:shd w:val="clear" w:color="auto" w:fill="auto"/>
            <w:vAlign w:val="bottom"/>
          </w:tcPr>
          <w:p w14:paraId="704F8271" w14:textId="77777777" w:rsidR="003A454B" w:rsidRPr="00806E3F" w:rsidRDefault="003A454B" w:rsidP="00220179">
            <w:pPr>
              <w:suppressAutoHyphens w:val="0"/>
              <w:spacing w:before="40" w:after="40" w:line="220" w:lineRule="exact"/>
              <w:jc w:val="right"/>
              <w:rPr>
                <w:sz w:val="18"/>
              </w:rPr>
            </w:pPr>
            <w:r>
              <w:rPr>
                <w:lang w:val="fr-FR"/>
              </w:rPr>
              <w:t>5</w:t>
            </w:r>
          </w:p>
        </w:tc>
      </w:tr>
      <w:tr w:rsidR="003A454B" w:rsidRPr="00806E3F" w14:paraId="5941C6D9" w14:textId="77777777" w:rsidTr="00482A38">
        <w:tc>
          <w:tcPr>
            <w:tcW w:w="6586" w:type="dxa"/>
            <w:shd w:val="clear" w:color="auto" w:fill="auto"/>
          </w:tcPr>
          <w:p w14:paraId="45059DE0" w14:textId="77777777" w:rsidR="003A454B" w:rsidRPr="00806E3F" w:rsidRDefault="003A454B" w:rsidP="00220179">
            <w:pPr>
              <w:suppressAutoHyphens w:val="0"/>
              <w:spacing w:before="40" w:after="40" w:line="220" w:lineRule="exact"/>
              <w:rPr>
                <w:sz w:val="18"/>
              </w:rPr>
            </w:pPr>
            <w:r>
              <w:rPr>
                <w:lang w:val="fr-FR"/>
              </w:rPr>
              <w:t>Article 164 (Vol qualifié)</w:t>
            </w:r>
          </w:p>
        </w:tc>
        <w:tc>
          <w:tcPr>
            <w:tcW w:w="784" w:type="dxa"/>
            <w:shd w:val="clear" w:color="auto" w:fill="auto"/>
            <w:vAlign w:val="bottom"/>
          </w:tcPr>
          <w:p w14:paraId="03867BA3" w14:textId="77777777" w:rsidR="003A454B" w:rsidRPr="00806E3F" w:rsidRDefault="003A454B" w:rsidP="00220179">
            <w:pPr>
              <w:suppressAutoHyphens w:val="0"/>
              <w:spacing w:before="40" w:after="40" w:line="220" w:lineRule="exact"/>
              <w:jc w:val="right"/>
              <w:rPr>
                <w:sz w:val="18"/>
              </w:rPr>
            </w:pPr>
            <w:r>
              <w:rPr>
                <w:lang w:val="fr-FR"/>
              </w:rPr>
              <w:t>3</w:t>
            </w:r>
          </w:p>
        </w:tc>
      </w:tr>
      <w:tr w:rsidR="003A454B" w:rsidRPr="00806E3F" w14:paraId="746E9A21" w14:textId="77777777" w:rsidTr="00482A38">
        <w:tc>
          <w:tcPr>
            <w:tcW w:w="6586" w:type="dxa"/>
            <w:shd w:val="clear" w:color="auto" w:fill="auto"/>
          </w:tcPr>
          <w:p w14:paraId="4B765A3C" w14:textId="77777777" w:rsidR="003A454B" w:rsidRPr="00806E3F" w:rsidRDefault="003A454B" w:rsidP="00220179">
            <w:pPr>
              <w:suppressAutoHyphens w:val="0"/>
              <w:spacing w:before="40" w:after="40" w:line="220" w:lineRule="exact"/>
              <w:rPr>
                <w:sz w:val="18"/>
              </w:rPr>
            </w:pPr>
            <w:r>
              <w:rPr>
                <w:lang w:val="fr-FR"/>
              </w:rPr>
              <w:t>Article 267 (Vol de véhicule)</w:t>
            </w:r>
          </w:p>
        </w:tc>
        <w:tc>
          <w:tcPr>
            <w:tcW w:w="784" w:type="dxa"/>
            <w:shd w:val="clear" w:color="auto" w:fill="auto"/>
            <w:vAlign w:val="bottom"/>
          </w:tcPr>
          <w:p w14:paraId="16707CC0" w14:textId="77777777" w:rsidR="003A454B" w:rsidRPr="00806E3F" w:rsidRDefault="003A454B" w:rsidP="00220179">
            <w:pPr>
              <w:suppressAutoHyphens w:val="0"/>
              <w:spacing w:before="40" w:after="40" w:line="220" w:lineRule="exact"/>
              <w:jc w:val="right"/>
              <w:rPr>
                <w:sz w:val="18"/>
              </w:rPr>
            </w:pPr>
            <w:r>
              <w:rPr>
                <w:lang w:val="fr-FR"/>
              </w:rPr>
              <w:t>2</w:t>
            </w:r>
          </w:p>
        </w:tc>
      </w:tr>
      <w:tr w:rsidR="003A454B" w:rsidRPr="00806E3F" w14:paraId="13676E2E" w14:textId="77777777" w:rsidTr="00482A38">
        <w:tc>
          <w:tcPr>
            <w:tcW w:w="6586" w:type="dxa"/>
            <w:shd w:val="clear" w:color="auto" w:fill="auto"/>
          </w:tcPr>
          <w:p w14:paraId="521BCFA9" w14:textId="77777777" w:rsidR="003A454B" w:rsidRPr="00806E3F" w:rsidRDefault="003A454B" w:rsidP="00220179">
            <w:pPr>
              <w:suppressAutoHyphens w:val="0"/>
              <w:spacing w:before="40" w:after="40" w:line="220" w:lineRule="exact"/>
              <w:rPr>
                <w:sz w:val="18"/>
              </w:rPr>
            </w:pPr>
            <w:r>
              <w:rPr>
                <w:lang w:val="fr-FR"/>
              </w:rPr>
              <w:t>Article 169 (Vol)</w:t>
            </w:r>
          </w:p>
        </w:tc>
        <w:tc>
          <w:tcPr>
            <w:tcW w:w="784" w:type="dxa"/>
            <w:shd w:val="clear" w:color="auto" w:fill="auto"/>
            <w:vAlign w:val="bottom"/>
          </w:tcPr>
          <w:p w14:paraId="0FFA60FC" w14:textId="77777777" w:rsidR="003A454B" w:rsidRPr="00806E3F" w:rsidRDefault="003A454B" w:rsidP="00220179">
            <w:pPr>
              <w:suppressAutoHyphens w:val="0"/>
              <w:spacing w:before="40" w:after="40" w:line="220" w:lineRule="exact"/>
              <w:jc w:val="right"/>
              <w:rPr>
                <w:sz w:val="18"/>
              </w:rPr>
            </w:pPr>
            <w:r>
              <w:rPr>
                <w:lang w:val="fr-FR"/>
              </w:rPr>
              <w:t>1</w:t>
            </w:r>
          </w:p>
        </w:tc>
      </w:tr>
      <w:tr w:rsidR="003A454B" w:rsidRPr="00806E3F" w14:paraId="703D6D5F" w14:textId="77777777" w:rsidTr="00482A38">
        <w:tc>
          <w:tcPr>
            <w:tcW w:w="6586" w:type="dxa"/>
            <w:tcBorders>
              <w:bottom w:val="single" w:sz="12" w:space="0" w:color="auto"/>
            </w:tcBorders>
            <w:shd w:val="clear" w:color="auto" w:fill="auto"/>
          </w:tcPr>
          <w:p w14:paraId="01FA8AE5" w14:textId="77777777" w:rsidR="003A454B" w:rsidRPr="00593F42" w:rsidRDefault="003A454B" w:rsidP="00220179">
            <w:pPr>
              <w:suppressAutoHyphens w:val="0"/>
              <w:spacing w:before="40" w:after="40" w:line="220" w:lineRule="exact"/>
              <w:rPr>
                <w:sz w:val="18"/>
              </w:rPr>
            </w:pPr>
            <w:r>
              <w:rPr>
                <w:lang w:val="fr-FR"/>
              </w:rPr>
              <w:t>Autres infractions au Code pénal</w:t>
            </w:r>
          </w:p>
        </w:tc>
        <w:tc>
          <w:tcPr>
            <w:tcW w:w="784" w:type="dxa"/>
            <w:tcBorders>
              <w:bottom w:val="single" w:sz="12" w:space="0" w:color="auto"/>
            </w:tcBorders>
            <w:shd w:val="clear" w:color="auto" w:fill="auto"/>
            <w:vAlign w:val="bottom"/>
          </w:tcPr>
          <w:p w14:paraId="03AF1ECE" w14:textId="77777777" w:rsidR="003A454B" w:rsidRPr="00806E3F" w:rsidRDefault="003A454B" w:rsidP="00220179">
            <w:pPr>
              <w:suppressAutoHyphens w:val="0"/>
              <w:spacing w:before="40" w:after="40" w:line="220" w:lineRule="exact"/>
              <w:jc w:val="right"/>
              <w:rPr>
                <w:sz w:val="18"/>
              </w:rPr>
            </w:pPr>
            <w:r>
              <w:rPr>
                <w:lang w:val="fr-FR"/>
              </w:rPr>
              <w:t>22</w:t>
            </w:r>
          </w:p>
        </w:tc>
      </w:tr>
    </w:tbl>
    <w:p w14:paraId="7F99D09B" w14:textId="2EFFD447"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177E66">
        <w:rPr>
          <w:bCs/>
          <w:lang w:val="fr-FR"/>
        </w:rPr>
        <w:t> </w:t>
      </w:r>
      <w:r>
        <w:rPr>
          <w:bCs/>
          <w:lang w:val="fr-FR"/>
        </w:rPr>
        <w:t>22 de la liste de points</w:t>
      </w:r>
      <w:r>
        <w:rPr>
          <w:lang w:val="fr-FR"/>
        </w:rPr>
        <w:t xml:space="preserve"> </w:t>
      </w:r>
    </w:p>
    <w:p w14:paraId="4AE4CC02" w14:textId="77777777" w:rsidR="003A454B" w:rsidRPr="00593F42" w:rsidRDefault="003A454B" w:rsidP="003A454B">
      <w:pPr>
        <w:pStyle w:val="SingleTxtG"/>
      </w:pPr>
      <w:r>
        <w:rPr>
          <w:lang w:val="fr-FR"/>
        </w:rPr>
        <w:t>211.</w:t>
      </w:r>
      <w:r>
        <w:rPr>
          <w:lang w:val="fr-FR"/>
        </w:rPr>
        <w:tab/>
        <w:t>Les objectifs et cibles nationaux de développement durable à l’horizon 2030, approuvés par le Gouvernement, garantissent le bien-être des enfants. Les indicateurs relatifs aux objectifs de développement durable sont observés par le Comité national des statistiques au moyen d’un système d’indicateurs. Ils sont intégrés dans toutes les stratégies et tous les programmes régionaux et sectoriels mis en œuvre dans le pays.</w:t>
      </w:r>
    </w:p>
    <w:p w14:paraId="467352C0" w14:textId="24550B40" w:rsidR="003A454B" w:rsidRPr="00593F42" w:rsidRDefault="003A454B" w:rsidP="003A454B">
      <w:pPr>
        <w:pStyle w:val="H23G"/>
        <w:rPr>
          <w:b w:val="0"/>
          <w:i/>
        </w:rPr>
      </w:pPr>
      <w:r>
        <w:rPr>
          <w:lang w:val="fr-FR"/>
        </w:rPr>
        <w:lastRenderedPageBreak/>
        <w:tab/>
      </w:r>
      <w:r>
        <w:rPr>
          <w:lang w:val="fr-FR"/>
        </w:rPr>
        <w:tab/>
      </w:r>
      <w:r>
        <w:rPr>
          <w:lang w:val="fr-FR"/>
        </w:rPr>
        <w:tab/>
      </w:r>
      <w:r>
        <w:rPr>
          <w:bCs/>
          <w:lang w:val="fr-FR"/>
        </w:rPr>
        <w:t>Renseignements concernant le paragraphe</w:t>
      </w:r>
      <w:r w:rsidR="0004648A">
        <w:rPr>
          <w:bCs/>
          <w:lang w:val="fr-FR"/>
        </w:rPr>
        <w:t> </w:t>
      </w:r>
      <w:r>
        <w:rPr>
          <w:bCs/>
          <w:lang w:val="fr-FR"/>
        </w:rPr>
        <w:t>23 de la liste de points</w:t>
      </w:r>
      <w:r>
        <w:rPr>
          <w:lang w:val="fr-FR"/>
        </w:rPr>
        <w:t xml:space="preserve"> </w:t>
      </w:r>
    </w:p>
    <w:p w14:paraId="513A6A6A" w14:textId="3F1E9ACF" w:rsidR="003A454B" w:rsidRPr="00593F42" w:rsidRDefault="003A454B" w:rsidP="003A454B">
      <w:pPr>
        <w:pStyle w:val="SingleTxtG"/>
      </w:pPr>
      <w:r>
        <w:rPr>
          <w:lang w:val="fr-FR"/>
        </w:rPr>
        <w:t>212.</w:t>
      </w:r>
      <w:r>
        <w:rPr>
          <w:lang w:val="fr-FR"/>
        </w:rPr>
        <w:tab/>
        <w:t>Ces dernières années, le Haut-Commissaire des Nations Unies aux droits de l’homme, Z.</w:t>
      </w:r>
      <w:r w:rsidR="007856AA">
        <w:rPr>
          <w:lang w:val="fr-FR"/>
        </w:rPr>
        <w:t> </w:t>
      </w:r>
      <w:r>
        <w:rPr>
          <w:lang w:val="fr-FR"/>
        </w:rPr>
        <w:t>R. Al Hussein (2017), le Rapporteur spécial sur la liberté de religion ou de conviction, A.</w:t>
      </w:r>
      <w:r w:rsidR="007856AA">
        <w:rPr>
          <w:lang w:val="fr-FR"/>
        </w:rPr>
        <w:t> </w:t>
      </w:r>
      <w:proofErr w:type="spellStart"/>
      <w:r>
        <w:rPr>
          <w:lang w:val="fr-FR"/>
        </w:rPr>
        <w:t>Shaheed</w:t>
      </w:r>
      <w:proofErr w:type="spellEnd"/>
      <w:r>
        <w:rPr>
          <w:lang w:val="fr-FR"/>
        </w:rPr>
        <w:t xml:space="preserve"> (2017), le Rapporteur spécial sur l’indépendance des juges et des avocats, D.</w:t>
      </w:r>
      <w:r w:rsidR="007856AA">
        <w:rPr>
          <w:lang w:val="fr-FR"/>
        </w:rPr>
        <w:t> </w:t>
      </w:r>
      <w:r>
        <w:rPr>
          <w:lang w:val="fr-FR"/>
        </w:rPr>
        <w:t>García-</w:t>
      </w:r>
      <w:proofErr w:type="spellStart"/>
      <w:r>
        <w:rPr>
          <w:lang w:val="fr-FR"/>
        </w:rPr>
        <w:t>Sayán</w:t>
      </w:r>
      <w:proofErr w:type="spellEnd"/>
      <w:r>
        <w:rPr>
          <w:lang w:val="fr-FR"/>
        </w:rPr>
        <w:t xml:space="preserve"> (2019), la Rapporteuse spéciale sur la promotion et la protection des droits de l’homme et des libertés fondamentales dans la lutte antiterroriste, F.</w:t>
      </w:r>
      <w:r w:rsidR="007856AA">
        <w:rPr>
          <w:lang w:val="fr-FR"/>
        </w:rPr>
        <w:t> </w:t>
      </w:r>
      <w:proofErr w:type="spellStart"/>
      <w:r>
        <w:rPr>
          <w:lang w:val="fr-FR"/>
        </w:rPr>
        <w:t>Ní</w:t>
      </w:r>
      <w:proofErr w:type="spellEnd"/>
      <w:r>
        <w:rPr>
          <w:lang w:val="fr-FR"/>
        </w:rPr>
        <w:t xml:space="preserve"> </w:t>
      </w:r>
      <w:proofErr w:type="spellStart"/>
      <w:r>
        <w:rPr>
          <w:lang w:val="fr-FR"/>
        </w:rPr>
        <w:t>Aoláin</w:t>
      </w:r>
      <w:proofErr w:type="spellEnd"/>
      <w:r>
        <w:rPr>
          <w:lang w:val="fr-FR"/>
        </w:rPr>
        <w:t xml:space="preserve"> (2021), le Directeur général de l’OIT, G.</w:t>
      </w:r>
      <w:r w:rsidR="007856AA">
        <w:rPr>
          <w:lang w:val="fr-FR"/>
        </w:rPr>
        <w:t> </w:t>
      </w:r>
      <w:r>
        <w:rPr>
          <w:lang w:val="fr-FR"/>
        </w:rPr>
        <w:t>Ryder (2018), le Secrétaire général adjoint de l’ONU et Directeur général de l’Organisation internationale pour les migrations, L.</w:t>
      </w:r>
      <w:r w:rsidR="007856AA">
        <w:rPr>
          <w:lang w:val="fr-FR"/>
        </w:rPr>
        <w:t> </w:t>
      </w:r>
      <w:r>
        <w:rPr>
          <w:lang w:val="fr-FR"/>
        </w:rPr>
        <w:t>Swing (2018), le Directeur général de l’Office des Nations Unies à Genève, M.</w:t>
      </w:r>
      <w:r w:rsidR="007856AA">
        <w:rPr>
          <w:lang w:val="fr-FR"/>
        </w:rPr>
        <w:t> </w:t>
      </w:r>
      <w:r>
        <w:rPr>
          <w:lang w:val="fr-FR"/>
        </w:rPr>
        <w:t xml:space="preserve">Moeller (2018), ont effectué des visites en Ouzbékistan. </w:t>
      </w:r>
    </w:p>
    <w:p w14:paraId="4911361B" w14:textId="07609B35" w:rsidR="003A454B" w:rsidRPr="004259B4" w:rsidRDefault="003A454B" w:rsidP="003A454B">
      <w:pPr>
        <w:pStyle w:val="SingleTxtG"/>
        <w:rPr>
          <w:lang w:val="fr-FR"/>
        </w:rPr>
      </w:pPr>
      <w:r>
        <w:rPr>
          <w:lang w:val="fr-FR"/>
        </w:rPr>
        <w:t>213.</w:t>
      </w:r>
      <w:r>
        <w:rPr>
          <w:lang w:val="fr-FR"/>
        </w:rPr>
        <w:tab/>
        <w:t>L’Ouzbékistan contribue aux efforts déployés au niveau mondial pour promouvoir les droits de l’homme. Il a été élu pour la première fois membre du Conseil des droits de l’homme de l’ONU pour la période 2021-2023. Un représentant de l’Ouzbékistan a été élu Vice</w:t>
      </w:r>
      <w:r w:rsidR="00823FA7">
        <w:rPr>
          <w:lang w:val="fr-FR"/>
        </w:rPr>
        <w:noBreakHyphen/>
      </w:r>
      <w:r>
        <w:rPr>
          <w:lang w:val="fr-FR"/>
        </w:rPr>
        <w:t>Président du Conseil des droits de l’homme pour 2022.</w:t>
      </w:r>
    </w:p>
    <w:p w14:paraId="34557C3B" w14:textId="5B3E6D5E" w:rsidR="003A454B" w:rsidRPr="00593F42" w:rsidRDefault="003A454B" w:rsidP="003A454B">
      <w:pPr>
        <w:pStyle w:val="SingleTxtG"/>
      </w:pPr>
      <w:r>
        <w:rPr>
          <w:lang w:val="fr-FR"/>
        </w:rPr>
        <w:t>214.</w:t>
      </w:r>
      <w:r>
        <w:rPr>
          <w:lang w:val="fr-FR"/>
        </w:rPr>
        <w:tab/>
        <w:t xml:space="preserve">En octobre 2021, le Conseil des droits de l’homme a adopté, à l’initiative du Président de l’Ouzbékistan, une résolution sur les incidences de la pandémie de </w:t>
      </w:r>
      <w:r w:rsidR="00B0330A">
        <w:rPr>
          <w:lang w:val="fr-FR"/>
        </w:rPr>
        <w:t>COVID</w:t>
      </w:r>
      <w:r w:rsidR="00B0330A">
        <w:rPr>
          <w:lang w:val="fr-FR"/>
        </w:rPr>
        <w:noBreakHyphen/>
        <w:t>19</w:t>
      </w:r>
      <w:r>
        <w:rPr>
          <w:lang w:val="fr-FR"/>
        </w:rPr>
        <w:t xml:space="preserve"> sur les droits humains des jeunes. Les travaux sur le projet de convention internationale sur les droits des jeunes se poursuivent.</w:t>
      </w:r>
    </w:p>
    <w:p w14:paraId="4E8BB5C7" w14:textId="3C9A554B" w:rsidR="003A454B" w:rsidRPr="00593F42" w:rsidRDefault="003A454B" w:rsidP="003A454B">
      <w:pPr>
        <w:pStyle w:val="H23G"/>
        <w:rPr>
          <w:b w:val="0"/>
          <w:i/>
        </w:rPr>
      </w:pPr>
      <w:r>
        <w:rPr>
          <w:lang w:val="fr-FR"/>
        </w:rPr>
        <w:tab/>
      </w:r>
      <w:r>
        <w:rPr>
          <w:lang w:val="fr-FR"/>
        </w:rPr>
        <w:tab/>
      </w:r>
      <w:r>
        <w:rPr>
          <w:lang w:val="fr-FR"/>
        </w:rPr>
        <w:tab/>
      </w:r>
      <w:r>
        <w:rPr>
          <w:bCs/>
          <w:lang w:val="fr-FR"/>
        </w:rPr>
        <w:t>Renseignements concernant le paragraphe</w:t>
      </w:r>
      <w:r w:rsidR="007707D5">
        <w:rPr>
          <w:bCs/>
          <w:lang w:val="fr-FR"/>
        </w:rPr>
        <w:t> </w:t>
      </w:r>
      <w:r>
        <w:rPr>
          <w:bCs/>
          <w:lang w:val="fr-FR"/>
        </w:rPr>
        <w:t>24 de la liste de points</w:t>
      </w:r>
      <w:r>
        <w:rPr>
          <w:lang w:val="fr-FR"/>
        </w:rPr>
        <w:t xml:space="preserve"> </w:t>
      </w:r>
    </w:p>
    <w:p w14:paraId="4EC4B9FE" w14:textId="4F6808B0" w:rsidR="00594A58" w:rsidRDefault="003A454B" w:rsidP="003A454B">
      <w:pPr>
        <w:pStyle w:val="SingleTxtG"/>
        <w:rPr>
          <w:lang w:val="fr-FR"/>
        </w:rPr>
      </w:pPr>
      <w:r>
        <w:rPr>
          <w:lang w:val="fr-FR"/>
        </w:rPr>
        <w:t>215.</w:t>
      </w:r>
      <w:r>
        <w:rPr>
          <w:lang w:val="fr-FR"/>
        </w:rPr>
        <w:tab/>
        <w:t>La Stratégie de développement de l’Ouzbékistan pour 2022-2026 fixe les priorités de la mise en œuvre de la Convention relative aux droits de l’enfant. Elle définit les objectifs à atteindre sur le plan social, notamment en ce concerne les droits des enfants à l’éducation, la fourniture de services de santé de qualité et l’éducation physique et le sport.</w:t>
      </w:r>
    </w:p>
    <w:p w14:paraId="652230E9" w14:textId="6BBB46D7" w:rsidR="003F6F37" w:rsidRPr="003F6F37" w:rsidRDefault="003F6F37" w:rsidP="003F6F37">
      <w:pPr>
        <w:pStyle w:val="SingleTxtG"/>
        <w:spacing w:before="240" w:after="0"/>
        <w:jc w:val="center"/>
        <w:rPr>
          <w:u w:val="single"/>
        </w:rPr>
      </w:pPr>
      <w:r>
        <w:rPr>
          <w:u w:val="single"/>
        </w:rPr>
        <w:tab/>
      </w:r>
      <w:r>
        <w:rPr>
          <w:u w:val="single"/>
        </w:rPr>
        <w:tab/>
      </w:r>
      <w:r>
        <w:rPr>
          <w:u w:val="single"/>
        </w:rPr>
        <w:tab/>
      </w:r>
    </w:p>
    <w:sectPr w:rsidR="003F6F37" w:rsidRPr="003F6F37" w:rsidSect="00E2162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2E9C" w14:textId="77777777" w:rsidR="00C1798F" w:rsidRDefault="00C1798F" w:rsidP="00F95C08">
      <w:pPr>
        <w:spacing w:line="240" w:lineRule="auto"/>
      </w:pPr>
    </w:p>
  </w:endnote>
  <w:endnote w:type="continuationSeparator" w:id="0">
    <w:p w14:paraId="6E3E65FE" w14:textId="77777777" w:rsidR="00C1798F" w:rsidRPr="00AC3823" w:rsidRDefault="00C1798F" w:rsidP="00AC3823">
      <w:pPr>
        <w:pStyle w:val="Pieddepage"/>
      </w:pPr>
    </w:p>
  </w:endnote>
  <w:endnote w:type="continuationNotice" w:id="1">
    <w:p w14:paraId="08419D9C" w14:textId="77777777" w:rsidR="00C1798F" w:rsidRDefault="00C179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EA34" w14:textId="19B17D4F" w:rsidR="00E21629" w:rsidRPr="00E21629" w:rsidRDefault="00E21629" w:rsidP="00E21629">
    <w:pPr>
      <w:pStyle w:val="Pieddepage"/>
      <w:tabs>
        <w:tab w:val="right" w:pos="9638"/>
      </w:tabs>
    </w:pPr>
    <w:r w:rsidRPr="00E21629">
      <w:rPr>
        <w:b/>
        <w:sz w:val="18"/>
      </w:rPr>
      <w:fldChar w:fldCharType="begin"/>
    </w:r>
    <w:r w:rsidRPr="00E21629">
      <w:rPr>
        <w:b/>
        <w:sz w:val="18"/>
      </w:rPr>
      <w:instrText xml:space="preserve"> PAGE  \* MERGEFORMAT </w:instrText>
    </w:r>
    <w:r w:rsidRPr="00E21629">
      <w:rPr>
        <w:b/>
        <w:sz w:val="18"/>
      </w:rPr>
      <w:fldChar w:fldCharType="separate"/>
    </w:r>
    <w:r w:rsidRPr="00E21629">
      <w:rPr>
        <w:b/>
        <w:noProof/>
        <w:sz w:val="18"/>
      </w:rPr>
      <w:t>2</w:t>
    </w:r>
    <w:r w:rsidRPr="00E21629">
      <w:rPr>
        <w:b/>
        <w:sz w:val="18"/>
      </w:rPr>
      <w:fldChar w:fldCharType="end"/>
    </w:r>
    <w:r>
      <w:rPr>
        <w:b/>
        <w:sz w:val="18"/>
      </w:rPr>
      <w:tab/>
    </w:r>
    <w:r>
      <w:t>GE.22-09120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5D18" w14:textId="784FCE38" w:rsidR="00E21629" w:rsidRPr="00E21629" w:rsidRDefault="00E21629" w:rsidP="00E21629">
    <w:pPr>
      <w:pStyle w:val="Pieddepage"/>
      <w:tabs>
        <w:tab w:val="right" w:pos="9638"/>
      </w:tabs>
      <w:rPr>
        <w:b/>
        <w:sz w:val="18"/>
      </w:rPr>
    </w:pPr>
    <w:r>
      <w:t>GE.22-09120</w:t>
    </w:r>
    <w:r>
      <w:tab/>
    </w:r>
    <w:r w:rsidRPr="00E21629">
      <w:rPr>
        <w:b/>
        <w:sz w:val="18"/>
      </w:rPr>
      <w:fldChar w:fldCharType="begin"/>
    </w:r>
    <w:r w:rsidRPr="00E21629">
      <w:rPr>
        <w:b/>
        <w:sz w:val="18"/>
      </w:rPr>
      <w:instrText xml:space="preserve"> PAGE  \* MERGEFORMAT </w:instrText>
    </w:r>
    <w:r w:rsidRPr="00E21629">
      <w:rPr>
        <w:b/>
        <w:sz w:val="18"/>
      </w:rPr>
      <w:fldChar w:fldCharType="separate"/>
    </w:r>
    <w:r w:rsidRPr="00E21629">
      <w:rPr>
        <w:b/>
        <w:noProof/>
        <w:sz w:val="18"/>
      </w:rPr>
      <w:t>3</w:t>
    </w:r>
    <w:r w:rsidRPr="00E216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4051" w14:textId="32E244C1" w:rsidR="002D14A3" w:rsidRPr="00E21629" w:rsidRDefault="00E21629" w:rsidP="00E21629">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DBD7968" wp14:editId="4249718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22-09120  (F)</w:t>
    </w:r>
    <w:r>
      <w:rPr>
        <w:noProof/>
        <w:sz w:val="20"/>
      </w:rPr>
      <w:drawing>
        <wp:anchor distT="0" distB="0" distL="114300" distR="114300" simplePos="0" relativeHeight="251660288" behindDoc="0" locked="0" layoutInCell="1" allowOverlap="1" wp14:anchorId="67D14E47" wp14:editId="26EFF26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0208</w:t>
    </w:r>
    <w:r w:rsidR="00BE4325">
      <w:rPr>
        <w:sz w:val="20"/>
      </w:rPr>
      <w:t xml:space="preserve">22    </w:t>
    </w:r>
    <w:r w:rsidR="007707D5">
      <w:rPr>
        <w:sz w:val="20"/>
      </w:rPr>
      <w:t>030822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1D14" w14:textId="77777777" w:rsidR="00C1798F" w:rsidRPr="00AC3823" w:rsidRDefault="00C1798F" w:rsidP="00AC3823">
      <w:pPr>
        <w:pStyle w:val="Pieddepage"/>
        <w:tabs>
          <w:tab w:val="right" w:pos="2155"/>
        </w:tabs>
        <w:spacing w:after="80" w:line="240" w:lineRule="atLeast"/>
        <w:ind w:left="680"/>
        <w:rPr>
          <w:u w:val="single"/>
        </w:rPr>
      </w:pPr>
      <w:r>
        <w:rPr>
          <w:u w:val="single"/>
        </w:rPr>
        <w:tab/>
      </w:r>
    </w:p>
  </w:footnote>
  <w:footnote w:type="continuationSeparator" w:id="0">
    <w:p w14:paraId="51EBEF9B" w14:textId="77777777" w:rsidR="00C1798F" w:rsidRPr="00AC3823" w:rsidRDefault="00C1798F" w:rsidP="00AC3823">
      <w:pPr>
        <w:pStyle w:val="Pieddepage"/>
        <w:tabs>
          <w:tab w:val="right" w:pos="2155"/>
        </w:tabs>
        <w:spacing w:after="80" w:line="240" w:lineRule="atLeast"/>
        <w:ind w:left="680"/>
        <w:rPr>
          <w:u w:val="single"/>
        </w:rPr>
      </w:pPr>
      <w:r>
        <w:rPr>
          <w:u w:val="single"/>
        </w:rPr>
        <w:tab/>
      </w:r>
    </w:p>
  </w:footnote>
  <w:footnote w:type="continuationNotice" w:id="1">
    <w:p w14:paraId="28584621" w14:textId="77777777" w:rsidR="00C1798F" w:rsidRPr="00AC3823" w:rsidRDefault="00C1798F">
      <w:pPr>
        <w:spacing w:line="240" w:lineRule="auto"/>
        <w:rPr>
          <w:sz w:val="2"/>
          <w:szCs w:val="2"/>
        </w:rPr>
      </w:pPr>
    </w:p>
  </w:footnote>
  <w:footnote w:id="2">
    <w:p w14:paraId="299DC3D2" w14:textId="25963530" w:rsidR="00320A2F" w:rsidRPr="00320A2F" w:rsidRDefault="00320A2F">
      <w:pPr>
        <w:pStyle w:val="Notedebasdepage"/>
      </w:pPr>
      <w:r>
        <w:rPr>
          <w:rStyle w:val="Appelnotedebasdep"/>
        </w:rPr>
        <w:tab/>
      </w:r>
      <w:r w:rsidRPr="00320A2F">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69F80540" w14:textId="77777777" w:rsidR="00161F02" w:rsidRPr="001F674D" w:rsidRDefault="00161F02" w:rsidP="00161F02">
      <w:pPr>
        <w:pStyle w:val="Notedebasdepage"/>
        <w:rPr>
          <w:sz w:val="20"/>
        </w:rPr>
      </w:pPr>
      <w:r>
        <w:rPr>
          <w:lang w:val="fr-FR"/>
        </w:rPr>
        <w:tab/>
        <w:t>**</w:t>
      </w:r>
      <w:r>
        <w:rPr>
          <w:lang w:val="fr-FR"/>
        </w:rPr>
        <w:tab/>
        <w:t>Les annexes au présent rapport peuvent être consultées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D901" w14:textId="7C79062F" w:rsidR="00E21629" w:rsidRPr="00E21629" w:rsidRDefault="00E21629">
    <w:pPr>
      <w:pStyle w:val="En-tte"/>
    </w:pPr>
    <w:fldSimple w:instr=" TITLE  \* MERGEFORMAT ">
      <w:r w:rsidR="004A754E">
        <w:t>CRC/C/UZB/RQ/5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F561" w14:textId="7A91BDCF" w:rsidR="00E21629" w:rsidRPr="00E21629" w:rsidRDefault="00E21629" w:rsidP="00E21629">
    <w:pPr>
      <w:pStyle w:val="En-tte"/>
      <w:jc w:val="right"/>
    </w:pPr>
    <w:fldSimple w:instr=" TITLE  \* MERGEFORMAT ">
      <w:r w:rsidR="004A754E">
        <w:t>CRC/C/UZB/RQ/5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5CEA118">
      <w:start w:val="1"/>
      <w:numFmt w:val="decimal"/>
      <w:lvlText w:val="%1."/>
      <w:lvlJc w:val="left"/>
      <w:pPr>
        <w:tabs>
          <w:tab w:val="num" w:pos="0"/>
        </w:tabs>
        <w:ind w:left="1134" w:firstLine="0"/>
      </w:pPr>
      <w:rPr>
        <w:rFonts w:ascii="Times New Roman" w:hAnsi="Times New Roman" w:hint="default"/>
        <w:b w:val="0"/>
        <w:i w:val="0"/>
        <w:sz w:val="20"/>
      </w:rPr>
    </w:lvl>
    <w:lvl w:ilvl="1" w:tplc="9410B522" w:tentative="1">
      <w:start w:val="1"/>
      <w:numFmt w:val="lowerLetter"/>
      <w:lvlText w:val="%2."/>
      <w:lvlJc w:val="left"/>
      <w:pPr>
        <w:tabs>
          <w:tab w:val="num" w:pos="1440"/>
        </w:tabs>
        <w:ind w:left="1440" w:hanging="360"/>
      </w:pPr>
    </w:lvl>
    <w:lvl w:ilvl="2" w:tplc="7C2ABE1A" w:tentative="1">
      <w:start w:val="1"/>
      <w:numFmt w:val="lowerRoman"/>
      <w:lvlText w:val="%3."/>
      <w:lvlJc w:val="right"/>
      <w:pPr>
        <w:tabs>
          <w:tab w:val="num" w:pos="2160"/>
        </w:tabs>
        <w:ind w:left="2160" w:hanging="180"/>
      </w:pPr>
    </w:lvl>
    <w:lvl w:ilvl="3" w:tplc="71728EA6" w:tentative="1">
      <w:start w:val="1"/>
      <w:numFmt w:val="decimal"/>
      <w:lvlText w:val="%4."/>
      <w:lvlJc w:val="left"/>
      <w:pPr>
        <w:tabs>
          <w:tab w:val="num" w:pos="2880"/>
        </w:tabs>
        <w:ind w:left="2880" w:hanging="360"/>
      </w:pPr>
    </w:lvl>
    <w:lvl w:ilvl="4" w:tplc="03F05EEC" w:tentative="1">
      <w:start w:val="1"/>
      <w:numFmt w:val="lowerLetter"/>
      <w:lvlText w:val="%5."/>
      <w:lvlJc w:val="left"/>
      <w:pPr>
        <w:tabs>
          <w:tab w:val="num" w:pos="3600"/>
        </w:tabs>
        <w:ind w:left="3600" w:hanging="360"/>
      </w:pPr>
    </w:lvl>
    <w:lvl w:ilvl="5" w:tplc="16D41DC8" w:tentative="1">
      <w:start w:val="1"/>
      <w:numFmt w:val="lowerRoman"/>
      <w:lvlText w:val="%6."/>
      <w:lvlJc w:val="right"/>
      <w:pPr>
        <w:tabs>
          <w:tab w:val="num" w:pos="4320"/>
        </w:tabs>
        <w:ind w:left="4320" w:hanging="180"/>
      </w:pPr>
    </w:lvl>
    <w:lvl w:ilvl="6" w:tplc="D30AB530" w:tentative="1">
      <w:start w:val="1"/>
      <w:numFmt w:val="decimal"/>
      <w:lvlText w:val="%7."/>
      <w:lvlJc w:val="left"/>
      <w:pPr>
        <w:tabs>
          <w:tab w:val="num" w:pos="5040"/>
        </w:tabs>
        <w:ind w:left="5040" w:hanging="360"/>
      </w:pPr>
    </w:lvl>
    <w:lvl w:ilvl="7" w:tplc="8DFC6194" w:tentative="1">
      <w:start w:val="1"/>
      <w:numFmt w:val="lowerLetter"/>
      <w:lvlText w:val="%8."/>
      <w:lvlJc w:val="left"/>
      <w:pPr>
        <w:tabs>
          <w:tab w:val="num" w:pos="5760"/>
        </w:tabs>
        <w:ind w:left="5760" w:hanging="360"/>
      </w:pPr>
    </w:lvl>
    <w:lvl w:ilvl="8" w:tplc="F7C604E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646F36"/>
    <w:multiLevelType w:val="hybridMultilevel"/>
    <w:tmpl w:val="4E7AEC7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D2432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0A0E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53887"/>
    <w:multiLevelType w:val="hybridMultilevel"/>
    <w:tmpl w:val="497EC7CC"/>
    <w:lvl w:ilvl="0" w:tplc="CEEE2088">
      <w:start w:val="1"/>
      <w:numFmt w:val="bullet"/>
      <w:lvlText w:val="•"/>
      <w:lvlJc w:val="left"/>
      <w:pPr>
        <w:tabs>
          <w:tab w:val="num" w:pos="2268"/>
        </w:tabs>
        <w:ind w:left="2268" w:hanging="170"/>
      </w:pPr>
      <w:rPr>
        <w:rFonts w:ascii="Times New Roman" w:hAnsi="Times New Roman" w:cs="Times New Roman" w:hint="default"/>
      </w:rPr>
    </w:lvl>
    <w:lvl w:ilvl="1" w:tplc="53960DBC" w:tentative="1">
      <w:start w:val="1"/>
      <w:numFmt w:val="bullet"/>
      <w:lvlText w:val="o"/>
      <w:lvlJc w:val="left"/>
      <w:pPr>
        <w:tabs>
          <w:tab w:val="num" w:pos="1440"/>
        </w:tabs>
        <w:ind w:left="1440" w:hanging="360"/>
      </w:pPr>
      <w:rPr>
        <w:rFonts w:ascii="Courier New" w:hAnsi="Courier New" w:hint="default"/>
      </w:rPr>
    </w:lvl>
    <w:lvl w:ilvl="2" w:tplc="3B72EA06" w:tentative="1">
      <w:start w:val="1"/>
      <w:numFmt w:val="bullet"/>
      <w:lvlText w:val=""/>
      <w:lvlJc w:val="left"/>
      <w:pPr>
        <w:tabs>
          <w:tab w:val="num" w:pos="2160"/>
        </w:tabs>
        <w:ind w:left="2160" w:hanging="360"/>
      </w:pPr>
      <w:rPr>
        <w:rFonts w:ascii="Wingdings" w:hAnsi="Wingdings" w:hint="default"/>
      </w:rPr>
    </w:lvl>
    <w:lvl w:ilvl="3" w:tplc="9238E5D2" w:tentative="1">
      <w:start w:val="1"/>
      <w:numFmt w:val="bullet"/>
      <w:lvlText w:val=""/>
      <w:lvlJc w:val="left"/>
      <w:pPr>
        <w:tabs>
          <w:tab w:val="num" w:pos="2880"/>
        </w:tabs>
        <w:ind w:left="2880" w:hanging="360"/>
      </w:pPr>
      <w:rPr>
        <w:rFonts w:ascii="Symbol" w:hAnsi="Symbol" w:hint="default"/>
      </w:rPr>
    </w:lvl>
    <w:lvl w:ilvl="4" w:tplc="3576632C" w:tentative="1">
      <w:start w:val="1"/>
      <w:numFmt w:val="bullet"/>
      <w:lvlText w:val="o"/>
      <w:lvlJc w:val="left"/>
      <w:pPr>
        <w:tabs>
          <w:tab w:val="num" w:pos="3600"/>
        </w:tabs>
        <w:ind w:left="3600" w:hanging="360"/>
      </w:pPr>
      <w:rPr>
        <w:rFonts w:ascii="Courier New" w:hAnsi="Courier New" w:hint="default"/>
      </w:rPr>
    </w:lvl>
    <w:lvl w:ilvl="5" w:tplc="040A6338" w:tentative="1">
      <w:start w:val="1"/>
      <w:numFmt w:val="bullet"/>
      <w:lvlText w:val=""/>
      <w:lvlJc w:val="left"/>
      <w:pPr>
        <w:tabs>
          <w:tab w:val="num" w:pos="4320"/>
        </w:tabs>
        <w:ind w:left="4320" w:hanging="360"/>
      </w:pPr>
      <w:rPr>
        <w:rFonts w:ascii="Wingdings" w:hAnsi="Wingdings" w:hint="default"/>
      </w:rPr>
    </w:lvl>
    <w:lvl w:ilvl="6" w:tplc="D48699FC" w:tentative="1">
      <w:start w:val="1"/>
      <w:numFmt w:val="bullet"/>
      <w:lvlText w:val=""/>
      <w:lvlJc w:val="left"/>
      <w:pPr>
        <w:tabs>
          <w:tab w:val="num" w:pos="5040"/>
        </w:tabs>
        <w:ind w:left="5040" w:hanging="360"/>
      </w:pPr>
      <w:rPr>
        <w:rFonts w:ascii="Symbol" w:hAnsi="Symbol" w:hint="default"/>
      </w:rPr>
    </w:lvl>
    <w:lvl w:ilvl="7" w:tplc="DA9AF6A8" w:tentative="1">
      <w:start w:val="1"/>
      <w:numFmt w:val="bullet"/>
      <w:lvlText w:val="o"/>
      <w:lvlJc w:val="left"/>
      <w:pPr>
        <w:tabs>
          <w:tab w:val="num" w:pos="5760"/>
        </w:tabs>
        <w:ind w:left="5760" w:hanging="360"/>
      </w:pPr>
      <w:rPr>
        <w:rFonts w:ascii="Courier New" w:hAnsi="Courier New" w:hint="default"/>
      </w:rPr>
    </w:lvl>
    <w:lvl w:ilvl="8" w:tplc="0C2C79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C267D"/>
    <w:multiLevelType w:val="hybridMultilevel"/>
    <w:tmpl w:val="A524DDAE"/>
    <w:lvl w:ilvl="0" w:tplc="26EA3FB6">
      <w:start w:val="1"/>
      <w:numFmt w:val="low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A12325"/>
    <w:multiLevelType w:val="hybridMultilevel"/>
    <w:tmpl w:val="FF0E5B48"/>
    <w:lvl w:ilvl="0" w:tplc="97AC3D9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4D088250" w:tentative="1">
      <w:start w:val="1"/>
      <w:numFmt w:val="bullet"/>
      <w:lvlText w:val="o"/>
      <w:lvlJc w:val="left"/>
      <w:pPr>
        <w:tabs>
          <w:tab w:val="num" w:pos="1440"/>
        </w:tabs>
        <w:ind w:left="1440" w:hanging="360"/>
      </w:pPr>
      <w:rPr>
        <w:rFonts w:ascii="Courier New" w:hAnsi="Courier New" w:hint="default"/>
      </w:rPr>
    </w:lvl>
    <w:lvl w:ilvl="2" w:tplc="C98C993A" w:tentative="1">
      <w:start w:val="1"/>
      <w:numFmt w:val="bullet"/>
      <w:lvlText w:val=""/>
      <w:lvlJc w:val="left"/>
      <w:pPr>
        <w:tabs>
          <w:tab w:val="num" w:pos="2160"/>
        </w:tabs>
        <w:ind w:left="2160" w:hanging="360"/>
      </w:pPr>
      <w:rPr>
        <w:rFonts w:ascii="Wingdings" w:hAnsi="Wingdings" w:hint="default"/>
      </w:rPr>
    </w:lvl>
    <w:lvl w:ilvl="3" w:tplc="BE289178" w:tentative="1">
      <w:start w:val="1"/>
      <w:numFmt w:val="bullet"/>
      <w:lvlText w:val=""/>
      <w:lvlJc w:val="left"/>
      <w:pPr>
        <w:tabs>
          <w:tab w:val="num" w:pos="2880"/>
        </w:tabs>
        <w:ind w:left="2880" w:hanging="360"/>
      </w:pPr>
      <w:rPr>
        <w:rFonts w:ascii="Symbol" w:hAnsi="Symbol" w:hint="default"/>
      </w:rPr>
    </w:lvl>
    <w:lvl w:ilvl="4" w:tplc="2D8E08A0" w:tentative="1">
      <w:start w:val="1"/>
      <w:numFmt w:val="bullet"/>
      <w:lvlText w:val="o"/>
      <w:lvlJc w:val="left"/>
      <w:pPr>
        <w:tabs>
          <w:tab w:val="num" w:pos="3600"/>
        </w:tabs>
        <w:ind w:left="3600" w:hanging="360"/>
      </w:pPr>
      <w:rPr>
        <w:rFonts w:ascii="Courier New" w:hAnsi="Courier New" w:hint="default"/>
      </w:rPr>
    </w:lvl>
    <w:lvl w:ilvl="5" w:tplc="25187A38" w:tentative="1">
      <w:start w:val="1"/>
      <w:numFmt w:val="bullet"/>
      <w:lvlText w:val=""/>
      <w:lvlJc w:val="left"/>
      <w:pPr>
        <w:tabs>
          <w:tab w:val="num" w:pos="4320"/>
        </w:tabs>
        <w:ind w:left="4320" w:hanging="360"/>
      </w:pPr>
      <w:rPr>
        <w:rFonts w:ascii="Wingdings" w:hAnsi="Wingdings" w:hint="default"/>
      </w:rPr>
    </w:lvl>
    <w:lvl w:ilvl="6" w:tplc="4942C25C" w:tentative="1">
      <w:start w:val="1"/>
      <w:numFmt w:val="bullet"/>
      <w:lvlText w:val=""/>
      <w:lvlJc w:val="left"/>
      <w:pPr>
        <w:tabs>
          <w:tab w:val="num" w:pos="5040"/>
        </w:tabs>
        <w:ind w:left="5040" w:hanging="360"/>
      </w:pPr>
      <w:rPr>
        <w:rFonts w:ascii="Symbol" w:hAnsi="Symbol" w:hint="default"/>
      </w:rPr>
    </w:lvl>
    <w:lvl w:ilvl="7" w:tplc="E29ABC96" w:tentative="1">
      <w:start w:val="1"/>
      <w:numFmt w:val="bullet"/>
      <w:lvlText w:val="o"/>
      <w:lvlJc w:val="left"/>
      <w:pPr>
        <w:tabs>
          <w:tab w:val="num" w:pos="5760"/>
        </w:tabs>
        <w:ind w:left="5760" w:hanging="360"/>
      </w:pPr>
      <w:rPr>
        <w:rFonts w:ascii="Courier New" w:hAnsi="Courier New" w:hint="default"/>
      </w:rPr>
    </w:lvl>
    <w:lvl w:ilvl="8" w:tplc="51ACC9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A31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2A3C53"/>
    <w:multiLevelType w:val="hybridMultilevel"/>
    <w:tmpl w:val="64FA3C68"/>
    <w:lvl w:ilvl="0" w:tplc="B31AA0E8">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81099E"/>
    <w:multiLevelType w:val="hybridMultilevel"/>
    <w:tmpl w:val="6CFE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A2520"/>
    <w:multiLevelType w:val="hybridMultilevel"/>
    <w:tmpl w:val="B6964DDA"/>
    <w:lvl w:ilvl="0" w:tplc="04603FB6">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546C0"/>
    <w:multiLevelType w:val="hybridMultilevel"/>
    <w:tmpl w:val="CFEC0DE8"/>
    <w:lvl w:ilvl="0" w:tplc="D0ECA3B8">
      <w:numFmt w:val="bullet"/>
      <w:lvlText w:val="-"/>
      <w:lvlJc w:val="left"/>
      <w:pPr>
        <w:ind w:left="720" w:hanging="360"/>
      </w:pPr>
      <w:rPr>
        <w:rFonts w:ascii="Calibri" w:eastAsia="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608E8"/>
    <w:multiLevelType w:val="hybridMultilevel"/>
    <w:tmpl w:val="6546A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B613500"/>
    <w:multiLevelType w:val="hybridMultilevel"/>
    <w:tmpl w:val="FAB205A2"/>
    <w:lvl w:ilvl="0" w:tplc="1BAE2B4A">
      <w:start w:val="12"/>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75EB79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D46F8"/>
    <w:multiLevelType w:val="hybridMultilevel"/>
    <w:tmpl w:val="D88AE09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0"/>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1"/>
  </w:num>
  <w:num w:numId="16">
    <w:abstractNumId w:val="11"/>
  </w:num>
  <w:num w:numId="17">
    <w:abstractNumId w:val="30"/>
  </w:num>
  <w:num w:numId="18">
    <w:abstractNumId w:val="21"/>
  </w:num>
  <w:num w:numId="19">
    <w:abstractNumId w:val="11"/>
  </w:num>
  <w:num w:numId="20">
    <w:abstractNumId w:val="18"/>
  </w:num>
  <w:num w:numId="21">
    <w:abstractNumId w:val="15"/>
  </w:num>
  <w:num w:numId="22">
    <w:abstractNumId w:val="10"/>
  </w:num>
  <w:num w:numId="23">
    <w:abstractNumId w:val="28"/>
  </w:num>
  <w:num w:numId="24">
    <w:abstractNumId w:val="13"/>
  </w:num>
  <w:num w:numId="25">
    <w:abstractNumId w:val="27"/>
  </w:num>
  <w:num w:numId="26">
    <w:abstractNumId w:val="19"/>
  </w:num>
  <w:num w:numId="27">
    <w:abstractNumId w:val="23"/>
  </w:num>
  <w:num w:numId="28">
    <w:abstractNumId w:val="22"/>
  </w:num>
  <w:num w:numId="29">
    <w:abstractNumId w:val="29"/>
  </w:num>
  <w:num w:numId="30">
    <w:abstractNumId w:val="24"/>
  </w:num>
  <w:num w:numId="31">
    <w:abstractNumId w:val="31"/>
  </w:num>
  <w:num w:numId="32">
    <w:abstractNumId w:val="26"/>
  </w:num>
  <w:num w:numId="33">
    <w:abstractNumId w:val="34"/>
  </w:num>
  <w:num w:numId="34">
    <w:abstractNumId w:val="12"/>
  </w:num>
  <w:num w:numId="35">
    <w:abstractNumId w:val="17"/>
  </w:num>
  <w:num w:numId="36">
    <w:abstractNumId w:val="25"/>
  </w:num>
  <w:num w:numId="37">
    <w:abstractNumId w:val="20"/>
  </w:num>
  <w:num w:numId="38">
    <w:abstractNumId w:val="16"/>
  </w:num>
  <w:num w:numId="39">
    <w:abstractNumId w:val="33"/>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8F"/>
    <w:rsid w:val="00017F94"/>
    <w:rsid w:val="00023842"/>
    <w:rsid w:val="000334F9"/>
    <w:rsid w:val="000354E9"/>
    <w:rsid w:val="00041BB5"/>
    <w:rsid w:val="0004648A"/>
    <w:rsid w:val="000469C8"/>
    <w:rsid w:val="000763E3"/>
    <w:rsid w:val="0007796D"/>
    <w:rsid w:val="000B3FC7"/>
    <w:rsid w:val="000B7790"/>
    <w:rsid w:val="000C10FD"/>
    <w:rsid w:val="000C7C04"/>
    <w:rsid w:val="000D0A85"/>
    <w:rsid w:val="000E1830"/>
    <w:rsid w:val="001026B9"/>
    <w:rsid w:val="00111F2F"/>
    <w:rsid w:val="00114FDB"/>
    <w:rsid w:val="001259B9"/>
    <w:rsid w:val="00126734"/>
    <w:rsid w:val="0013222F"/>
    <w:rsid w:val="0014365E"/>
    <w:rsid w:val="00144E07"/>
    <w:rsid w:val="00161F02"/>
    <w:rsid w:val="00176178"/>
    <w:rsid w:val="00177E66"/>
    <w:rsid w:val="0019619E"/>
    <w:rsid w:val="001967FC"/>
    <w:rsid w:val="001F525A"/>
    <w:rsid w:val="00220179"/>
    <w:rsid w:val="00223272"/>
    <w:rsid w:val="00231AFF"/>
    <w:rsid w:val="0024779E"/>
    <w:rsid w:val="0025327E"/>
    <w:rsid w:val="002537BB"/>
    <w:rsid w:val="00260A30"/>
    <w:rsid w:val="00260FCA"/>
    <w:rsid w:val="00280CDC"/>
    <w:rsid w:val="0028216F"/>
    <w:rsid w:val="002858EE"/>
    <w:rsid w:val="002D14A3"/>
    <w:rsid w:val="003036BA"/>
    <w:rsid w:val="0031088A"/>
    <w:rsid w:val="00311E81"/>
    <w:rsid w:val="00312B68"/>
    <w:rsid w:val="003168FB"/>
    <w:rsid w:val="00320A2F"/>
    <w:rsid w:val="00336E80"/>
    <w:rsid w:val="00340B7A"/>
    <w:rsid w:val="00340ED0"/>
    <w:rsid w:val="00342258"/>
    <w:rsid w:val="00356817"/>
    <w:rsid w:val="00371B35"/>
    <w:rsid w:val="003A454B"/>
    <w:rsid w:val="003A68CC"/>
    <w:rsid w:val="003B10BF"/>
    <w:rsid w:val="003C3703"/>
    <w:rsid w:val="003E7150"/>
    <w:rsid w:val="003F6F37"/>
    <w:rsid w:val="00411C8E"/>
    <w:rsid w:val="00415EC1"/>
    <w:rsid w:val="00433C03"/>
    <w:rsid w:val="00446FE5"/>
    <w:rsid w:val="00452396"/>
    <w:rsid w:val="00453F6F"/>
    <w:rsid w:val="0047416A"/>
    <w:rsid w:val="00485B35"/>
    <w:rsid w:val="00497425"/>
    <w:rsid w:val="00497E58"/>
    <w:rsid w:val="004A754E"/>
    <w:rsid w:val="004B14A6"/>
    <w:rsid w:val="004B5A26"/>
    <w:rsid w:val="004D7A2C"/>
    <w:rsid w:val="00533169"/>
    <w:rsid w:val="005505B7"/>
    <w:rsid w:val="005579CA"/>
    <w:rsid w:val="00567E08"/>
    <w:rsid w:val="00573BE5"/>
    <w:rsid w:val="00574819"/>
    <w:rsid w:val="00581CF0"/>
    <w:rsid w:val="00586ED3"/>
    <w:rsid w:val="00594A58"/>
    <w:rsid w:val="00596AA9"/>
    <w:rsid w:val="005C654F"/>
    <w:rsid w:val="005E1C4C"/>
    <w:rsid w:val="005E6825"/>
    <w:rsid w:val="005F2550"/>
    <w:rsid w:val="00606AF6"/>
    <w:rsid w:val="00613892"/>
    <w:rsid w:val="00646E86"/>
    <w:rsid w:val="006D2396"/>
    <w:rsid w:val="006F7521"/>
    <w:rsid w:val="0071601D"/>
    <w:rsid w:val="00725F0B"/>
    <w:rsid w:val="007341B7"/>
    <w:rsid w:val="007348C8"/>
    <w:rsid w:val="00760CBC"/>
    <w:rsid w:val="00763B47"/>
    <w:rsid w:val="00767C93"/>
    <w:rsid w:val="007707D5"/>
    <w:rsid w:val="007856AA"/>
    <w:rsid w:val="007A46EE"/>
    <w:rsid w:val="007A62E6"/>
    <w:rsid w:val="007B74CD"/>
    <w:rsid w:val="007D1123"/>
    <w:rsid w:val="007F61AD"/>
    <w:rsid w:val="008043C3"/>
    <w:rsid w:val="0080684C"/>
    <w:rsid w:val="008148C4"/>
    <w:rsid w:val="00823FA7"/>
    <w:rsid w:val="00840413"/>
    <w:rsid w:val="00841C33"/>
    <w:rsid w:val="00871C75"/>
    <w:rsid w:val="00873B4E"/>
    <w:rsid w:val="008776DC"/>
    <w:rsid w:val="0088272C"/>
    <w:rsid w:val="00885B65"/>
    <w:rsid w:val="00885C31"/>
    <w:rsid w:val="00890509"/>
    <w:rsid w:val="00892BAD"/>
    <w:rsid w:val="00893AED"/>
    <w:rsid w:val="008A09AB"/>
    <w:rsid w:val="008B1A1F"/>
    <w:rsid w:val="008B41FB"/>
    <w:rsid w:val="008C0AF9"/>
    <w:rsid w:val="008C54BD"/>
    <w:rsid w:val="008D37DD"/>
    <w:rsid w:val="008D3F71"/>
    <w:rsid w:val="008F3CA0"/>
    <w:rsid w:val="00911A79"/>
    <w:rsid w:val="00932156"/>
    <w:rsid w:val="009362E7"/>
    <w:rsid w:val="00941E2D"/>
    <w:rsid w:val="009547C1"/>
    <w:rsid w:val="00967A0D"/>
    <w:rsid w:val="009705C8"/>
    <w:rsid w:val="00975B51"/>
    <w:rsid w:val="009A09A8"/>
    <w:rsid w:val="009D1E29"/>
    <w:rsid w:val="009E40A1"/>
    <w:rsid w:val="009F7913"/>
    <w:rsid w:val="00A12D70"/>
    <w:rsid w:val="00A22497"/>
    <w:rsid w:val="00A30353"/>
    <w:rsid w:val="00A626F1"/>
    <w:rsid w:val="00AA2335"/>
    <w:rsid w:val="00AB4123"/>
    <w:rsid w:val="00AC3823"/>
    <w:rsid w:val="00AD0A6D"/>
    <w:rsid w:val="00AD1298"/>
    <w:rsid w:val="00AE1E85"/>
    <w:rsid w:val="00AE323C"/>
    <w:rsid w:val="00AF502E"/>
    <w:rsid w:val="00B00181"/>
    <w:rsid w:val="00B0330A"/>
    <w:rsid w:val="00B24A9B"/>
    <w:rsid w:val="00B61753"/>
    <w:rsid w:val="00B661DA"/>
    <w:rsid w:val="00B708B2"/>
    <w:rsid w:val="00B753EE"/>
    <w:rsid w:val="00B765F7"/>
    <w:rsid w:val="00B8610D"/>
    <w:rsid w:val="00B86C2C"/>
    <w:rsid w:val="00B94A3F"/>
    <w:rsid w:val="00B96815"/>
    <w:rsid w:val="00BA0CA9"/>
    <w:rsid w:val="00BA7040"/>
    <w:rsid w:val="00BC3F8C"/>
    <w:rsid w:val="00BD152A"/>
    <w:rsid w:val="00BE4325"/>
    <w:rsid w:val="00BF40DE"/>
    <w:rsid w:val="00C02897"/>
    <w:rsid w:val="00C0621C"/>
    <w:rsid w:val="00C1616D"/>
    <w:rsid w:val="00C1798F"/>
    <w:rsid w:val="00C25B05"/>
    <w:rsid w:val="00C63E29"/>
    <w:rsid w:val="00C740E0"/>
    <w:rsid w:val="00C822CD"/>
    <w:rsid w:val="00CA7665"/>
    <w:rsid w:val="00CD7B9C"/>
    <w:rsid w:val="00D217CA"/>
    <w:rsid w:val="00D3439C"/>
    <w:rsid w:val="00D52077"/>
    <w:rsid w:val="00D6765D"/>
    <w:rsid w:val="00DA133E"/>
    <w:rsid w:val="00DB1831"/>
    <w:rsid w:val="00DC661F"/>
    <w:rsid w:val="00DD3BFD"/>
    <w:rsid w:val="00DE03F3"/>
    <w:rsid w:val="00DF6678"/>
    <w:rsid w:val="00E070AE"/>
    <w:rsid w:val="00E21629"/>
    <w:rsid w:val="00E45894"/>
    <w:rsid w:val="00E46AC4"/>
    <w:rsid w:val="00E51438"/>
    <w:rsid w:val="00E70DD1"/>
    <w:rsid w:val="00E81346"/>
    <w:rsid w:val="00E84746"/>
    <w:rsid w:val="00E92530"/>
    <w:rsid w:val="00EA4254"/>
    <w:rsid w:val="00ED5AEE"/>
    <w:rsid w:val="00EE743B"/>
    <w:rsid w:val="00F015B0"/>
    <w:rsid w:val="00F322EE"/>
    <w:rsid w:val="00F46043"/>
    <w:rsid w:val="00F51769"/>
    <w:rsid w:val="00F660DF"/>
    <w:rsid w:val="00F90FD5"/>
    <w:rsid w:val="00F949FE"/>
    <w:rsid w:val="00F9513A"/>
    <w:rsid w:val="00F95C08"/>
    <w:rsid w:val="00FB110F"/>
    <w:rsid w:val="00FC0905"/>
    <w:rsid w:val="00FC61FD"/>
    <w:rsid w:val="00FD2028"/>
    <w:rsid w:val="00FE6A98"/>
    <w:rsid w:val="00FE726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9ACA4C"/>
  <w15:docId w15:val="{58978C34-C941-47CE-BF46-5B58F20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161F02"/>
    <w:rPr>
      <w:rFonts w:ascii="Times New Roman" w:eastAsiaTheme="minorHAnsi" w:hAnsi="Times New Roman" w:cs="Times New Roman"/>
      <w:sz w:val="20"/>
      <w:szCs w:val="20"/>
      <w:lang w:eastAsia="en-US"/>
    </w:rPr>
  </w:style>
  <w:style w:type="table" w:customStyle="1" w:styleId="TableGrid1">
    <w:name w:val="Table Grid1"/>
    <w:basedOn w:val="TableauNormal"/>
    <w:rsid w:val="00161F02"/>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nhideWhenUsed/>
    <w:rsid w:val="00161F02"/>
    <w:rPr>
      <w:sz w:val="16"/>
      <w:szCs w:val="16"/>
    </w:rPr>
  </w:style>
  <w:style w:type="paragraph" w:styleId="Rvision">
    <w:name w:val="Revision"/>
    <w:hidden/>
    <w:uiPriority w:val="99"/>
    <w:semiHidden/>
    <w:rsid w:val="00161F02"/>
    <w:pPr>
      <w:spacing w:after="0" w:line="240" w:lineRule="auto"/>
    </w:pPr>
    <w:rPr>
      <w:rFonts w:ascii="Times New Roman" w:hAnsi="Times New Roman" w:cs="Times New Roman"/>
      <w:sz w:val="20"/>
      <w:szCs w:val="20"/>
      <w:lang w:val="ru-RU" w:eastAsia="en-US"/>
    </w:rPr>
  </w:style>
  <w:style w:type="character" w:styleId="Mentionnonrsolue">
    <w:name w:val="Unresolved Mention"/>
    <w:basedOn w:val="Policepardfaut"/>
    <w:uiPriority w:val="99"/>
    <w:semiHidden/>
    <w:unhideWhenUsed/>
    <w:rsid w:val="008B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tion.gov.uz/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me/seningTashab"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28</Pages>
  <Words>15530</Words>
  <Characters>88371</Characters>
  <Application>Microsoft Office Word</Application>
  <DocSecurity>0</DocSecurity>
  <Lines>9819</Lines>
  <Paragraphs>4156</Paragraphs>
  <ScaleCrop>false</ScaleCrop>
  <HeadingPairs>
    <vt:vector size="2" baseType="variant">
      <vt:variant>
        <vt:lpstr>Titre</vt:lpstr>
      </vt:variant>
      <vt:variant>
        <vt:i4>1</vt:i4>
      </vt:variant>
    </vt:vector>
  </HeadingPairs>
  <TitlesOfParts>
    <vt:vector size="1" baseType="lpstr">
      <vt:lpstr>CRC/C/UZB/RQ/5</vt:lpstr>
    </vt:vector>
  </TitlesOfParts>
  <Company>DCM</Company>
  <LinksUpToDate>false</LinksUpToDate>
  <CharactersWithSpaces>99745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CRC/C/UZB/RQ/5</dc:title>
  <dc:subject/>
  <dc:creator>Nathalie VITTOZ</dc:creator>
  <cp:keywords/>
  <cp:lastModifiedBy>Nathalie Vittoz</cp:lastModifiedBy>
  <cp:revision>3</cp:revision>
  <cp:lastPrinted>2022-08-03T15:27:00Z</cp:lastPrinted>
  <dcterms:created xsi:type="dcterms:W3CDTF">2022-08-03T15:27:00Z</dcterms:created>
  <dcterms:modified xsi:type="dcterms:W3CDTF">2022-08-03T15:28:00Z</dcterms:modified>
</cp:coreProperties>
</file>