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1805"/>
        <w:gridCol w:w="4870"/>
        <w:gridCol w:w="2737"/>
      </w:tblGrid>
      <w:tr w:rsidR="00AF0409">
        <w:tblPrEx>
          <w:tblCellMar>
            <w:top w:w="0" w:type="dxa"/>
            <w:bottom w:w="0" w:type="dxa"/>
          </w:tblCellMar>
        </w:tblPrEx>
        <w:trPr>
          <w:jc w:val="center"/>
        </w:trPr>
        <w:tc>
          <w:tcPr>
            <w:tcW w:w="1805" w:type="dxa"/>
            <w:tcBorders>
              <w:bottom w:val="single" w:sz="4" w:space="0" w:color="auto"/>
            </w:tcBorders>
          </w:tcPr>
          <w:p w:rsidR="00AF0409" w:rsidRDefault="00AF0409">
            <w:pPr>
              <w:rPr>
                <w:lang w:val="en-GB"/>
              </w:rPr>
            </w:pPr>
            <w:r>
              <w:rPr>
                <w:rFonts w:ascii="Arial" w:hAnsi="Arial" w:cs="Arial"/>
                <w:b/>
                <w:bCs/>
                <w:sz w:val="28"/>
                <w:lang w:val="en-GB"/>
              </w:rPr>
              <w:t>NATIONS</w:t>
            </w:r>
            <w:r>
              <w:rPr>
                <w:rFonts w:ascii="Arial" w:hAnsi="Arial" w:cs="Arial"/>
                <w:b/>
                <w:bCs/>
                <w:sz w:val="28"/>
                <w:lang w:val="en-GB"/>
              </w:rPr>
              <w:br/>
              <w:t>UNIES</w:t>
            </w:r>
          </w:p>
        </w:tc>
        <w:tc>
          <w:tcPr>
            <w:tcW w:w="4877" w:type="dxa"/>
            <w:tcBorders>
              <w:bottom w:val="single" w:sz="4" w:space="0" w:color="auto"/>
            </w:tcBorders>
          </w:tcPr>
          <w:p w:rsidR="00AF0409" w:rsidRDefault="00AF0409">
            <w:pPr>
              <w:rPr>
                <w:lang w:val="en-GB"/>
              </w:rPr>
            </w:pPr>
          </w:p>
        </w:tc>
        <w:tc>
          <w:tcPr>
            <w:tcW w:w="2740" w:type="dxa"/>
            <w:tcBorders>
              <w:bottom w:val="single" w:sz="4" w:space="0" w:color="auto"/>
            </w:tcBorders>
          </w:tcPr>
          <w:p w:rsidR="00AF0409" w:rsidRDefault="00AF0409">
            <w:pPr>
              <w:pStyle w:val="Heading1"/>
            </w:pPr>
            <w:r>
              <w:t>CRC</w:t>
            </w:r>
          </w:p>
        </w:tc>
      </w:tr>
      <w:bookmarkStart w:id="0" w:name="_MON_1322303407"/>
      <w:bookmarkStart w:id="1" w:name="_MON_1322317337"/>
      <w:bookmarkStart w:id="2" w:name="_MON_1322317552"/>
      <w:bookmarkStart w:id="3" w:name="_MON_1322317788"/>
      <w:bookmarkStart w:id="4" w:name="_MON_1322318389"/>
      <w:bookmarkStart w:id="5" w:name="_MON_1322318772"/>
      <w:bookmarkStart w:id="6" w:name="_MON_1322319001"/>
      <w:bookmarkEnd w:id="0"/>
      <w:bookmarkEnd w:id="1"/>
      <w:bookmarkEnd w:id="2"/>
      <w:bookmarkEnd w:id="3"/>
      <w:bookmarkEnd w:id="4"/>
      <w:bookmarkEnd w:id="5"/>
      <w:bookmarkEnd w:id="6"/>
      <w:tr w:rsidR="00AF0409">
        <w:tblPrEx>
          <w:tblCellMar>
            <w:top w:w="0" w:type="dxa"/>
            <w:bottom w:w="0" w:type="dxa"/>
          </w:tblCellMar>
        </w:tblPrEx>
        <w:trPr>
          <w:jc w:val="center"/>
        </w:trPr>
        <w:tc>
          <w:tcPr>
            <w:tcW w:w="1805" w:type="dxa"/>
            <w:tcBorders>
              <w:top w:val="single" w:sz="4" w:space="0" w:color="auto"/>
              <w:bottom w:val="single" w:sz="24" w:space="0" w:color="auto"/>
            </w:tcBorders>
          </w:tcPr>
          <w:p w:rsidR="00AF0409" w:rsidRDefault="00AF0409">
            <w:pPr>
              <w:spacing w:before="120"/>
              <w:ind w:left="113"/>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60885" r:id="rId8"/>
              </w:object>
            </w:r>
          </w:p>
        </w:tc>
        <w:tc>
          <w:tcPr>
            <w:tcW w:w="4877" w:type="dxa"/>
            <w:tcBorders>
              <w:top w:val="single" w:sz="4" w:space="0" w:color="auto"/>
              <w:bottom w:val="single" w:sz="24" w:space="0" w:color="auto"/>
            </w:tcBorders>
          </w:tcPr>
          <w:p w:rsidR="00AF0409" w:rsidRDefault="00AF0409">
            <w:pPr>
              <w:spacing w:before="240"/>
              <w:rPr>
                <w:sz w:val="36"/>
              </w:rPr>
            </w:pPr>
            <w:r>
              <w:rPr>
                <w:rFonts w:ascii="Arial" w:hAnsi="Arial"/>
                <w:b/>
                <w:sz w:val="36"/>
              </w:rPr>
              <w:t>Convention relative aux droits de l'enfant</w:t>
            </w:r>
          </w:p>
        </w:tc>
        <w:tc>
          <w:tcPr>
            <w:tcW w:w="2740" w:type="dxa"/>
            <w:tcBorders>
              <w:top w:val="single" w:sz="4" w:space="0" w:color="auto"/>
              <w:bottom w:val="single" w:sz="24" w:space="0" w:color="auto"/>
            </w:tcBorders>
          </w:tcPr>
          <w:p w:rsidR="00AF0409" w:rsidRDefault="00AF0409">
            <w:pPr>
              <w:spacing w:before="240"/>
              <w:rPr>
                <w:i/>
                <w:lang w:val="pt-PT"/>
              </w:rPr>
            </w:pPr>
            <w:r>
              <w:rPr>
                <w:lang w:val="pt-PT"/>
              </w:rPr>
              <w:t>Distr</w:t>
            </w:r>
            <w:r>
              <w:rPr>
                <w:i/>
                <w:lang w:val="pt-PT"/>
              </w:rPr>
              <w:t>.</w:t>
            </w:r>
          </w:p>
          <w:p w:rsidR="00AF0409" w:rsidRDefault="00AF0409">
            <w:r>
              <w:t>GÉNÉRALE</w:t>
            </w:r>
          </w:p>
          <w:p w:rsidR="00AF0409" w:rsidRDefault="00AF0409"/>
          <w:p w:rsidR="00AF0409" w:rsidRDefault="00AF0409">
            <w:pPr>
              <w:pStyle w:val="Footer"/>
              <w:tabs>
                <w:tab w:val="clear" w:pos="4153"/>
                <w:tab w:val="clear" w:pos="8306"/>
              </w:tabs>
              <w:rPr>
                <w:lang w:val="fr-FR"/>
              </w:rPr>
            </w:pPr>
            <w:r>
              <w:rPr>
                <w:lang w:val="fr-FR"/>
              </w:rPr>
              <w:t>CRC/C/SR.1313</w:t>
            </w:r>
          </w:p>
          <w:p w:rsidR="00AF0409" w:rsidRDefault="003F6716">
            <w:pPr>
              <w:pStyle w:val="Footer"/>
              <w:tabs>
                <w:tab w:val="clear" w:pos="4153"/>
                <w:tab w:val="clear" w:pos="8306"/>
              </w:tabs>
              <w:spacing w:after="240"/>
              <w:rPr>
                <w:lang w:val="fr-FR"/>
              </w:rPr>
            </w:pPr>
            <w:r>
              <w:rPr>
                <w:lang w:val="fr-FR"/>
              </w:rPr>
              <w:t>7</w:t>
            </w:r>
            <w:r w:rsidR="00AF0409">
              <w:rPr>
                <w:lang w:val="fr-FR"/>
              </w:rPr>
              <w:t xml:space="preserve"> janvier 2010</w:t>
            </w:r>
          </w:p>
          <w:p w:rsidR="00AF0409" w:rsidRDefault="00AF0409">
            <w:r>
              <w:t>FRANÇAIS</w:t>
            </w:r>
          </w:p>
          <w:p w:rsidR="00AF0409" w:rsidRDefault="00AF0409">
            <w:pPr>
              <w:pStyle w:val="Footer"/>
              <w:tabs>
                <w:tab w:val="clear" w:pos="4153"/>
                <w:tab w:val="clear" w:pos="8306"/>
              </w:tabs>
              <w:spacing w:after="240"/>
              <w:rPr>
                <w:lang w:val="fr-FR"/>
              </w:rPr>
            </w:pPr>
            <w:r>
              <w:rPr>
                <w:lang w:val="fr-FR"/>
              </w:rPr>
              <w:t>Original</w:t>
            </w:r>
            <w:r w:rsidR="003F5BEF">
              <w:rPr>
                <w:lang w:val="fr-FR"/>
              </w:rPr>
              <w:t> </w:t>
            </w:r>
            <w:r>
              <w:rPr>
                <w:lang w:val="fr-FR"/>
              </w:rPr>
              <w:t>: ANGLAIS</w:t>
            </w:r>
          </w:p>
        </w:tc>
      </w:tr>
    </w:tbl>
    <w:p w:rsidR="00AF0409" w:rsidRDefault="00AF0409">
      <w:pPr>
        <w:jc w:val="center"/>
        <w:outlineLvl w:val="0"/>
      </w:pPr>
    </w:p>
    <w:p w:rsidR="00AF0409" w:rsidRDefault="00AF0409">
      <w:pPr>
        <w:spacing w:after="240"/>
        <w:jc w:val="center"/>
      </w:pPr>
      <w:r>
        <w:t>COMITÉ DES DROITS DE L’ENFANT</w:t>
      </w:r>
    </w:p>
    <w:p w:rsidR="00AF0409" w:rsidRDefault="00AF0409">
      <w:pPr>
        <w:spacing w:after="240"/>
        <w:jc w:val="center"/>
      </w:pPr>
      <w:r>
        <w:t>Quarante-septième session</w:t>
      </w:r>
    </w:p>
    <w:p w:rsidR="00AF0409" w:rsidRDefault="00AF0409">
      <w:pPr>
        <w:spacing w:after="240"/>
        <w:jc w:val="center"/>
      </w:pPr>
      <w:r>
        <w:t>COMPTE RENDU ANALYTIQUE* (PARTIEL) DE LA 1313</w:t>
      </w:r>
      <w:r>
        <w:rPr>
          <w:vertAlign w:val="superscript"/>
        </w:rPr>
        <w:t>e</w:t>
      </w:r>
      <w:r>
        <w:t xml:space="preserve"> SÉANCE</w:t>
      </w:r>
    </w:p>
    <w:p w:rsidR="00AF0409" w:rsidRDefault="00AF0409">
      <w:pPr>
        <w:spacing w:after="240"/>
        <w:jc w:val="center"/>
      </w:pPr>
      <w:r>
        <w:t>Tenue au Palais Wilson, à Genève,</w:t>
      </w:r>
      <w:r>
        <w:br/>
        <w:t>le vendredi 1</w:t>
      </w:r>
      <w:r>
        <w:rPr>
          <w:vertAlign w:val="superscript"/>
        </w:rPr>
        <w:t>er</w:t>
      </w:r>
      <w:r>
        <w:t xml:space="preserve"> février 2008 à 12 h 40</w:t>
      </w:r>
    </w:p>
    <w:p w:rsidR="00AF0409" w:rsidRDefault="00AF0409">
      <w:pPr>
        <w:spacing w:after="240"/>
        <w:jc w:val="center"/>
      </w:pPr>
      <w:r>
        <w:rPr>
          <w:u w:val="single"/>
        </w:rPr>
        <w:t>Présidente</w:t>
      </w:r>
      <w:r w:rsidRPr="003F5BEF">
        <w:t> </w:t>
      </w:r>
      <w:r>
        <w:t>: Mme LEE</w:t>
      </w:r>
    </w:p>
    <w:p w:rsidR="00AF0409" w:rsidRDefault="00AF0409">
      <w:pPr>
        <w:spacing w:after="240"/>
        <w:jc w:val="center"/>
      </w:pPr>
    </w:p>
    <w:p w:rsidR="00AF0409" w:rsidRDefault="00AF0409">
      <w:pPr>
        <w:spacing w:after="240"/>
        <w:jc w:val="center"/>
      </w:pPr>
      <w:r>
        <w:t>SOMMAIRE</w:t>
      </w:r>
    </w:p>
    <w:p w:rsidR="00AF0409" w:rsidRDefault="00AF0409">
      <w:pPr>
        <w:spacing w:after="240"/>
      </w:pPr>
      <w:r>
        <w:t xml:space="preserve">ADOPTION DU RAPPORT DU COMITÉ SUR SA QUARANTE-SEPTIÈME SESSION </w:t>
      </w:r>
    </w:p>
    <w:p w:rsidR="00AF0409" w:rsidRDefault="00AF0409">
      <w:pPr>
        <w:spacing w:after="240"/>
      </w:pPr>
      <w:r>
        <w:t xml:space="preserve">CLÔTURE DE LA SESSION </w:t>
      </w:r>
    </w:p>
    <w:p w:rsidR="00AF0409" w:rsidRDefault="00AF0409">
      <w:pPr>
        <w:spacing w:after="240"/>
      </w:pPr>
    </w:p>
    <w:p w:rsidR="00AF0409" w:rsidRDefault="00AF0409">
      <w:pPr>
        <w:spacing w:after="240"/>
      </w:pPr>
    </w:p>
    <w:p w:rsidR="00AF0409" w:rsidRDefault="00AF0409">
      <w:pPr>
        <w:pStyle w:val="Footer"/>
        <w:tabs>
          <w:tab w:val="clear" w:pos="4153"/>
          <w:tab w:val="clear" w:pos="8306"/>
        </w:tabs>
        <w:spacing w:after="120"/>
        <w:rPr>
          <w:lang w:val="fr-FR" w:eastAsia="fr-FR"/>
        </w:rPr>
      </w:pPr>
    </w:p>
    <w:p w:rsidR="00AF0409" w:rsidRDefault="00AF0409">
      <w:pPr>
        <w:spacing w:after="240"/>
      </w:pPr>
    </w:p>
    <w:p w:rsidR="00AF0409" w:rsidRDefault="00AF0409">
      <w:pPr>
        <w:spacing w:after="120"/>
        <w:rPr>
          <w:u w:val="single"/>
        </w:rPr>
      </w:pPr>
      <w:r>
        <w:rPr>
          <w:u w:val="single"/>
        </w:rPr>
        <w:tab/>
      </w:r>
      <w:r>
        <w:rPr>
          <w:u w:val="single"/>
        </w:rPr>
        <w:tab/>
      </w:r>
      <w:r>
        <w:rPr>
          <w:u w:val="single"/>
        </w:rPr>
        <w:tab/>
      </w:r>
    </w:p>
    <w:p w:rsidR="00AF0409" w:rsidRDefault="00AF0409">
      <w:pPr>
        <w:spacing w:after="240"/>
        <w:ind w:firstLine="567"/>
      </w:pPr>
      <w:r>
        <w:t>*  Il n'a pas été établi de compte rendu analytique pour le reste de la séance.</w:t>
      </w:r>
    </w:p>
    <w:p w:rsidR="00AF0409" w:rsidRDefault="00AF0409">
      <w:pPr>
        <w:pStyle w:val="BodyTextIndent"/>
        <w:spacing w:after="480"/>
      </w:pPr>
      <w:r>
        <w:t xml:space="preserve">Le présent compte rendu est sujet à rectifications. Les rectifications doivent être rédigées dans l'une des langues de travail. Elles doivent être présentées dans un mémorandum et être également incorporées à un exemplaire du compte rendu. Il convient de les adresser, une semaine au plus tard à compter de la date du présent document, à la Section d'édition des documents officiels, bureau E.4108, Palais des Nations, Genève. Les rectifications aux comptes rendus des séances publiques du Comité seront groupées dans un rectificatif unique qui sera publié peu après la session. </w:t>
      </w:r>
    </w:p>
    <w:p w:rsidR="00AF0409" w:rsidRDefault="00AF0409">
      <w:pPr>
        <w:spacing w:after="240"/>
      </w:pPr>
      <w:r>
        <w:t>GE.08-40392  (EXT)</w:t>
      </w:r>
    </w:p>
    <w:p w:rsidR="00AF0409" w:rsidRDefault="00AF0409">
      <w:pPr>
        <w:spacing w:after="240"/>
        <w:jc w:val="center"/>
        <w:rPr>
          <w:i/>
          <w:iCs/>
        </w:rPr>
      </w:pPr>
      <w:r>
        <w:rPr>
          <w:i/>
          <w:iCs/>
        </w:rPr>
        <w:t>La séance est ouverte à 12h40.</w:t>
      </w:r>
    </w:p>
    <w:p w:rsidR="00AF0409" w:rsidRDefault="00AF0409">
      <w:pPr>
        <w:spacing w:after="240"/>
      </w:pPr>
      <w:r>
        <w:t xml:space="preserve">ADOPTION DU RAPPORT DU COMITÉ SUR SA QUARANTE-SEPTIÈME SESSION (CRC/C/47/3) </w:t>
      </w:r>
    </w:p>
    <w:p w:rsidR="00AF0409" w:rsidRDefault="00AF0409">
      <w:pPr>
        <w:spacing w:after="240"/>
      </w:pPr>
      <w:r>
        <w:t>1.</w:t>
      </w:r>
      <w:r>
        <w:tab/>
      </w:r>
      <w:r>
        <w:rPr>
          <w:u w:val="single"/>
        </w:rPr>
        <w:t>La PRESIDENTE</w:t>
      </w:r>
      <w:r>
        <w:t xml:space="preserve"> déclare que le Comité a examiné le rapport initial du Timor Leste, le deuxième rapport périodique de la République dominicaine, les rapports initiaux du Chili, du Koweït et du Timor-Leste en vertu de l’article 12, paragraphe 1, du Protocole facultatif se rapportant à la Convention sur les droits de l’enfant concernant la vente d’enfants, la prostitution des enfants et la pornographie impliquant des enfants, et les rapports initiaux du Chili, de l’Allemagne, du Koweït, de Timor-Leste et de l’Irlande au titre de l’article 8 du Protocole facultatif se rapportant à la Convention relative aux droits de l’enfant, concernant l’implication d’enfants dans les conflits armés. L’examen du troisième rapport périodique de la Géorgie a été reporté, à la demande de l’État partie.</w:t>
      </w:r>
    </w:p>
    <w:p w:rsidR="00AF0409" w:rsidRDefault="00AF0409">
      <w:pPr>
        <w:spacing w:after="240"/>
      </w:pPr>
      <w:r>
        <w:t>2.</w:t>
      </w:r>
      <w:r>
        <w:tab/>
        <w:t xml:space="preserve">Après avoir donné un bref aperçu des autres questions examinées durant la session, </w:t>
      </w:r>
      <w:r>
        <w:rPr>
          <w:u w:val="single"/>
        </w:rPr>
        <w:t>M. KRAPPMANN</w:t>
      </w:r>
      <w:r>
        <w:t xml:space="preserve"> (rapporteur), déclare que le Comité a examiné le processus de suivi qui permettrait de garantir que les recommandations de l’Étude sur la violence contre les enfants soient mises en œuvre. </w:t>
      </w:r>
    </w:p>
    <w:p w:rsidR="00AF0409" w:rsidRDefault="00AF0409">
      <w:pPr>
        <w:spacing w:after="240"/>
      </w:pPr>
      <w:r>
        <w:t>3.</w:t>
      </w:r>
      <w:r>
        <w:tab/>
        <w:t xml:space="preserve">Le Comité a examiné un projet d’observation générale au titre de l’article 12 de la Convention, et espère adopter le commentaire général en 2008. </w:t>
      </w:r>
    </w:p>
    <w:p w:rsidR="00AF0409" w:rsidRDefault="00AF0409">
      <w:pPr>
        <w:spacing w:after="240"/>
      </w:pPr>
      <w:r>
        <w:t>4.</w:t>
      </w:r>
      <w:r>
        <w:tab/>
        <w:t>Des mesures de préparation ont été prises pour la prochaine journée de débat général, qui mettra l’accent sur les droits de l’enfant dans les situations d’urgence.</w:t>
      </w:r>
    </w:p>
    <w:p w:rsidR="00AF0409" w:rsidRDefault="00AF0409">
      <w:pPr>
        <w:spacing w:after="240"/>
      </w:pPr>
      <w:r>
        <w:t>5.</w:t>
      </w:r>
      <w:r>
        <w:tab/>
        <w:t xml:space="preserve">Un certain nombre de discussions et de réunions informelles ont eu lieu avec des experts et des organisations, notamment le Haut Commissariat des Nations Unies pour les réfugiés (HCR), l’IBFAN (le Réseau international pour l’action en faveur de l’alimentation infantile) et la Fédération internationale des travailleurs sociaux. Le Comité a récemment coopéré avec le Conseil exécutif de l’Organisation des Nations Unies pour l’enfance (UNICEF) sur un certain nombre de questions et continuera à le faire sur une base régulière. Le Comité a examiné la possibilité que des ONG puissent entamer une procédure de plaintes en vertu de la Convention. </w:t>
      </w:r>
    </w:p>
    <w:p w:rsidR="00AF0409" w:rsidRDefault="00AF0409">
      <w:pPr>
        <w:spacing w:after="240"/>
      </w:pPr>
      <w:r>
        <w:t>6.</w:t>
      </w:r>
      <w:r>
        <w:tab/>
      </w:r>
      <w:r>
        <w:rPr>
          <w:u w:val="single"/>
        </w:rPr>
        <w:t>La PRESIDENTE</w:t>
      </w:r>
      <w:r>
        <w:t xml:space="preserve"> invite le Comité à examiner le reste du rapport. </w:t>
      </w:r>
    </w:p>
    <w:p w:rsidR="00AF0409" w:rsidRDefault="00AF0409">
      <w:pPr>
        <w:spacing w:after="240"/>
      </w:pPr>
      <w:r>
        <w:t>7.</w:t>
      </w:r>
      <w:r>
        <w:tab/>
        <w:t>Le rapport de la quarante-septième session, dans son ensemble, est adopté.</w:t>
      </w:r>
    </w:p>
    <w:p w:rsidR="00AF0409" w:rsidRDefault="00AF0409">
      <w:pPr>
        <w:spacing w:after="240"/>
      </w:pPr>
      <w:r>
        <w:t xml:space="preserve">CLÔTURE DE LA SESSION </w:t>
      </w:r>
    </w:p>
    <w:p w:rsidR="00AF0409" w:rsidRDefault="00AF0409">
      <w:pPr>
        <w:spacing w:after="240"/>
      </w:pPr>
      <w:r>
        <w:t>8.</w:t>
      </w:r>
      <w:r>
        <w:tab/>
      </w:r>
      <w:r>
        <w:rPr>
          <w:u w:val="single"/>
        </w:rPr>
        <w:t>La PRESIDENTE</w:t>
      </w:r>
      <w:r>
        <w:t xml:space="preserve"> prononce la clôture de la quarante-septième session du Comité des droits de l’enfant. </w:t>
      </w:r>
    </w:p>
    <w:p w:rsidR="00AF0409" w:rsidRDefault="00AF0409">
      <w:pPr>
        <w:spacing w:after="240"/>
        <w:jc w:val="center"/>
        <w:rPr>
          <w:i/>
          <w:iCs/>
        </w:rPr>
      </w:pPr>
      <w:r>
        <w:rPr>
          <w:i/>
          <w:iCs/>
        </w:rPr>
        <w:t>La séance est levée à 12 h 55.</w:t>
      </w:r>
    </w:p>
    <w:p w:rsidR="00AF0409" w:rsidRDefault="00AF0409">
      <w:pPr>
        <w:spacing w:after="240"/>
        <w:jc w:val="center"/>
        <w:rPr>
          <w:i/>
          <w:iCs/>
          <w:snapToGrid w:val="0"/>
        </w:rPr>
      </w:pPr>
      <w:r>
        <w:rPr>
          <w:i/>
          <w:iCs/>
        </w:rPr>
        <w:t>-----</w:t>
      </w:r>
    </w:p>
    <w:sectPr w:rsidR="00AF0409">
      <w:headerReference w:type="even" r:id="rId9"/>
      <w:headerReference w:type="default" r:id="rId10"/>
      <w:pgSz w:w="11906" w:h="16838"/>
      <w:pgMar w:top="851" w:right="1247" w:bottom="1418" w:left="124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82" w:rsidRDefault="005B7182">
      <w:r>
        <w:separator/>
      </w:r>
    </w:p>
  </w:endnote>
  <w:endnote w:type="continuationSeparator" w:id="0">
    <w:p w:rsidR="005B7182" w:rsidRDefault="005B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82" w:rsidRDefault="005B7182">
      <w:r>
        <w:separator/>
      </w:r>
    </w:p>
  </w:footnote>
  <w:footnote w:type="continuationSeparator" w:id="0">
    <w:p w:rsidR="005B7182" w:rsidRDefault="005B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09" w:rsidRDefault="00AF0409">
    <w:pPr>
      <w:pStyle w:val="Header"/>
      <w:rPr>
        <w:lang w:val="pt-PT"/>
      </w:rPr>
    </w:pPr>
    <w:r>
      <w:rPr>
        <w:lang w:val="pt-PT"/>
      </w:rPr>
      <w:t>CRC/C/SR.1313</w:t>
    </w:r>
  </w:p>
  <w:p w:rsidR="00AF0409" w:rsidRDefault="00AF0409">
    <w:pPr>
      <w:pStyle w:val="Header"/>
      <w:spacing w:after="360"/>
    </w:pPr>
    <w:r>
      <w:rPr>
        <w:lang w:val="pt-PT"/>
      </w:rPr>
      <w:t xml:space="preserve">page </w:t>
    </w:r>
    <w:r>
      <w:rPr>
        <w:lang w:val="pt-PT"/>
      </w:rPr>
      <w:fldChar w:fldCharType="begin"/>
    </w:r>
    <w:r>
      <w:rPr>
        <w:lang w:val="pt-PT"/>
      </w:rPr>
      <w:instrText xml:space="preserve"> PAGE  \* MERGEFORMAT </w:instrText>
    </w:r>
    <w:r>
      <w:rPr>
        <w:lang w:val="pt-PT"/>
      </w:rPr>
      <w:fldChar w:fldCharType="separate"/>
    </w:r>
    <w:r w:rsidR="003F6716">
      <w:rPr>
        <w:noProof/>
        <w:lang w:val="pt-PT"/>
      </w:rPr>
      <w:t>2</w:t>
    </w:r>
    <w:r>
      <w:rPr>
        <w:lang w:val="pt-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09" w:rsidRDefault="00AF0409">
    <w:pPr>
      <w:pStyle w:val="Header"/>
      <w:ind w:left="7767"/>
      <w:rPr>
        <w:lang w:val="pt-PT"/>
      </w:rPr>
    </w:pPr>
    <w:r>
      <w:rPr>
        <w:lang w:val="pt-PT"/>
      </w:rPr>
      <w:t>CRC/C/SR.1305</w:t>
    </w:r>
  </w:p>
  <w:p w:rsidR="00AF0409" w:rsidRDefault="00AF0409">
    <w:pPr>
      <w:pStyle w:val="Header"/>
      <w:spacing w:after="360"/>
      <w:ind w:left="7767"/>
    </w:pPr>
    <w:r>
      <w:rPr>
        <w:lang w:val="pt-PT"/>
      </w:rPr>
      <w:t xml:space="preserve">page </w:t>
    </w:r>
    <w:r>
      <w:rPr>
        <w:lang w:val="pt-PT"/>
      </w:rPr>
      <w:fldChar w:fldCharType="begin"/>
    </w:r>
    <w:r>
      <w:rPr>
        <w:lang w:val="pt-PT"/>
      </w:rPr>
      <w:instrText xml:space="preserve"> PAGE  \* MERGEFORMAT </w:instrText>
    </w:r>
    <w:r>
      <w:rPr>
        <w:lang w:val="pt-PT"/>
      </w:rPr>
      <w:fldChar w:fldCharType="separate"/>
    </w:r>
    <w:r>
      <w:rPr>
        <w:noProof/>
        <w:lang w:val="pt-PT"/>
      </w:rPr>
      <w:t>3</w:t>
    </w:r>
    <w:r>
      <w:rPr>
        <w:lang w:val="pt-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Rom1"/>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7A2499C"/>
    <w:multiLevelType w:val="hybridMultilevel"/>
    <w:tmpl w:val="A85AFA30"/>
    <w:lvl w:ilvl="0" w:tplc="C1A09586">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6DA34BB6"/>
    <w:multiLevelType w:val="hybridMultilevel"/>
    <w:tmpl w:val="786EADB0"/>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8"/>
  </w:num>
  <w:num w:numId="3">
    <w:abstractNumId w:val="14"/>
  </w:num>
  <w:num w:numId="4">
    <w:abstractNumId w:val="3"/>
  </w:num>
  <w:num w:numId="5">
    <w:abstractNumId w:val="1"/>
  </w:num>
  <w:num w:numId="6">
    <w:abstractNumId w:val="5"/>
  </w:num>
  <w:num w:numId="7">
    <w:abstractNumId w:val="7"/>
  </w:num>
  <w:num w:numId="8">
    <w:abstractNumId w:val="13"/>
  </w:num>
  <w:num w:numId="9">
    <w:abstractNumId w:val="10"/>
  </w:num>
  <w:num w:numId="10">
    <w:abstractNumId w:val="15"/>
  </w:num>
  <w:num w:numId="11">
    <w:abstractNumId w:val="9"/>
  </w:num>
  <w:num w:numId="12">
    <w:abstractNumId w:val="11"/>
  </w:num>
  <w:num w:numId="13">
    <w:abstractNumId w:val="6"/>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doNotTrackMoves/>
  <w:defaultTabStop w:val="567"/>
  <w:hyphenationZone w:val="425"/>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BEF"/>
    <w:rsid w:val="003F5BEF"/>
    <w:rsid w:val="003F6716"/>
    <w:rsid w:val="005B7182"/>
    <w:rsid w:val="00AF04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jc w:val="right"/>
      <w:outlineLvl w:val="0"/>
    </w:pPr>
    <w:rPr>
      <w:rFonts w:ascii="Arial" w:hAnsi="Arial"/>
      <w:b/>
      <w:bCs/>
      <w:sz w:val="72"/>
      <w:lang w:val="en-GB" w:eastAsia="en-GB"/>
    </w:rPr>
  </w:style>
  <w:style w:type="paragraph" w:styleId="Heading2">
    <w:name w:val="heading 2"/>
    <w:basedOn w:val="Normal"/>
    <w:next w:val="Normal"/>
    <w:qFormat/>
    <w:pPr>
      <w:keepNext/>
      <w:spacing w:after="240"/>
      <w:ind w:left="567"/>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lang w:val="en-GB" w:eastAsia="en-GB"/>
    </w:rPr>
  </w:style>
  <w:style w:type="paragraph" w:styleId="Header">
    <w:name w:val="header"/>
    <w:basedOn w:val="Normal"/>
    <w:semiHidden/>
    <w:pPr>
      <w:tabs>
        <w:tab w:val="center" w:pos="4252"/>
        <w:tab w:val="right" w:pos="8504"/>
      </w:tabs>
    </w:pPr>
  </w:style>
  <w:style w:type="paragraph" w:styleId="BodyText">
    <w:name w:val="Body Text"/>
    <w:basedOn w:val="Normal"/>
    <w:semiHidden/>
    <w:pPr>
      <w:spacing w:after="240"/>
      <w:jc w:val="center"/>
    </w:pPr>
  </w:style>
  <w:style w:type="paragraph" w:styleId="BodyTextIndent">
    <w:name w:val="Body Text Indent"/>
    <w:basedOn w:val="Normal"/>
    <w:semiHidden/>
    <w:pPr>
      <w:spacing w:after="360"/>
      <w:ind w:firstLine="567"/>
    </w:pPr>
  </w:style>
  <w:style w:type="paragraph" w:styleId="BodyText2">
    <w:name w:val="Body Text 2"/>
    <w:basedOn w:val="Normal"/>
    <w:semiHidden/>
    <w:pPr>
      <w:spacing w:after="240"/>
    </w:pPr>
    <w:rPr>
      <w:u w:val="single"/>
    </w:rPr>
  </w:style>
  <w:style w:type="paragraph" w:customStyle="1" w:styleId="Bullet">
    <w:name w:val="Bullet"/>
    <w:basedOn w:val="Normal"/>
    <w:pPr>
      <w:numPr>
        <w:numId w:val="15"/>
      </w:numPr>
      <w:spacing w:after="240"/>
    </w:pPr>
    <w:rPr>
      <w:szCs w:val="20"/>
      <w:lang w:val="en-GB" w:eastAsia="en-US"/>
    </w:rPr>
  </w:style>
  <w:style w:type="paragraph" w:customStyle="1" w:styleId="Dash">
    <w:name w:val="Dash"/>
    <w:basedOn w:val="Normal"/>
    <w:pPr>
      <w:numPr>
        <w:numId w:val="16"/>
      </w:numPr>
      <w:adjustRightInd w:val="0"/>
      <w:snapToGrid w:val="0"/>
      <w:spacing w:after="240"/>
    </w:pPr>
    <w:rPr>
      <w:szCs w:val="20"/>
      <w:lang w:val="en-GB" w:eastAsia="en-US"/>
    </w:rPr>
  </w:style>
  <w:style w:type="paragraph" w:customStyle="1" w:styleId="ParaNo">
    <w:name w:val="ParaNo."/>
    <w:basedOn w:val="Normal"/>
    <w:pPr>
      <w:numPr>
        <w:numId w:val="13"/>
      </w:numPr>
      <w:tabs>
        <w:tab w:val="left" w:pos="737"/>
      </w:tabs>
      <w:spacing w:after="240"/>
    </w:pPr>
    <w:rPr>
      <w:szCs w:val="20"/>
      <w:lang w:val="fr-CH" w:eastAsia="en-US"/>
    </w:rPr>
  </w:style>
  <w:style w:type="paragraph" w:customStyle="1" w:styleId="Rom1">
    <w:name w:val="Rom1"/>
    <w:basedOn w:val="Normal"/>
    <w:pPr>
      <w:numPr>
        <w:numId w:val="3"/>
      </w:numPr>
      <w:tabs>
        <w:tab w:val="clear" w:pos="1440"/>
      </w:tabs>
      <w:spacing w:after="240"/>
      <w:ind w:left="1135" w:hanging="284"/>
    </w:pPr>
    <w:rPr>
      <w:szCs w:val="20"/>
      <w:lang w:val="en-GB" w:eastAsia="en-US"/>
    </w:rPr>
  </w:style>
  <w:style w:type="paragraph" w:customStyle="1" w:styleId="Rom2">
    <w:name w:val="Rom2"/>
    <w:basedOn w:val="Normal"/>
    <w:pPr>
      <w:numPr>
        <w:numId w:val="4"/>
      </w:numPr>
      <w:tabs>
        <w:tab w:val="clear" w:pos="2160"/>
      </w:tabs>
      <w:spacing w:after="240"/>
      <w:ind w:left="1702" w:hanging="284"/>
    </w:pPr>
    <w:rPr>
      <w:szCs w:val="20"/>
      <w:lang w:val="en-GB" w:eastAsia="en-US"/>
    </w:rPr>
  </w:style>
  <w:style w:type="paragraph" w:styleId="BalloonText">
    <w:name w:val="Balloon Text"/>
    <w:basedOn w:val="Normal"/>
    <w:semiHidden/>
    <w:rsid w:val="003F6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540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UNITEDNATIONS</vt:lpstr>
    </vt:vector>
  </TitlesOfParts>
  <Company>CHF</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UNITEDNATIONS</dc:title>
  <dc:subject/>
  <dc:creator> CHF</dc:creator>
  <cp:keywords/>
  <dc:description/>
  <cp:lastModifiedBy>CSD</cp:lastModifiedBy>
  <cp:revision>8</cp:revision>
  <cp:lastPrinted>2010-01-07T11:50:00Z</cp:lastPrinted>
  <dcterms:created xsi:type="dcterms:W3CDTF">2009-12-18T18:34:00Z</dcterms:created>
  <dcterms:modified xsi:type="dcterms:W3CDTF">2010-01-07T11:50:00Z</dcterms:modified>
</cp:coreProperties>
</file>