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DE0C8B" w:rsidTr="00D22953">
        <w:trPr>
          <w:trHeight w:val="851"/>
        </w:trPr>
        <w:tc>
          <w:tcPr>
            <w:tcW w:w="1259" w:type="dxa"/>
            <w:tcBorders>
              <w:top w:val="nil"/>
              <w:left w:val="nil"/>
              <w:right w:val="nil"/>
            </w:tcBorders>
          </w:tcPr>
          <w:p w:rsidR="00DE0C8B" w:rsidRDefault="00DE0C8B" w:rsidP="00D22953">
            <w:pPr>
              <w:spacing w:after="80" w:line="340" w:lineRule="exact"/>
              <w:rPr>
                <w:lang w:eastAsia="fr-FR"/>
              </w:rPr>
            </w:pPr>
          </w:p>
        </w:tc>
        <w:tc>
          <w:tcPr>
            <w:tcW w:w="2236" w:type="dxa"/>
            <w:tcBorders>
              <w:top w:val="nil"/>
              <w:left w:val="nil"/>
              <w:right w:val="nil"/>
            </w:tcBorders>
            <w:vAlign w:val="bottom"/>
          </w:tcPr>
          <w:p w:rsidR="00DE0C8B" w:rsidRPr="00D22953" w:rsidRDefault="00DE0C8B" w:rsidP="00D22953">
            <w:pPr>
              <w:spacing w:after="80" w:line="340" w:lineRule="exact"/>
              <w:rPr>
                <w:sz w:val="28"/>
                <w:szCs w:val="28"/>
                <w:lang w:eastAsia="fr-FR"/>
              </w:rPr>
            </w:pPr>
            <w:r w:rsidRPr="00D22953">
              <w:rPr>
                <w:sz w:val="28"/>
                <w:szCs w:val="28"/>
                <w:lang w:eastAsia="fr-FR"/>
              </w:rPr>
              <w:t>Nations Unies</w:t>
            </w:r>
          </w:p>
        </w:tc>
        <w:tc>
          <w:tcPr>
            <w:tcW w:w="6144" w:type="dxa"/>
            <w:gridSpan w:val="2"/>
            <w:tcBorders>
              <w:top w:val="nil"/>
              <w:left w:val="nil"/>
              <w:right w:val="nil"/>
            </w:tcBorders>
            <w:vAlign w:val="bottom"/>
          </w:tcPr>
          <w:p w:rsidR="00DE0C8B" w:rsidRPr="00942BE3" w:rsidRDefault="00DE0C8B" w:rsidP="00D22953">
            <w:pPr>
              <w:suppressAutoHyphens w:val="0"/>
              <w:spacing w:after="20"/>
              <w:jc w:val="right"/>
              <w:rPr>
                <w:lang w:eastAsia="fr-FR"/>
              </w:rPr>
            </w:pPr>
            <w:r w:rsidRPr="00D22953">
              <w:rPr>
                <w:sz w:val="40"/>
                <w:lang w:eastAsia="fr-FR"/>
              </w:rPr>
              <w:t>CRC</w:t>
            </w:r>
            <w:r>
              <w:rPr>
                <w:lang w:eastAsia="fr-FR"/>
              </w:rPr>
              <w:t>/C/SR.1515</w:t>
            </w:r>
          </w:p>
        </w:tc>
      </w:tr>
      <w:tr w:rsidR="00DE0C8B" w:rsidRPr="00BE3F12" w:rsidTr="00D22953">
        <w:trPr>
          <w:trHeight w:val="2835"/>
        </w:trPr>
        <w:tc>
          <w:tcPr>
            <w:tcW w:w="1259" w:type="dxa"/>
            <w:tcBorders>
              <w:left w:val="nil"/>
              <w:bottom w:val="single" w:sz="12" w:space="0" w:color="auto"/>
              <w:right w:val="nil"/>
            </w:tcBorders>
          </w:tcPr>
          <w:p w:rsidR="00DE0C8B" w:rsidRDefault="00DE0C8B" w:rsidP="00D22953">
            <w:pPr>
              <w:spacing w:before="120"/>
              <w:jc w:val="center"/>
              <w:rPr>
                <w:lang w:eastAsia="fr-FR"/>
              </w:rPr>
            </w:pPr>
            <w:r w:rsidRPr="00ED68F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3.5pt;visibility:visible">
                  <v:imagedata r:id="rId7" o:title=""/>
                </v:shape>
              </w:pict>
            </w:r>
          </w:p>
        </w:tc>
        <w:tc>
          <w:tcPr>
            <w:tcW w:w="5450" w:type="dxa"/>
            <w:gridSpan w:val="2"/>
            <w:tcBorders>
              <w:left w:val="nil"/>
              <w:bottom w:val="single" w:sz="12" w:space="0" w:color="auto"/>
              <w:right w:val="nil"/>
            </w:tcBorders>
          </w:tcPr>
          <w:p w:rsidR="00DE0C8B" w:rsidRPr="00D22953" w:rsidRDefault="00DE0C8B" w:rsidP="00D22953">
            <w:pPr>
              <w:spacing w:before="120" w:line="420" w:lineRule="exact"/>
              <w:rPr>
                <w:b/>
                <w:sz w:val="40"/>
                <w:szCs w:val="40"/>
                <w:lang w:val="fr-FR" w:eastAsia="fr-FR"/>
              </w:rPr>
            </w:pPr>
            <w:r w:rsidRPr="00D22953">
              <w:rPr>
                <w:b/>
                <w:sz w:val="40"/>
                <w:szCs w:val="40"/>
                <w:lang w:val="fr-FR" w:eastAsia="fr-FR"/>
              </w:rPr>
              <w:t>Convention relative</w:t>
            </w:r>
          </w:p>
          <w:p w:rsidR="00DE0C8B" w:rsidRPr="00D22953" w:rsidRDefault="00DE0C8B" w:rsidP="00D22953">
            <w:pPr>
              <w:spacing w:before="120" w:line="420" w:lineRule="exact"/>
              <w:rPr>
                <w:b/>
                <w:sz w:val="40"/>
                <w:szCs w:val="40"/>
                <w:lang w:val="fr-FR" w:eastAsia="fr-FR"/>
              </w:rPr>
            </w:pPr>
            <w:r w:rsidRPr="00D22953">
              <w:rPr>
                <w:b/>
                <w:sz w:val="40"/>
                <w:szCs w:val="40"/>
                <w:lang w:val="fr-FR" w:eastAsia="fr-FR"/>
              </w:rPr>
              <w:t>aux droits de l’enfant</w:t>
            </w:r>
          </w:p>
        </w:tc>
        <w:tc>
          <w:tcPr>
            <w:tcW w:w="2930" w:type="dxa"/>
            <w:tcBorders>
              <w:left w:val="nil"/>
              <w:bottom w:val="single" w:sz="12" w:space="0" w:color="auto"/>
              <w:right w:val="nil"/>
            </w:tcBorders>
          </w:tcPr>
          <w:p w:rsidR="00DE0C8B" w:rsidRPr="00D22953" w:rsidRDefault="00DE0C8B" w:rsidP="00D22953">
            <w:pPr>
              <w:suppressAutoHyphens w:val="0"/>
              <w:spacing w:before="240" w:line="240" w:lineRule="exact"/>
              <w:rPr>
                <w:lang w:val="fr-FR" w:eastAsia="fr-FR"/>
              </w:rPr>
            </w:pPr>
            <w:r w:rsidRPr="00D22953">
              <w:rPr>
                <w:lang w:val="fr-FR" w:eastAsia="fr-FR"/>
              </w:rPr>
              <w:t xml:space="preserve">Distr. générale </w:t>
            </w:r>
          </w:p>
          <w:p w:rsidR="00DE0C8B" w:rsidRPr="00D22953" w:rsidRDefault="00DE0C8B" w:rsidP="00D22953">
            <w:pPr>
              <w:suppressAutoHyphens w:val="0"/>
              <w:rPr>
                <w:lang w:val="fr-FR" w:eastAsia="fr-FR"/>
              </w:rPr>
            </w:pPr>
            <w:r>
              <w:rPr>
                <w:lang w:val="fr-FR" w:eastAsia="fr-FR"/>
              </w:rPr>
              <w:t>27 octobre</w:t>
            </w:r>
            <w:r w:rsidRPr="00D22953">
              <w:rPr>
                <w:lang w:val="fr-FR" w:eastAsia="fr-FR"/>
              </w:rPr>
              <w:t xml:space="preserve"> 2010</w:t>
            </w:r>
          </w:p>
          <w:p w:rsidR="00DE0C8B" w:rsidRPr="00D22953" w:rsidRDefault="00DE0C8B" w:rsidP="00D22953">
            <w:pPr>
              <w:suppressAutoHyphens w:val="0"/>
              <w:rPr>
                <w:lang w:val="fr-FR" w:eastAsia="fr-FR"/>
              </w:rPr>
            </w:pPr>
            <w:r w:rsidRPr="00D22953">
              <w:rPr>
                <w:lang w:val="fr-FR" w:eastAsia="fr-FR"/>
              </w:rPr>
              <w:t>Français</w:t>
            </w:r>
          </w:p>
          <w:p w:rsidR="00DE0C8B" w:rsidRPr="00D22953" w:rsidRDefault="00DE0C8B" w:rsidP="00D22953">
            <w:pPr>
              <w:suppressAutoHyphens w:val="0"/>
              <w:rPr>
                <w:lang w:val="fr-FR" w:eastAsia="fr-FR"/>
              </w:rPr>
            </w:pPr>
            <w:r w:rsidRPr="00D22953">
              <w:rPr>
                <w:lang w:val="fr-FR" w:eastAsia="fr-FR"/>
              </w:rPr>
              <w:t xml:space="preserve">Original: anglais </w:t>
            </w:r>
          </w:p>
        </w:tc>
      </w:tr>
    </w:tbl>
    <w:p w:rsidR="00DE0C8B" w:rsidRPr="00761879" w:rsidRDefault="00DE0C8B" w:rsidP="00420C8D">
      <w:pPr>
        <w:spacing w:before="120"/>
        <w:rPr>
          <w:b/>
          <w:sz w:val="24"/>
          <w:szCs w:val="24"/>
          <w:lang w:val="fr-FR" w:eastAsia="fr-FR"/>
        </w:rPr>
      </w:pPr>
      <w:r w:rsidRPr="00761879">
        <w:rPr>
          <w:b/>
          <w:sz w:val="24"/>
          <w:szCs w:val="24"/>
          <w:lang w:val="fr-FR" w:eastAsia="fr-FR"/>
        </w:rPr>
        <w:t>Comité des droits de l’enfant</w:t>
      </w:r>
    </w:p>
    <w:p w:rsidR="00DE0C8B" w:rsidRPr="00D24A09" w:rsidRDefault="00DE0C8B" w:rsidP="00420C8D">
      <w:pPr>
        <w:pStyle w:val="NoSpacing"/>
        <w:spacing w:after="120"/>
        <w:rPr>
          <w:b/>
          <w:sz w:val="20"/>
          <w:szCs w:val="20"/>
          <w:lang w:eastAsia="fr-FR"/>
        </w:rPr>
      </w:pPr>
      <w:r w:rsidRPr="00D24A09">
        <w:rPr>
          <w:b/>
          <w:sz w:val="20"/>
          <w:szCs w:val="20"/>
          <w:lang w:eastAsia="fr-FR"/>
        </w:rPr>
        <w:t>Cinquante-quatrième session</w:t>
      </w:r>
    </w:p>
    <w:p w:rsidR="00DE0C8B" w:rsidRPr="00D24A09" w:rsidRDefault="00DE0C8B" w:rsidP="00E147AD">
      <w:pPr>
        <w:pStyle w:val="NoSpacing"/>
        <w:rPr>
          <w:b/>
          <w:sz w:val="20"/>
          <w:szCs w:val="20"/>
          <w:lang w:eastAsia="fr-FR"/>
        </w:rPr>
      </w:pPr>
      <w:r w:rsidRPr="00D24A09">
        <w:rPr>
          <w:b/>
          <w:sz w:val="20"/>
          <w:szCs w:val="20"/>
          <w:lang w:eastAsia="fr-FR"/>
        </w:rPr>
        <w:t xml:space="preserve">Compte rendu analytique </w:t>
      </w:r>
      <w:r>
        <w:rPr>
          <w:b/>
          <w:sz w:val="20"/>
          <w:szCs w:val="20"/>
          <w:lang w:eastAsia="fr-FR"/>
        </w:rPr>
        <w:t>(partiel)</w:t>
      </w:r>
      <w:r>
        <w:rPr>
          <w:rStyle w:val="FootnoteReference"/>
          <w:b/>
          <w:sz w:val="20"/>
          <w:szCs w:val="20"/>
          <w:lang w:eastAsia="fr-FR"/>
        </w:rPr>
        <w:footnoteReference w:customMarkFollows="1" w:id="1"/>
        <w:t>*</w:t>
      </w:r>
      <w:r>
        <w:rPr>
          <w:b/>
          <w:sz w:val="20"/>
          <w:szCs w:val="20"/>
          <w:lang w:eastAsia="fr-FR"/>
        </w:rPr>
        <w:t xml:space="preserve"> </w:t>
      </w:r>
      <w:r w:rsidRPr="00D24A09">
        <w:rPr>
          <w:b/>
          <w:sz w:val="20"/>
          <w:szCs w:val="20"/>
          <w:lang w:eastAsia="fr-FR"/>
        </w:rPr>
        <w:t>de la 15</w:t>
      </w:r>
      <w:r>
        <w:rPr>
          <w:b/>
          <w:sz w:val="20"/>
          <w:szCs w:val="20"/>
          <w:lang w:eastAsia="fr-FR"/>
        </w:rPr>
        <w:t>15</w:t>
      </w:r>
      <w:r w:rsidRPr="00761879">
        <w:rPr>
          <w:b/>
          <w:sz w:val="20"/>
          <w:szCs w:val="20"/>
          <w:vertAlign w:val="superscript"/>
          <w:lang w:eastAsia="fr-FR"/>
        </w:rPr>
        <w:t>e</w:t>
      </w:r>
      <w:r>
        <w:rPr>
          <w:b/>
          <w:sz w:val="20"/>
          <w:szCs w:val="20"/>
          <w:lang w:eastAsia="fr-FR"/>
        </w:rPr>
        <w:t xml:space="preserve"> </w:t>
      </w:r>
      <w:r w:rsidRPr="00D24A09">
        <w:rPr>
          <w:b/>
          <w:sz w:val="20"/>
          <w:szCs w:val="20"/>
          <w:lang w:eastAsia="fr-FR"/>
        </w:rPr>
        <w:t>séance (Chambre A)</w:t>
      </w:r>
    </w:p>
    <w:p w:rsidR="00DE0C8B" w:rsidRPr="00D24A09" w:rsidRDefault="00DE0C8B" w:rsidP="00420C8D">
      <w:pPr>
        <w:pStyle w:val="NoSpacing"/>
        <w:spacing w:after="120"/>
        <w:rPr>
          <w:sz w:val="20"/>
          <w:szCs w:val="20"/>
          <w:lang w:eastAsia="fr-FR"/>
        </w:rPr>
      </w:pPr>
      <w:r w:rsidRPr="00D24A09">
        <w:rPr>
          <w:sz w:val="20"/>
          <w:szCs w:val="20"/>
          <w:lang w:eastAsia="fr-FR"/>
        </w:rPr>
        <w:t xml:space="preserve">Tenue au Palais Wilson, à Genève, le </w:t>
      </w:r>
      <w:r>
        <w:rPr>
          <w:sz w:val="20"/>
          <w:szCs w:val="20"/>
          <w:lang w:eastAsia="fr-FR"/>
        </w:rPr>
        <w:t xml:space="preserve">lundi 31 mai </w:t>
      </w:r>
      <w:r w:rsidRPr="00D24A09">
        <w:rPr>
          <w:sz w:val="20"/>
          <w:szCs w:val="20"/>
          <w:lang w:eastAsia="fr-FR"/>
        </w:rPr>
        <w:t>2010, à 1</w:t>
      </w:r>
      <w:r>
        <w:rPr>
          <w:sz w:val="20"/>
          <w:szCs w:val="20"/>
          <w:lang w:eastAsia="fr-FR"/>
        </w:rPr>
        <w:t>0</w:t>
      </w:r>
      <w:r w:rsidRPr="00D24A09">
        <w:rPr>
          <w:sz w:val="20"/>
          <w:szCs w:val="20"/>
          <w:lang w:eastAsia="fr-FR"/>
        </w:rPr>
        <w:t xml:space="preserve"> heures</w:t>
      </w:r>
    </w:p>
    <w:p w:rsidR="00DE0C8B" w:rsidRPr="00420C8D" w:rsidRDefault="00DE0C8B" w:rsidP="00420C8D">
      <w:pPr>
        <w:pStyle w:val="NoSpacing"/>
        <w:tabs>
          <w:tab w:val="left" w:pos="1200"/>
        </w:tabs>
        <w:rPr>
          <w:sz w:val="20"/>
          <w:szCs w:val="20"/>
        </w:rPr>
      </w:pPr>
      <w:r w:rsidRPr="00420C8D">
        <w:rPr>
          <w:i/>
          <w:sz w:val="20"/>
          <w:szCs w:val="20"/>
        </w:rPr>
        <w:t>Présidente:</w:t>
      </w:r>
      <w:r w:rsidRPr="00420C8D">
        <w:rPr>
          <w:sz w:val="20"/>
          <w:szCs w:val="20"/>
        </w:rPr>
        <w:tab/>
        <w:t>M</w:t>
      </w:r>
      <w:r w:rsidRPr="00420C8D">
        <w:rPr>
          <w:sz w:val="20"/>
          <w:szCs w:val="20"/>
          <w:vertAlign w:val="superscript"/>
        </w:rPr>
        <w:t>me</w:t>
      </w:r>
      <w:r w:rsidRPr="00420C8D">
        <w:rPr>
          <w:sz w:val="20"/>
          <w:szCs w:val="20"/>
        </w:rPr>
        <w:t xml:space="preserve"> Lee </w:t>
      </w:r>
    </w:p>
    <w:p w:rsidR="00DE0C8B" w:rsidRPr="00E147AD" w:rsidRDefault="00DE0C8B" w:rsidP="00E147AD">
      <w:pPr>
        <w:pStyle w:val="SingleTxtG"/>
        <w:tabs>
          <w:tab w:val="right" w:pos="992"/>
          <w:tab w:val="left" w:pos="1276"/>
          <w:tab w:val="right" w:leader="dot" w:pos="8504"/>
        </w:tabs>
        <w:spacing w:before="360" w:after="240"/>
        <w:ind w:left="0" w:right="0"/>
        <w:jc w:val="left"/>
        <w:rPr>
          <w:sz w:val="28"/>
          <w:lang w:val="fr-FR"/>
        </w:rPr>
      </w:pPr>
      <w:r w:rsidRPr="00E147AD">
        <w:rPr>
          <w:sz w:val="28"/>
          <w:lang w:val="fr-FR"/>
        </w:rPr>
        <w:t xml:space="preserve">Sommaire </w:t>
      </w:r>
    </w:p>
    <w:p w:rsidR="00DE0C8B" w:rsidRPr="00927C98" w:rsidRDefault="00DE0C8B" w:rsidP="00E147AD">
      <w:pPr>
        <w:pStyle w:val="SingleTxtG"/>
        <w:rPr>
          <w:lang w:val="fr-FR"/>
        </w:rPr>
      </w:pPr>
      <w:r w:rsidRPr="00927C98">
        <w:rPr>
          <w:lang w:val="fr-FR"/>
        </w:rPr>
        <w:t>Exame</w:t>
      </w:r>
      <w:r>
        <w:rPr>
          <w:lang w:val="fr-FR"/>
        </w:rPr>
        <w:t xml:space="preserve">n des rapports soumis par les </w:t>
      </w:r>
      <w:r w:rsidRPr="00927C98">
        <w:rPr>
          <w:lang w:val="fr-FR"/>
        </w:rPr>
        <w:t>État</w:t>
      </w:r>
      <w:r>
        <w:rPr>
          <w:lang w:val="fr-FR"/>
        </w:rPr>
        <w:t>s</w:t>
      </w:r>
      <w:r w:rsidRPr="00927C98">
        <w:rPr>
          <w:lang w:val="fr-FR"/>
        </w:rPr>
        <w:t xml:space="preserve"> parties (</w:t>
      </w:r>
      <w:r>
        <w:rPr>
          <w:i/>
          <w:lang w:val="fr-FR"/>
        </w:rPr>
        <w:t>suite</w:t>
      </w:r>
      <w:r w:rsidRPr="00927C98">
        <w:rPr>
          <w:lang w:val="fr-FR"/>
        </w:rPr>
        <w:t>)</w:t>
      </w:r>
    </w:p>
    <w:p w:rsidR="00DE0C8B" w:rsidRPr="00927C98" w:rsidRDefault="00DE0C8B" w:rsidP="00420C8D">
      <w:pPr>
        <w:pStyle w:val="SingleTxtG"/>
        <w:tabs>
          <w:tab w:val="left" w:pos="1700"/>
        </w:tabs>
        <w:rPr>
          <w:i/>
          <w:lang w:val="fr-FR"/>
        </w:rPr>
      </w:pPr>
      <w:r w:rsidRPr="00927C98">
        <w:rPr>
          <w:lang w:val="fr-FR"/>
        </w:rPr>
        <w:tab/>
      </w:r>
      <w:r w:rsidRPr="00927C98">
        <w:rPr>
          <w:i/>
          <w:lang w:val="fr-FR"/>
        </w:rPr>
        <w:t>Troisième et quatrième rapports périodiques du Guatemala</w:t>
      </w:r>
    </w:p>
    <w:p w:rsidR="00DE0C8B" w:rsidRPr="00F874D4" w:rsidRDefault="00DE0C8B" w:rsidP="00F874D4">
      <w:pPr>
        <w:pStyle w:val="SingleTxtG"/>
        <w:rPr>
          <w:i/>
          <w:lang w:val="fr-FR"/>
        </w:rPr>
      </w:pPr>
      <w:r w:rsidRPr="00F874D4">
        <w:rPr>
          <w:lang w:val="fr-FR"/>
        </w:rPr>
        <w:br w:type="page"/>
      </w:r>
      <w:r w:rsidRPr="00F874D4">
        <w:rPr>
          <w:i/>
          <w:lang w:val="fr-FR"/>
        </w:rPr>
        <w:t xml:space="preserve">La </w:t>
      </w:r>
      <w:r w:rsidRPr="00761879">
        <w:rPr>
          <w:i/>
          <w:lang w:val="fr-FR"/>
        </w:rPr>
        <w:t>séance</w:t>
      </w:r>
      <w:r w:rsidRPr="00F874D4">
        <w:rPr>
          <w:i/>
          <w:lang w:val="fr-FR"/>
        </w:rPr>
        <w:t xml:space="preserve"> est ouverte à 10 heures.</w:t>
      </w:r>
    </w:p>
    <w:p w:rsidR="00DE0C8B" w:rsidRPr="00F874D4" w:rsidRDefault="00DE0C8B" w:rsidP="00F874D4">
      <w:pPr>
        <w:pStyle w:val="H23G"/>
        <w:rPr>
          <w:lang w:val="fr-FR"/>
        </w:rPr>
      </w:pPr>
      <w:r>
        <w:rPr>
          <w:sz w:val="24"/>
          <w:szCs w:val="24"/>
          <w:lang w:val="fr-FR"/>
        </w:rPr>
        <w:tab/>
      </w:r>
      <w:r>
        <w:rPr>
          <w:sz w:val="24"/>
          <w:szCs w:val="24"/>
          <w:lang w:val="fr-FR"/>
        </w:rPr>
        <w:tab/>
      </w:r>
      <w:r w:rsidRPr="00F874D4">
        <w:rPr>
          <w:lang w:val="fr-FR"/>
        </w:rPr>
        <w:t>Examen des rapports soumis par les État parties</w:t>
      </w:r>
      <w:r w:rsidRPr="00F874D4">
        <w:rPr>
          <w:b w:val="0"/>
          <w:lang w:val="fr-FR"/>
        </w:rPr>
        <w:t xml:space="preserve"> (</w:t>
      </w:r>
      <w:r w:rsidRPr="00F874D4">
        <w:rPr>
          <w:b w:val="0"/>
          <w:i/>
          <w:lang w:val="fr-FR"/>
        </w:rPr>
        <w:t>suite</w:t>
      </w:r>
      <w:r w:rsidRPr="00F874D4">
        <w:rPr>
          <w:b w:val="0"/>
          <w:lang w:val="fr-FR"/>
        </w:rPr>
        <w:t>)</w:t>
      </w:r>
    </w:p>
    <w:p w:rsidR="00DE0C8B" w:rsidRPr="00F874D4" w:rsidRDefault="00DE0C8B" w:rsidP="00F874D4">
      <w:pPr>
        <w:pStyle w:val="SingleTxtG"/>
        <w:jc w:val="left"/>
        <w:rPr>
          <w:lang w:val="fr-FR"/>
        </w:rPr>
      </w:pPr>
      <w:r w:rsidRPr="00F874D4">
        <w:rPr>
          <w:i/>
          <w:lang w:val="fr-FR"/>
        </w:rPr>
        <w:t>Troisième et quatrième rapport périodique du Guatemala</w:t>
      </w:r>
      <w:r w:rsidRPr="00F874D4">
        <w:rPr>
          <w:lang w:val="fr-FR"/>
        </w:rPr>
        <w:t xml:space="preserve">  (CRC/C/GTM/3-4, CRC/C/GTM/Q/3-4 et Add.1)</w:t>
      </w:r>
    </w:p>
    <w:p w:rsidR="00DE0C8B" w:rsidRPr="00F874D4" w:rsidRDefault="00DE0C8B" w:rsidP="00F874D4">
      <w:pPr>
        <w:pStyle w:val="H23G"/>
        <w:rPr>
          <w:lang w:val="fr-FR"/>
        </w:rPr>
      </w:pPr>
      <w:r w:rsidRPr="00F874D4">
        <w:rPr>
          <w:lang w:val="fr-FR"/>
        </w:rPr>
        <w:tab/>
      </w:r>
      <w:r>
        <w:rPr>
          <w:lang w:val="fr-FR"/>
        </w:rPr>
        <w:tab/>
      </w:r>
      <w:r w:rsidRPr="00F874D4">
        <w:rPr>
          <w:lang w:val="fr-FR"/>
        </w:rPr>
        <w:t xml:space="preserve">Expression de sympathie à l’occasion de l’éruption volcanique et de la tempête tropicale survenues récemment au Guatemala </w:t>
      </w:r>
    </w:p>
    <w:p w:rsidR="00DE0C8B" w:rsidRPr="00F874D4" w:rsidRDefault="00DE0C8B" w:rsidP="00F874D4">
      <w:pPr>
        <w:pStyle w:val="SingleTxtG"/>
        <w:numPr>
          <w:ilvl w:val="0"/>
          <w:numId w:val="1"/>
        </w:numPr>
        <w:tabs>
          <w:tab w:val="clear" w:pos="1494"/>
        </w:tabs>
        <w:rPr>
          <w:lang w:val="fr-FR"/>
        </w:rPr>
      </w:pPr>
      <w:r w:rsidRPr="00F874D4">
        <w:rPr>
          <w:b/>
          <w:lang w:val="fr-FR"/>
        </w:rPr>
        <w:t>La Présidente</w:t>
      </w:r>
      <w:r w:rsidRPr="00F874D4">
        <w:rPr>
          <w:lang w:val="fr-FR"/>
        </w:rPr>
        <w:t>, au nom de tous les membres du Comité, exprime sa sympathie au gouvernement guatémaltèque à l’occasion de l’éruption volcanique et de la tempête tropicale survenues récemment dans ce pays.</w:t>
      </w:r>
    </w:p>
    <w:p w:rsidR="00DE0C8B" w:rsidRPr="00F874D4" w:rsidRDefault="00DE0C8B" w:rsidP="00F874D4">
      <w:pPr>
        <w:pStyle w:val="SingleTxtG"/>
        <w:numPr>
          <w:ilvl w:val="0"/>
          <w:numId w:val="1"/>
        </w:numPr>
        <w:tabs>
          <w:tab w:val="clear" w:pos="1494"/>
        </w:tabs>
        <w:rPr>
          <w:lang w:val="fr-FR"/>
        </w:rPr>
      </w:pPr>
      <w:r w:rsidRPr="00F874D4">
        <w:rPr>
          <w:b/>
          <w:lang w:val="fr-FR"/>
        </w:rPr>
        <w:t>M. Martinez</w:t>
      </w:r>
      <w:r w:rsidRPr="00F874D4">
        <w:rPr>
          <w:lang w:val="fr-FR"/>
        </w:rPr>
        <w:t xml:space="preserve"> (Guatemala) remercie la Présidente pour cette expression de sympathie. Elle dit que des efforts importants ont été consentis à la préparation du rapport périodique et des réponses écrites à la liste des points à traiter du Comité. </w:t>
      </w:r>
      <w:r>
        <w:rPr>
          <w:lang w:val="fr-FR"/>
        </w:rPr>
        <w:t>Le G</w:t>
      </w:r>
      <w:r w:rsidRPr="00F874D4">
        <w:rPr>
          <w:lang w:val="fr-FR"/>
        </w:rPr>
        <w:t xml:space="preserve">ouvernement </w:t>
      </w:r>
      <w:r>
        <w:rPr>
          <w:lang w:val="fr-FR"/>
        </w:rPr>
        <w:t xml:space="preserve">guatémaltèque </w:t>
      </w:r>
      <w:r w:rsidRPr="00F874D4">
        <w:rPr>
          <w:lang w:val="fr-FR"/>
        </w:rPr>
        <w:t xml:space="preserve">prend acte des préoccupations du Comité concernant la situation des enfants au Guatemala, mais souhaite souligner les progrès accomplis par les institutions publiques et les institutions de la société civile avec le concours de mécanismes internationaux pour améliorer la situation. </w:t>
      </w:r>
      <w:r>
        <w:rPr>
          <w:lang w:val="fr-FR"/>
        </w:rPr>
        <w:t>Le G</w:t>
      </w:r>
      <w:r w:rsidRPr="00F874D4">
        <w:rPr>
          <w:lang w:val="fr-FR"/>
        </w:rPr>
        <w:t xml:space="preserve">ouvernement </w:t>
      </w:r>
      <w:r>
        <w:rPr>
          <w:lang w:val="fr-FR"/>
        </w:rPr>
        <w:t xml:space="preserve">guatémaltèque </w:t>
      </w:r>
      <w:r w:rsidRPr="00F874D4">
        <w:rPr>
          <w:lang w:val="fr-FR"/>
        </w:rPr>
        <w:t>est déterminé à respecter ses engagements au titre de la Convention relative aux droits de l’enfant et des protocoles facultatifs s’y rapportant. Cela fait exactement trois ans que le gouvernement a présenté son second rapport périodique au titre de cette Convention et beaucoup a été fait dans l’intervalle pour donner suite aux recommandations du Comité.</w:t>
      </w:r>
    </w:p>
    <w:p w:rsidR="00DE0C8B" w:rsidRPr="00F874D4" w:rsidRDefault="00DE0C8B" w:rsidP="00F874D4">
      <w:pPr>
        <w:pStyle w:val="SingleTxtG"/>
        <w:numPr>
          <w:ilvl w:val="0"/>
          <w:numId w:val="1"/>
        </w:numPr>
        <w:tabs>
          <w:tab w:val="clear" w:pos="1494"/>
        </w:tabs>
        <w:rPr>
          <w:lang w:val="fr-FR"/>
        </w:rPr>
      </w:pPr>
      <w:r w:rsidRPr="00F874D4">
        <w:rPr>
          <w:lang w:val="fr-FR"/>
        </w:rPr>
        <w:t xml:space="preserve">Il regrette que, en raison de l’éruption du volcan Pacaya survenue au soir du 27 mai et de la tempête tropicale Agatha qui a touché le Guatemala le 29 mai, de nombreux membres de la délégation ont été dans l’impossibilité de faire le déplacement à Genève pour présenter les troisième et quatrième rapports périodiques de l’État partie. Nonobstant la présence de représentants des médias, d’administrations publiques et du secteur judiciaire du Guatemala, </w:t>
      </w:r>
      <w:r>
        <w:rPr>
          <w:lang w:val="fr-FR"/>
        </w:rPr>
        <w:t xml:space="preserve">M. Martinez </w:t>
      </w:r>
      <w:r w:rsidRPr="00F874D4">
        <w:rPr>
          <w:lang w:val="fr-FR"/>
        </w:rPr>
        <w:t>demande que l’examen du rapport périodique soit différé jusqu’à ce que la délégation puisse être présente, de manière à fournir les informations requises et à prendre en considération les recommandations et avis du Comité.</w:t>
      </w:r>
    </w:p>
    <w:p w:rsidR="00DE0C8B" w:rsidRPr="00F874D4" w:rsidRDefault="00DE0C8B" w:rsidP="00F874D4">
      <w:pPr>
        <w:pStyle w:val="SingleTxtG"/>
        <w:numPr>
          <w:ilvl w:val="0"/>
          <w:numId w:val="1"/>
        </w:numPr>
        <w:tabs>
          <w:tab w:val="clear" w:pos="1494"/>
        </w:tabs>
        <w:rPr>
          <w:lang w:val="fr-FR"/>
        </w:rPr>
      </w:pPr>
      <w:r w:rsidRPr="00F874D4">
        <w:rPr>
          <w:b/>
          <w:lang w:val="fr-FR"/>
        </w:rPr>
        <w:t xml:space="preserve">La Présidente </w:t>
      </w:r>
      <w:r w:rsidRPr="00F874D4">
        <w:rPr>
          <w:lang w:val="fr-FR"/>
        </w:rPr>
        <w:t>dit que l’examen des troisième et quatrième rapports périodiques du Guatemala sera repris à la première occasion, à la cinquante-cinquième ou cinquante</w:t>
      </w:r>
      <w:r>
        <w:rPr>
          <w:lang w:val="fr-FR"/>
        </w:rPr>
        <w:noBreakHyphen/>
      </w:r>
      <w:r w:rsidRPr="00F874D4">
        <w:rPr>
          <w:lang w:val="fr-FR"/>
        </w:rPr>
        <w:t>sixième session du Comité.</w:t>
      </w:r>
    </w:p>
    <w:p w:rsidR="00DE0C8B" w:rsidRPr="00F874D4" w:rsidRDefault="00DE0C8B" w:rsidP="00F874D4">
      <w:pPr>
        <w:pStyle w:val="SingleTxtG"/>
        <w:numPr>
          <w:ilvl w:val="0"/>
          <w:numId w:val="1"/>
        </w:numPr>
        <w:tabs>
          <w:tab w:val="clear" w:pos="1494"/>
        </w:tabs>
        <w:rPr>
          <w:lang w:val="fr-FR"/>
        </w:rPr>
      </w:pPr>
      <w:r w:rsidRPr="00F874D4">
        <w:rPr>
          <w:b/>
          <w:lang w:val="fr-FR"/>
        </w:rPr>
        <w:t>M</w:t>
      </w:r>
      <w:r w:rsidRPr="00F874D4">
        <w:rPr>
          <w:b/>
          <w:vertAlign w:val="superscript"/>
          <w:lang w:val="fr-FR"/>
        </w:rPr>
        <w:t>me</w:t>
      </w:r>
      <w:r w:rsidRPr="00F874D4">
        <w:rPr>
          <w:b/>
          <w:lang w:val="fr-FR"/>
        </w:rPr>
        <w:t xml:space="preserve"> Ortiz</w:t>
      </w:r>
      <w:r w:rsidRPr="00F874D4">
        <w:rPr>
          <w:lang w:val="fr-FR"/>
        </w:rPr>
        <w:t xml:space="preserve"> (Rapporteur pour le Guatemala) renouvelle l’expression de sympathie de la Présidente et dit que le Comité reste à la disposition de l’État partie.</w:t>
      </w:r>
    </w:p>
    <w:p w:rsidR="00DE0C8B" w:rsidRPr="00F874D4" w:rsidRDefault="00DE0C8B" w:rsidP="00F874D4">
      <w:pPr>
        <w:pStyle w:val="SingleTxtG"/>
        <w:numPr>
          <w:ilvl w:val="0"/>
          <w:numId w:val="1"/>
        </w:numPr>
        <w:tabs>
          <w:tab w:val="clear" w:pos="1494"/>
        </w:tabs>
        <w:rPr>
          <w:lang w:val="fr-FR"/>
        </w:rPr>
      </w:pPr>
      <w:r w:rsidRPr="00F874D4">
        <w:rPr>
          <w:i/>
          <w:lang w:val="fr-FR"/>
        </w:rPr>
        <w:t>Le Comité décide de reporter l’examen des troisième et quatrième rapports périodiques du Guatemala à une prochaine session.</w:t>
      </w:r>
    </w:p>
    <w:p w:rsidR="00DE0C8B" w:rsidRPr="00F874D4" w:rsidRDefault="00DE0C8B" w:rsidP="00F874D4">
      <w:pPr>
        <w:pStyle w:val="SingleTxtG"/>
        <w:rPr>
          <w:i/>
          <w:lang w:val="fr-FR"/>
        </w:rPr>
      </w:pPr>
      <w:r w:rsidRPr="00F874D4">
        <w:rPr>
          <w:i/>
          <w:iCs/>
          <w:lang w:val="fr-FR"/>
        </w:rPr>
        <w:t>Le débat faisant l’objet du présent compte rendu analytique a pris fin à</w:t>
      </w:r>
      <w:r w:rsidRPr="00F874D4">
        <w:rPr>
          <w:i/>
          <w:lang w:val="fr-FR"/>
        </w:rPr>
        <w:t xml:space="preserve"> 10 h 15.</w:t>
      </w:r>
    </w:p>
    <w:sectPr w:rsidR="00DE0C8B" w:rsidRPr="00F874D4" w:rsidSect="00F874D4">
      <w:headerReference w:type="even" r:id="rId8"/>
      <w:footerReference w:type="even" r:id="rId9"/>
      <w:footerReference w:type="defaul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0A" w:rsidRDefault="000E6B0A" w:rsidP="007E1F81">
      <w:pPr>
        <w:spacing w:line="240" w:lineRule="auto"/>
      </w:pPr>
      <w:r>
        <w:separator/>
      </w:r>
    </w:p>
  </w:endnote>
  <w:endnote w:type="continuationSeparator" w:id="0">
    <w:p w:rsidR="000E6B0A" w:rsidRDefault="000E6B0A" w:rsidP="007E1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B" w:rsidRDefault="00DE0C8B" w:rsidP="00F874D4">
    <w:pPr>
      <w:pStyle w:val="Footer"/>
      <w:tabs>
        <w:tab w:val="clear" w:pos="4536"/>
        <w:tab w:val="clear" w:pos="9072"/>
        <w:tab w:val="right" w:pos="9598"/>
      </w:tabs>
    </w:pPr>
    <w:r w:rsidRPr="00CD4F36">
      <w:rPr>
        <w:b/>
        <w:sz w:val="18"/>
      </w:rPr>
      <w:fldChar w:fldCharType="begin"/>
    </w:r>
    <w:r w:rsidRPr="00CD4F36">
      <w:rPr>
        <w:b/>
        <w:sz w:val="18"/>
      </w:rPr>
      <w:instrText xml:space="preserve"> PAGE  \* MERGEFORMAT </w:instrText>
    </w:r>
    <w:r w:rsidRPr="00CD4F36">
      <w:rPr>
        <w:b/>
        <w:sz w:val="18"/>
      </w:rPr>
      <w:fldChar w:fldCharType="separate"/>
    </w:r>
    <w:r w:rsidR="00CB0B90">
      <w:rPr>
        <w:b/>
        <w:noProof/>
        <w:sz w:val="18"/>
      </w:rPr>
      <w:t>2</w:t>
    </w:r>
    <w:r w:rsidRPr="00CD4F36">
      <w:rPr>
        <w:b/>
        <w:sz w:val="18"/>
      </w:rPr>
      <w:fldChar w:fldCharType="end"/>
    </w:r>
    <w:r>
      <w:rPr>
        <w:sz w:val="18"/>
      </w:rPr>
      <w:tab/>
    </w:r>
    <w:r w:rsidRPr="00F874D4">
      <w:rPr>
        <w:sz w:val="16"/>
        <w:szCs w:val="16"/>
      </w:rPr>
      <w:t>GE.10-4275</w:t>
    </w:r>
    <w:r>
      <w:rPr>
        <w:sz w:val="16"/>
        <w:szCs w:val="16"/>
      </w:rPr>
      <w:t>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B" w:rsidRDefault="00DE0C8B">
    <w:pPr>
      <w:pStyle w:val="Footer"/>
      <w:jc w:val="right"/>
    </w:pPr>
    <w:r>
      <w:fldChar w:fldCharType="begin"/>
    </w:r>
    <w:r>
      <w:instrText xml:space="preserve"> PAGE   \* MERGEFORMAT </w:instrText>
    </w:r>
    <w:r>
      <w:fldChar w:fldCharType="separate"/>
    </w:r>
    <w:r>
      <w:rPr>
        <w:noProof/>
      </w:rPr>
      <w:t>3</w:t>
    </w:r>
    <w:r>
      <w:fldChar w:fldCharType="end"/>
    </w:r>
  </w:p>
  <w:p w:rsidR="00DE0C8B" w:rsidRDefault="00DE0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B" w:rsidRDefault="00DE0C8B" w:rsidP="00F874D4">
    <w:pPr>
      <w:pStyle w:val="FootnoteText"/>
      <w:pBdr>
        <w:bottom w:val="single" w:sz="4" w:space="1" w:color="auto"/>
      </w:pBdr>
      <w:tabs>
        <w:tab w:val="right" w:pos="1020"/>
      </w:tabs>
    </w:pPr>
  </w:p>
  <w:p w:rsidR="00DE0C8B" w:rsidRPr="00F874D4" w:rsidRDefault="00DE0C8B" w:rsidP="00F874D4">
    <w:pPr>
      <w:pStyle w:val="NoSpacing"/>
      <w:spacing w:before="120" w:after="120" w:line="220" w:lineRule="exact"/>
      <w:ind w:firstLine="1134"/>
      <w:rPr>
        <w:sz w:val="18"/>
        <w:szCs w:val="18"/>
      </w:rPr>
    </w:pPr>
    <w:r w:rsidRPr="00F874D4">
      <w:rPr>
        <w:sz w:val="18"/>
        <w:szCs w:val="18"/>
      </w:rPr>
      <w:t>Le présent compte rendu est sujet à rectifications.</w:t>
    </w:r>
  </w:p>
  <w:p w:rsidR="00DE0C8B" w:rsidRPr="00F874D4" w:rsidRDefault="00DE0C8B" w:rsidP="00F874D4">
    <w:pPr>
      <w:pStyle w:val="NoSpacing"/>
      <w:spacing w:after="120" w:line="220" w:lineRule="exact"/>
      <w:ind w:left="1134"/>
      <w:rPr>
        <w:sz w:val="18"/>
        <w:szCs w:val="18"/>
      </w:rPr>
    </w:pPr>
    <w:r w:rsidRPr="00F874D4">
      <w:rPr>
        <w:sz w:val="18"/>
        <w:szCs w:val="18"/>
      </w:rPr>
      <w:t xml:space="preserve">Les rectifications doivent être rédigées dans l’une des langues de travail. Elles doivent être présentées dans un mémorandum et être également incorporées à un exemplaire du compte rendu. Il convient de les adresser, </w:t>
    </w:r>
    <w:r w:rsidRPr="00F874D4">
      <w:rPr>
        <w:i/>
        <w:iCs/>
        <w:sz w:val="18"/>
        <w:szCs w:val="18"/>
      </w:rPr>
      <w:t>une semaine au plus tard à compter de la date du présent document</w:t>
    </w:r>
    <w:r w:rsidRPr="00F874D4">
      <w:rPr>
        <w:sz w:val="18"/>
        <w:szCs w:val="18"/>
      </w:rPr>
      <w:t>, au Groupe d’édition, bureau E.4108, Palais des Nations, Genève.</w:t>
    </w:r>
  </w:p>
  <w:p w:rsidR="00DE0C8B" w:rsidRPr="00F874D4" w:rsidRDefault="00DE0C8B" w:rsidP="00F874D4">
    <w:pPr>
      <w:pStyle w:val="NoSpacing"/>
      <w:spacing w:after="240" w:line="220" w:lineRule="exact"/>
      <w:ind w:left="1134"/>
      <w:rPr>
        <w:sz w:val="18"/>
        <w:szCs w:val="18"/>
      </w:rPr>
    </w:pPr>
    <w:r w:rsidRPr="00F874D4">
      <w:rPr>
        <w:sz w:val="18"/>
        <w:szCs w:val="18"/>
      </w:rPr>
      <w:t>Les rectifications aux comptes rendus des séances publiques du Comité seront groupées dans un</w:t>
    </w:r>
    <w:r>
      <w:rPr>
        <w:sz w:val="18"/>
        <w:szCs w:val="18"/>
      </w:rPr>
      <w:t xml:space="preserve"> </w:t>
    </w:r>
    <w:r w:rsidRPr="00F874D4">
      <w:rPr>
        <w:sz w:val="18"/>
        <w:szCs w:val="18"/>
      </w:rPr>
      <w:t>rectificatif unique qui sera publié peu après la session.</w:t>
    </w:r>
  </w:p>
  <w:p w:rsidR="00DE0C8B" w:rsidRPr="00C01E72" w:rsidRDefault="00DE0C8B" w:rsidP="00F874D4">
    <w:pPr>
      <w:pStyle w:val="Foot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0.1pt;margin-top:-6.8pt;width:86.95pt;height:18.35pt;z-index:1">
          <v:imagedata r:id="rId1" o:title=""/>
        </v:shape>
      </w:pict>
    </w:r>
    <w:r>
      <w:t>GE.10-42757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0A" w:rsidRPr="00F874D4" w:rsidRDefault="000E6B0A" w:rsidP="00F874D4">
      <w:pPr>
        <w:spacing w:after="120" w:line="240" w:lineRule="auto"/>
        <w:rPr>
          <w:lang w:val="fr-CH"/>
        </w:rPr>
      </w:pPr>
      <w:r>
        <w:rPr>
          <w:lang w:val="fr-CH"/>
        </w:rPr>
        <w:tab/>
        <w:t>__________</w:t>
      </w:r>
    </w:p>
  </w:footnote>
  <w:footnote w:type="continuationSeparator" w:id="0">
    <w:p w:rsidR="000E6B0A" w:rsidRDefault="000E6B0A" w:rsidP="007E1F81">
      <w:pPr>
        <w:spacing w:line="240" w:lineRule="auto"/>
      </w:pPr>
      <w:r>
        <w:continuationSeparator/>
      </w:r>
    </w:p>
  </w:footnote>
  <w:footnote w:id="1">
    <w:p w:rsidR="00DE0C8B" w:rsidRDefault="00DE0C8B" w:rsidP="00F874D4">
      <w:pPr>
        <w:pStyle w:val="FootnoteText"/>
        <w:tabs>
          <w:tab w:val="left" w:pos="900"/>
          <w:tab w:val="left" w:pos="1100"/>
        </w:tabs>
      </w:pPr>
      <w:r>
        <w:tab/>
      </w:r>
      <w:r w:rsidRPr="00F874D4">
        <w:rPr>
          <w:rStyle w:val="FootnoteReference"/>
          <w:lang w:val="fr-FR"/>
        </w:rPr>
        <w:t>*</w:t>
      </w:r>
      <w:r>
        <w:rPr>
          <w:lang w:val="fr-FR"/>
        </w:rPr>
        <w:tab/>
      </w:r>
      <w:r w:rsidRPr="00F874D4">
        <w:rPr>
          <w:sz w:val="18"/>
          <w:szCs w:val="18"/>
          <w:lang w:val="fr-FR"/>
        </w:rPr>
        <w:t>Le reste de la séance n’a pas fait l’objet d’un compte rendu analytique.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B" w:rsidRPr="00F874D4" w:rsidRDefault="00DE0C8B" w:rsidP="00F874D4">
    <w:pPr>
      <w:pStyle w:val="Header"/>
      <w:pBdr>
        <w:bottom w:val="single" w:sz="4" w:space="6" w:color="auto"/>
      </w:pBdr>
      <w:rPr>
        <w:b/>
        <w:sz w:val="18"/>
        <w:szCs w:val="18"/>
      </w:rPr>
    </w:pPr>
    <w:r w:rsidRPr="00F874D4">
      <w:rPr>
        <w:b/>
        <w:sz w:val="18"/>
        <w:szCs w:val="18"/>
      </w:rPr>
      <w:t>CRC/C/SR.1515</w:t>
    </w:r>
  </w:p>
  <w:p w:rsidR="00DE0C8B" w:rsidRDefault="00DE0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567"/>
  <w:hyphenationZone w:val="425"/>
  <w:evenAndOddHeaders/>
  <w:drawingGridHorizontalSpacing w:val="10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7AD"/>
    <w:rsid w:val="000A1F6F"/>
    <w:rsid w:val="000D1821"/>
    <w:rsid w:val="000D2D31"/>
    <w:rsid w:val="000E6B0A"/>
    <w:rsid w:val="000F17B0"/>
    <w:rsid w:val="0011120C"/>
    <w:rsid w:val="00152191"/>
    <w:rsid w:val="001817D5"/>
    <w:rsid w:val="001C0441"/>
    <w:rsid w:val="001C4BD0"/>
    <w:rsid w:val="001E2C46"/>
    <w:rsid w:val="00220840"/>
    <w:rsid w:val="002269AB"/>
    <w:rsid w:val="00231CCC"/>
    <w:rsid w:val="00233ABE"/>
    <w:rsid w:val="0029601F"/>
    <w:rsid w:val="002B466D"/>
    <w:rsid w:val="003641B0"/>
    <w:rsid w:val="0038468F"/>
    <w:rsid w:val="00396485"/>
    <w:rsid w:val="003A2E1F"/>
    <w:rsid w:val="003F21EB"/>
    <w:rsid w:val="00420C8D"/>
    <w:rsid w:val="004244ED"/>
    <w:rsid w:val="004422F5"/>
    <w:rsid w:val="00481A80"/>
    <w:rsid w:val="00491E43"/>
    <w:rsid w:val="00492B02"/>
    <w:rsid w:val="00497B93"/>
    <w:rsid w:val="00497ECE"/>
    <w:rsid w:val="004B1116"/>
    <w:rsid w:val="00516C17"/>
    <w:rsid w:val="00537AB8"/>
    <w:rsid w:val="00564BCD"/>
    <w:rsid w:val="005A0383"/>
    <w:rsid w:val="005C5133"/>
    <w:rsid w:val="005F2785"/>
    <w:rsid w:val="00617D39"/>
    <w:rsid w:val="006432E5"/>
    <w:rsid w:val="00694AF9"/>
    <w:rsid w:val="006A7CBB"/>
    <w:rsid w:val="006B495E"/>
    <w:rsid w:val="006C4159"/>
    <w:rsid w:val="007151BE"/>
    <w:rsid w:val="007375AC"/>
    <w:rsid w:val="00761879"/>
    <w:rsid w:val="007625B9"/>
    <w:rsid w:val="0076609D"/>
    <w:rsid w:val="00782482"/>
    <w:rsid w:val="007E1F81"/>
    <w:rsid w:val="007F3EC7"/>
    <w:rsid w:val="00866EEE"/>
    <w:rsid w:val="008A7CA0"/>
    <w:rsid w:val="00927C98"/>
    <w:rsid w:val="00942BE3"/>
    <w:rsid w:val="00951878"/>
    <w:rsid w:val="00956D64"/>
    <w:rsid w:val="009A4D2D"/>
    <w:rsid w:val="009D0912"/>
    <w:rsid w:val="009D652A"/>
    <w:rsid w:val="00A10BE5"/>
    <w:rsid w:val="00A1577E"/>
    <w:rsid w:val="00A43982"/>
    <w:rsid w:val="00A72A8E"/>
    <w:rsid w:val="00A754DD"/>
    <w:rsid w:val="00AF2A7E"/>
    <w:rsid w:val="00B223A9"/>
    <w:rsid w:val="00B810C6"/>
    <w:rsid w:val="00B816DC"/>
    <w:rsid w:val="00BB4B14"/>
    <w:rsid w:val="00BE3F12"/>
    <w:rsid w:val="00BF0712"/>
    <w:rsid w:val="00C01E72"/>
    <w:rsid w:val="00C22DA7"/>
    <w:rsid w:val="00C3312F"/>
    <w:rsid w:val="00C764D9"/>
    <w:rsid w:val="00CA6CD3"/>
    <w:rsid w:val="00CB0B90"/>
    <w:rsid w:val="00CD4F36"/>
    <w:rsid w:val="00D1757D"/>
    <w:rsid w:val="00D22953"/>
    <w:rsid w:val="00D24A09"/>
    <w:rsid w:val="00D42264"/>
    <w:rsid w:val="00D76DF2"/>
    <w:rsid w:val="00DC2F42"/>
    <w:rsid w:val="00DC380A"/>
    <w:rsid w:val="00DD05AD"/>
    <w:rsid w:val="00DE0C8B"/>
    <w:rsid w:val="00DE3008"/>
    <w:rsid w:val="00E147AD"/>
    <w:rsid w:val="00E70F68"/>
    <w:rsid w:val="00E753BB"/>
    <w:rsid w:val="00E759F8"/>
    <w:rsid w:val="00E77F23"/>
    <w:rsid w:val="00EA1F89"/>
    <w:rsid w:val="00EB50B2"/>
    <w:rsid w:val="00EC6F8A"/>
    <w:rsid w:val="00ED68F8"/>
    <w:rsid w:val="00F31071"/>
    <w:rsid w:val="00F320F5"/>
    <w:rsid w:val="00F42E28"/>
    <w:rsid w:val="00F43DF0"/>
    <w:rsid w:val="00F874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7AD"/>
    <w:pPr>
      <w:suppressAutoHyphens/>
      <w:spacing w:line="240" w:lineRule="atLeast"/>
    </w:pPr>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rsid w:val="00E147AD"/>
    <w:pPr>
      <w:spacing w:after="120"/>
      <w:ind w:left="1134" w:right="1134"/>
      <w:jc w:val="both"/>
    </w:pPr>
  </w:style>
  <w:style w:type="table" w:styleId="TableGrid">
    <w:name w:val="Table Grid"/>
    <w:basedOn w:val="TableNormal"/>
    <w:rsid w:val="00E147AD"/>
    <w:pPr>
      <w:suppressAutoHyphens/>
      <w:spacing w:line="240" w:lineRule="atLeast"/>
    </w:pPr>
    <w:rPr>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147AD"/>
    <w:rPr>
      <w:rFonts w:eastAsia="Times New Roman"/>
      <w:sz w:val="24"/>
      <w:szCs w:val="24"/>
      <w:lang w:val="fr-FR" w:eastAsia="en-US"/>
    </w:rPr>
  </w:style>
  <w:style w:type="paragraph" w:styleId="ListParagraph">
    <w:name w:val="List Paragraph"/>
    <w:basedOn w:val="Normal"/>
    <w:qFormat/>
    <w:rsid w:val="00E147AD"/>
    <w:pPr>
      <w:ind w:left="720"/>
      <w:contextualSpacing/>
    </w:pPr>
  </w:style>
  <w:style w:type="paragraph" w:customStyle="1" w:styleId="ParaNoG">
    <w:name w:val="_ParaNo._G"/>
    <w:basedOn w:val="SingleTxtG"/>
    <w:rsid w:val="00E147AD"/>
    <w:pPr>
      <w:numPr>
        <w:numId w:val="1"/>
      </w:numPr>
    </w:pPr>
  </w:style>
  <w:style w:type="paragraph" w:customStyle="1" w:styleId="H23G">
    <w:name w:val="_ H_2/3_G"/>
    <w:basedOn w:val="Normal"/>
    <w:next w:val="Normal"/>
    <w:rsid w:val="00E147AD"/>
    <w:pPr>
      <w:keepNext/>
      <w:keepLines/>
      <w:tabs>
        <w:tab w:val="right" w:pos="851"/>
      </w:tabs>
      <w:spacing w:before="240" w:after="120" w:line="240" w:lineRule="exact"/>
      <w:ind w:left="1134" w:right="1134" w:hanging="1134"/>
    </w:pPr>
    <w:rPr>
      <w:b/>
    </w:rPr>
  </w:style>
  <w:style w:type="paragraph" w:styleId="Header">
    <w:name w:val="header"/>
    <w:aliases w:val="6_G"/>
    <w:basedOn w:val="Normal"/>
    <w:link w:val="HeaderChar"/>
    <w:semiHidden/>
    <w:rsid w:val="007E1F81"/>
    <w:pPr>
      <w:tabs>
        <w:tab w:val="center" w:pos="4536"/>
        <w:tab w:val="right" w:pos="9072"/>
      </w:tabs>
      <w:spacing w:line="240" w:lineRule="auto"/>
    </w:pPr>
  </w:style>
  <w:style w:type="character" w:customStyle="1" w:styleId="HeaderChar">
    <w:name w:val="Header Char"/>
    <w:aliases w:val="6_G Char"/>
    <w:link w:val="Header"/>
    <w:semiHidden/>
    <w:locked/>
    <w:rsid w:val="007E1F81"/>
    <w:rPr>
      <w:rFonts w:eastAsia="Times New Roman" w:cs="Times New Roman"/>
      <w:sz w:val="20"/>
      <w:szCs w:val="20"/>
      <w:lang w:val="en-GB" w:eastAsia="x-none"/>
    </w:rPr>
  </w:style>
  <w:style w:type="paragraph" w:styleId="Footer">
    <w:name w:val="footer"/>
    <w:aliases w:val="3_G"/>
    <w:basedOn w:val="Normal"/>
    <w:link w:val="FooterChar"/>
    <w:rsid w:val="007E1F81"/>
    <w:pPr>
      <w:tabs>
        <w:tab w:val="center" w:pos="4536"/>
        <w:tab w:val="right" w:pos="9072"/>
      </w:tabs>
      <w:spacing w:line="240" w:lineRule="auto"/>
    </w:pPr>
  </w:style>
  <w:style w:type="character" w:customStyle="1" w:styleId="FooterChar">
    <w:name w:val="Footer Char"/>
    <w:aliases w:val="3_G Char"/>
    <w:link w:val="Footer"/>
    <w:locked/>
    <w:rsid w:val="007E1F81"/>
    <w:rPr>
      <w:rFonts w:eastAsia="Times New Roman" w:cs="Times New Roman"/>
      <w:sz w:val="20"/>
      <w:szCs w:val="20"/>
      <w:lang w:val="en-GB" w:eastAsia="x-none"/>
    </w:rPr>
  </w:style>
  <w:style w:type="paragraph" w:styleId="FootnoteText">
    <w:name w:val="footnote text"/>
    <w:aliases w:val="5_G"/>
    <w:basedOn w:val="Normal"/>
    <w:link w:val="FootnoteTextChar"/>
    <w:semiHidden/>
    <w:rsid w:val="00420C8D"/>
  </w:style>
  <w:style w:type="character" w:customStyle="1" w:styleId="FootnoteTextChar">
    <w:name w:val="Footnote Text Char"/>
    <w:aliases w:val="5_G Char"/>
    <w:link w:val="FootnoteText"/>
    <w:semiHidden/>
    <w:locked/>
    <w:rsid w:val="00A754DD"/>
    <w:rPr>
      <w:rFonts w:eastAsia="Times New Roman" w:cs="Times New Roman"/>
      <w:sz w:val="20"/>
      <w:szCs w:val="20"/>
      <w:lang w:val="en-GB" w:eastAsia="x-none"/>
    </w:rPr>
  </w:style>
  <w:style w:type="character" w:styleId="FootnoteReference">
    <w:name w:val="footnote reference"/>
    <w:semiHidden/>
    <w:rsid w:val="00420C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 </dc:creator>
  <cp:keywords/>
  <dc:description/>
  <cp:lastModifiedBy>DCM</cp:lastModifiedBy>
  <cp:revision>2</cp:revision>
  <cp:lastPrinted>2010-10-10T15:20:00Z</cp:lastPrinted>
  <dcterms:created xsi:type="dcterms:W3CDTF">2010-10-27T14:17:00Z</dcterms:created>
  <dcterms:modified xsi:type="dcterms:W3CDTF">2010-10-27T14:17:00Z</dcterms:modified>
</cp:coreProperties>
</file>