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A4BD4" w:rsidRPr="00655054" w:rsidTr="008A537D">
        <w:trPr>
          <w:trHeight w:hRule="exact" w:val="851"/>
        </w:trPr>
        <w:tc>
          <w:tcPr>
            <w:tcW w:w="1276" w:type="dxa"/>
            <w:tcBorders>
              <w:bottom w:val="single" w:sz="4" w:space="0" w:color="auto"/>
            </w:tcBorders>
          </w:tcPr>
          <w:p w:rsidR="003A4BD4" w:rsidRPr="00DB58B5" w:rsidRDefault="003A4BD4" w:rsidP="008A537D"/>
        </w:tc>
        <w:tc>
          <w:tcPr>
            <w:tcW w:w="2268" w:type="dxa"/>
            <w:tcBorders>
              <w:bottom w:val="single" w:sz="4" w:space="0" w:color="auto"/>
            </w:tcBorders>
            <w:vAlign w:val="bottom"/>
          </w:tcPr>
          <w:p w:rsidR="003A4BD4" w:rsidRPr="00655054" w:rsidRDefault="003A4BD4" w:rsidP="008A537D">
            <w:pPr>
              <w:spacing w:after="80" w:line="300" w:lineRule="exact"/>
              <w:rPr>
                <w:sz w:val="28"/>
              </w:rPr>
            </w:pPr>
            <w:r w:rsidRPr="00655054">
              <w:rPr>
                <w:sz w:val="28"/>
              </w:rPr>
              <w:t>Nations Unies</w:t>
            </w:r>
          </w:p>
        </w:tc>
        <w:tc>
          <w:tcPr>
            <w:tcW w:w="6095" w:type="dxa"/>
            <w:gridSpan w:val="2"/>
            <w:tcBorders>
              <w:bottom w:val="single" w:sz="4" w:space="0" w:color="auto"/>
            </w:tcBorders>
            <w:vAlign w:val="bottom"/>
          </w:tcPr>
          <w:p w:rsidR="003A4BD4" w:rsidRPr="00655054" w:rsidRDefault="003A4BD4" w:rsidP="00E8671E">
            <w:pPr>
              <w:jc w:val="right"/>
            </w:pPr>
            <w:r w:rsidRPr="00655054">
              <w:rPr>
                <w:sz w:val="40"/>
                <w:szCs w:val="40"/>
                <w:lang w:val="fr-FR"/>
              </w:rPr>
              <w:t>CERD</w:t>
            </w:r>
            <w:r w:rsidRPr="00655054">
              <w:rPr>
                <w:lang w:val="fr-FR"/>
              </w:rPr>
              <w:t>/C/</w:t>
            </w:r>
            <w:r w:rsidR="00E8671E" w:rsidRPr="00655054">
              <w:rPr>
                <w:lang w:val="fr-FR"/>
              </w:rPr>
              <w:t>LUX</w:t>
            </w:r>
            <w:r w:rsidRPr="00655054">
              <w:rPr>
                <w:lang w:val="fr-FR"/>
              </w:rPr>
              <w:t>/Q/</w:t>
            </w:r>
            <w:r w:rsidR="00E8671E" w:rsidRPr="00655054">
              <w:rPr>
                <w:lang w:val="fr-FR"/>
              </w:rPr>
              <w:t>14-17</w:t>
            </w:r>
          </w:p>
        </w:tc>
      </w:tr>
      <w:tr w:rsidR="003A4BD4" w:rsidRPr="00655054" w:rsidTr="008A537D">
        <w:trPr>
          <w:trHeight w:hRule="exact" w:val="2835"/>
        </w:trPr>
        <w:tc>
          <w:tcPr>
            <w:tcW w:w="1276" w:type="dxa"/>
            <w:tcBorders>
              <w:top w:val="single" w:sz="4" w:space="0" w:color="auto"/>
              <w:bottom w:val="single" w:sz="12" w:space="0" w:color="auto"/>
            </w:tcBorders>
          </w:tcPr>
          <w:p w:rsidR="003A4BD4" w:rsidRPr="00655054" w:rsidRDefault="003A4BD4" w:rsidP="008A537D">
            <w:pPr>
              <w:spacing w:before="120"/>
              <w:jc w:val="center"/>
            </w:pPr>
            <w:r w:rsidRPr="006550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A4BD4" w:rsidRPr="00655054" w:rsidRDefault="003A4BD4" w:rsidP="008A537D">
            <w:pPr>
              <w:spacing w:before="120" w:line="380" w:lineRule="exact"/>
              <w:rPr>
                <w:b/>
                <w:sz w:val="40"/>
                <w:szCs w:val="40"/>
              </w:rPr>
            </w:pPr>
            <w:r w:rsidRPr="00655054">
              <w:rPr>
                <w:b/>
                <w:sz w:val="34"/>
                <w:szCs w:val="34"/>
              </w:rPr>
              <w:t>Convention internationale sur</w:t>
            </w:r>
            <w:r w:rsidRPr="00655054">
              <w:rPr>
                <w:b/>
                <w:sz w:val="34"/>
                <w:szCs w:val="34"/>
              </w:rPr>
              <w:br/>
              <w:t>l’élimination de toutes les formes</w:t>
            </w:r>
            <w:r w:rsidRPr="00655054">
              <w:rPr>
                <w:b/>
                <w:sz w:val="34"/>
                <w:szCs w:val="34"/>
              </w:rPr>
              <w:br/>
              <w:t>de discrimination raciale</w:t>
            </w:r>
          </w:p>
        </w:tc>
        <w:tc>
          <w:tcPr>
            <w:tcW w:w="2835" w:type="dxa"/>
            <w:tcBorders>
              <w:top w:val="single" w:sz="4" w:space="0" w:color="auto"/>
              <w:bottom w:val="single" w:sz="12" w:space="0" w:color="auto"/>
            </w:tcBorders>
          </w:tcPr>
          <w:p w:rsidR="003A4BD4" w:rsidRPr="00655054" w:rsidRDefault="003A4BD4" w:rsidP="008A537D">
            <w:pPr>
              <w:spacing w:before="240"/>
            </w:pPr>
            <w:r w:rsidRPr="00655054">
              <w:t>Distr. générale</w:t>
            </w:r>
          </w:p>
          <w:p w:rsidR="003A4BD4" w:rsidRPr="00655054" w:rsidRDefault="00863738" w:rsidP="00F60397">
            <w:r>
              <w:t>18</w:t>
            </w:r>
            <w:r w:rsidR="00E8671E" w:rsidRPr="003F04F0">
              <w:t xml:space="preserve"> novembre</w:t>
            </w:r>
            <w:r w:rsidR="00E8671E" w:rsidRPr="00655054">
              <w:t xml:space="preserve"> 2013</w:t>
            </w:r>
          </w:p>
          <w:p w:rsidR="003A4BD4" w:rsidRPr="00655054" w:rsidRDefault="003A4BD4" w:rsidP="003A4BD4"/>
          <w:p w:rsidR="003A4BD4" w:rsidRPr="00655054" w:rsidRDefault="00545061" w:rsidP="00E8671E">
            <w:r w:rsidRPr="00655054">
              <w:t xml:space="preserve">Original: </w:t>
            </w:r>
            <w:r w:rsidR="00E8671E" w:rsidRPr="00655054">
              <w:t>français</w:t>
            </w:r>
          </w:p>
        </w:tc>
      </w:tr>
    </w:tbl>
    <w:p w:rsidR="003A4BD4" w:rsidRPr="00655054" w:rsidRDefault="003A4BD4" w:rsidP="003A4BD4">
      <w:pPr>
        <w:spacing w:before="120"/>
        <w:rPr>
          <w:b/>
          <w:sz w:val="24"/>
          <w:szCs w:val="24"/>
        </w:rPr>
      </w:pPr>
      <w:r w:rsidRPr="00655054">
        <w:rPr>
          <w:b/>
          <w:sz w:val="24"/>
          <w:szCs w:val="24"/>
        </w:rPr>
        <w:t>Comité pour l’élimination de la discrimination raciale</w:t>
      </w:r>
    </w:p>
    <w:p w:rsidR="00E8671E" w:rsidRPr="00655054" w:rsidRDefault="00E8671E" w:rsidP="003A4BD4">
      <w:pPr>
        <w:rPr>
          <w:b/>
          <w:lang w:val="fr-FR"/>
        </w:rPr>
      </w:pPr>
      <w:r w:rsidRPr="00655054">
        <w:rPr>
          <w:b/>
          <w:lang w:val="fr-FR"/>
        </w:rPr>
        <w:t xml:space="preserve">Quatre-vingt-quatrième </w:t>
      </w:r>
      <w:r w:rsidR="003A4BD4" w:rsidRPr="00655054">
        <w:rPr>
          <w:b/>
          <w:lang w:val="fr-FR"/>
        </w:rPr>
        <w:t>session</w:t>
      </w:r>
      <w:r w:rsidR="00545061" w:rsidRPr="00655054">
        <w:rPr>
          <w:b/>
          <w:lang w:val="fr-FR"/>
        </w:rPr>
        <w:t xml:space="preserve"> </w:t>
      </w:r>
    </w:p>
    <w:p w:rsidR="00E8671E" w:rsidRPr="00655054" w:rsidRDefault="00E8671E" w:rsidP="003A4BD4">
      <w:pPr>
        <w:rPr>
          <w:lang w:val="fr-FR"/>
        </w:rPr>
      </w:pPr>
      <w:r w:rsidRPr="00655054">
        <w:rPr>
          <w:lang w:val="fr-FR"/>
        </w:rPr>
        <w:t>3-21 février 2014</w:t>
      </w:r>
    </w:p>
    <w:p w:rsidR="003A4BD4" w:rsidRPr="00655054" w:rsidRDefault="003A4BD4" w:rsidP="003A4BD4">
      <w:pPr>
        <w:rPr>
          <w:lang w:val="fr-FR"/>
        </w:rPr>
      </w:pPr>
      <w:r w:rsidRPr="00655054">
        <w:rPr>
          <w:lang w:val="fr-FR"/>
        </w:rPr>
        <w:t xml:space="preserve">Point </w:t>
      </w:r>
      <w:r w:rsidR="00E8671E" w:rsidRPr="00655054">
        <w:rPr>
          <w:lang w:val="fr-FR"/>
        </w:rPr>
        <w:t xml:space="preserve">6 </w:t>
      </w:r>
      <w:r w:rsidRPr="00655054">
        <w:rPr>
          <w:lang w:val="fr-FR"/>
        </w:rPr>
        <w:t>de l’ordre du jour provisoire</w:t>
      </w:r>
    </w:p>
    <w:p w:rsidR="003A4BD4" w:rsidRPr="00655054" w:rsidRDefault="003A4BD4" w:rsidP="003A4BD4">
      <w:pPr>
        <w:rPr>
          <w:b/>
          <w:lang w:val="fr-FR"/>
        </w:rPr>
      </w:pPr>
      <w:r w:rsidRPr="00655054">
        <w:rPr>
          <w:b/>
          <w:lang w:val="fr-FR"/>
        </w:rPr>
        <w:t xml:space="preserve">Examen des rapports, observations et renseignements soumis </w:t>
      </w:r>
      <w:r w:rsidRPr="00655054">
        <w:rPr>
          <w:b/>
          <w:lang w:val="fr-FR"/>
        </w:rPr>
        <w:br/>
        <w:t>par les États parties en application de l’article 9 de la Convention</w:t>
      </w:r>
    </w:p>
    <w:p w:rsidR="003A4BD4" w:rsidRPr="00655054" w:rsidRDefault="003A4BD4" w:rsidP="002848CF">
      <w:pPr>
        <w:pStyle w:val="HChG"/>
      </w:pPr>
      <w:r w:rsidRPr="00655054">
        <w:tab/>
      </w:r>
      <w:r w:rsidRPr="00655054">
        <w:tab/>
        <w:t>Liste de thèmes concernant le</w:t>
      </w:r>
      <w:r w:rsidR="0055364A" w:rsidRPr="00655054">
        <w:t>s</w:t>
      </w:r>
      <w:r w:rsidRPr="00655054">
        <w:t xml:space="preserve"> </w:t>
      </w:r>
      <w:r w:rsidR="0055364A" w:rsidRPr="00655054">
        <w:t xml:space="preserve">quatorzième à dix-septième </w:t>
      </w:r>
      <w:r w:rsidR="003C2F00" w:rsidRPr="00655054">
        <w:t xml:space="preserve">rapports </w:t>
      </w:r>
      <w:r w:rsidR="00F14DE3" w:rsidRPr="00655054">
        <w:t>périodiques</w:t>
      </w:r>
      <w:r w:rsidR="003C2F00" w:rsidRPr="00655054">
        <w:t xml:space="preserve"> </w:t>
      </w:r>
      <w:r w:rsidR="0055364A" w:rsidRPr="00655054">
        <w:t>du</w:t>
      </w:r>
      <w:r w:rsidR="003C2F00" w:rsidRPr="00655054">
        <w:t xml:space="preserve"> Luxembourg</w:t>
      </w:r>
      <w:r w:rsidR="002848CF" w:rsidRPr="00655054">
        <w:t xml:space="preserve"> </w:t>
      </w:r>
      <w:r w:rsidRPr="00655054">
        <w:t>(</w:t>
      </w:r>
      <w:r w:rsidR="0055364A" w:rsidRPr="00655054">
        <w:t>CERD/C/LUX/</w:t>
      </w:r>
      <w:r w:rsidR="00F14DE3" w:rsidRPr="00655054">
        <w:t>14-</w:t>
      </w:r>
      <w:r w:rsidR="002051F8" w:rsidRPr="00655054">
        <w:t>1</w:t>
      </w:r>
      <w:r w:rsidR="0055364A" w:rsidRPr="00655054">
        <w:t>7</w:t>
      </w:r>
      <w:r w:rsidR="00545061" w:rsidRPr="00655054">
        <w:t>)</w:t>
      </w:r>
    </w:p>
    <w:p w:rsidR="003A4BD4" w:rsidRPr="00655054" w:rsidRDefault="003A4BD4" w:rsidP="003A4BD4">
      <w:pPr>
        <w:pStyle w:val="H1G"/>
        <w:rPr>
          <w:lang w:val="fr-FR"/>
        </w:rPr>
      </w:pPr>
      <w:r w:rsidRPr="00655054">
        <w:rPr>
          <w:lang w:val="fr-FR"/>
        </w:rPr>
        <w:tab/>
      </w:r>
      <w:r w:rsidRPr="00655054">
        <w:rPr>
          <w:lang w:val="fr-FR"/>
        </w:rPr>
        <w:tab/>
        <w:t>Note du Rapporteur pour</w:t>
      </w:r>
      <w:r w:rsidR="002848CF" w:rsidRPr="00655054">
        <w:rPr>
          <w:lang w:val="fr-FR"/>
        </w:rPr>
        <w:t xml:space="preserve"> le</w:t>
      </w:r>
      <w:r w:rsidRPr="00655054">
        <w:rPr>
          <w:lang w:val="fr-FR"/>
        </w:rPr>
        <w:t xml:space="preserve"> </w:t>
      </w:r>
      <w:r w:rsidR="00F14DE3" w:rsidRPr="00655054">
        <w:rPr>
          <w:lang w:val="fr-FR"/>
        </w:rPr>
        <w:t>Luxembourg</w:t>
      </w:r>
    </w:p>
    <w:tbl>
      <w:tblPr>
        <w:tblW w:w="7653" w:type="dxa"/>
        <w:jc w:val="center"/>
        <w:tblBorders>
          <w:insideV w:val="single" w:sz="4" w:space="0" w:color="auto"/>
        </w:tblBorders>
        <w:tblLayout w:type="fixed"/>
        <w:tblCellMar>
          <w:left w:w="142" w:type="dxa"/>
          <w:right w:w="142" w:type="dxa"/>
        </w:tblCellMar>
        <w:tblLook w:val="01E0"/>
      </w:tblPr>
      <w:tblGrid>
        <w:gridCol w:w="7653"/>
      </w:tblGrid>
      <w:tr w:rsidR="003A4BD4" w:rsidRPr="00655054" w:rsidTr="00A6131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3A4BD4" w:rsidRPr="00655054" w:rsidRDefault="003A4BD4" w:rsidP="003A4BD4"/>
        </w:tc>
      </w:tr>
      <w:tr w:rsidR="003A4BD4" w:rsidRPr="00655054" w:rsidTr="00A61310">
        <w:trPr>
          <w:jc w:val="center"/>
        </w:trPr>
        <w:tc>
          <w:tcPr>
            <w:tcW w:w="7653" w:type="dxa"/>
            <w:tcBorders>
              <w:left w:val="single" w:sz="4" w:space="0" w:color="auto"/>
              <w:bottom w:val="nil"/>
              <w:right w:val="single" w:sz="4" w:space="0" w:color="auto"/>
            </w:tcBorders>
            <w:shd w:val="clear" w:color="auto" w:fill="auto"/>
          </w:tcPr>
          <w:p w:rsidR="003A4BD4" w:rsidRPr="00655054" w:rsidRDefault="003A4BD4" w:rsidP="00A61310">
            <w:pPr>
              <w:spacing w:after="120"/>
              <w:ind w:firstLine="567"/>
              <w:jc w:val="both"/>
            </w:pPr>
            <w:r w:rsidRPr="00655054">
              <w:rPr>
                <w:lang w:val="fr-FR"/>
              </w:rPr>
              <w:t>À sa soixante-seizième session, le Comité pour l’élimination de la discrimination raciale a décidé (A/65/18, par. 85) que le Rapporteur pour le pays ferait parvenir à l’État partie concerné une courte liste de thèmes en vue de guider et de structurer le dialogue entre la délégation de l’État partie et le Comité pendant l’examen du rapport de l’</w:t>
            </w:r>
            <w:r w:rsidR="0028779B" w:rsidRPr="00655054">
              <w:rPr>
                <w:lang w:val="fr-FR"/>
              </w:rPr>
              <w:t>État partie. On </w:t>
            </w:r>
            <w:r w:rsidRPr="00655054">
              <w:rPr>
                <w:lang w:val="fr-FR"/>
              </w:rPr>
              <w:t>trouvera ci-après une liste de thèmes non exhaustive, d’autres questions pouvant être traitées au cours du dialogue. Cette liste n’appelle pas de réponses écrites.</w:t>
            </w:r>
          </w:p>
        </w:tc>
      </w:tr>
      <w:tr w:rsidR="003A4BD4" w:rsidRPr="00655054" w:rsidTr="00A6131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3A4BD4" w:rsidRPr="00655054" w:rsidRDefault="003A4BD4" w:rsidP="003A4BD4"/>
        </w:tc>
      </w:tr>
    </w:tbl>
    <w:p w:rsidR="002051F8" w:rsidRPr="00655054" w:rsidRDefault="002051F8" w:rsidP="002051F8">
      <w:pPr>
        <w:pStyle w:val="H23G"/>
        <w:rPr>
          <w:lang w:eastAsia="en-GB"/>
        </w:rPr>
      </w:pPr>
      <w:r w:rsidRPr="00655054">
        <w:rPr>
          <w:color w:val="0000FF"/>
          <w:lang w:val="fr-FR"/>
        </w:rPr>
        <w:tab/>
      </w:r>
      <w:r w:rsidRPr="00655054">
        <w:rPr>
          <w:lang w:val="fr-FR"/>
        </w:rPr>
        <w:t>1.</w:t>
      </w:r>
      <w:r w:rsidRPr="00655054">
        <w:rPr>
          <w:color w:val="0000FF"/>
          <w:lang w:val="fr-FR"/>
        </w:rPr>
        <w:tab/>
      </w:r>
      <w:r w:rsidRPr="00655054">
        <w:rPr>
          <w:lang w:eastAsia="en-GB"/>
        </w:rPr>
        <w:t>Cadre juridique et institutionnel; politiques et programmes aux fins de l’application de la Convention (art. 1, 2, 4, 6 et 7)</w:t>
      </w:r>
    </w:p>
    <w:p w:rsidR="002051F8" w:rsidRPr="00655054" w:rsidRDefault="002051F8" w:rsidP="00F60397">
      <w:pPr>
        <w:pStyle w:val="SingleTxtG"/>
        <w:numPr>
          <w:ilvl w:val="0"/>
          <w:numId w:val="50"/>
        </w:numPr>
        <w:ind w:left="1134" w:firstLine="567"/>
        <w:rPr>
          <w:lang w:eastAsia="en-GB"/>
        </w:rPr>
      </w:pPr>
      <w:r w:rsidRPr="00655054">
        <w:rPr>
          <w:lang w:eastAsia="en-GB"/>
        </w:rPr>
        <w:t xml:space="preserve">Mise à jour sur les progrès effectués concernant le projet de loi prévoyant le renversement de la preuve en matière civile au profit des victimes de discrimination raciale; </w:t>
      </w:r>
      <w:r w:rsidR="00F60397" w:rsidRPr="00655054">
        <w:rPr>
          <w:lang w:eastAsia="en-GB"/>
        </w:rPr>
        <w:t>p</w:t>
      </w:r>
      <w:r w:rsidRPr="00655054">
        <w:rPr>
          <w:lang w:eastAsia="en-GB"/>
        </w:rPr>
        <w:t>osition de l’</w:t>
      </w:r>
      <w:r w:rsidR="00D255A7" w:rsidRPr="00655054">
        <w:rPr>
          <w:lang w:eastAsia="en-GB"/>
        </w:rPr>
        <w:t>État</w:t>
      </w:r>
      <w:r w:rsidRPr="00655054">
        <w:rPr>
          <w:lang w:eastAsia="en-GB"/>
        </w:rPr>
        <w:t xml:space="preserve"> partie concernant la prescription du motif raciste d’un crime comme circonstance aggravante dans le droit pénal; limitation des cas de dérogations à l’interdiction de</w:t>
      </w:r>
      <w:r w:rsidR="00DF7158" w:rsidRPr="00655054">
        <w:rPr>
          <w:lang w:eastAsia="en-GB"/>
        </w:rPr>
        <w:t>s</w:t>
      </w:r>
      <w:r w:rsidRPr="00655054">
        <w:rPr>
          <w:lang w:eastAsia="en-GB"/>
        </w:rPr>
        <w:t xml:space="preserve"> discrimination</w:t>
      </w:r>
      <w:r w:rsidR="00DF7158" w:rsidRPr="00655054">
        <w:rPr>
          <w:lang w:eastAsia="en-GB"/>
        </w:rPr>
        <w:t>s</w:t>
      </w:r>
      <w:r w:rsidRPr="00655054">
        <w:rPr>
          <w:lang w:eastAsia="en-GB"/>
        </w:rPr>
        <w:t xml:space="preserve"> tels que prévus à </w:t>
      </w:r>
      <w:r w:rsidRPr="003F04F0">
        <w:rPr>
          <w:lang w:eastAsia="en-GB"/>
        </w:rPr>
        <w:t>l’article 457-5</w:t>
      </w:r>
      <w:r w:rsidRPr="00655054">
        <w:rPr>
          <w:lang w:eastAsia="en-GB"/>
        </w:rPr>
        <w:t xml:space="preserve"> du Code pénal</w:t>
      </w:r>
      <w:r w:rsidR="003E409B" w:rsidRPr="00655054">
        <w:rPr>
          <w:lang w:eastAsia="en-GB"/>
        </w:rPr>
        <w:t xml:space="preserve"> </w:t>
      </w:r>
      <w:r w:rsidRPr="00655054">
        <w:rPr>
          <w:lang w:eastAsia="en-GB"/>
        </w:rPr>
        <w:t xml:space="preserve">(CERD/C/LUX/CO/13, </w:t>
      </w:r>
      <w:r w:rsidR="005B009F" w:rsidRPr="00655054">
        <w:rPr>
          <w:lang w:eastAsia="en-GB"/>
        </w:rPr>
        <w:t>par. </w:t>
      </w:r>
      <w:r w:rsidRPr="00655054">
        <w:rPr>
          <w:lang w:eastAsia="en-GB"/>
        </w:rPr>
        <w:t>15);</w:t>
      </w:r>
    </w:p>
    <w:p w:rsidR="002051F8" w:rsidRPr="00655054" w:rsidRDefault="002051F8" w:rsidP="000603EF">
      <w:pPr>
        <w:pStyle w:val="SingleTxtG"/>
        <w:numPr>
          <w:ilvl w:val="0"/>
          <w:numId w:val="50"/>
        </w:numPr>
        <w:ind w:left="1134" w:firstLine="567"/>
        <w:rPr>
          <w:lang w:eastAsia="en-GB"/>
        </w:rPr>
      </w:pPr>
      <w:r w:rsidRPr="00655054">
        <w:rPr>
          <w:lang w:eastAsia="en-GB"/>
        </w:rPr>
        <w:t xml:space="preserve">Absence d’exemples sur l’application directe de la Convention par les cours et tribunaux internes (HRI/CORE/LUX/2012, </w:t>
      </w:r>
      <w:r w:rsidR="005B009F" w:rsidRPr="00655054">
        <w:rPr>
          <w:lang w:eastAsia="en-GB"/>
        </w:rPr>
        <w:t>par. </w:t>
      </w:r>
      <w:r w:rsidRPr="00655054">
        <w:rPr>
          <w:lang w:eastAsia="en-GB"/>
        </w:rPr>
        <w:t>205</w:t>
      </w:r>
      <w:r w:rsidR="005B009F" w:rsidRPr="00655054">
        <w:rPr>
          <w:lang w:eastAsia="en-GB"/>
        </w:rPr>
        <w:t xml:space="preserve"> et </w:t>
      </w:r>
      <w:r w:rsidRPr="00655054">
        <w:rPr>
          <w:lang w:eastAsia="en-GB"/>
        </w:rPr>
        <w:t>206). Mise à jour des statistiques sur les cas de discrimination raciale décidés par les cours et tribunaux interne</w:t>
      </w:r>
      <w:r w:rsidR="00872FD3" w:rsidRPr="00655054">
        <w:rPr>
          <w:lang w:eastAsia="en-GB"/>
        </w:rPr>
        <w:t>s</w:t>
      </w:r>
      <w:r w:rsidRPr="00655054">
        <w:rPr>
          <w:lang w:eastAsia="en-GB"/>
        </w:rPr>
        <w:t xml:space="preserve"> et information à fournir sur les sanctions prononcées (CERD/C/LUX/CO/13, </w:t>
      </w:r>
      <w:r w:rsidR="005B009F" w:rsidRPr="00655054">
        <w:rPr>
          <w:lang w:eastAsia="en-GB"/>
        </w:rPr>
        <w:t>par. </w:t>
      </w:r>
      <w:r w:rsidRPr="00655054">
        <w:rPr>
          <w:lang w:eastAsia="en-GB"/>
        </w:rPr>
        <w:t>15; CERD/C/LUX/14</w:t>
      </w:r>
      <w:r w:rsidR="000603EF">
        <w:rPr>
          <w:lang w:eastAsia="en-GB"/>
        </w:rPr>
        <w:noBreakHyphen/>
      </w:r>
      <w:r w:rsidRPr="00655054">
        <w:rPr>
          <w:lang w:eastAsia="en-GB"/>
        </w:rPr>
        <w:t xml:space="preserve">17, </w:t>
      </w:r>
      <w:r w:rsidR="005B009F" w:rsidRPr="00655054">
        <w:rPr>
          <w:lang w:eastAsia="en-GB"/>
        </w:rPr>
        <w:t>par. </w:t>
      </w:r>
      <w:r w:rsidRPr="00655054">
        <w:rPr>
          <w:lang w:eastAsia="en-GB"/>
        </w:rPr>
        <w:t>117). Absence d’information sur les cas de discrimination raciale enregistrés, examinés ou décidés par les institutions suivantes: le Médiateur, la Commission consultative des droits de l’homme, le Centre pour l’</w:t>
      </w:r>
      <w:r w:rsidR="00872FD3" w:rsidRPr="00655054">
        <w:rPr>
          <w:lang w:eastAsia="en-GB"/>
        </w:rPr>
        <w:t>é</w:t>
      </w:r>
      <w:r w:rsidRPr="00655054">
        <w:rPr>
          <w:lang w:eastAsia="en-GB"/>
        </w:rPr>
        <w:t xml:space="preserve">galité de </w:t>
      </w:r>
      <w:r w:rsidR="00872FD3" w:rsidRPr="00655054">
        <w:rPr>
          <w:lang w:eastAsia="en-GB"/>
        </w:rPr>
        <w:t>t</w:t>
      </w:r>
      <w:r w:rsidRPr="00655054">
        <w:rPr>
          <w:lang w:eastAsia="en-GB"/>
        </w:rPr>
        <w:t xml:space="preserve">raitement (HRI/CORE/LUX/2012, </w:t>
      </w:r>
      <w:r w:rsidR="005B009F" w:rsidRPr="00655054">
        <w:rPr>
          <w:lang w:eastAsia="en-GB"/>
        </w:rPr>
        <w:t>par. </w:t>
      </w:r>
      <w:r w:rsidRPr="00655054">
        <w:rPr>
          <w:lang w:eastAsia="en-GB"/>
        </w:rPr>
        <w:t>211</w:t>
      </w:r>
      <w:r w:rsidR="005B009F" w:rsidRPr="00655054">
        <w:rPr>
          <w:lang w:eastAsia="en-GB"/>
        </w:rPr>
        <w:t xml:space="preserve"> à </w:t>
      </w:r>
      <w:r w:rsidRPr="00655054">
        <w:rPr>
          <w:lang w:eastAsia="en-GB"/>
        </w:rPr>
        <w:t>217</w:t>
      </w:r>
      <w:r w:rsidR="006F676E" w:rsidRPr="00655054">
        <w:rPr>
          <w:lang w:eastAsia="en-GB"/>
        </w:rPr>
        <w:t xml:space="preserve"> et</w:t>
      </w:r>
      <w:r w:rsidRPr="00655054">
        <w:rPr>
          <w:lang w:eastAsia="en-GB"/>
        </w:rPr>
        <w:t xml:space="preserve"> 224</w:t>
      </w:r>
      <w:r w:rsidR="005B009F" w:rsidRPr="00655054">
        <w:rPr>
          <w:lang w:eastAsia="en-GB"/>
        </w:rPr>
        <w:t xml:space="preserve"> à </w:t>
      </w:r>
      <w:r w:rsidRPr="00655054">
        <w:rPr>
          <w:lang w:eastAsia="en-GB"/>
        </w:rPr>
        <w:t xml:space="preserve">228; </w:t>
      </w:r>
      <w:r w:rsidR="003E409B" w:rsidRPr="00655054">
        <w:rPr>
          <w:lang w:eastAsia="en-GB"/>
        </w:rPr>
        <w:t>CERD/C/LUX/14-17, par.</w:t>
      </w:r>
      <w:r w:rsidR="005B009F" w:rsidRPr="00655054">
        <w:rPr>
          <w:lang w:eastAsia="en-GB"/>
        </w:rPr>
        <w:t> </w:t>
      </w:r>
      <w:r w:rsidR="003E409B" w:rsidRPr="00655054">
        <w:rPr>
          <w:lang w:eastAsia="en-GB"/>
        </w:rPr>
        <w:t>118)</w:t>
      </w:r>
      <w:r w:rsidRPr="00655054">
        <w:rPr>
          <w:lang w:eastAsia="en-GB"/>
        </w:rPr>
        <w:t>;</w:t>
      </w:r>
    </w:p>
    <w:p w:rsidR="002051F8" w:rsidRPr="00655054" w:rsidRDefault="002051F8" w:rsidP="002D28C5">
      <w:pPr>
        <w:pStyle w:val="SingleTxtG"/>
        <w:numPr>
          <w:ilvl w:val="0"/>
          <w:numId w:val="50"/>
        </w:numPr>
        <w:ind w:left="1134" w:firstLine="567"/>
        <w:rPr>
          <w:lang w:eastAsia="en-GB"/>
        </w:rPr>
      </w:pPr>
      <w:r w:rsidRPr="00655054">
        <w:rPr>
          <w:lang w:eastAsia="en-GB"/>
        </w:rPr>
        <w:t>Information supplémentaire sur l’Office luxembourgeois de l’accueil et de l’intégration et</w:t>
      </w:r>
      <w:r w:rsidR="00D255A7" w:rsidRPr="00655054">
        <w:rPr>
          <w:lang w:eastAsia="en-GB"/>
        </w:rPr>
        <w:t xml:space="preserve"> </w:t>
      </w:r>
      <w:r w:rsidRPr="00655054">
        <w:rPr>
          <w:lang w:eastAsia="en-GB"/>
        </w:rPr>
        <w:t>résultats obtenus en matière d’intégration des étrangers (CERD/C/LUX/14</w:t>
      </w:r>
      <w:r w:rsidR="002D28C5">
        <w:rPr>
          <w:lang w:eastAsia="en-GB"/>
        </w:rPr>
        <w:noBreakHyphen/>
      </w:r>
      <w:r w:rsidRPr="00655054">
        <w:rPr>
          <w:lang w:eastAsia="en-GB"/>
        </w:rPr>
        <w:t xml:space="preserve">17, </w:t>
      </w:r>
      <w:r w:rsidR="005B009F" w:rsidRPr="00655054">
        <w:rPr>
          <w:lang w:eastAsia="en-GB"/>
        </w:rPr>
        <w:t>par. </w:t>
      </w:r>
      <w:r w:rsidRPr="00655054">
        <w:rPr>
          <w:lang w:eastAsia="en-GB"/>
        </w:rPr>
        <w:t xml:space="preserve">14); </w:t>
      </w:r>
      <w:r w:rsidR="00D11F42" w:rsidRPr="00655054">
        <w:rPr>
          <w:lang w:eastAsia="en-GB"/>
        </w:rPr>
        <w:t>b</w:t>
      </w:r>
      <w:r w:rsidRPr="00655054">
        <w:rPr>
          <w:lang w:eastAsia="en-GB"/>
        </w:rPr>
        <w:t>ilan à mi-parcours et impact sur la discrimination raciale du Plan d’action pluriannuel d’intégration et de lutte contre les discriminations 2010-2014 (CERD/C/LUX/14</w:t>
      </w:r>
      <w:r w:rsidR="002D28C5">
        <w:rPr>
          <w:lang w:eastAsia="en-GB"/>
        </w:rPr>
        <w:noBreakHyphen/>
      </w:r>
      <w:r w:rsidRPr="00655054">
        <w:rPr>
          <w:lang w:eastAsia="en-GB"/>
        </w:rPr>
        <w:t xml:space="preserve">17, </w:t>
      </w:r>
      <w:r w:rsidR="005B009F" w:rsidRPr="00655054">
        <w:rPr>
          <w:lang w:eastAsia="en-GB"/>
        </w:rPr>
        <w:t>par. </w:t>
      </w:r>
      <w:r w:rsidRPr="00655054">
        <w:rPr>
          <w:lang w:eastAsia="en-GB"/>
        </w:rPr>
        <w:t>14);</w:t>
      </w:r>
    </w:p>
    <w:p w:rsidR="002051F8" w:rsidRPr="00655054" w:rsidRDefault="002051F8" w:rsidP="004120DF">
      <w:pPr>
        <w:pStyle w:val="SingleTxtG"/>
        <w:numPr>
          <w:ilvl w:val="0"/>
          <w:numId w:val="50"/>
        </w:numPr>
        <w:ind w:left="1134" w:firstLine="567"/>
        <w:rPr>
          <w:lang w:eastAsia="en-GB"/>
        </w:rPr>
      </w:pPr>
      <w:r w:rsidRPr="00655054">
        <w:rPr>
          <w:lang w:eastAsia="en-GB"/>
        </w:rPr>
        <w:t>Impact des mesures</w:t>
      </w:r>
      <w:r w:rsidR="00D255A7" w:rsidRPr="00655054">
        <w:rPr>
          <w:lang w:eastAsia="en-GB"/>
        </w:rPr>
        <w:t xml:space="preserve"> </w:t>
      </w:r>
      <w:r w:rsidRPr="00655054">
        <w:rPr>
          <w:lang w:eastAsia="en-GB"/>
        </w:rPr>
        <w:t xml:space="preserve">de sensibilisation visant à lutter contre le racisme sur Internet (CERD/C/LUX/CO/13, </w:t>
      </w:r>
      <w:r w:rsidR="005B009F" w:rsidRPr="00655054">
        <w:rPr>
          <w:lang w:eastAsia="en-GB"/>
        </w:rPr>
        <w:t>par. </w:t>
      </w:r>
      <w:r w:rsidRPr="00655054">
        <w:rPr>
          <w:lang w:eastAsia="en-GB"/>
        </w:rPr>
        <w:t xml:space="preserve">14; CERD/C/LUX/14-17, Annexe, </w:t>
      </w:r>
      <w:r w:rsidR="005B009F" w:rsidRPr="00655054">
        <w:rPr>
          <w:lang w:eastAsia="en-GB"/>
        </w:rPr>
        <w:t>par. </w:t>
      </w:r>
      <w:r w:rsidRPr="00655054">
        <w:rPr>
          <w:lang w:eastAsia="en-GB"/>
        </w:rPr>
        <w:t>9</w:t>
      </w:r>
      <w:r w:rsidR="00631349" w:rsidRPr="00655054">
        <w:rPr>
          <w:lang w:eastAsia="en-GB"/>
        </w:rPr>
        <w:t>)</w:t>
      </w:r>
      <w:r w:rsidRPr="00655054">
        <w:rPr>
          <w:lang w:eastAsia="en-GB"/>
        </w:rPr>
        <w:t xml:space="preserve">; </w:t>
      </w:r>
      <w:r w:rsidR="00D11F42" w:rsidRPr="00655054">
        <w:rPr>
          <w:lang w:eastAsia="en-GB"/>
        </w:rPr>
        <w:t>m</w:t>
      </w:r>
      <w:r w:rsidRPr="00655054">
        <w:rPr>
          <w:lang w:eastAsia="en-GB"/>
        </w:rPr>
        <w:t xml:space="preserve">ise à jour </w:t>
      </w:r>
      <w:r w:rsidR="00D11F42" w:rsidRPr="00655054">
        <w:rPr>
          <w:lang w:eastAsia="en-GB"/>
        </w:rPr>
        <w:t xml:space="preserve">des </w:t>
      </w:r>
      <w:r w:rsidRPr="00655054">
        <w:rPr>
          <w:lang w:eastAsia="en-GB"/>
        </w:rPr>
        <w:t>progrès effectués pour ratifier l</w:t>
      </w:r>
      <w:r w:rsidR="00872FD3" w:rsidRPr="00655054">
        <w:rPr>
          <w:lang w:eastAsia="en-GB"/>
        </w:rPr>
        <w:t>a</w:t>
      </w:r>
      <w:r w:rsidRPr="00655054">
        <w:rPr>
          <w:lang w:eastAsia="en-GB"/>
        </w:rPr>
        <w:t xml:space="preserve"> Convention du Conseil de l’Europe sur la cybercriminalité et son protocole additionnel relatif à l</w:t>
      </w:r>
      <w:r w:rsidR="004120DF" w:rsidRPr="00655054">
        <w:rPr>
          <w:lang w:eastAsia="en-GB"/>
        </w:rPr>
        <w:t>’incrimination d’</w:t>
      </w:r>
      <w:r w:rsidRPr="00655054">
        <w:rPr>
          <w:lang w:eastAsia="en-GB"/>
        </w:rPr>
        <w:t xml:space="preserve">actes de nature raciste et xénophobe commis par le biais de systèmes informatiques </w:t>
      </w:r>
      <w:r w:rsidR="00D11F42" w:rsidRPr="00655054">
        <w:rPr>
          <w:lang w:eastAsia="en-GB"/>
        </w:rPr>
        <w:t>(</w:t>
      </w:r>
      <w:r w:rsidRPr="00655054">
        <w:rPr>
          <w:lang w:eastAsia="en-GB"/>
        </w:rPr>
        <w:t xml:space="preserve">CERD/C/LUX/CO/13, </w:t>
      </w:r>
      <w:r w:rsidR="005B009F" w:rsidRPr="00655054">
        <w:rPr>
          <w:lang w:eastAsia="en-GB"/>
        </w:rPr>
        <w:t>par. </w:t>
      </w:r>
      <w:r w:rsidRPr="00655054">
        <w:rPr>
          <w:lang w:eastAsia="en-GB"/>
        </w:rPr>
        <w:t xml:space="preserve">14; CERD/C/LUX/14-17, Annexe, </w:t>
      </w:r>
      <w:r w:rsidR="005B009F" w:rsidRPr="00655054">
        <w:rPr>
          <w:lang w:eastAsia="en-GB"/>
        </w:rPr>
        <w:t>par. </w:t>
      </w:r>
      <w:r w:rsidRPr="00655054">
        <w:rPr>
          <w:lang w:eastAsia="en-GB"/>
        </w:rPr>
        <w:t>10);</w:t>
      </w:r>
    </w:p>
    <w:p w:rsidR="002051F8" w:rsidRPr="00655054" w:rsidRDefault="002051F8" w:rsidP="00D11F42">
      <w:pPr>
        <w:pStyle w:val="SingleTxtG"/>
        <w:numPr>
          <w:ilvl w:val="0"/>
          <w:numId w:val="50"/>
        </w:numPr>
        <w:ind w:left="1134" w:firstLine="567"/>
        <w:rPr>
          <w:lang w:eastAsia="en-GB"/>
        </w:rPr>
      </w:pPr>
      <w:r w:rsidRPr="00655054">
        <w:rPr>
          <w:lang w:eastAsia="en-GB"/>
        </w:rPr>
        <w:t>Impact sur la réduction de la discrimination raciale des initiatives prises par l’</w:t>
      </w:r>
      <w:r w:rsidR="00D255A7" w:rsidRPr="00655054">
        <w:rPr>
          <w:lang w:eastAsia="en-GB"/>
        </w:rPr>
        <w:t>État</w:t>
      </w:r>
      <w:r w:rsidRPr="00655054">
        <w:rPr>
          <w:lang w:eastAsia="en-GB"/>
        </w:rPr>
        <w:t xml:space="preserve"> partie afin de promouvoir la pluriculturalité, le vivre-ensemble et la possibilité pour les différentes communautés de promouvoir leurs cultures (CERD/C/LUX/14-17, </w:t>
      </w:r>
      <w:r w:rsidR="005B009F" w:rsidRPr="00655054">
        <w:rPr>
          <w:lang w:eastAsia="en-GB"/>
        </w:rPr>
        <w:t>par. </w:t>
      </w:r>
      <w:r w:rsidRPr="00655054">
        <w:rPr>
          <w:lang w:eastAsia="en-GB"/>
        </w:rPr>
        <w:t>109</w:t>
      </w:r>
      <w:r w:rsidR="005B009F" w:rsidRPr="00655054">
        <w:rPr>
          <w:lang w:eastAsia="en-GB"/>
        </w:rPr>
        <w:t xml:space="preserve"> à </w:t>
      </w:r>
      <w:r w:rsidRPr="00655054">
        <w:rPr>
          <w:lang w:eastAsia="en-GB"/>
        </w:rPr>
        <w:t>115</w:t>
      </w:r>
      <w:r w:rsidR="005B009F" w:rsidRPr="00655054">
        <w:rPr>
          <w:lang w:eastAsia="en-GB"/>
        </w:rPr>
        <w:t xml:space="preserve"> et</w:t>
      </w:r>
      <w:r w:rsidRPr="00655054">
        <w:rPr>
          <w:lang w:eastAsia="en-GB"/>
        </w:rPr>
        <w:t xml:space="preserve"> 122</w:t>
      </w:r>
      <w:r w:rsidR="005B009F" w:rsidRPr="00655054">
        <w:rPr>
          <w:lang w:eastAsia="en-GB"/>
        </w:rPr>
        <w:t xml:space="preserve"> à </w:t>
      </w:r>
      <w:r w:rsidRPr="00655054">
        <w:rPr>
          <w:lang w:eastAsia="en-GB"/>
        </w:rPr>
        <w:t>131).</w:t>
      </w:r>
    </w:p>
    <w:p w:rsidR="002051F8" w:rsidRPr="00655054" w:rsidRDefault="002051F8" w:rsidP="002051F8">
      <w:pPr>
        <w:pStyle w:val="H23G"/>
        <w:rPr>
          <w:lang w:eastAsia="en-GB"/>
        </w:rPr>
      </w:pPr>
      <w:r w:rsidRPr="00655054">
        <w:rPr>
          <w:lang w:eastAsia="en-GB"/>
        </w:rPr>
        <w:tab/>
        <w:t>2.</w:t>
      </w:r>
      <w:r w:rsidRPr="00655054">
        <w:rPr>
          <w:lang w:eastAsia="en-GB"/>
        </w:rPr>
        <w:tab/>
        <w:t>Droits économiques, sociaux et culturels de</w:t>
      </w:r>
      <w:r w:rsidR="007765D1" w:rsidRPr="00655054">
        <w:rPr>
          <w:lang w:eastAsia="en-GB"/>
        </w:rPr>
        <w:t>s</w:t>
      </w:r>
      <w:r w:rsidRPr="00655054">
        <w:rPr>
          <w:lang w:eastAsia="en-GB"/>
        </w:rPr>
        <w:t xml:space="preserve"> non-ressortissants (art. 5)</w:t>
      </w:r>
    </w:p>
    <w:p w:rsidR="002051F8" w:rsidRPr="00655054" w:rsidRDefault="002051F8" w:rsidP="007765D1">
      <w:pPr>
        <w:pStyle w:val="SingleTxtG"/>
        <w:ind w:firstLine="567"/>
        <w:rPr>
          <w:lang w:eastAsia="en-GB"/>
        </w:rPr>
      </w:pPr>
      <w:r w:rsidRPr="00655054">
        <w:rPr>
          <w:lang w:eastAsia="en-GB"/>
        </w:rPr>
        <w:t>a)</w:t>
      </w:r>
      <w:r w:rsidRPr="00655054">
        <w:rPr>
          <w:lang w:eastAsia="en-GB"/>
        </w:rPr>
        <w:tab/>
        <w:t>Impact des mesures prises pour l’insertion des enfants d’origine étrangère et la prévention de</w:t>
      </w:r>
      <w:r w:rsidR="00D255A7" w:rsidRPr="00655054">
        <w:rPr>
          <w:lang w:eastAsia="en-GB"/>
        </w:rPr>
        <w:t xml:space="preserve"> </w:t>
      </w:r>
      <w:r w:rsidRPr="00655054">
        <w:rPr>
          <w:lang w:eastAsia="en-GB"/>
        </w:rPr>
        <w:t xml:space="preserve">la discrimination raciale à l’école (CERD/C/LUX/14-17, </w:t>
      </w:r>
      <w:r w:rsidR="005B009F" w:rsidRPr="00655054">
        <w:rPr>
          <w:lang w:eastAsia="en-GB"/>
        </w:rPr>
        <w:t>par. </w:t>
      </w:r>
      <w:r w:rsidRPr="00655054">
        <w:rPr>
          <w:lang w:eastAsia="en-GB"/>
        </w:rPr>
        <w:t>100</w:t>
      </w:r>
      <w:r w:rsidR="006F676E" w:rsidRPr="00655054">
        <w:rPr>
          <w:lang w:eastAsia="en-GB"/>
        </w:rPr>
        <w:t xml:space="preserve"> à </w:t>
      </w:r>
      <w:r w:rsidRPr="00655054">
        <w:rPr>
          <w:lang w:eastAsia="en-GB"/>
        </w:rPr>
        <w:t xml:space="preserve">108); </w:t>
      </w:r>
      <w:r w:rsidR="007765D1" w:rsidRPr="00655054">
        <w:rPr>
          <w:lang w:eastAsia="en-GB"/>
        </w:rPr>
        <w:t>a</w:t>
      </w:r>
      <w:r w:rsidRPr="00655054">
        <w:rPr>
          <w:lang w:eastAsia="en-GB"/>
        </w:rPr>
        <w:t xml:space="preserve">ccès effectif sans discrimination de personnes étrangères au logement y compris au parc locatif privé (CERD/C/LUX/CO/13, </w:t>
      </w:r>
      <w:r w:rsidR="005B009F" w:rsidRPr="00655054">
        <w:rPr>
          <w:lang w:eastAsia="en-GB"/>
        </w:rPr>
        <w:t>par. </w:t>
      </w:r>
      <w:r w:rsidRPr="00655054">
        <w:rPr>
          <w:lang w:eastAsia="en-GB"/>
        </w:rPr>
        <w:t xml:space="preserve">17; CERD/C/LUX/14-17, Annexe, </w:t>
      </w:r>
      <w:r w:rsidR="005B009F" w:rsidRPr="00655054">
        <w:rPr>
          <w:lang w:eastAsia="en-GB"/>
        </w:rPr>
        <w:t>par. </w:t>
      </w:r>
      <w:r w:rsidRPr="00655054">
        <w:rPr>
          <w:lang w:eastAsia="en-GB"/>
        </w:rPr>
        <w:t xml:space="preserve">12; CERD/C/LUX/14-17, </w:t>
      </w:r>
      <w:r w:rsidR="005B009F" w:rsidRPr="00655054">
        <w:rPr>
          <w:lang w:eastAsia="en-GB"/>
        </w:rPr>
        <w:t>par. </w:t>
      </w:r>
      <w:r w:rsidRPr="00655054">
        <w:rPr>
          <w:lang w:eastAsia="en-GB"/>
        </w:rPr>
        <w:t>79</w:t>
      </w:r>
      <w:r w:rsidR="005B009F" w:rsidRPr="00655054">
        <w:rPr>
          <w:lang w:eastAsia="en-GB"/>
        </w:rPr>
        <w:t xml:space="preserve"> à </w:t>
      </w:r>
      <w:r w:rsidRPr="00655054">
        <w:rPr>
          <w:lang w:eastAsia="en-GB"/>
        </w:rPr>
        <w:t>82</w:t>
      </w:r>
      <w:r w:rsidR="00631349" w:rsidRPr="00655054">
        <w:rPr>
          <w:lang w:eastAsia="en-GB"/>
        </w:rPr>
        <w:t>)</w:t>
      </w:r>
      <w:r w:rsidR="00F60397" w:rsidRPr="00655054">
        <w:rPr>
          <w:lang w:eastAsia="en-GB"/>
        </w:rPr>
        <w:t>;</w:t>
      </w:r>
    </w:p>
    <w:p w:rsidR="002051F8" w:rsidRPr="00655054" w:rsidRDefault="002051F8" w:rsidP="00631349">
      <w:pPr>
        <w:pStyle w:val="SingleTxtG"/>
        <w:ind w:firstLine="567"/>
        <w:rPr>
          <w:lang w:eastAsia="en-GB"/>
        </w:rPr>
      </w:pPr>
      <w:r w:rsidRPr="00655054">
        <w:rPr>
          <w:lang w:eastAsia="en-GB"/>
        </w:rPr>
        <w:t>b)</w:t>
      </w:r>
      <w:r w:rsidRPr="00655054">
        <w:rPr>
          <w:lang w:eastAsia="en-GB"/>
        </w:rPr>
        <w:tab/>
        <w:t xml:space="preserve">Information sur l’application effective de la législation transposant la directive 2000/78/CE du 27 novembre 2000 portant création d’un cadre général en faveur de l’égalité de traitement en matière d’emploi et de travail, notamment à l’égard des femmes étrangères (CERD/C/LUX/14-17, </w:t>
      </w:r>
      <w:r w:rsidR="005B009F" w:rsidRPr="00655054">
        <w:rPr>
          <w:lang w:eastAsia="en-GB"/>
        </w:rPr>
        <w:t>par. </w:t>
      </w:r>
      <w:r w:rsidRPr="00655054">
        <w:rPr>
          <w:lang w:eastAsia="en-GB"/>
        </w:rPr>
        <w:t>87), ainsi que l’article 11 de la Constitution.</w:t>
      </w:r>
    </w:p>
    <w:p w:rsidR="002051F8" w:rsidRPr="00655054" w:rsidRDefault="002051F8" w:rsidP="002051F8">
      <w:pPr>
        <w:pStyle w:val="H23G"/>
        <w:rPr>
          <w:lang w:eastAsia="en-GB"/>
        </w:rPr>
      </w:pPr>
      <w:r w:rsidRPr="00655054">
        <w:rPr>
          <w:lang w:eastAsia="en-GB"/>
        </w:rPr>
        <w:tab/>
        <w:t>3.</w:t>
      </w:r>
      <w:r w:rsidRPr="00655054">
        <w:rPr>
          <w:lang w:eastAsia="en-GB"/>
        </w:rPr>
        <w:tab/>
        <w:t>Demandeurs d’asile (art. 5 et 6)</w:t>
      </w:r>
    </w:p>
    <w:p w:rsidR="002051F8" w:rsidRPr="00655054" w:rsidRDefault="002051F8" w:rsidP="007765D1">
      <w:pPr>
        <w:pStyle w:val="SingleTxtG"/>
        <w:ind w:firstLine="567"/>
        <w:rPr>
          <w:lang w:eastAsia="en-GB"/>
        </w:rPr>
      </w:pPr>
      <w:r w:rsidRPr="00655054">
        <w:rPr>
          <w:lang w:eastAsia="en-GB"/>
        </w:rPr>
        <w:t>a)</w:t>
      </w:r>
      <w:r w:rsidRPr="00655054">
        <w:rPr>
          <w:lang w:eastAsia="en-GB"/>
        </w:rPr>
        <w:tab/>
        <w:t>Mesures prises visant à améliorer la procédure d’asile y compris les délais de traitement des demandes</w:t>
      </w:r>
      <w:r w:rsidR="007765D1" w:rsidRPr="00655054">
        <w:rPr>
          <w:lang w:eastAsia="en-GB"/>
        </w:rPr>
        <w:t>;</w:t>
      </w:r>
      <w:r w:rsidRPr="00655054">
        <w:rPr>
          <w:lang w:eastAsia="en-GB"/>
        </w:rPr>
        <w:t xml:space="preserve"> </w:t>
      </w:r>
      <w:r w:rsidR="007765D1" w:rsidRPr="00655054">
        <w:rPr>
          <w:lang w:eastAsia="en-GB"/>
        </w:rPr>
        <w:t>i</w:t>
      </w:r>
      <w:r w:rsidRPr="00655054">
        <w:rPr>
          <w:lang w:eastAsia="en-GB"/>
        </w:rPr>
        <w:t xml:space="preserve">nformation sur la procédure de détermination d’apatridie (A/HRC/WG.6/15/LUX/2, </w:t>
      </w:r>
      <w:r w:rsidR="005B009F" w:rsidRPr="00655054">
        <w:rPr>
          <w:lang w:eastAsia="en-GB"/>
        </w:rPr>
        <w:t>par. </w:t>
      </w:r>
      <w:r w:rsidRPr="00655054">
        <w:rPr>
          <w:lang w:eastAsia="en-GB"/>
        </w:rPr>
        <w:t>16</w:t>
      </w:r>
      <w:r w:rsidR="005B009F" w:rsidRPr="00655054">
        <w:rPr>
          <w:lang w:eastAsia="en-GB"/>
        </w:rPr>
        <w:t xml:space="preserve"> à </w:t>
      </w:r>
      <w:r w:rsidRPr="00655054">
        <w:rPr>
          <w:lang w:eastAsia="en-GB"/>
        </w:rPr>
        <w:t xml:space="preserve">19); </w:t>
      </w:r>
    </w:p>
    <w:p w:rsidR="002051F8" w:rsidRPr="00136674" w:rsidRDefault="002051F8" w:rsidP="00631349">
      <w:pPr>
        <w:pStyle w:val="SingleTxtG"/>
        <w:ind w:firstLine="567"/>
        <w:rPr>
          <w:lang w:eastAsia="en-GB"/>
        </w:rPr>
      </w:pPr>
      <w:r w:rsidRPr="00655054">
        <w:rPr>
          <w:lang w:eastAsia="en-GB"/>
        </w:rPr>
        <w:t>b)</w:t>
      </w:r>
      <w:r w:rsidRPr="00655054">
        <w:rPr>
          <w:lang w:eastAsia="en-GB"/>
        </w:rPr>
        <w:tab/>
        <w:t>Information sur l’accès effectif des demandeurs d’asile au marché de l’emploi (</w:t>
      </w:r>
      <w:r w:rsidR="00631349" w:rsidRPr="00655054">
        <w:rPr>
          <w:lang w:eastAsia="en-GB"/>
        </w:rPr>
        <w:t xml:space="preserve">A/HRC/WG.6/15/LUX/2, </w:t>
      </w:r>
      <w:r w:rsidR="005B009F" w:rsidRPr="00655054">
        <w:rPr>
          <w:lang w:eastAsia="en-GB"/>
        </w:rPr>
        <w:t>par. </w:t>
      </w:r>
      <w:r w:rsidR="00631349" w:rsidRPr="00655054">
        <w:rPr>
          <w:lang w:eastAsia="en-GB"/>
        </w:rPr>
        <w:t>21).</w:t>
      </w:r>
    </w:p>
    <w:p w:rsidR="002051F8" w:rsidRDefault="002051F8" w:rsidP="002051F8">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2051F8" w:rsidSect="003A4BD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159" w:rsidRDefault="00FE4159"/>
  </w:endnote>
  <w:endnote w:type="continuationSeparator" w:id="0">
    <w:p w:rsidR="00FE4159" w:rsidRDefault="00FE4159">
      <w:pPr>
        <w:pStyle w:val="Footer"/>
      </w:pPr>
    </w:p>
  </w:endnote>
  <w:endnote w:type="continuationNotice" w:id="1">
    <w:p w:rsidR="00FE4159" w:rsidRPr="00C451B9" w:rsidRDefault="00FE4159" w:rsidP="00C451B9">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6" w:rsidRPr="003A4BD4" w:rsidRDefault="00AC0056" w:rsidP="003A4BD4">
    <w:pPr>
      <w:pStyle w:val="Footer"/>
      <w:tabs>
        <w:tab w:val="right" w:pos="9638"/>
      </w:tabs>
    </w:pPr>
    <w:r w:rsidRPr="003A4BD4">
      <w:rPr>
        <w:b/>
        <w:sz w:val="18"/>
      </w:rPr>
      <w:fldChar w:fldCharType="begin"/>
    </w:r>
    <w:r w:rsidRPr="003A4BD4">
      <w:rPr>
        <w:b/>
        <w:sz w:val="18"/>
      </w:rPr>
      <w:instrText xml:space="preserve"> PAGE  \* MERGEFORMAT </w:instrText>
    </w:r>
    <w:r w:rsidRPr="003A4BD4">
      <w:rPr>
        <w:b/>
        <w:sz w:val="18"/>
      </w:rPr>
      <w:fldChar w:fldCharType="separate"/>
    </w:r>
    <w:r w:rsidR="00A266DB">
      <w:rPr>
        <w:b/>
        <w:noProof/>
        <w:sz w:val="18"/>
      </w:rPr>
      <w:t>2</w:t>
    </w:r>
    <w:r w:rsidRPr="003A4BD4">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6" w:rsidRPr="003A4BD4" w:rsidRDefault="00AC0056" w:rsidP="003A4BD4">
    <w:pPr>
      <w:pStyle w:val="Footer"/>
      <w:tabs>
        <w:tab w:val="right" w:pos="9638"/>
      </w:tabs>
      <w:rPr>
        <w:b/>
        <w:sz w:val="18"/>
      </w:rPr>
    </w:pPr>
    <w:r>
      <w:t>GE.13-63513</w:t>
    </w:r>
    <w:r>
      <w:tab/>
    </w:r>
    <w:r w:rsidRPr="003A4BD4">
      <w:rPr>
        <w:b/>
        <w:sz w:val="18"/>
      </w:rPr>
      <w:fldChar w:fldCharType="begin"/>
    </w:r>
    <w:r w:rsidRPr="003A4BD4">
      <w:rPr>
        <w:b/>
        <w:sz w:val="18"/>
      </w:rPr>
      <w:instrText xml:space="preserve"> PAGE  \* MERGEFORMAT </w:instrText>
    </w:r>
    <w:r w:rsidRPr="003A4BD4">
      <w:rPr>
        <w:b/>
        <w:sz w:val="18"/>
      </w:rPr>
      <w:fldChar w:fldCharType="separate"/>
    </w:r>
    <w:r>
      <w:rPr>
        <w:b/>
        <w:noProof/>
        <w:sz w:val="18"/>
      </w:rPr>
      <w:t>3</w:t>
    </w:r>
    <w:r w:rsidRPr="003A4BD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6" w:rsidRPr="003A4BD4" w:rsidRDefault="00AC0056" w:rsidP="008D39F4">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2.85pt;width:86.95pt;height:18.35pt;z-index:1">
          <v:imagedata r:id="rId1" o:title="recycle_French"/>
        </v:shape>
      </w:pict>
    </w:r>
    <w:r>
      <w:rPr>
        <w:sz w:val="20"/>
      </w:rPr>
      <w:t>GE.13-</w:t>
    </w:r>
    <w:r w:rsidR="00A266DB">
      <w:rPr>
        <w:sz w:val="20"/>
      </w:rPr>
      <w:t>48822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159" w:rsidRPr="00D27D5E" w:rsidRDefault="00FE4159" w:rsidP="00D27D5E">
      <w:pPr>
        <w:tabs>
          <w:tab w:val="right" w:pos="2155"/>
        </w:tabs>
        <w:spacing w:after="80"/>
        <w:ind w:left="680"/>
        <w:rPr>
          <w:u w:val="single"/>
        </w:rPr>
      </w:pPr>
      <w:r>
        <w:rPr>
          <w:u w:val="single"/>
        </w:rPr>
        <w:tab/>
      </w:r>
    </w:p>
  </w:footnote>
  <w:footnote w:type="continuationSeparator" w:id="0">
    <w:p w:rsidR="00FE4159" w:rsidRPr="00D171D4" w:rsidRDefault="00FE4159" w:rsidP="00D171D4">
      <w:pPr>
        <w:tabs>
          <w:tab w:val="right" w:pos="2155"/>
        </w:tabs>
        <w:spacing w:after="80"/>
        <w:ind w:left="680"/>
        <w:rPr>
          <w:u w:val="single"/>
        </w:rPr>
      </w:pPr>
      <w:r w:rsidRPr="00D171D4">
        <w:rPr>
          <w:u w:val="single"/>
        </w:rPr>
        <w:tab/>
      </w:r>
    </w:p>
  </w:footnote>
  <w:footnote w:type="continuationNotice" w:id="1">
    <w:p w:rsidR="00FE4159" w:rsidRPr="00C451B9" w:rsidRDefault="00FE4159" w:rsidP="00C451B9">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6" w:rsidRDefault="00AC0056">
    <w:pPr>
      <w:pStyle w:val="Header"/>
    </w:pPr>
    <w:r>
      <w:t>CERD/C/LUX/Q/14-17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6" w:rsidRPr="003A4BD4" w:rsidRDefault="00AC0056" w:rsidP="003A4BD4">
    <w:pPr>
      <w:pStyle w:val="Header"/>
      <w:jc w:val="right"/>
    </w:pPr>
    <w:r>
      <w:t>CERD/C/LUX/Q/14-17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DB" w:rsidRDefault="00A26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5F854E47"/>
    <w:multiLevelType w:val="hybridMultilevel"/>
    <w:tmpl w:val="804685B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18"/>
  </w:num>
  <w:num w:numId="3">
    <w:abstractNumId w:val="41"/>
  </w:num>
  <w:num w:numId="4">
    <w:abstractNumId w:val="18"/>
  </w:num>
  <w:num w:numId="5">
    <w:abstractNumId w:val="11"/>
  </w:num>
  <w:num w:numId="6">
    <w:abstractNumId w:val="20"/>
  </w:num>
  <w:num w:numId="7">
    <w:abstractNumId w:val="25"/>
  </w:num>
  <w:num w:numId="8">
    <w:abstractNumId w:val="39"/>
  </w:num>
  <w:num w:numId="9">
    <w:abstractNumId w:val="31"/>
  </w:num>
  <w:num w:numId="10">
    <w:abstractNumId w:val="42"/>
  </w:num>
  <w:num w:numId="11">
    <w:abstractNumId w:val="25"/>
  </w:num>
  <w:num w:numId="12">
    <w:abstractNumId w:val="29"/>
  </w:num>
  <w:num w:numId="13">
    <w:abstractNumId w:val="29"/>
  </w:num>
  <w:num w:numId="14">
    <w:abstractNumId w:val="36"/>
  </w:num>
  <w:num w:numId="15">
    <w:abstractNumId w:val="23"/>
  </w:num>
  <w:num w:numId="16">
    <w:abstractNumId w:val="23"/>
  </w:num>
  <w:num w:numId="17">
    <w:abstractNumId w:val="41"/>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40"/>
  </w:num>
  <w:num w:numId="37">
    <w:abstractNumId w:val="37"/>
  </w:num>
  <w:num w:numId="38">
    <w:abstractNumId w:val="22"/>
  </w:num>
  <w:num w:numId="39">
    <w:abstractNumId w:val="28"/>
  </w:num>
  <w:num w:numId="40">
    <w:abstractNumId w:val="38"/>
  </w:num>
  <w:num w:numId="41">
    <w:abstractNumId w:val="16"/>
  </w:num>
  <w:num w:numId="42">
    <w:abstractNumId w:val="24"/>
  </w:num>
  <w:num w:numId="43">
    <w:abstractNumId w:val="32"/>
  </w:num>
  <w:num w:numId="44">
    <w:abstractNumId w:val="21"/>
  </w:num>
  <w:num w:numId="45">
    <w:abstractNumId w:val="35"/>
  </w:num>
  <w:num w:numId="46">
    <w:abstractNumId w:val="30"/>
  </w:num>
  <w:num w:numId="47">
    <w:abstractNumId w:val="27"/>
  </w:num>
  <w:num w:numId="48">
    <w:abstractNumId w:val="17"/>
  </w:num>
  <w:num w:numId="49">
    <w:abstractNumId w:val="14"/>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595"/>
    <w:rsid w:val="0001470D"/>
    <w:rsid w:val="00016165"/>
    <w:rsid w:val="00016AC5"/>
    <w:rsid w:val="00021907"/>
    <w:rsid w:val="000233A5"/>
    <w:rsid w:val="0002445D"/>
    <w:rsid w:val="00024C50"/>
    <w:rsid w:val="00025E92"/>
    <w:rsid w:val="000276A3"/>
    <w:rsid w:val="00032060"/>
    <w:rsid w:val="000340AE"/>
    <w:rsid w:val="00040539"/>
    <w:rsid w:val="00040598"/>
    <w:rsid w:val="00045C8E"/>
    <w:rsid w:val="00047F10"/>
    <w:rsid w:val="00052157"/>
    <w:rsid w:val="0005346D"/>
    <w:rsid w:val="00055FE4"/>
    <w:rsid w:val="000603EF"/>
    <w:rsid w:val="000641CE"/>
    <w:rsid w:val="00067310"/>
    <w:rsid w:val="00072B11"/>
    <w:rsid w:val="00077E35"/>
    <w:rsid w:val="0008669E"/>
    <w:rsid w:val="00090599"/>
    <w:rsid w:val="000A10FD"/>
    <w:rsid w:val="000A1501"/>
    <w:rsid w:val="000A2494"/>
    <w:rsid w:val="000A6B7E"/>
    <w:rsid w:val="000B1595"/>
    <w:rsid w:val="000C6CDB"/>
    <w:rsid w:val="000D3D09"/>
    <w:rsid w:val="000D5C25"/>
    <w:rsid w:val="000E4F06"/>
    <w:rsid w:val="000E5601"/>
    <w:rsid w:val="000F41F2"/>
    <w:rsid w:val="0010373B"/>
    <w:rsid w:val="00125446"/>
    <w:rsid w:val="001358D9"/>
    <w:rsid w:val="00141E26"/>
    <w:rsid w:val="00143EB9"/>
    <w:rsid w:val="0015389C"/>
    <w:rsid w:val="00160540"/>
    <w:rsid w:val="00166C68"/>
    <w:rsid w:val="00174814"/>
    <w:rsid w:val="00181A90"/>
    <w:rsid w:val="00190D5D"/>
    <w:rsid w:val="00192EEB"/>
    <w:rsid w:val="00194484"/>
    <w:rsid w:val="001A2040"/>
    <w:rsid w:val="001A20FB"/>
    <w:rsid w:val="001A376F"/>
    <w:rsid w:val="001B09BB"/>
    <w:rsid w:val="001C118E"/>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1F8"/>
    <w:rsid w:val="002059CE"/>
    <w:rsid w:val="00206AD4"/>
    <w:rsid w:val="00224B8B"/>
    <w:rsid w:val="00225A8C"/>
    <w:rsid w:val="00231A7F"/>
    <w:rsid w:val="00242BBD"/>
    <w:rsid w:val="0024586F"/>
    <w:rsid w:val="00246BC8"/>
    <w:rsid w:val="00251F95"/>
    <w:rsid w:val="00252317"/>
    <w:rsid w:val="002659F1"/>
    <w:rsid w:val="00271E41"/>
    <w:rsid w:val="002848CF"/>
    <w:rsid w:val="00284C19"/>
    <w:rsid w:val="00286E23"/>
    <w:rsid w:val="002876A1"/>
    <w:rsid w:val="0028779B"/>
    <w:rsid w:val="00287CA6"/>
    <w:rsid w:val="00287E79"/>
    <w:rsid w:val="002928F9"/>
    <w:rsid w:val="00294D5B"/>
    <w:rsid w:val="002A2A2C"/>
    <w:rsid w:val="002A5D07"/>
    <w:rsid w:val="002D25CA"/>
    <w:rsid w:val="002D28C5"/>
    <w:rsid w:val="002D3DA4"/>
    <w:rsid w:val="002D781B"/>
    <w:rsid w:val="002E2F5C"/>
    <w:rsid w:val="002F0C48"/>
    <w:rsid w:val="003016B7"/>
    <w:rsid w:val="0030754C"/>
    <w:rsid w:val="00317E54"/>
    <w:rsid w:val="00322DF1"/>
    <w:rsid w:val="00324EBF"/>
    <w:rsid w:val="0032556C"/>
    <w:rsid w:val="00330508"/>
    <w:rsid w:val="0033286A"/>
    <w:rsid w:val="00333130"/>
    <w:rsid w:val="00346E32"/>
    <w:rsid w:val="003515AA"/>
    <w:rsid w:val="003639DF"/>
    <w:rsid w:val="00364F13"/>
    <w:rsid w:val="0036776C"/>
    <w:rsid w:val="00372A7A"/>
    <w:rsid w:val="00372D1D"/>
    <w:rsid w:val="00374106"/>
    <w:rsid w:val="0037679A"/>
    <w:rsid w:val="0038047C"/>
    <w:rsid w:val="00390EEF"/>
    <w:rsid w:val="00394410"/>
    <w:rsid w:val="003961A8"/>
    <w:rsid w:val="003976D5"/>
    <w:rsid w:val="003A4BD4"/>
    <w:rsid w:val="003B53B6"/>
    <w:rsid w:val="003C2F00"/>
    <w:rsid w:val="003D6C68"/>
    <w:rsid w:val="003E01D0"/>
    <w:rsid w:val="003E409B"/>
    <w:rsid w:val="003E49B9"/>
    <w:rsid w:val="003E5F12"/>
    <w:rsid w:val="003E786C"/>
    <w:rsid w:val="003F04F0"/>
    <w:rsid w:val="003F2A89"/>
    <w:rsid w:val="003F4A54"/>
    <w:rsid w:val="0040144C"/>
    <w:rsid w:val="004067AE"/>
    <w:rsid w:val="00410521"/>
    <w:rsid w:val="004120DF"/>
    <w:rsid w:val="00413BB0"/>
    <w:rsid w:val="004159D0"/>
    <w:rsid w:val="00417326"/>
    <w:rsid w:val="00422499"/>
    <w:rsid w:val="004342E2"/>
    <w:rsid w:val="00434354"/>
    <w:rsid w:val="00440BC8"/>
    <w:rsid w:val="00454F8D"/>
    <w:rsid w:val="004567EB"/>
    <w:rsid w:val="00460E72"/>
    <w:rsid w:val="00467412"/>
    <w:rsid w:val="00476265"/>
    <w:rsid w:val="00481521"/>
    <w:rsid w:val="00490F56"/>
    <w:rsid w:val="00491F39"/>
    <w:rsid w:val="004A49A5"/>
    <w:rsid w:val="004A66A2"/>
    <w:rsid w:val="004B51CD"/>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45061"/>
    <w:rsid w:val="00552260"/>
    <w:rsid w:val="00552777"/>
    <w:rsid w:val="0055364A"/>
    <w:rsid w:val="00555494"/>
    <w:rsid w:val="00555CBA"/>
    <w:rsid w:val="00565B29"/>
    <w:rsid w:val="00571BC1"/>
    <w:rsid w:val="00571F41"/>
    <w:rsid w:val="00575476"/>
    <w:rsid w:val="00584373"/>
    <w:rsid w:val="00591DB3"/>
    <w:rsid w:val="005939ED"/>
    <w:rsid w:val="005947BC"/>
    <w:rsid w:val="00595E8A"/>
    <w:rsid w:val="005A0268"/>
    <w:rsid w:val="005A6014"/>
    <w:rsid w:val="005B009F"/>
    <w:rsid w:val="005B473C"/>
    <w:rsid w:val="005C549A"/>
    <w:rsid w:val="005D7719"/>
    <w:rsid w:val="005E1B9B"/>
    <w:rsid w:val="005E32D1"/>
    <w:rsid w:val="005E5D1F"/>
    <w:rsid w:val="00606CF2"/>
    <w:rsid w:val="00607163"/>
    <w:rsid w:val="0061113B"/>
    <w:rsid w:val="00611D43"/>
    <w:rsid w:val="00612D48"/>
    <w:rsid w:val="00613A5E"/>
    <w:rsid w:val="00616B45"/>
    <w:rsid w:val="0062353A"/>
    <w:rsid w:val="006241C6"/>
    <w:rsid w:val="00630D9B"/>
    <w:rsid w:val="00631349"/>
    <w:rsid w:val="00631953"/>
    <w:rsid w:val="0063208D"/>
    <w:rsid w:val="00643814"/>
    <w:rsid w:val="006439EC"/>
    <w:rsid w:val="00645090"/>
    <w:rsid w:val="00647059"/>
    <w:rsid w:val="00647162"/>
    <w:rsid w:val="0065029A"/>
    <w:rsid w:val="00655054"/>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C7310"/>
    <w:rsid w:val="006F1D0B"/>
    <w:rsid w:val="006F27A8"/>
    <w:rsid w:val="006F3493"/>
    <w:rsid w:val="006F3544"/>
    <w:rsid w:val="006F676E"/>
    <w:rsid w:val="0070347C"/>
    <w:rsid w:val="007102D2"/>
    <w:rsid w:val="00714A66"/>
    <w:rsid w:val="007176C1"/>
    <w:rsid w:val="00720BC0"/>
    <w:rsid w:val="0072116B"/>
    <w:rsid w:val="00724FC8"/>
    <w:rsid w:val="00725063"/>
    <w:rsid w:val="00732E72"/>
    <w:rsid w:val="00741D90"/>
    <w:rsid w:val="007607B1"/>
    <w:rsid w:val="00765296"/>
    <w:rsid w:val="00766D28"/>
    <w:rsid w:val="007723C2"/>
    <w:rsid w:val="007765D1"/>
    <w:rsid w:val="007815B9"/>
    <w:rsid w:val="00785F1F"/>
    <w:rsid w:val="00790B9D"/>
    <w:rsid w:val="00796316"/>
    <w:rsid w:val="007A1C58"/>
    <w:rsid w:val="007A20D2"/>
    <w:rsid w:val="007A7445"/>
    <w:rsid w:val="007A79CD"/>
    <w:rsid w:val="007D04EE"/>
    <w:rsid w:val="007D2668"/>
    <w:rsid w:val="007D3119"/>
    <w:rsid w:val="007E25ED"/>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63738"/>
    <w:rsid w:val="00872FD3"/>
    <w:rsid w:val="00895DE5"/>
    <w:rsid w:val="008A0FA8"/>
    <w:rsid w:val="008A1758"/>
    <w:rsid w:val="008A1EC0"/>
    <w:rsid w:val="008A537D"/>
    <w:rsid w:val="008B44C4"/>
    <w:rsid w:val="008C322B"/>
    <w:rsid w:val="008C4B74"/>
    <w:rsid w:val="008D1156"/>
    <w:rsid w:val="008D39F4"/>
    <w:rsid w:val="008D59DB"/>
    <w:rsid w:val="008E0319"/>
    <w:rsid w:val="008E497A"/>
    <w:rsid w:val="008E4DE2"/>
    <w:rsid w:val="008E7CE2"/>
    <w:rsid w:val="008E7FAE"/>
    <w:rsid w:val="00911BF7"/>
    <w:rsid w:val="0091594A"/>
    <w:rsid w:val="009230F1"/>
    <w:rsid w:val="00930E98"/>
    <w:rsid w:val="00935490"/>
    <w:rsid w:val="009418DE"/>
    <w:rsid w:val="009516B7"/>
    <w:rsid w:val="00957CE5"/>
    <w:rsid w:val="009624E2"/>
    <w:rsid w:val="00977EC8"/>
    <w:rsid w:val="00982597"/>
    <w:rsid w:val="009A0D71"/>
    <w:rsid w:val="009A3048"/>
    <w:rsid w:val="009A6C26"/>
    <w:rsid w:val="009B0A6C"/>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66DB"/>
    <w:rsid w:val="00A31163"/>
    <w:rsid w:val="00A34593"/>
    <w:rsid w:val="00A364DB"/>
    <w:rsid w:val="00A3702C"/>
    <w:rsid w:val="00A45E90"/>
    <w:rsid w:val="00A4770F"/>
    <w:rsid w:val="00A50D6B"/>
    <w:rsid w:val="00A51050"/>
    <w:rsid w:val="00A56945"/>
    <w:rsid w:val="00A57027"/>
    <w:rsid w:val="00A5750C"/>
    <w:rsid w:val="00A61310"/>
    <w:rsid w:val="00A72C35"/>
    <w:rsid w:val="00A752BB"/>
    <w:rsid w:val="00A81F93"/>
    <w:rsid w:val="00A9247E"/>
    <w:rsid w:val="00AA7796"/>
    <w:rsid w:val="00AC0056"/>
    <w:rsid w:val="00AC67A1"/>
    <w:rsid w:val="00AC7977"/>
    <w:rsid w:val="00AC7E56"/>
    <w:rsid w:val="00AE2617"/>
    <w:rsid w:val="00AE352C"/>
    <w:rsid w:val="00AE79AC"/>
    <w:rsid w:val="00AF48FB"/>
    <w:rsid w:val="00B01AAD"/>
    <w:rsid w:val="00B0651D"/>
    <w:rsid w:val="00B101DB"/>
    <w:rsid w:val="00B16AB9"/>
    <w:rsid w:val="00B21751"/>
    <w:rsid w:val="00B256F0"/>
    <w:rsid w:val="00B31D7D"/>
    <w:rsid w:val="00B32E2D"/>
    <w:rsid w:val="00B43741"/>
    <w:rsid w:val="00B45642"/>
    <w:rsid w:val="00B52F29"/>
    <w:rsid w:val="00B5388D"/>
    <w:rsid w:val="00B61990"/>
    <w:rsid w:val="00B6249B"/>
    <w:rsid w:val="00B70CCD"/>
    <w:rsid w:val="00B75E66"/>
    <w:rsid w:val="00B773BF"/>
    <w:rsid w:val="00BC3F20"/>
    <w:rsid w:val="00BD28B2"/>
    <w:rsid w:val="00BD5A8D"/>
    <w:rsid w:val="00BD7343"/>
    <w:rsid w:val="00BE7145"/>
    <w:rsid w:val="00BF0556"/>
    <w:rsid w:val="00BF37EE"/>
    <w:rsid w:val="00C024A1"/>
    <w:rsid w:val="00C02C42"/>
    <w:rsid w:val="00C10FB1"/>
    <w:rsid w:val="00C11282"/>
    <w:rsid w:val="00C14108"/>
    <w:rsid w:val="00C261F8"/>
    <w:rsid w:val="00C27662"/>
    <w:rsid w:val="00C33100"/>
    <w:rsid w:val="00C451B9"/>
    <w:rsid w:val="00C51D9C"/>
    <w:rsid w:val="00C54DA4"/>
    <w:rsid w:val="00C55118"/>
    <w:rsid w:val="00C577D1"/>
    <w:rsid w:val="00C57A2D"/>
    <w:rsid w:val="00C6018C"/>
    <w:rsid w:val="00C67D23"/>
    <w:rsid w:val="00C71827"/>
    <w:rsid w:val="00C825E5"/>
    <w:rsid w:val="00C95EB8"/>
    <w:rsid w:val="00CA5291"/>
    <w:rsid w:val="00CB02C5"/>
    <w:rsid w:val="00CB39CD"/>
    <w:rsid w:val="00CC5154"/>
    <w:rsid w:val="00CC7CE6"/>
    <w:rsid w:val="00CD044C"/>
    <w:rsid w:val="00CD1A71"/>
    <w:rsid w:val="00CD1FBB"/>
    <w:rsid w:val="00CE033D"/>
    <w:rsid w:val="00CE08E5"/>
    <w:rsid w:val="00D016B5"/>
    <w:rsid w:val="00D0312E"/>
    <w:rsid w:val="00D034F1"/>
    <w:rsid w:val="00D11F42"/>
    <w:rsid w:val="00D14F42"/>
    <w:rsid w:val="00D171D4"/>
    <w:rsid w:val="00D255A7"/>
    <w:rsid w:val="00D27D5E"/>
    <w:rsid w:val="00D32B08"/>
    <w:rsid w:val="00D407D1"/>
    <w:rsid w:val="00D43846"/>
    <w:rsid w:val="00D43E5F"/>
    <w:rsid w:val="00D51CE6"/>
    <w:rsid w:val="00D639BD"/>
    <w:rsid w:val="00D65777"/>
    <w:rsid w:val="00D66378"/>
    <w:rsid w:val="00D66E0D"/>
    <w:rsid w:val="00D7425A"/>
    <w:rsid w:val="00D74F7E"/>
    <w:rsid w:val="00D7695F"/>
    <w:rsid w:val="00D9039B"/>
    <w:rsid w:val="00D93582"/>
    <w:rsid w:val="00DA41A2"/>
    <w:rsid w:val="00DA43A1"/>
    <w:rsid w:val="00DA5E1D"/>
    <w:rsid w:val="00DC4F43"/>
    <w:rsid w:val="00DE6D90"/>
    <w:rsid w:val="00DF002F"/>
    <w:rsid w:val="00DF7158"/>
    <w:rsid w:val="00E0244D"/>
    <w:rsid w:val="00E026DF"/>
    <w:rsid w:val="00E02F48"/>
    <w:rsid w:val="00E03712"/>
    <w:rsid w:val="00E06B3F"/>
    <w:rsid w:val="00E10A73"/>
    <w:rsid w:val="00E11FFC"/>
    <w:rsid w:val="00E14F27"/>
    <w:rsid w:val="00E171D2"/>
    <w:rsid w:val="00E25534"/>
    <w:rsid w:val="00E319B6"/>
    <w:rsid w:val="00E32145"/>
    <w:rsid w:val="00E32F5A"/>
    <w:rsid w:val="00E45283"/>
    <w:rsid w:val="00E510F3"/>
    <w:rsid w:val="00E60012"/>
    <w:rsid w:val="00E62CFF"/>
    <w:rsid w:val="00E665EE"/>
    <w:rsid w:val="00E679AE"/>
    <w:rsid w:val="00E71570"/>
    <w:rsid w:val="00E73B13"/>
    <w:rsid w:val="00E75C58"/>
    <w:rsid w:val="00E76819"/>
    <w:rsid w:val="00E81E94"/>
    <w:rsid w:val="00E82607"/>
    <w:rsid w:val="00E84A82"/>
    <w:rsid w:val="00E85025"/>
    <w:rsid w:val="00E8671E"/>
    <w:rsid w:val="00E9483E"/>
    <w:rsid w:val="00E96710"/>
    <w:rsid w:val="00EA0A22"/>
    <w:rsid w:val="00EA3B1D"/>
    <w:rsid w:val="00EB72EF"/>
    <w:rsid w:val="00EB77B9"/>
    <w:rsid w:val="00EB7D07"/>
    <w:rsid w:val="00ED3A26"/>
    <w:rsid w:val="00ED759B"/>
    <w:rsid w:val="00EF70BB"/>
    <w:rsid w:val="00F02FA9"/>
    <w:rsid w:val="00F06660"/>
    <w:rsid w:val="00F116EB"/>
    <w:rsid w:val="00F14DE3"/>
    <w:rsid w:val="00F1794E"/>
    <w:rsid w:val="00F211AF"/>
    <w:rsid w:val="00F258D9"/>
    <w:rsid w:val="00F25EC3"/>
    <w:rsid w:val="00F32ADB"/>
    <w:rsid w:val="00F32C98"/>
    <w:rsid w:val="00F37E12"/>
    <w:rsid w:val="00F424BD"/>
    <w:rsid w:val="00F515AD"/>
    <w:rsid w:val="00F57DD7"/>
    <w:rsid w:val="00F60397"/>
    <w:rsid w:val="00F636AD"/>
    <w:rsid w:val="00F72B88"/>
    <w:rsid w:val="00F734D9"/>
    <w:rsid w:val="00F73F83"/>
    <w:rsid w:val="00F74902"/>
    <w:rsid w:val="00F85A4E"/>
    <w:rsid w:val="00F9353A"/>
    <w:rsid w:val="00F965C2"/>
    <w:rsid w:val="00FA27D4"/>
    <w:rsid w:val="00FA30D4"/>
    <w:rsid w:val="00FA5A79"/>
    <w:rsid w:val="00FB0BFE"/>
    <w:rsid w:val="00FB4300"/>
    <w:rsid w:val="00FB4C51"/>
    <w:rsid w:val="00FB734D"/>
    <w:rsid w:val="00FC426F"/>
    <w:rsid w:val="00FC5509"/>
    <w:rsid w:val="00FD02A2"/>
    <w:rsid w:val="00FD5E64"/>
    <w:rsid w:val="00FD7985"/>
    <w:rsid w:val="00FE4159"/>
    <w:rsid w:val="00FE6526"/>
    <w:rsid w:val="00FF1DBD"/>
    <w:rsid w:val="00FF1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2D781B"/>
    <w:pPr>
      <w:numPr>
        <w:numId w:val="49"/>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SingleTxtGChar">
    <w:name w:val="_ Single Txt_G Char"/>
    <w:link w:val="SingleTxtG"/>
    <w:rsid w:val="002051F8"/>
    <w:rPr>
      <w:lang w:val="fr-CH" w:eastAsia="en-US"/>
    </w:rPr>
  </w:style>
  <w:style w:type="paragraph" w:styleId="BalloonText">
    <w:name w:val="Balloon Text"/>
    <w:basedOn w:val="Normal"/>
    <w:semiHidden/>
    <w:rsid w:val="00284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85356">
      <w:bodyDiv w:val="1"/>
      <w:marLeft w:val="0"/>
      <w:marRight w:val="0"/>
      <w:marTop w:val="0"/>
      <w:marBottom w:val="0"/>
      <w:divBdr>
        <w:top w:val="none" w:sz="0" w:space="0" w:color="auto"/>
        <w:left w:val="none" w:sz="0" w:space="0" w:color="auto"/>
        <w:bottom w:val="none" w:sz="0" w:space="0" w:color="auto"/>
        <w:right w:val="none" w:sz="0" w:space="0" w:color="auto"/>
      </w:divBdr>
    </w:div>
    <w:div w:id="17917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690</Words>
  <Characters>3938</Characters>
  <Application>Microsoft Office Outlook</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M/CONF/2013/56</vt:lpstr>
    </vt:vector>
  </TitlesOfParts>
  <Company>CSD</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M/CONF/2013/56</dc:title>
  <dc:subject>FINAL</dc:subject>
  <dc:creator>Dariche</dc:creator>
  <cp:keywords/>
  <cp:lastModifiedBy>DCM</cp:lastModifiedBy>
  <cp:revision>2</cp:revision>
  <cp:lastPrinted>2013-11-11T10:03:00Z</cp:lastPrinted>
  <dcterms:created xsi:type="dcterms:W3CDTF">2013-11-20T08:43:00Z</dcterms:created>
  <dcterms:modified xsi:type="dcterms:W3CDTF">2013-11-20T08:43:00Z</dcterms:modified>
</cp:coreProperties>
</file>