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1887"/>
        <w:gridCol w:w="3074"/>
      </w:tblGrid>
      <w:tr w:rsidR="002D5AAC" w:rsidRPr="00EC4EA4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C4E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EC4EA4" w:rsidRDefault="00EC4EA4" w:rsidP="00EC4EA4">
            <w:pPr>
              <w:jc w:val="right"/>
              <w:rPr>
                <w:lang w:val="es-ES"/>
              </w:rPr>
            </w:pPr>
            <w:r w:rsidRPr="00EC4EA4">
              <w:rPr>
                <w:sz w:val="40"/>
                <w:lang w:val="es-ES"/>
              </w:rPr>
              <w:t>CRPD</w:t>
            </w:r>
            <w:r w:rsidRPr="00EC4EA4">
              <w:rPr>
                <w:lang w:val="es-ES"/>
              </w:rPr>
              <w:t>/C/EU/CO/1/Add.1</w:t>
            </w:r>
          </w:p>
        </w:tc>
      </w:tr>
      <w:tr w:rsidR="002D5AAC" w:rsidRPr="00EC4EA4" w:rsidTr="00EC4EA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608CA73" wp14:editId="7A4B9A4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C4EA4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C4EA4" w:rsidRDefault="00EC4EA4" w:rsidP="00EC4E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November 2017</w:t>
            </w:r>
          </w:p>
          <w:p w:rsidR="00EC4EA4" w:rsidRDefault="00EC4EA4" w:rsidP="00EC4E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C4EA4" w:rsidRDefault="00EC4EA4" w:rsidP="00EC4E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:rsidR="00EC4EA4" w:rsidRPr="00EC4EA4" w:rsidRDefault="00EC4EA4" w:rsidP="00EC4EA4">
            <w:pPr>
              <w:spacing w:line="240" w:lineRule="exact"/>
              <w:rPr>
                <w:lang w:val="en-US"/>
              </w:rPr>
            </w:pPr>
            <w:r w:rsidRPr="00EC4EA4">
              <w:rPr>
                <w:lang w:val="en-GB"/>
              </w:rPr>
              <w:t>English, Russian and Spanish only</w:t>
            </w:r>
          </w:p>
        </w:tc>
      </w:tr>
    </w:tbl>
    <w:p w:rsidR="00EC4EA4" w:rsidRPr="00EC4EA4" w:rsidRDefault="00EC4EA4" w:rsidP="00EC4EA4">
      <w:pPr>
        <w:spacing w:before="120"/>
        <w:rPr>
          <w:b/>
          <w:sz w:val="24"/>
          <w:szCs w:val="24"/>
          <w:lang w:val="en-US"/>
        </w:rPr>
      </w:pPr>
      <w:r w:rsidRPr="00EC4EA4">
        <w:rPr>
          <w:rFonts w:eastAsia="Times New Roman" w:cs="Times New Roman"/>
          <w:b/>
          <w:sz w:val="24"/>
          <w:szCs w:val="24"/>
        </w:rPr>
        <w:t>Комитет по правам инвалидов</w:t>
      </w:r>
    </w:p>
    <w:p w:rsidR="00EC4EA4" w:rsidRPr="00EC4EA4" w:rsidRDefault="00EC4EA4" w:rsidP="00EC4EA4">
      <w:pPr>
        <w:pStyle w:val="HChGR"/>
      </w:pPr>
      <w:r w:rsidRPr="00EC4EA4">
        <w:tab/>
      </w:r>
      <w:r w:rsidRPr="00EC4EA4">
        <w:tab/>
        <w:t>Заключительные замечания по первоначальному докладу Е</w:t>
      </w:r>
      <w:r w:rsidRPr="00EC4EA4">
        <w:t>в</w:t>
      </w:r>
      <w:r w:rsidRPr="00EC4EA4">
        <w:t>ропейского союза</w:t>
      </w:r>
    </w:p>
    <w:p w:rsidR="00EC4EA4" w:rsidRPr="00EC4EA4" w:rsidRDefault="00EC4EA4" w:rsidP="00EC4EA4">
      <w:pPr>
        <w:pStyle w:val="H23GR"/>
      </w:pPr>
      <w:r w:rsidRPr="00EC4EA4">
        <w:tab/>
      </w:r>
      <w:r w:rsidRPr="00EC4EA4">
        <w:tab/>
        <w:t>Добавление</w:t>
      </w:r>
    </w:p>
    <w:p w:rsidR="00EC4EA4" w:rsidRPr="00EC4EA4" w:rsidRDefault="00EC4EA4" w:rsidP="00EC4EA4">
      <w:pPr>
        <w:pStyle w:val="HChGR"/>
      </w:pPr>
      <w:r w:rsidRPr="00EC4EA4">
        <w:tab/>
      </w:r>
      <w:r w:rsidRPr="00EC4EA4">
        <w:tab/>
        <w:t>Информация, по</w:t>
      </w:r>
      <w:r>
        <w:t>лученная от Европе</w:t>
      </w:r>
      <w:r w:rsidR="00051D6B">
        <w:t>й</w:t>
      </w:r>
      <w:r>
        <w:t xml:space="preserve">ского </w:t>
      </w:r>
      <w:r w:rsidR="00C971CD">
        <w:t>с</w:t>
      </w:r>
      <w:r>
        <w:t>оюза в</w:t>
      </w:r>
      <w:r>
        <w:rPr>
          <w:lang w:val="en-US"/>
        </w:rPr>
        <w:t> </w:t>
      </w:r>
      <w:r w:rsidRPr="00EC4EA4">
        <w:t>отно</w:t>
      </w:r>
      <w:r>
        <w:t>шении последующих мер в связи с</w:t>
      </w:r>
      <w:r>
        <w:rPr>
          <w:lang w:val="en-US"/>
        </w:rPr>
        <w:t> </w:t>
      </w:r>
      <w:r w:rsidRPr="00EC4EA4">
        <w:t>заключительными замечаниями</w:t>
      </w:r>
      <w:r w:rsidRPr="00EC4EA4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EC4EA4" w:rsidRDefault="00EC4EA4" w:rsidP="00EC4EA4">
      <w:pPr>
        <w:pStyle w:val="SingleTxtGR"/>
        <w:jc w:val="right"/>
        <w:rPr>
          <w:lang w:val="en-US"/>
        </w:rPr>
      </w:pPr>
      <w:r w:rsidRPr="00EC4EA4">
        <w:t>[Дата получения: 13 января 2017 года]</w:t>
      </w:r>
    </w:p>
    <w:p w:rsidR="00EC4EA4" w:rsidRPr="00EC4EA4" w:rsidRDefault="00EC4EA4" w:rsidP="00995BA9">
      <w:pPr>
        <w:pStyle w:val="HChGR"/>
        <w:pageBreakBefore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EC4EA4">
        <w:t>Введение</w:t>
      </w:r>
    </w:p>
    <w:p w:rsidR="00EC4EA4" w:rsidRPr="00EC4EA4" w:rsidRDefault="00EC4EA4" w:rsidP="00EC4EA4">
      <w:pPr>
        <w:pStyle w:val="SingleTxtGR"/>
      </w:pPr>
      <w:r w:rsidRPr="00EC4EA4">
        <w:t>1.</w:t>
      </w:r>
      <w:r w:rsidRPr="00EC4EA4">
        <w:tab/>
        <w:t>2 октября 2015 года Комитет Организации Объединенных Наций по пр</w:t>
      </w:r>
      <w:r w:rsidRPr="00EC4EA4">
        <w:t>а</w:t>
      </w:r>
      <w:r w:rsidRPr="00EC4EA4">
        <w:t>вам инвалидов принял свои заключительные замечания по первоначальному докладу Европейского союза об осуществлении Конвенции Организации Об</w:t>
      </w:r>
      <w:r w:rsidRPr="00EC4EA4">
        <w:t>ъ</w:t>
      </w:r>
      <w:r w:rsidRPr="00EC4EA4">
        <w:t>единенных Наций о правах инвалидов (КПИ ООН). Комитет просил госуда</w:t>
      </w:r>
      <w:r w:rsidRPr="00EC4EA4">
        <w:t>р</w:t>
      </w:r>
      <w:r w:rsidRPr="00EC4EA4">
        <w:t>ство-участник в соответствии с пунктом 2 статьи 35 Конвенции представить в течение 12 месяцев письменную информацию о мерах, принятых для выполн</w:t>
      </w:r>
      <w:r w:rsidRPr="00EC4EA4">
        <w:t>е</w:t>
      </w:r>
      <w:r w:rsidRPr="00EC4EA4">
        <w:t xml:space="preserve">ния рекомендаций Комитета в отношении: </w:t>
      </w:r>
    </w:p>
    <w:p w:rsidR="00EC4EA4" w:rsidRPr="00EC4EA4" w:rsidRDefault="00EC4EA4" w:rsidP="00EC4EA4">
      <w:pPr>
        <w:pStyle w:val="Bullet1GR"/>
      </w:pPr>
      <w:r w:rsidRPr="00EC4EA4">
        <w:t xml:space="preserve">заявления о компетенции ЕС (пункт 17); </w:t>
      </w:r>
    </w:p>
    <w:p w:rsidR="00EC4EA4" w:rsidRPr="00EC4EA4" w:rsidRDefault="00EC4EA4" w:rsidP="00EC4EA4">
      <w:pPr>
        <w:pStyle w:val="Bullet1GR"/>
      </w:pPr>
      <w:r w:rsidRPr="00EC4EA4">
        <w:t xml:space="preserve">предложения о принятии европейского закона о доступности (пункт 29); и </w:t>
      </w:r>
    </w:p>
    <w:p w:rsidR="00EC4EA4" w:rsidRPr="00EC4EA4" w:rsidRDefault="00EC4EA4" w:rsidP="00EC4EA4">
      <w:pPr>
        <w:pStyle w:val="Bullet1GR"/>
      </w:pPr>
      <w:r w:rsidRPr="00EC4EA4">
        <w:t>рамочной программы по проведению мониторинга (пункт 77).</w:t>
      </w:r>
    </w:p>
    <w:p w:rsidR="00EC4EA4" w:rsidRPr="00EC4EA4" w:rsidRDefault="00EC4EA4" w:rsidP="00EC4EA4">
      <w:pPr>
        <w:pStyle w:val="SingleTxtGR"/>
      </w:pPr>
      <w:r w:rsidRPr="00EC4EA4">
        <w:t>2.</w:t>
      </w:r>
      <w:r w:rsidRPr="00EC4EA4">
        <w:tab/>
        <w:t>В настоящем документе содержится информация о мерах, принятых в о</w:t>
      </w:r>
      <w:r w:rsidRPr="00EC4EA4">
        <w:t>т</w:t>
      </w:r>
      <w:r w:rsidRPr="00EC4EA4">
        <w:t xml:space="preserve">вет на эту просьбу. </w:t>
      </w:r>
    </w:p>
    <w:p w:rsidR="00EC4EA4" w:rsidRPr="00EC4EA4" w:rsidRDefault="00EC4EA4" w:rsidP="00EC4EA4">
      <w:pPr>
        <w:pStyle w:val="SingleTxtGR"/>
      </w:pPr>
      <w:r w:rsidRPr="00EC4EA4">
        <w:t>3.</w:t>
      </w:r>
      <w:r w:rsidRPr="00EC4EA4">
        <w:tab/>
        <w:t xml:space="preserve">Кроме того, Комиссия в скором времени примет свой доклад о ходе </w:t>
      </w:r>
      <w:r w:rsidR="009B17BF">
        <w:br/>
      </w:r>
      <w:r w:rsidRPr="00EC4EA4">
        <w:t>ос</w:t>
      </w:r>
      <w:r w:rsidRPr="00EC4EA4">
        <w:t>у</w:t>
      </w:r>
      <w:r w:rsidRPr="00EC4EA4">
        <w:t xml:space="preserve">ществления Европейской стратегии по вопросам инвалидности на </w:t>
      </w:r>
      <w:r w:rsidR="009B17BF">
        <w:br/>
      </w:r>
      <w:r w:rsidRPr="00EC4EA4">
        <w:t>2010</w:t>
      </w:r>
      <w:r w:rsidR="009B17BF">
        <w:t>–</w:t>
      </w:r>
      <w:r w:rsidRPr="00EC4EA4">
        <w:t>2020 годы</w:t>
      </w:r>
      <w:r w:rsidR="009B17BF">
        <w:rPr>
          <w:rStyle w:val="aa"/>
        </w:rPr>
        <w:footnoteReference w:id="2"/>
      </w:r>
      <w:r w:rsidRPr="00EC4EA4">
        <w:t>, в котором будут также учтены остальные заключительные з</w:t>
      </w:r>
      <w:r w:rsidRPr="00EC4EA4">
        <w:t>а</w:t>
      </w:r>
      <w:r w:rsidRPr="00EC4EA4">
        <w:t xml:space="preserve">мечания. </w:t>
      </w:r>
    </w:p>
    <w:p w:rsidR="00EC4EA4" w:rsidRPr="00EC4EA4" w:rsidRDefault="00EC4EA4" w:rsidP="00EC4EA4">
      <w:pPr>
        <w:pStyle w:val="HChGR"/>
      </w:pPr>
      <w:r w:rsidRPr="009B17BF">
        <w:tab/>
      </w:r>
      <w:r w:rsidRPr="00EC4EA4">
        <w:t>I.</w:t>
      </w:r>
      <w:r w:rsidRPr="00EC4EA4">
        <w:tab/>
        <w:t>Рекомендация в отношении заявления о</w:t>
      </w:r>
      <w:r w:rsidR="009B17BF">
        <w:t> </w:t>
      </w:r>
      <w:r w:rsidRPr="00EC4EA4">
        <w:t>компетенции</w:t>
      </w:r>
      <w:r>
        <w:rPr>
          <w:lang w:val="en-US"/>
        </w:rPr>
        <w:t> </w:t>
      </w:r>
      <w:r w:rsidRPr="00EC4EA4">
        <w:t>ЕС</w:t>
      </w:r>
    </w:p>
    <w:p w:rsidR="00EC4EA4" w:rsidRPr="00995BA9" w:rsidRDefault="00EC4EA4" w:rsidP="00EC4EA4">
      <w:pPr>
        <w:pStyle w:val="SingleTxtGR"/>
      </w:pPr>
      <w:r w:rsidRPr="00EC4EA4">
        <w:t>4.</w:t>
      </w:r>
      <w:r w:rsidRPr="00EC4EA4">
        <w:tab/>
      </w:r>
      <w:r w:rsidRPr="00995BA9">
        <w:rPr>
          <w:b/>
        </w:rPr>
        <w:t>Пункт 17</w:t>
      </w:r>
      <w:r w:rsidRPr="00EC4EA4">
        <w:t xml:space="preserve">: </w:t>
      </w:r>
      <w:r w:rsidR="00995BA9" w:rsidRPr="00C971CD">
        <w:rPr>
          <w:i/>
        </w:rPr>
        <w:t>«</w:t>
      </w:r>
      <w:r w:rsidRPr="00995BA9">
        <w:rPr>
          <w:i/>
        </w:rPr>
        <w:t>Комитет рекомендует Европейскому союзу регулярно обно</w:t>
      </w:r>
      <w:r w:rsidRPr="00995BA9">
        <w:rPr>
          <w:i/>
        </w:rPr>
        <w:t>в</w:t>
      </w:r>
      <w:r w:rsidRPr="00995BA9">
        <w:rPr>
          <w:i/>
        </w:rPr>
        <w:t>лять заявление о компетенции и свой список документов, с тем чтобы они включали недавно принятые документы и документы, которые могут ко</w:t>
      </w:r>
      <w:r w:rsidRPr="00995BA9">
        <w:rPr>
          <w:i/>
        </w:rPr>
        <w:t>н</w:t>
      </w:r>
      <w:r w:rsidRPr="00995BA9">
        <w:rPr>
          <w:i/>
        </w:rPr>
        <w:t>кретно не касаться инвалидов, но имеют для них определенное значение</w:t>
      </w:r>
      <w:r w:rsidR="00995BA9" w:rsidRPr="00C971CD">
        <w:rPr>
          <w:i/>
        </w:rPr>
        <w:t>»</w:t>
      </w:r>
      <w:r w:rsidRPr="00C971CD">
        <w:rPr>
          <w:i/>
        </w:rPr>
        <w:t>.</w:t>
      </w:r>
      <w:r w:rsidRPr="00995BA9">
        <w:t xml:space="preserve"> </w:t>
      </w:r>
    </w:p>
    <w:p w:rsidR="00EC4EA4" w:rsidRPr="00EC4EA4" w:rsidRDefault="00EC4EA4" w:rsidP="00EC4EA4">
      <w:pPr>
        <w:pStyle w:val="SingleTxtGR"/>
      </w:pPr>
      <w:r w:rsidRPr="00EC4EA4">
        <w:t>5.</w:t>
      </w:r>
      <w:r w:rsidRPr="00EC4EA4">
        <w:tab/>
        <w:t>Как указано в приложении II к решению Совета ЕС об одобрении Ко</w:t>
      </w:r>
      <w:r w:rsidRPr="00EC4EA4">
        <w:t>н</w:t>
      </w:r>
      <w:r w:rsidRPr="00EC4EA4">
        <w:t>венции Организации Объединенных Наций о правах инвалидов</w:t>
      </w:r>
      <w:r w:rsidRPr="009B17BF">
        <w:rPr>
          <w:sz w:val="18"/>
          <w:szCs w:val="18"/>
          <w:vertAlign w:val="superscript"/>
        </w:rPr>
        <w:footnoteReference w:id="3"/>
      </w:r>
      <w:r w:rsidRPr="00EC4EA4">
        <w:t>, сфера охвата и осуществление компетенции ЕС по своему характеру подлежат постоянному обновлению. Таким образом, перечень, включенный в добавление к этому пр</w:t>
      </w:r>
      <w:r w:rsidRPr="00EC4EA4">
        <w:t>и</w:t>
      </w:r>
      <w:r w:rsidRPr="00EC4EA4">
        <w:t>ложению, отражал в то время масштабы сферы компетенции ЕС согласно соо</w:t>
      </w:r>
      <w:r w:rsidRPr="00EC4EA4">
        <w:t>т</w:t>
      </w:r>
      <w:r w:rsidRPr="00EC4EA4">
        <w:t>ветствующим договорам. Фактически ситуация изменилась, и некоторые из этих правовых актов были пересмотрены или отменены. Кроме того, некоторые новые законодательные акты, которые были приняты, включают такие связа</w:t>
      </w:r>
      <w:r w:rsidRPr="00EC4EA4">
        <w:t>н</w:t>
      </w:r>
      <w:r w:rsidRPr="00EC4EA4">
        <w:t>ные с инвалидностью вопросы, которые, как представляется, соотносятся с н</w:t>
      </w:r>
      <w:r w:rsidRPr="00EC4EA4">
        <w:t>е</w:t>
      </w:r>
      <w:r w:rsidRPr="00EC4EA4">
        <w:t xml:space="preserve">которыми положениями КПИ ООН. </w:t>
      </w:r>
    </w:p>
    <w:p w:rsidR="00EC4EA4" w:rsidRPr="00EC4EA4" w:rsidRDefault="00EC4EA4" w:rsidP="00EC4EA4">
      <w:pPr>
        <w:pStyle w:val="SingleTxtGR"/>
      </w:pPr>
      <w:r w:rsidRPr="00EC4EA4">
        <w:t>6.</w:t>
      </w:r>
      <w:r w:rsidRPr="00EC4EA4">
        <w:tab/>
        <w:t>В этой связи представляется необходимым провести всеобъемлющий и обновленный обзор правовых актов ЕС, относящихся к вопросам, регулиру</w:t>
      </w:r>
      <w:r w:rsidRPr="00EC4EA4">
        <w:t>е</w:t>
      </w:r>
      <w:r w:rsidRPr="00EC4EA4">
        <w:t>мым Конвенцией Организации Объединенных Наций. Этот обзор будет опубл</w:t>
      </w:r>
      <w:r w:rsidRPr="00EC4EA4">
        <w:t>и</w:t>
      </w:r>
      <w:r w:rsidRPr="00EC4EA4">
        <w:t>кован в качестве приложения к вышеупомянутому докладу о ходе осуществл</w:t>
      </w:r>
      <w:r w:rsidRPr="00EC4EA4">
        <w:t>е</w:t>
      </w:r>
      <w:r w:rsidRPr="00EC4EA4">
        <w:t>ния Европейской стратегии по вопросам инвалидности на 2010</w:t>
      </w:r>
      <w:r w:rsidR="009B17BF">
        <w:t>–</w:t>
      </w:r>
      <w:r w:rsidRPr="00EC4EA4">
        <w:t xml:space="preserve">2020 </w:t>
      </w:r>
      <w:r w:rsidR="009B17BF">
        <w:t xml:space="preserve">годы </w:t>
      </w:r>
      <w:r w:rsidRPr="00EC4EA4">
        <w:t>и б</w:t>
      </w:r>
      <w:r w:rsidRPr="00EC4EA4">
        <w:t>у</w:t>
      </w:r>
      <w:r w:rsidRPr="00EC4EA4">
        <w:t xml:space="preserve">дет иметься в открытом доступе. </w:t>
      </w:r>
    </w:p>
    <w:p w:rsidR="00EC4EA4" w:rsidRPr="00EC4EA4" w:rsidRDefault="00EC4EA4" w:rsidP="00EC4EA4">
      <w:pPr>
        <w:pStyle w:val="SingleTxtGR"/>
      </w:pPr>
      <w:r w:rsidRPr="00EC4EA4">
        <w:t>7.</w:t>
      </w:r>
      <w:r w:rsidRPr="00EC4EA4">
        <w:tab/>
        <w:t>Этот перечень, который будет содержать ссылки на более чем 130 прав</w:t>
      </w:r>
      <w:r w:rsidRPr="00EC4EA4">
        <w:t>о</w:t>
      </w:r>
      <w:r w:rsidRPr="00EC4EA4">
        <w:t>вых актов ЕС, будет отражать все увеличивающееся число законодательных а</w:t>
      </w:r>
      <w:r w:rsidRPr="00EC4EA4">
        <w:t>к</w:t>
      </w:r>
      <w:r w:rsidRPr="00EC4EA4">
        <w:t>тов ЕС, которые касаются вопросов, регулируемых КПИ ООН. Он будет являт</w:t>
      </w:r>
      <w:r w:rsidRPr="00EC4EA4">
        <w:t>ь</w:t>
      </w:r>
      <w:r w:rsidRPr="00EC4EA4">
        <w:lastRenderedPageBreak/>
        <w:t>ся обновленным источником информации о нормативных документах ЕС в этой области.</w:t>
      </w:r>
    </w:p>
    <w:p w:rsidR="00EC4EA4" w:rsidRPr="00EC4EA4" w:rsidRDefault="00995BA9" w:rsidP="00995BA9">
      <w:pPr>
        <w:pStyle w:val="HChGR"/>
      </w:pPr>
      <w:r>
        <w:tab/>
      </w:r>
      <w:r w:rsidR="00EC4EA4" w:rsidRPr="00EC4EA4">
        <w:t>II.</w:t>
      </w:r>
      <w:r w:rsidR="00EC4EA4" w:rsidRPr="00EC4EA4">
        <w:tab/>
        <w:t>Рекомендация в отношении предложения о принятии европейского закона о доступности</w:t>
      </w:r>
    </w:p>
    <w:p w:rsidR="00EC4EA4" w:rsidRPr="00995BA9" w:rsidRDefault="00995BA9" w:rsidP="00EC4EA4">
      <w:pPr>
        <w:pStyle w:val="SingleTxtGR"/>
      </w:pPr>
      <w:r>
        <w:t>8.</w:t>
      </w:r>
      <w:r>
        <w:tab/>
      </w:r>
      <w:r w:rsidRPr="00995BA9">
        <w:rPr>
          <w:b/>
        </w:rPr>
        <w:t>Пункт 29</w:t>
      </w:r>
      <w:r>
        <w:t>:</w:t>
      </w:r>
      <w:r w:rsidR="00EC4EA4" w:rsidRPr="00EC4EA4">
        <w:t xml:space="preserve"> </w:t>
      </w:r>
      <w:r w:rsidR="00EC4EA4" w:rsidRPr="00C971CD">
        <w:rPr>
          <w:i/>
        </w:rPr>
        <w:t>«</w:t>
      </w:r>
      <w:r w:rsidR="00EC4EA4" w:rsidRPr="00995BA9">
        <w:rPr>
          <w:i/>
        </w:rPr>
        <w:t>Комитет рекомендует Европейскому союзу принять де</w:t>
      </w:r>
      <w:r w:rsidR="00EC4EA4" w:rsidRPr="00995BA9">
        <w:rPr>
          <w:i/>
        </w:rPr>
        <w:t>й</w:t>
      </w:r>
      <w:r w:rsidR="00EC4EA4" w:rsidRPr="00995BA9">
        <w:rPr>
          <w:i/>
        </w:rPr>
        <w:t>ственные меры для скорейшего принятия измененного в соответствии с Ко</w:t>
      </w:r>
      <w:r w:rsidR="00EC4EA4" w:rsidRPr="00995BA9">
        <w:rPr>
          <w:i/>
        </w:rPr>
        <w:t>н</w:t>
      </w:r>
      <w:r w:rsidR="00EC4EA4" w:rsidRPr="00995BA9">
        <w:rPr>
          <w:i/>
        </w:rPr>
        <w:t>венцией европейского закона о доступности согласно замечанию общего поря</w:t>
      </w:r>
      <w:r w:rsidR="00EC4EA4" w:rsidRPr="00995BA9">
        <w:rPr>
          <w:i/>
        </w:rPr>
        <w:t>д</w:t>
      </w:r>
      <w:r w:rsidR="00EC4EA4" w:rsidRPr="00995BA9">
        <w:rPr>
          <w:i/>
        </w:rPr>
        <w:t>ка № 2 (2014 год) Комитета о доступности, который предусматривал бы с</w:t>
      </w:r>
      <w:r w:rsidR="00EC4EA4" w:rsidRPr="00995BA9">
        <w:rPr>
          <w:i/>
        </w:rPr>
        <w:t>о</w:t>
      </w:r>
      <w:r w:rsidR="00EC4EA4" w:rsidRPr="00995BA9">
        <w:rPr>
          <w:i/>
        </w:rPr>
        <w:t>здание эффективных и доступных механизмов обеспечения его осуществления и подачи жалоб. Кроме того, Комитет рекомендует Европейскому союзу обе</w:t>
      </w:r>
      <w:r w:rsidR="00EC4EA4" w:rsidRPr="00995BA9">
        <w:rPr>
          <w:i/>
        </w:rPr>
        <w:t>с</w:t>
      </w:r>
      <w:r w:rsidR="00EC4EA4" w:rsidRPr="00995BA9">
        <w:rPr>
          <w:i/>
        </w:rPr>
        <w:t>печить участие инвалидов в процессе его принятия через их представительные организации</w:t>
      </w:r>
      <w:r w:rsidR="00EC4EA4" w:rsidRPr="00C971CD">
        <w:rPr>
          <w:i/>
        </w:rPr>
        <w:t>».</w:t>
      </w:r>
      <w:r w:rsidR="00EC4EA4" w:rsidRPr="00995BA9">
        <w:t xml:space="preserve"> </w:t>
      </w:r>
    </w:p>
    <w:p w:rsidR="00EC4EA4" w:rsidRPr="00EC4EA4" w:rsidRDefault="00EC4EA4" w:rsidP="00EC4EA4">
      <w:pPr>
        <w:pStyle w:val="SingleTxtGR"/>
      </w:pPr>
      <w:r w:rsidRPr="00EC4EA4">
        <w:t>9.</w:t>
      </w:r>
      <w:r w:rsidRPr="00EC4EA4">
        <w:tab/>
        <w:t>2 декабря 2015 года Европейская комиссия приняла предложение по д</w:t>
      </w:r>
      <w:r w:rsidRPr="00EC4EA4">
        <w:t>и</w:t>
      </w:r>
      <w:r w:rsidRPr="00EC4EA4">
        <w:t>рективе о сближении законов, правил и административных положений гос</w:t>
      </w:r>
      <w:r w:rsidRPr="00EC4EA4">
        <w:t>у</w:t>
      </w:r>
      <w:r w:rsidRPr="00EC4EA4">
        <w:t>дарств-членов в том, что касается требований в отношении доступности для т</w:t>
      </w:r>
      <w:r w:rsidRPr="00EC4EA4">
        <w:t>о</w:t>
      </w:r>
      <w:r w:rsidRPr="00EC4EA4">
        <w:t xml:space="preserve">варов и услуг, </w:t>
      </w:r>
      <w:r w:rsidR="00051D6B">
        <w:t>–</w:t>
      </w:r>
      <w:r w:rsidRPr="00EC4EA4">
        <w:t xml:space="preserve"> так называемый Европейский закон о доступности</w:t>
      </w:r>
      <w:r w:rsidRPr="00051D6B">
        <w:rPr>
          <w:sz w:val="18"/>
          <w:szCs w:val="18"/>
          <w:vertAlign w:val="superscript"/>
        </w:rPr>
        <w:footnoteReference w:id="4"/>
      </w:r>
      <w:r w:rsidR="00051D6B">
        <w:t>.</w:t>
      </w:r>
      <w:r w:rsidRPr="00EC4EA4">
        <w:t xml:space="preserve"> Предлаг</w:t>
      </w:r>
      <w:r w:rsidRPr="00EC4EA4">
        <w:t>а</w:t>
      </w:r>
      <w:r w:rsidRPr="00EC4EA4">
        <w:t>емая директива дополняет другие законы о доступности, существующие на уровне ЕС и отдельных стран. Она требует обеспечения соответствия отдел</w:t>
      </w:r>
      <w:r w:rsidRPr="00EC4EA4">
        <w:t>ь</w:t>
      </w:r>
      <w:r w:rsidRPr="00EC4EA4">
        <w:t xml:space="preserve">ных товаров и услуг, о которых говорится в статье 9 КПИ ООН, согласованному своду функциональных требований в отношении доступности. </w:t>
      </w:r>
    </w:p>
    <w:p w:rsidR="00EC4EA4" w:rsidRPr="00EC4EA4" w:rsidRDefault="00EC4EA4" w:rsidP="00EC4EA4">
      <w:pPr>
        <w:pStyle w:val="SingleTxtGR"/>
      </w:pPr>
      <w:r w:rsidRPr="00EC4EA4">
        <w:t>10.</w:t>
      </w:r>
      <w:r w:rsidRPr="00EC4EA4">
        <w:tab/>
        <w:t>В соответствии с замечанием общего порядка № 2 предложенная дире</w:t>
      </w:r>
      <w:r w:rsidRPr="00EC4EA4">
        <w:t>к</w:t>
      </w:r>
      <w:r w:rsidRPr="00EC4EA4">
        <w:t>тива содержит четкие сроки для осуществления, использует стандарты для обеспечения подробных требований и предусматривает эффективный и досту</w:t>
      </w:r>
      <w:r w:rsidRPr="00EC4EA4">
        <w:t>п</w:t>
      </w:r>
      <w:r w:rsidRPr="00EC4EA4">
        <w:t>ный механизм для обеспечения правоприменения и рассмотрения жалоб. Этот правоприменительный механизм изначально основывается на заявлениях о с</w:t>
      </w:r>
      <w:r w:rsidRPr="00EC4EA4">
        <w:t>о</w:t>
      </w:r>
      <w:r w:rsidRPr="00EC4EA4">
        <w:t>блюдении самих участников экономической деятельности. Правоприменение также включает активные проверки со стороны органов по надзору за рынком. Предлагаемая директива требует от государств-членов предоставления дост</w:t>
      </w:r>
      <w:r w:rsidRPr="00EC4EA4">
        <w:t>а</w:t>
      </w:r>
      <w:r w:rsidRPr="00EC4EA4">
        <w:t>точных и эффективных средств для обеспечения соблюдения предлагаемой д</w:t>
      </w:r>
      <w:r w:rsidRPr="00EC4EA4">
        <w:t>и</w:t>
      </w:r>
      <w:r w:rsidRPr="00EC4EA4">
        <w:t>рективы, включая возможность для инвалидов как потребителей обращаться в соответствии с национальным законодательством в суды или в компетентные административные органы. Кроме того, вышеупомянутые средства должны включать положения, согласно которым государственные органы или частные ассоциации, организации или другие юридические лица, которые имеют зако</w:t>
      </w:r>
      <w:r w:rsidRPr="00EC4EA4">
        <w:t>н</w:t>
      </w:r>
      <w:r w:rsidRPr="00EC4EA4">
        <w:t xml:space="preserve">ный интерес, могут принимать такие меры в интересах потребителей. </w:t>
      </w:r>
    </w:p>
    <w:p w:rsidR="00EC4EA4" w:rsidRPr="00EC4EA4" w:rsidRDefault="00EC4EA4" w:rsidP="00EC4EA4">
      <w:pPr>
        <w:pStyle w:val="SingleTxtGR"/>
      </w:pPr>
      <w:r w:rsidRPr="00EC4EA4">
        <w:t>11.</w:t>
      </w:r>
      <w:r w:rsidRPr="00EC4EA4">
        <w:tab/>
        <w:t>Принятие этого предложения требует наличия согласия между Советом и Европейским парламентом как созаконодателями</w:t>
      </w:r>
      <w:r w:rsidR="00051D6B">
        <w:t xml:space="preserve"> </w:t>
      </w:r>
      <w:r w:rsidRPr="00EC4EA4">
        <w:t>в соответствии с положени</w:t>
      </w:r>
      <w:r w:rsidRPr="00EC4EA4">
        <w:t>я</w:t>
      </w:r>
      <w:r w:rsidRPr="00EC4EA4">
        <w:t>ми Договора о функционировании Европейского союза</w:t>
      </w:r>
      <w:r w:rsidRPr="00051D6B">
        <w:rPr>
          <w:sz w:val="18"/>
          <w:szCs w:val="18"/>
          <w:vertAlign w:val="superscript"/>
        </w:rPr>
        <w:footnoteReference w:id="5"/>
      </w:r>
      <w:r w:rsidR="00051D6B">
        <w:t>.</w:t>
      </w:r>
      <w:r w:rsidRPr="00EC4EA4">
        <w:t xml:space="preserve"> И Совет, и Европе</w:t>
      </w:r>
      <w:r w:rsidRPr="00EC4EA4">
        <w:t>й</w:t>
      </w:r>
      <w:r w:rsidRPr="00EC4EA4">
        <w:t>ский парламент приступили к работе над предлагаемым законом, который по</w:t>
      </w:r>
      <w:r w:rsidRPr="00EC4EA4">
        <w:t>д</w:t>
      </w:r>
      <w:r w:rsidRPr="00EC4EA4">
        <w:t>держивает Комиссия.</w:t>
      </w:r>
    </w:p>
    <w:p w:rsidR="00EC4EA4" w:rsidRPr="00EC4EA4" w:rsidRDefault="00995BA9" w:rsidP="00995BA9">
      <w:pPr>
        <w:pStyle w:val="HChGR"/>
      </w:pPr>
      <w:r>
        <w:tab/>
      </w:r>
      <w:r w:rsidR="00EC4EA4" w:rsidRPr="00EC4EA4">
        <w:t>III.</w:t>
      </w:r>
      <w:r w:rsidR="00EC4EA4" w:rsidRPr="00EC4EA4">
        <w:tab/>
        <w:t>Рекомендация в отношении рамочной программы по</w:t>
      </w:r>
      <w:r>
        <w:t> </w:t>
      </w:r>
      <w:r w:rsidR="00EC4EA4" w:rsidRPr="00EC4EA4">
        <w:t>проведению м</w:t>
      </w:r>
      <w:r w:rsidR="00EC4EA4" w:rsidRPr="00EC4EA4">
        <w:t>о</w:t>
      </w:r>
      <w:r w:rsidR="00EC4EA4" w:rsidRPr="00EC4EA4">
        <w:t>ниторинга</w:t>
      </w:r>
    </w:p>
    <w:p w:rsidR="00EC4EA4" w:rsidRPr="00995BA9" w:rsidRDefault="00995BA9" w:rsidP="00EC4EA4">
      <w:pPr>
        <w:pStyle w:val="SingleTxtGR"/>
      </w:pPr>
      <w:r>
        <w:t>12.</w:t>
      </w:r>
      <w:r>
        <w:tab/>
      </w:r>
      <w:r w:rsidRPr="00995BA9">
        <w:rPr>
          <w:b/>
        </w:rPr>
        <w:t>Пункт 77</w:t>
      </w:r>
      <w:r w:rsidRPr="00C971CD">
        <w:t>:</w:t>
      </w:r>
      <w:r w:rsidR="00EC4EA4" w:rsidRPr="00EC4EA4">
        <w:t xml:space="preserve"> </w:t>
      </w:r>
      <w:r w:rsidR="00EC4EA4" w:rsidRPr="00C971CD">
        <w:rPr>
          <w:i/>
        </w:rPr>
        <w:t>«</w:t>
      </w:r>
      <w:r w:rsidR="00EC4EA4" w:rsidRPr="00EC4EA4">
        <w:rPr>
          <w:i/>
        </w:rPr>
        <w:t>Комитет рекомендует Европейскому союзу принять меры для разграничения функций Европейской комиссии по осуществлению и мон</w:t>
      </w:r>
      <w:r w:rsidR="00EC4EA4" w:rsidRPr="00EC4EA4">
        <w:rPr>
          <w:i/>
        </w:rPr>
        <w:t>и</w:t>
      </w:r>
      <w:r w:rsidR="00EC4EA4" w:rsidRPr="00EC4EA4">
        <w:rPr>
          <w:i/>
        </w:rPr>
        <w:t>торингу осуществления Конвенции путем исключения ее из рамочной програ</w:t>
      </w:r>
      <w:r w:rsidR="00EC4EA4" w:rsidRPr="00EC4EA4">
        <w:rPr>
          <w:i/>
        </w:rPr>
        <w:t>м</w:t>
      </w:r>
      <w:r w:rsidR="00EC4EA4" w:rsidRPr="00EC4EA4">
        <w:rPr>
          <w:i/>
        </w:rPr>
        <w:t>мы по проведению независимого мониторинга для обеспечения полного соо</w:t>
      </w:r>
      <w:r w:rsidR="00EC4EA4" w:rsidRPr="00EC4EA4">
        <w:rPr>
          <w:i/>
        </w:rPr>
        <w:t>т</w:t>
      </w:r>
      <w:r w:rsidR="00EC4EA4" w:rsidRPr="00EC4EA4">
        <w:rPr>
          <w:i/>
        </w:rPr>
        <w:lastRenderedPageBreak/>
        <w:t>ветствия Парижским принципам и выделить надлежащие ресурсы для реал</w:t>
      </w:r>
      <w:r w:rsidR="00EC4EA4" w:rsidRPr="00EC4EA4">
        <w:rPr>
          <w:i/>
        </w:rPr>
        <w:t>и</w:t>
      </w:r>
      <w:r w:rsidR="00EC4EA4" w:rsidRPr="00EC4EA4">
        <w:rPr>
          <w:i/>
        </w:rPr>
        <w:t>зации этой рамочной программы. Кроме того, Комитет рекомендует Европе</w:t>
      </w:r>
      <w:r w:rsidR="00EC4EA4" w:rsidRPr="00EC4EA4">
        <w:rPr>
          <w:i/>
        </w:rPr>
        <w:t>й</w:t>
      </w:r>
      <w:r w:rsidR="00EC4EA4" w:rsidRPr="00EC4EA4">
        <w:rPr>
          <w:i/>
        </w:rPr>
        <w:t>скому союзу рассмотреть возможность создания межучрежденческого коо</w:t>
      </w:r>
      <w:r w:rsidR="00EC4EA4" w:rsidRPr="00EC4EA4">
        <w:rPr>
          <w:i/>
        </w:rPr>
        <w:t>р</w:t>
      </w:r>
      <w:r w:rsidR="00EC4EA4" w:rsidRPr="00EC4EA4">
        <w:rPr>
          <w:i/>
        </w:rPr>
        <w:t>динационного механизма и назначения координаторов в каждом учреждении, агентстве и органе Европейского союза</w:t>
      </w:r>
      <w:r w:rsidR="00EC4EA4" w:rsidRPr="00C971CD">
        <w:rPr>
          <w:i/>
        </w:rPr>
        <w:t>».</w:t>
      </w:r>
      <w:r w:rsidR="00EC4EA4" w:rsidRPr="00995BA9">
        <w:t xml:space="preserve"> </w:t>
      </w:r>
    </w:p>
    <w:p w:rsidR="00EC4EA4" w:rsidRPr="00EC4EA4" w:rsidRDefault="00EC4EA4" w:rsidP="00EC4EA4">
      <w:pPr>
        <w:pStyle w:val="SingleTxtGR"/>
      </w:pPr>
      <w:r w:rsidRPr="00EC4EA4">
        <w:t>13.</w:t>
      </w:r>
      <w:r w:rsidRPr="00EC4EA4">
        <w:tab/>
        <w:t>Сразу после получения заключительных замечаний Европейская коми</w:t>
      </w:r>
      <w:r w:rsidRPr="00EC4EA4">
        <w:t>с</w:t>
      </w:r>
      <w:r w:rsidRPr="00EC4EA4">
        <w:t>сия прекратила свое участие в заседаниях по линии рамочной программы ЕС по проведению мониторинга. Параллельно с этим она провела тщательный и п</w:t>
      </w:r>
      <w:r w:rsidRPr="00EC4EA4">
        <w:t>о</w:t>
      </w:r>
      <w:r w:rsidRPr="00EC4EA4">
        <w:t>дробный юридический анализ для определения надлежащего процесса, котор</w:t>
      </w:r>
      <w:r w:rsidRPr="00EC4EA4">
        <w:t>о</w:t>
      </w:r>
      <w:r w:rsidRPr="00EC4EA4">
        <w:t>му нужно следовать в целях формализации прекращения ее участия. Офиц</w:t>
      </w:r>
      <w:r w:rsidRPr="00EC4EA4">
        <w:t>и</w:t>
      </w:r>
      <w:r w:rsidRPr="00EC4EA4">
        <w:t>альный процесс требует принятия документа о пересмотре Советом Европе</w:t>
      </w:r>
      <w:r w:rsidRPr="00EC4EA4">
        <w:t>й</w:t>
      </w:r>
      <w:r w:rsidRPr="00EC4EA4">
        <w:t>ского союза рамочной программы ЕС по проведению мониторинга. Этот док</w:t>
      </w:r>
      <w:r w:rsidRPr="00EC4EA4">
        <w:t>у</w:t>
      </w:r>
      <w:r w:rsidRPr="00EC4EA4">
        <w:t>мент в настоящее время обсуждается в Совете и, как ожидается, будет принят в январе или феврале 2017 года.</w:t>
      </w:r>
    </w:p>
    <w:p w:rsidR="00EC4EA4" w:rsidRPr="00EC4EA4" w:rsidRDefault="00EC4EA4" w:rsidP="00EC4EA4">
      <w:pPr>
        <w:pStyle w:val="SingleTxtGR"/>
      </w:pPr>
      <w:r w:rsidRPr="00EC4EA4">
        <w:t>14.</w:t>
      </w:r>
      <w:r w:rsidRPr="00EC4EA4">
        <w:tab/>
        <w:t>В осуществлении предлагаемой пе</w:t>
      </w:r>
      <w:r w:rsidR="00051D6B">
        <w:t>ресмотренной рамочной програ</w:t>
      </w:r>
      <w:r w:rsidR="00051D6B">
        <w:t>м</w:t>
      </w:r>
      <w:r w:rsidR="00051D6B">
        <w:t>мы </w:t>
      </w:r>
      <w:r w:rsidRPr="00EC4EA4">
        <w:t>ЕС по проведению мониторинга будут участвовать те же члены, выполня</w:t>
      </w:r>
      <w:r w:rsidRPr="00EC4EA4">
        <w:t>ю</w:t>
      </w:r>
      <w:r w:rsidRPr="00EC4EA4">
        <w:t>щие те же функции. Таким образ</w:t>
      </w:r>
      <w:r w:rsidR="00C971CD">
        <w:t>о</w:t>
      </w:r>
      <w:r w:rsidRPr="00EC4EA4">
        <w:t>м</w:t>
      </w:r>
      <w:r w:rsidR="00C971CD">
        <w:t>,</w:t>
      </w:r>
      <w:r w:rsidRPr="00EC4EA4">
        <w:t xml:space="preserve"> в состав рамочной программы ЕС по пр</w:t>
      </w:r>
      <w:r w:rsidRPr="00EC4EA4">
        <w:t>о</w:t>
      </w:r>
      <w:r w:rsidRPr="00EC4EA4">
        <w:t>ведению мониторинга будут входить:</w:t>
      </w:r>
    </w:p>
    <w:p w:rsidR="00EC4EA4" w:rsidRPr="00EC4EA4" w:rsidRDefault="00EC4EA4" w:rsidP="00995BA9">
      <w:pPr>
        <w:pStyle w:val="Bullet1GR"/>
      </w:pPr>
      <w:r w:rsidRPr="00EC4EA4">
        <w:t xml:space="preserve">Европейский парламент; </w:t>
      </w:r>
    </w:p>
    <w:p w:rsidR="00EC4EA4" w:rsidRPr="00EC4EA4" w:rsidRDefault="00EC4EA4" w:rsidP="00995BA9">
      <w:pPr>
        <w:pStyle w:val="Bullet1GR"/>
      </w:pPr>
      <w:r w:rsidRPr="00EC4EA4">
        <w:t>Европейский омбудсмен;</w:t>
      </w:r>
    </w:p>
    <w:p w:rsidR="00EC4EA4" w:rsidRPr="00EC4EA4" w:rsidRDefault="00EC4EA4" w:rsidP="00995BA9">
      <w:pPr>
        <w:pStyle w:val="Bullet1GR"/>
      </w:pPr>
      <w:r w:rsidRPr="00EC4EA4">
        <w:t>Агентство Европейского союза по основным правам (АОП); и</w:t>
      </w:r>
    </w:p>
    <w:p w:rsidR="00EC4EA4" w:rsidRPr="00EC4EA4" w:rsidRDefault="00EC4EA4" w:rsidP="00995BA9">
      <w:pPr>
        <w:pStyle w:val="Bullet1GR"/>
      </w:pPr>
      <w:r w:rsidRPr="00EC4EA4">
        <w:t xml:space="preserve">Европейский форум по вопросам инвалидности (ЕФИ) </w:t>
      </w:r>
      <w:r w:rsidR="00051D6B">
        <w:t>–</w:t>
      </w:r>
      <w:r w:rsidRPr="00EC4EA4">
        <w:t xml:space="preserve"> главная зонти</w:t>
      </w:r>
      <w:r w:rsidRPr="00EC4EA4">
        <w:t>ч</w:t>
      </w:r>
      <w:r w:rsidRPr="00EC4EA4">
        <w:t>ная организация инвалидов на уровне ЕС.</w:t>
      </w:r>
    </w:p>
    <w:p w:rsidR="00EC4EA4" w:rsidRPr="00EC4EA4" w:rsidRDefault="00EC4EA4" w:rsidP="00EC4EA4">
      <w:pPr>
        <w:pStyle w:val="SingleTxtGR"/>
      </w:pPr>
      <w:r w:rsidRPr="00EC4EA4">
        <w:t>15.</w:t>
      </w:r>
      <w:r w:rsidRPr="00EC4EA4">
        <w:tab/>
        <w:t>Европейская комиссия, которая больше не является частью</w:t>
      </w:r>
      <w:r w:rsidR="00051D6B">
        <w:t xml:space="preserve"> </w:t>
      </w:r>
      <w:r w:rsidRPr="00EC4EA4">
        <w:t>рамочной программы ЕС по проведению мониторинга, будет продолжать выполнять свои функции в качестве координационного центра для ЕС, а именно:</w:t>
      </w:r>
    </w:p>
    <w:p w:rsidR="00EC4EA4" w:rsidRPr="00EC4EA4" w:rsidRDefault="00051D6B" w:rsidP="00995BA9">
      <w:pPr>
        <w:pStyle w:val="Bullet1GR"/>
      </w:pPr>
      <w:r>
        <w:t>поощрение –</w:t>
      </w:r>
      <w:r w:rsidR="00EC4EA4" w:rsidRPr="00EC4EA4">
        <w:t xml:space="preserve"> содействие взаимному обучению, обмену информацией </w:t>
      </w:r>
      <w:r w:rsidR="00C971CD">
        <w:br/>
      </w:r>
      <w:r w:rsidR="00EC4EA4" w:rsidRPr="00EC4EA4">
        <w:t>о надлежащей практике, предоставление поддержки НПО, занимающи</w:t>
      </w:r>
      <w:r w:rsidR="00EC4EA4" w:rsidRPr="00EC4EA4">
        <w:t>м</w:t>
      </w:r>
      <w:r w:rsidR="00EC4EA4" w:rsidRPr="00EC4EA4">
        <w:t>ся вопросами инвалидности, повышение уровня информированно</w:t>
      </w:r>
      <w:r w:rsidR="00C971CD">
        <w:t>сти о КПИ </w:t>
      </w:r>
      <w:r w:rsidR="00EC4EA4" w:rsidRPr="00EC4EA4">
        <w:t xml:space="preserve">ООН и т.д.; </w:t>
      </w:r>
    </w:p>
    <w:p w:rsidR="00EC4EA4" w:rsidRPr="00EC4EA4" w:rsidRDefault="00051D6B" w:rsidP="00995BA9">
      <w:pPr>
        <w:pStyle w:val="Bullet1GR"/>
      </w:pPr>
      <w:r>
        <w:t>защита –</w:t>
      </w:r>
      <w:r w:rsidR="00EC4EA4" w:rsidRPr="00EC4EA4">
        <w:t xml:space="preserve"> рассмотрение жалоб граждан, контроль з</w:t>
      </w:r>
      <w:r w:rsidR="00C971CD">
        <w:t>а соблюдением КПИ </w:t>
      </w:r>
      <w:r w:rsidR="00EC4EA4" w:rsidRPr="00EC4EA4">
        <w:t>ООН государствами-членами при осуществлении законодательства ЕС, инициирование процедур в случае несоблюдения положений, отн</w:t>
      </w:r>
      <w:r w:rsidR="00EC4EA4" w:rsidRPr="00EC4EA4">
        <w:t>о</w:t>
      </w:r>
      <w:r w:rsidR="00EC4EA4" w:rsidRPr="00EC4EA4">
        <w:t xml:space="preserve">сящихся к сфере компетенции ЕС, и т.д.; и </w:t>
      </w:r>
    </w:p>
    <w:p w:rsidR="00EC4EA4" w:rsidRPr="00EC4EA4" w:rsidRDefault="00EC4EA4" w:rsidP="00995BA9">
      <w:pPr>
        <w:pStyle w:val="Bullet1GR"/>
      </w:pPr>
      <w:r w:rsidRPr="00EC4EA4">
        <w:t xml:space="preserve">мониторинг </w:t>
      </w:r>
      <w:r w:rsidR="00051D6B">
        <w:t>–</w:t>
      </w:r>
      <w:r w:rsidRPr="00EC4EA4">
        <w:t xml:space="preserve"> сбор данных, статистики, контроль за тем, как госуда</w:t>
      </w:r>
      <w:r w:rsidRPr="00EC4EA4">
        <w:t>р</w:t>
      </w:r>
      <w:r w:rsidRPr="00EC4EA4">
        <w:t>ства-члены применяют законодательство ЕС, подпадающее под сферу прим</w:t>
      </w:r>
      <w:r w:rsidRPr="00EC4EA4">
        <w:t>е</w:t>
      </w:r>
      <w:r w:rsidRPr="00EC4EA4">
        <w:t>нения КПИ ООН, в частности доклады Комиссии по применению дире</w:t>
      </w:r>
      <w:r w:rsidRPr="00EC4EA4">
        <w:t>к</w:t>
      </w:r>
      <w:r w:rsidRPr="00EC4EA4">
        <w:t>тив и пр</w:t>
      </w:r>
      <w:r w:rsidRPr="00EC4EA4">
        <w:t>а</w:t>
      </w:r>
      <w:r w:rsidRPr="00EC4EA4">
        <w:t>вил.</w:t>
      </w:r>
    </w:p>
    <w:p w:rsidR="00EC4EA4" w:rsidRPr="00EC4EA4" w:rsidRDefault="00EC4EA4" w:rsidP="00EC4EA4">
      <w:pPr>
        <w:pStyle w:val="SingleTxtGR"/>
      </w:pPr>
      <w:r w:rsidRPr="00EC4EA4">
        <w:t>16.</w:t>
      </w:r>
      <w:r w:rsidRPr="00EC4EA4">
        <w:tab/>
        <w:t>Важно отметить, что мандат рамочной программы ЕС охватывает сферы компетенции ЕС. Он дополняет национальную нормативно-правовую базу и н</w:t>
      </w:r>
      <w:r w:rsidRPr="00EC4EA4">
        <w:t>е</w:t>
      </w:r>
      <w:r w:rsidRPr="00EC4EA4">
        <w:t>зависимые механизмы, которые несут главную ответственность за поощрение, защиту и мониторинг КПИ ООН в государствах-членах.</w:t>
      </w:r>
    </w:p>
    <w:p w:rsidR="00EC4EA4" w:rsidRPr="00EC4EA4" w:rsidRDefault="00EC4EA4" w:rsidP="00EC4EA4">
      <w:pPr>
        <w:pStyle w:val="SingleTxtGR"/>
      </w:pPr>
      <w:r w:rsidRPr="00EC4EA4">
        <w:t>17.</w:t>
      </w:r>
      <w:r w:rsidRPr="00EC4EA4">
        <w:tab/>
        <w:t>Рамочная программа ЕС по проведению мониторинга будет по-прежнему охватывать два разных мандата:</w:t>
      </w:r>
    </w:p>
    <w:p w:rsidR="00EC4EA4" w:rsidRPr="00EC4EA4" w:rsidRDefault="00EC4EA4" w:rsidP="00995BA9">
      <w:pPr>
        <w:pStyle w:val="Bullet1GR"/>
      </w:pPr>
      <w:r w:rsidRPr="00EC4EA4">
        <w:t>во-первых, соответствующие функции должны осуществляться в тех о</w:t>
      </w:r>
      <w:r w:rsidRPr="00EC4EA4">
        <w:t>б</w:t>
      </w:r>
      <w:r w:rsidRPr="00EC4EA4">
        <w:t>ластях, в которых государства-члены передали компетенцию ЕС (главным образом законодательство и политика ЕС</w:t>
      </w:r>
      <w:r w:rsidRPr="00051D6B">
        <w:rPr>
          <w:sz w:val="18"/>
          <w:szCs w:val="18"/>
          <w:vertAlign w:val="superscript"/>
        </w:rPr>
        <w:footnoteReference w:id="6"/>
      </w:r>
      <w:r w:rsidRPr="00EC4EA4">
        <w:t>). Этот вопрос будет главной областью д</w:t>
      </w:r>
      <w:r w:rsidRPr="00EC4EA4">
        <w:t>е</w:t>
      </w:r>
      <w:r w:rsidRPr="00EC4EA4">
        <w:t>ятельно</w:t>
      </w:r>
      <w:r w:rsidR="00051D6B">
        <w:t>сти по линии рамочной программы;</w:t>
      </w:r>
    </w:p>
    <w:p w:rsidR="00EC4EA4" w:rsidRPr="00EC4EA4" w:rsidRDefault="00051D6B" w:rsidP="00995BA9">
      <w:pPr>
        <w:pStyle w:val="Bullet1GR"/>
      </w:pPr>
      <w:r w:rsidRPr="00EC4EA4">
        <w:lastRenderedPageBreak/>
        <w:t>в</w:t>
      </w:r>
      <w:r w:rsidR="00EC4EA4" w:rsidRPr="00EC4EA4">
        <w:t xml:space="preserve">о-вторых, эти функции </w:t>
      </w:r>
      <w:r>
        <w:t>должны выполняться в отношении «</w:t>
      </w:r>
      <w:r w:rsidR="00EC4EA4" w:rsidRPr="00EC4EA4">
        <w:t>внутренн</w:t>
      </w:r>
      <w:r w:rsidR="00EC4EA4" w:rsidRPr="00EC4EA4">
        <w:t>е</w:t>
      </w:r>
      <w:r w:rsidR="00EC4EA4" w:rsidRPr="00EC4EA4">
        <w:t>го</w:t>
      </w:r>
      <w:r>
        <w:t>»</w:t>
      </w:r>
      <w:r w:rsidR="00EC4EA4" w:rsidRPr="00EC4EA4">
        <w:t xml:space="preserve"> осуществления КПИ ООН учреждениями ЕС, т</w:t>
      </w:r>
      <w:r w:rsidR="00C971CD">
        <w:t>.</w:t>
      </w:r>
      <w:r w:rsidR="00EC4EA4" w:rsidRPr="00EC4EA4">
        <w:t>е</w:t>
      </w:r>
      <w:r w:rsidR="00C971CD">
        <w:t>.</w:t>
      </w:r>
      <w:bookmarkStart w:id="0" w:name="_GoBack"/>
      <w:bookmarkEnd w:id="0"/>
      <w:r w:rsidR="00EC4EA4" w:rsidRPr="00EC4EA4">
        <w:t xml:space="preserve"> в отношении орг</w:t>
      </w:r>
      <w:r w:rsidR="00EC4EA4" w:rsidRPr="00EC4EA4">
        <w:t>а</w:t>
      </w:r>
      <w:r w:rsidR="00EC4EA4" w:rsidRPr="00EC4EA4">
        <w:t>нов публичной администрации Союза, например в отношении их сотру</w:t>
      </w:r>
      <w:r w:rsidR="00EC4EA4" w:rsidRPr="00EC4EA4">
        <w:t>д</w:t>
      </w:r>
      <w:r w:rsidR="00EC4EA4" w:rsidRPr="00EC4EA4">
        <w:t>ников, а также их взаимодействия с гражданами и общественн</w:t>
      </w:r>
      <w:r w:rsidR="00EC4EA4" w:rsidRPr="00EC4EA4">
        <w:t>о</w:t>
      </w:r>
      <w:r w:rsidR="00EC4EA4" w:rsidRPr="00EC4EA4">
        <w:t>стью.</w:t>
      </w:r>
    </w:p>
    <w:p w:rsidR="00EC4EA4" w:rsidRPr="00EC4EA4" w:rsidRDefault="00EC4EA4" w:rsidP="00EC4EA4">
      <w:pPr>
        <w:pStyle w:val="SingleTxtGR"/>
      </w:pPr>
      <w:r w:rsidRPr="00EC4EA4">
        <w:t>18.</w:t>
      </w:r>
      <w:r w:rsidRPr="00EC4EA4">
        <w:tab/>
        <w:t>Согласно оценке Комиссии какие-либо финансовые последствия в связи с этим предложением о пересмотре рамочной программы ЕС по проведению м</w:t>
      </w:r>
      <w:r w:rsidRPr="00EC4EA4">
        <w:t>о</w:t>
      </w:r>
      <w:r w:rsidRPr="00EC4EA4">
        <w:t>ниторинга отсутствуют. Члены продолжат выполнение своих соответствующих задач в контексте их деятельности и бюджетов. Доступный веб-сайт рамочной программы ЕС по проведению мониторинга содержит информацию о ее фун</w:t>
      </w:r>
      <w:r w:rsidRPr="00EC4EA4">
        <w:t>к</w:t>
      </w:r>
      <w:r w:rsidRPr="00EC4EA4">
        <w:t>ционировании, членах, видах деятельности и заседаниях. Он также содержит контактную информацию.</w:t>
      </w:r>
    </w:p>
    <w:p w:rsidR="00EC4EA4" w:rsidRPr="00EC4EA4" w:rsidRDefault="00EC4EA4" w:rsidP="00EC4EA4">
      <w:pPr>
        <w:pStyle w:val="SingleTxtGR"/>
      </w:pPr>
      <w:r w:rsidRPr="00EC4EA4">
        <w:t>19.</w:t>
      </w:r>
      <w:r w:rsidRPr="00EC4EA4">
        <w:tab/>
        <w:t>Поскольку пересмотр рамочной программы и/или ее методов работы м</w:t>
      </w:r>
      <w:r w:rsidRPr="00EC4EA4">
        <w:t>о</w:t>
      </w:r>
      <w:r w:rsidRPr="00EC4EA4">
        <w:t>жет быть инициирован, когда это будет сочтено необходимым, другие вопросы могут быть рассмотрены, при необходимости, после того,</w:t>
      </w:r>
      <w:r w:rsidR="00051D6B">
        <w:t xml:space="preserve"> </w:t>
      </w:r>
      <w:r w:rsidRPr="00EC4EA4">
        <w:t>как будет формализ</w:t>
      </w:r>
      <w:r w:rsidRPr="00EC4EA4">
        <w:t>о</w:t>
      </w:r>
      <w:r w:rsidRPr="00EC4EA4">
        <w:t>вано прекращение участия</w:t>
      </w:r>
      <w:r w:rsidR="00051D6B">
        <w:t xml:space="preserve"> </w:t>
      </w:r>
      <w:r w:rsidRPr="00EC4EA4">
        <w:t>Европейской комиссии.</w:t>
      </w:r>
    </w:p>
    <w:p w:rsidR="00EC4EA4" w:rsidRPr="00EC4EA4" w:rsidRDefault="00EC4EA4" w:rsidP="00EC4EA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C4EA4" w:rsidRPr="00EC4EA4" w:rsidSect="00EC4EA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2C" w:rsidRPr="00A312BC" w:rsidRDefault="0021092C" w:rsidP="00A312BC"/>
  </w:endnote>
  <w:endnote w:type="continuationSeparator" w:id="0">
    <w:p w:rsidR="0021092C" w:rsidRPr="00A312BC" w:rsidRDefault="0021092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A4" w:rsidRPr="00EC4EA4" w:rsidRDefault="00EC4EA4">
    <w:pPr>
      <w:pStyle w:val="a8"/>
    </w:pPr>
    <w:r w:rsidRPr="00EC4EA4">
      <w:rPr>
        <w:b/>
        <w:sz w:val="18"/>
      </w:rPr>
      <w:fldChar w:fldCharType="begin"/>
    </w:r>
    <w:r w:rsidRPr="00EC4EA4">
      <w:rPr>
        <w:b/>
        <w:sz w:val="18"/>
      </w:rPr>
      <w:instrText xml:space="preserve"> PAGE  \* MERGEFORMAT </w:instrText>
    </w:r>
    <w:r w:rsidRPr="00EC4EA4">
      <w:rPr>
        <w:b/>
        <w:sz w:val="18"/>
      </w:rPr>
      <w:fldChar w:fldCharType="separate"/>
    </w:r>
    <w:r w:rsidR="00F07966">
      <w:rPr>
        <w:b/>
        <w:noProof/>
        <w:sz w:val="18"/>
      </w:rPr>
      <w:t>4</w:t>
    </w:r>
    <w:r w:rsidRPr="00EC4EA4">
      <w:rPr>
        <w:b/>
        <w:sz w:val="18"/>
      </w:rPr>
      <w:fldChar w:fldCharType="end"/>
    </w:r>
    <w:r>
      <w:rPr>
        <w:b/>
        <w:sz w:val="18"/>
      </w:rPr>
      <w:tab/>
    </w:r>
    <w:r>
      <w:t>GE.17-20828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A4" w:rsidRPr="00EC4EA4" w:rsidRDefault="00EC4EA4" w:rsidP="00EC4EA4">
    <w:pPr>
      <w:pStyle w:val="a8"/>
      <w:tabs>
        <w:tab w:val="clear" w:pos="9639"/>
        <w:tab w:val="right" w:pos="9638"/>
      </w:tabs>
      <w:rPr>
        <w:b/>
        <w:sz w:val="18"/>
      </w:rPr>
    </w:pPr>
    <w:r>
      <w:t>GE.17-20828</w:t>
    </w:r>
    <w:r>
      <w:tab/>
    </w:r>
    <w:r w:rsidRPr="00EC4EA4">
      <w:rPr>
        <w:b/>
        <w:sz w:val="18"/>
      </w:rPr>
      <w:fldChar w:fldCharType="begin"/>
    </w:r>
    <w:r w:rsidRPr="00EC4EA4">
      <w:rPr>
        <w:b/>
        <w:sz w:val="18"/>
      </w:rPr>
      <w:instrText xml:space="preserve"> PAGE  \* MERGEFORMAT </w:instrText>
    </w:r>
    <w:r w:rsidRPr="00EC4EA4">
      <w:rPr>
        <w:b/>
        <w:sz w:val="18"/>
      </w:rPr>
      <w:fldChar w:fldCharType="separate"/>
    </w:r>
    <w:r w:rsidR="00F07966">
      <w:rPr>
        <w:b/>
        <w:noProof/>
        <w:sz w:val="18"/>
      </w:rPr>
      <w:t>5</w:t>
    </w:r>
    <w:r w:rsidRPr="00EC4EA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EC4EA4" w:rsidRDefault="00EC4EA4" w:rsidP="00EC4EA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5C1E9DA" wp14:editId="3B35273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17-20828  (R)</w:t>
    </w:r>
    <w:r w:rsidR="00995BA9">
      <w:t xml:space="preserve">  071217  071217</w:t>
    </w:r>
    <w:r>
      <w:br/>
    </w:r>
    <w:r w:rsidRPr="00EC4EA4">
      <w:rPr>
        <w:rFonts w:ascii="C39T30Lfz" w:hAnsi="C39T30Lfz"/>
        <w:spacing w:val="0"/>
        <w:w w:val="100"/>
        <w:sz w:val="56"/>
      </w:rPr>
      <w:t></w:t>
    </w:r>
    <w:r w:rsidRPr="00EC4EA4">
      <w:rPr>
        <w:rFonts w:ascii="C39T30Lfz" w:hAnsi="C39T30Lfz"/>
        <w:spacing w:val="0"/>
        <w:w w:val="100"/>
        <w:sz w:val="56"/>
      </w:rPr>
      <w:t></w:t>
    </w:r>
    <w:r w:rsidRPr="00EC4EA4">
      <w:rPr>
        <w:rFonts w:ascii="C39T30Lfz" w:hAnsi="C39T30Lfz"/>
        <w:spacing w:val="0"/>
        <w:w w:val="100"/>
        <w:sz w:val="56"/>
      </w:rPr>
      <w:t></w:t>
    </w:r>
    <w:r w:rsidRPr="00EC4EA4">
      <w:rPr>
        <w:rFonts w:ascii="C39T30Lfz" w:hAnsi="C39T30Lfz"/>
        <w:spacing w:val="0"/>
        <w:w w:val="100"/>
        <w:sz w:val="56"/>
      </w:rPr>
      <w:t></w:t>
    </w:r>
    <w:r w:rsidRPr="00EC4EA4">
      <w:rPr>
        <w:rFonts w:ascii="C39T30Lfz" w:hAnsi="C39T30Lfz"/>
        <w:spacing w:val="0"/>
        <w:w w:val="100"/>
        <w:sz w:val="56"/>
      </w:rPr>
      <w:t></w:t>
    </w:r>
    <w:r w:rsidRPr="00EC4EA4">
      <w:rPr>
        <w:rFonts w:ascii="C39T30Lfz" w:hAnsi="C39T30Lfz"/>
        <w:spacing w:val="0"/>
        <w:w w:val="100"/>
        <w:sz w:val="56"/>
      </w:rPr>
      <w:t></w:t>
    </w:r>
    <w:r w:rsidRPr="00EC4EA4">
      <w:rPr>
        <w:rFonts w:ascii="C39T30Lfz" w:hAnsi="C39T30Lfz"/>
        <w:spacing w:val="0"/>
        <w:w w:val="100"/>
        <w:sz w:val="56"/>
      </w:rPr>
      <w:t></w:t>
    </w:r>
    <w:r w:rsidRPr="00EC4EA4">
      <w:rPr>
        <w:rFonts w:ascii="C39T30Lfz" w:hAnsi="C39T30Lfz"/>
        <w:spacing w:val="0"/>
        <w:w w:val="100"/>
        <w:sz w:val="56"/>
      </w:rPr>
      <w:t></w:t>
    </w:r>
    <w:r w:rsidRPr="00EC4EA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PD/C/EU/CO/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EU/CO/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2C" w:rsidRPr="001075E9" w:rsidRDefault="0021092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1092C" w:rsidRDefault="0021092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C4EA4" w:rsidRPr="00EC4EA4" w:rsidRDefault="00EC4EA4">
      <w:pPr>
        <w:pStyle w:val="ad"/>
        <w:rPr>
          <w:sz w:val="20"/>
          <w:lang w:val="ru-RU"/>
        </w:rPr>
      </w:pPr>
      <w:r>
        <w:tab/>
      </w:r>
      <w:r w:rsidRPr="00EC4EA4">
        <w:rPr>
          <w:rStyle w:val="aa"/>
          <w:sz w:val="20"/>
          <w:vertAlign w:val="baseline"/>
          <w:lang w:val="ru-RU"/>
        </w:rPr>
        <w:t>*</w:t>
      </w:r>
      <w:r w:rsidRPr="00EC4EA4">
        <w:rPr>
          <w:rStyle w:val="aa"/>
          <w:vertAlign w:val="baseline"/>
          <w:lang w:val="ru-RU"/>
        </w:rPr>
        <w:tab/>
      </w:r>
      <w:r w:rsidRPr="00EC4EA4">
        <w:rPr>
          <w:lang w:val="ru-RU"/>
        </w:rPr>
        <w:t>Настоящий документ выпускается без официального редактирования.</w:t>
      </w:r>
    </w:p>
  </w:footnote>
  <w:footnote w:id="2">
    <w:p w:rsidR="009B17BF" w:rsidRPr="009B17BF" w:rsidRDefault="009B17BF">
      <w:pPr>
        <w:pStyle w:val="ad"/>
        <w:rPr>
          <w:lang w:val="ru-RU"/>
        </w:rPr>
      </w:pPr>
      <w:r>
        <w:tab/>
      </w:r>
      <w:r>
        <w:rPr>
          <w:rStyle w:val="aa"/>
        </w:rPr>
        <w:footnoteRef/>
      </w:r>
      <w:r w:rsidRPr="009B17BF">
        <w:rPr>
          <w:lang w:val="ru-RU"/>
        </w:rPr>
        <w:tab/>
        <w:t xml:space="preserve">COM (2010) 636 </w:t>
      </w:r>
      <w:r>
        <w:rPr>
          <w:lang w:val="ru-RU"/>
        </w:rPr>
        <w:t>–</w:t>
      </w:r>
      <w:r w:rsidRPr="009B17BF">
        <w:rPr>
          <w:lang w:val="ru-RU"/>
        </w:rPr>
        <w:t xml:space="preserve"> Европейская стратегия по вопросам инвалидности на </w:t>
      </w:r>
      <w:r>
        <w:rPr>
          <w:lang w:val="ru-RU"/>
        </w:rPr>
        <w:br/>
      </w:r>
      <w:r w:rsidRPr="009B17BF">
        <w:rPr>
          <w:lang w:val="ru-RU"/>
        </w:rPr>
        <w:t>2010</w:t>
      </w:r>
      <w:r>
        <w:rPr>
          <w:lang w:val="ru-RU"/>
        </w:rPr>
        <w:t>–</w:t>
      </w:r>
      <w:r w:rsidRPr="009B17BF">
        <w:rPr>
          <w:lang w:val="ru-RU"/>
        </w:rPr>
        <w:t>2020 годы: подтверждение приверженности безбарьерной Европе:</w:t>
      </w:r>
      <w:hyperlink r:id="rId1" w:history="1">
        <w:r w:rsidRPr="009B17BF">
          <w:rPr>
            <w:lang w:val="ru-RU"/>
          </w:rPr>
          <w:t xml:space="preserve"> http://eur-lex.europa.eu/legal-content/EN/TXT/?uri=celex:52010DC0636</w:t>
        </w:r>
      </w:hyperlink>
      <w:r w:rsidRPr="009B17BF">
        <w:rPr>
          <w:lang w:val="ru-RU"/>
        </w:rPr>
        <w:t>.</w:t>
      </w:r>
    </w:p>
  </w:footnote>
  <w:footnote w:id="3">
    <w:p w:rsidR="00EC4EA4" w:rsidRPr="00D059F7" w:rsidRDefault="00EC4EA4" w:rsidP="00EC4EA4">
      <w:pPr>
        <w:pStyle w:val="ad"/>
        <w:rPr>
          <w:lang w:val="ru-RU"/>
        </w:rPr>
      </w:pPr>
      <w:r w:rsidRPr="009E5D90">
        <w:rPr>
          <w:lang w:val="ru-RU"/>
        </w:rPr>
        <w:tab/>
      </w:r>
      <w:r w:rsidRPr="009E5D90">
        <w:rPr>
          <w:rStyle w:val="aa"/>
          <w:lang w:val="ru-RU"/>
        </w:rPr>
        <w:footnoteRef/>
      </w:r>
      <w:r>
        <w:rPr>
          <w:lang w:val="ru-RU"/>
        </w:rPr>
        <w:tab/>
        <w:t xml:space="preserve">Решение Совета от 26 ноября 2009 года (2010/48/EC): </w:t>
      </w:r>
      <w:hyperlink r:id="rId2" w:history="1">
        <w:r w:rsidRPr="009B17BF">
          <w:rPr>
            <w:lang w:val="ru-RU"/>
          </w:rPr>
          <w:t>http://eur-lex.europa.eu/legal-content/EN/TXT/?uri=CELEX:32010D0048</w:t>
        </w:r>
      </w:hyperlink>
      <w:r>
        <w:rPr>
          <w:lang w:val="ru-RU"/>
        </w:rPr>
        <w:t xml:space="preserve">. </w:t>
      </w:r>
    </w:p>
  </w:footnote>
  <w:footnote w:id="4">
    <w:p w:rsidR="00EC4EA4" w:rsidRPr="00D059F7" w:rsidRDefault="00EC4EA4" w:rsidP="00EC4EA4">
      <w:pPr>
        <w:pStyle w:val="ad"/>
        <w:rPr>
          <w:lang w:val="ru-RU"/>
        </w:rPr>
      </w:pPr>
      <w:r w:rsidRPr="009E5D90">
        <w:rPr>
          <w:lang w:val="ru-RU"/>
        </w:rPr>
        <w:tab/>
      </w:r>
      <w:r w:rsidRPr="009E5D90">
        <w:rPr>
          <w:rStyle w:val="aa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 xml:space="preserve">COM (2015) 615: </w:t>
      </w:r>
      <w:hyperlink r:id="rId3" w:history="1">
        <w:r w:rsidRPr="00051D6B">
          <w:rPr>
            <w:lang w:val="ru-RU"/>
          </w:rPr>
          <w:t>http://eur-lex.europa.eu/legal-content/EN/TXT/?uri=COM:2015:</w:t>
        </w:r>
        <w:r w:rsidR="00051D6B">
          <w:rPr>
            <w:lang w:val="ru-RU"/>
          </w:rPr>
          <w:br/>
        </w:r>
        <w:r w:rsidRPr="00051D6B">
          <w:rPr>
            <w:lang w:val="ru-RU"/>
          </w:rPr>
          <w:t>0615:FIN</w:t>
        </w:r>
      </w:hyperlink>
      <w:r>
        <w:rPr>
          <w:lang w:val="ru-RU"/>
        </w:rPr>
        <w:t xml:space="preserve">. </w:t>
      </w:r>
    </w:p>
  </w:footnote>
  <w:footnote w:id="5">
    <w:p w:rsidR="00EC4EA4" w:rsidRPr="00D059F7" w:rsidRDefault="00EC4EA4" w:rsidP="00EC4EA4">
      <w:pPr>
        <w:pStyle w:val="ad"/>
        <w:rPr>
          <w:lang w:val="ru-RU"/>
        </w:rPr>
      </w:pPr>
      <w:r w:rsidRPr="009E5D90">
        <w:rPr>
          <w:lang w:val="ru-RU"/>
        </w:rPr>
        <w:tab/>
      </w:r>
      <w:r w:rsidRPr="009E5D90">
        <w:rPr>
          <w:rStyle w:val="aa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В статье 294 Договора о функционировании Европейского союза (ДФЕС) описывается обычная законодательная процедура, применимая к правовой основ</w:t>
      </w:r>
      <w:r w:rsidR="00051D6B">
        <w:rPr>
          <w:lang w:val="ru-RU"/>
        </w:rPr>
        <w:t>е этой предлагаемой директивы, –</w:t>
      </w:r>
      <w:r>
        <w:rPr>
          <w:lang w:val="ru-RU"/>
        </w:rPr>
        <w:t xml:space="preserve"> статья 114 ДФЕС.</w:t>
      </w:r>
    </w:p>
  </w:footnote>
  <w:footnote w:id="6">
    <w:p w:rsidR="00EC4EA4" w:rsidRPr="009E5D90" w:rsidRDefault="00EC4EA4" w:rsidP="00EC4EA4">
      <w:pPr>
        <w:pStyle w:val="ad"/>
      </w:pPr>
      <w:r w:rsidRPr="009E5D90">
        <w:rPr>
          <w:lang w:val="ru-RU"/>
        </w:rPr>
        <w:tab/>
      </w:r>
      <w:r w:rsidRPr="009E5D90">
        <w:rPr>
          <w:rStyle w:val="aa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О чем свидетельствует заявление о компетенции ЕС, содержащееся в прил</w:t>
      </w:r>
      <w:r w:rsidR="00051D6B">
        <w:rPr>
          <w:lang w:val="ru-RU"/>
        </w:rPr>
        <w:t>ожении к </w:t>
      </w:r>
      <w:r>
        <w:rPr>
          <w:lang w:val="ru-RU"/>
        </w:rPr>
        <w:t>решению Совета 2010/48.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A4" w:rsidRPr="00EC4EA4" w:rsidRDefault="00EC4EA4">
    <w:pPr>
      <w:pStyle w:val="a5"/>
    </w:pPr>
    <w:fldSimple w:instr=" TITLE  \* MERGEFORMAT ">
      <w:r w:rsidR="00F07966">
        <w:t>CRPD/C/EU/CO/1/Add.1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A4" w:rsidRPr="00EC4EA4" w:rsidRDefault="00EC4EA4" w:rsidP="00EC4EA4">
    <w:pPr>
      <w:pStyle w:val="a5"/>
      <w:jc w:val="right"/>
    </w:pPr>
    <w:fldSimple w:instr=" TITLE  \* MERGEFORMAT ">
      <w:r w:rsidR="00F07966">
        <w:t>CRPD/C/EU/CO/1/Add.1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2C"/>
    <w:rsid w:val="00026643"/>
    <w:rsid w:val="00033EE1"/>
    <w:rsid w:val="00042B72"/>
    <w:rsid w:val="00051D6B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21092C"/>
    <w:rsid w:val="00215062"/>
    <w:rsid w:val="0021777B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32C20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95BA9"/>
    <w:rsid w:val="009A24AC"/>
    <w:rsid w:val="009B17BF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87F32"/>
    <w:rsid w:val="00BC18B2"/>
    <w:rsid w:val="00BD33EE"/>
    <w:rsid w:val="00C106D6"/>
    <w:rsid w:val="00C60F0C"/>
    <w:rsid w:val="00C805C9"/>
    <w:rsid w:val="00C92939"/>
    <w:rsid w:val="00C971CD"/>
    <w:rsid w:val="00CA1679"/>
    <w:rsid w:val="00CB151C"/>
    <w:rsid w:val="00CE5A1A"/>
    <w:rsid w:val="00CF55F6"/>
    <w:rsid w:val="00D33D63"/>
    <w:rsid w:val="00D403DD"/>
    <w:rsid w:val="00D90028"/>
    <w:rsid w:val="00D90138"/>
    <w:rsid w:val="00DD78D1"/>
    <w:rsid w:val="00DE32CD"/>
    <w:rsid w:val="00DF71B9"/>
    <w:rsid w:val="00E00094"/>
    <w:rsid w:val="00E30B7B"/>
    <w:rsid w:val="00E73F76"/>
    <w:rsid w:val="00E77684"/>
    <w:rsid w:val="00EA2C9F"/>
    <w:rsid w:val="00EA420E"/>
    <w:rsid w:val="00EC4EA4"/>
    <w:rsid w:val="00ED0BDA"/>
    <w:rsid w:val="00EF1360"/>
    <w:rsid w:val="00EF3220"/>
    <w:rsid w:val="00F07966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gal-content/EN/TXT/?uri=COM:2015:0615:FIN" TargetMode="External"/><Relationship Id="rId2" Type="http://schemas.openxmlformats.org/officeDocument/2006/relationships/hyperlink" Target="http://eur-lex.europa.eu/legal-content/EN/TXT/?uri=CELEX:32010D0048" TargetMode="External"/><Relationship Id="rId1" Type="http://schemas.openxmlformats.org/officeDocument/2006/relationships/hyperlink" Target="http://eur-lex.europa.eu/legal-content/EN/TXT/?uri=celex:52010DC063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8898-0365-4B05-914E-35A79618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2</TotalTime>
  <Pages>5</Pages>
  <Words>1235</Words>
  <Characters>8524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CRPD/C/EU/CO/1/Add.1</vt:lpstr>
      <vt:lpstr>A/</vt:lpstr>
    </vt:vector>
  </TitlesOfParts>
  <Company>DCM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CRPD/C/EU/CO/1/Add.1</dc:title>
  <dc:subject/>
  <dc:creator>Izotova Elena</dc:creator>
  <cp:keywords/>
  <cp:lastModifiedBy>Izotova Elena</cp:lastModifiedBy>
  <cp:revision>3</cp:revision>
  <cp:lastPrinted>2017-12-07T15:51:00Z</cp:lastPrinted>
  <dcterms:created xsi:type="dcterms:W3CDTF">2017-12-07T15:50:00Z</dcterms:created>
  <dcterms:modified xsi:type="dcterms:W3CDTF">2017-12-07T15:52:00Z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