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F43810" w14:paraId="792E5FB7" w14:textId="77777777" w:rsidTr="00981901">
        <w:trPr>
          <w:cantSplit/>
          <w:trHeight w:hRule="exact" w:val="851"/>
        </w:trPr>
        <w:tc>
          <w:tcPr>
            <w:tcW w:w="1276" w:type="dxa"/>
            <w:tcBorders>
              <w:bottom w:val="single" w:sz="4" w:space="0" w:color="auto"/>
            </w:tcBorders>
            <w:vAlign w:val="bottom"/>
          </w:tcPr>
          <w:p w14:paraId="24487769" w14:textId="77777777" w:rsidR="001E498C" w:rsidRPr="00F43810" w:rsidRDefault="001E498C" w:rsidP="00981901">
            <w:pPr>
              <w:spacing w:after="80"/>
            </w:pPr>
          </w:p>
        </w:tc>
        <w:tc>
          <w:tcPr>
            <w:tcW w:w="2268" w:type="dxa"/>
            <w:tcBorders>
              <w:bottom w:val="single" w:sz="4" w:space="0" w:color="auto"/>
            </w:tcBorders>
            <w:vAlign w:val="bottom"/>
          </w:tcPr>
          <w:p w14:paraId="0B19AF6B" w14:textId="77777777"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736B5F27" w14:textId="77777777" w:rsidR="001E498C" w:rsidRPr="00F43810" w:rsidRDefault="00E0623C" w:rsidP="00A2752C">
            <w:pPr>
              <w:suppressAutoHyphens w:val="0"/>
              <w:spacing w:after="20"/>
              <w:jc w:val="right"/>
            </w:pPr>
            <w:r>
              <w:rPr>
                <w:sz w:val="40"/>
              </w:rPr>
              <w:t>C</w:t>
            </w:r>
            <w:r w:rsidR="00B002C4">
              <w:rPr>
                <w:sz w:val="40"/>
              </w:rPr>
              <w:t>CPR</w:t>
            </w:r>
            <w:r w:rsidR="006D44E0">
              <w:t>/</w:t>
            </w:r>
            <w:r w:rsidR="00A2752C">
              <w:t>C/NER/Q/2</w:t>
            </w:r>
            <w:r w:rsidR="00A2752C" w:rsidRPr="00F43810">
              <w:t xml:space="preserve"> </w:t>
            </w:r>
          </w:p>
        </w:tc>
      </w:tr>
      <w:tr w:rsidR="001E498C" w:rsidRPr="00F43810" w14:paraId="446426CE" w14:textId="77777777" w:rsidTr="00981901">
        <w:trPr>
          <w:cantSplit/>
          <w:trHeight w:hRule="exact" w:val="2835"/>
        </w:trPr>
        <w:tc>
          <w:tcPr>
            <w:tcW w:w="1276" w:type="dxa"/>
            <w:tcBorders>
              <w:top w:val="single" w:sz="4" w:space="0" w:color="auto"/>
              <w:bottom w:val="single" w:sz="12" w:space="0" w:color="auto"/>
            </w:tcBorders>
          </w:tcPr>
          <w:p w14:paraId="031AD5C3" w14:textId="77777777" w:rsidR="001E498C" w:rsidRPr="00F43810" w:rsidRDefault="001E498C" w:rsidP="00981901">
            <w:pPr>
              <w:spacing w:before="120"/>
              <w:jc w:val="center"/>
            </w:pPr>
            <w:r w:rsidRPr="00F43810">
              <w:rPr>
                <w:noProof/>
                <w:lang w:eastAsia="fr-CH"/>
              </w:rPr>
              <w:drawing>
                <wp:inline distT="0" distB="0" distL="0" distR="0" wp14:anchorId="7302C2AD" wp14:editId="4BF354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874B12" w14:textId="77777777" w:rsidR="001E498C" w:rsidRPr="00F43810" w:rsidRDefault="00B002C4" w:rsidP="00684555">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C57B1FA" w14:textId="77777777" w:rsidR="001E498C" w:rsidRPr="00F43810" w:rsidRDefault="000D6818" w:rsidP="00A2752C">
            <w:pPr>
              <w:suppressAutoHyphens w:val="0"/>
              <w:spacing w:before="240" w:line="240" w:lineRule="exact"/>
            </w:pPr>
            <w:proofErr w:type="spellStart"/>
            <w:r>
              <w:t>Distr</w:t>
            </w:r>
            <w:proofErr w:type="spellEnd"/>
            <w:r>
              <w:t>.</w:t>
            </w:r>
            <w:r w:rsidR="00A2752C">
              <w:t xml:space="preserve"> générale</w:t>
            </w:r>
          </w:p>
          <w:p w14:paraId="2B53BCC2" w14:textId="0CEC5F8F" w:rsidR="001E498C" w:rsidRPr="00F43810" w:rsidRDefault="00D263CF" w:rsidP="004C05F7">
            <w:pPr>
              <w:suppressAutoHyphens w:val="0"/>
            </w:pPr>
            <w:r>
              <w:t>11 septembre</w:t>
            </w:r>
            <w:r w:rsidR="00A2752C">
              <w:t xml:space="preserve"> 2018</w:t>
            </w:r>
          </w:p>
          <w:p w14:paraId="467D1865" w14:textId="396A0508" w:rsidR="006056E0" w:rsidRPr="00F43810" w:rsidRDefault="005D00B1" w:rsidP="00981901">
            <w:pPr>
              <w:suppressAutoHyphens w:val="0"/>
            </w:pPr>
            <w:r>
              <w:fldChar w:fldCharType="begin"/>
            </w:r>
            <w:r>
              <w:instrText xml:space="preserve"> DOCPROPERTY  tlang  \* MERGEFORMAT </w:instrText>
            </w:r>
            <w:r>
              <w:fldChar w:fldCharType="end"/>
            </w:r>
          </w:p>
          <w:p w14:paraId="481DC431" w14:textId="77777777" w:rsidR="0099754D" w:rsidRDefault="0099754D" w:rsidP="00A2752C">
            <w:pPr>
              <w:suppressAutoHyphens w:val="0"/>
            </w:pPr>
            <w:r>
              <w:t>Original : français</w:t>
            </w:r>
          </w:p>
          <w:p w14:paraId="38FC5C0D" w14:textId="77777777" w:rsidR="006056E0" w:rsidRPr="00F43810" w:rsidRDefault="00A2752C" w:rsidP="00A2752C">
            <w:pPr>
              <w:suppressAutoHyphens w:val="0"/>
            </w:pPr>
            <w:r>
              <w:t>Anglais, espagnol et français seulement</w:t>
            </w:r>
          </w:p>
        </w:tc>
      </w:tr>
    </w:tbl>
    <w:p w14:paraId="51317CA2" w14:textId="77777777" w:rsidR="00B002C4" w:rsidRPr="00F43810" w:rsidRDefault="00B002C4" w:rsidP="00B002C4">
      <w:pPr>
        <w:spacing w:before="120"/>
        <w:rPr>
          <w:b/>
          <w:sz w:val="24"/>
          <w:szCs w:val="24"/>
        </w:rPr>
      </w:pPr>
      <w:r w:rsidRPr="00DF3BF1">
        <w:rPr>
          <w:b/>
          <w:sz w:val="24"/>
          <w:szCs w:val="24"/>
        </w:rPr>
        <w:t>Comité des droits de l’homme</w:t>
      </w:r>
    </w:p>
    <w:p w14:paraId="72873DD9" w14:textId="77777777" w:rsidR="005426BF" w:rsidRPr="008E05C3" w:rsidRDefault="005426BF" w:rsidP="00A2752C">
      <w:pPr>
        <w:pStyle w:val="HChG"/>
        <w:rPr>
          <w:b w:val="0"/>
        </w:rPr>
      </w:pPr>
      <w:r>
        <w:tab/>
      </w:r>
      <w:r>
        <w:tab/>
      </w:r>
      <w:r w:rsidRPr="00CA4CDC">
        <w:rPr>
          <w:lang w:val="fr-FR"/>
        </w:rPr>
        <w:t>Liste de points concernant le</w:t>
      </w:r>
      <w:r w:rsidR="00A2752C">
        <w:rPr>
          <w:lang w:val="fr-FR"/>
        </w:rPr>
        <w:t xml:space="preserve"> deuxi</w:t>
      </w:r>
      <w:r w:rsidR="00564F93">
        <w:rPr>
          <w:lang w:val="fr-FR"/>
        </w:rPr>
        <w:t>ème rapport périodique du Niger</w:t>
      </w:r>
      <w:r w:rsidRPr="008E05C3">
        <w:rPr>
          <w:rStyle w:val="Appelnotedebasdep"/>
          <w:b w:val="0"/>
          <w:sz w:val="20"/>
          <w:vertAlign w:val="baseline"/>
        </w:rPr>
        <w:footnoteReference w:customMarkFollows="1" w:id="2"/>
        <w:t>*</w:t>
      </w:r>
    </w:p>
    <w:p w14:paraId="495C965B" w14:textId="4D56D0C7" w:rsidR="005426BF" w:rsidRPr="006471E7" w:rsidRDefault="005426BF" w:rsidP="004C05F7">
      <w:pPr>
        <w:pStyle w:val="H23G"/>
      </w:pPr>
      <w:r w:rsidRPr="006471E7">
        <w:tab/>
      </w:r>
      <w:r w:rsidRPr="006471E7">
        <w:tab/>
        <w:t>Cadre constitutionnel et juridique de l’application du Pacte (art. 2)</w:t>
      </w:r>
    </w:p>
    <w:p w14:paraId="000109E3" w14:textId="72C6BC69" w:rsidR="003E3CA4" w:rsidRPr="003E3CA4" w:rsidRDefault="003E3CA4" w:rsidP="003E3CA4">
      <w:pPr>
        <w:pStyle w:val="SingleTxtG"/>
      </w:pPr>
      <w:r w:rsidRPr="003E3CA4">
        <w:t>1.</w:t>
      </w:r>
      <w:r w:rsidRPr="003E3CA4">
        <w:tab/>
        <w:t xml:space="preserve">Eu égard à l’article 171 de la Constitution établissant </w:t>
      </w:r>
      <w:r w:rsidR="00701612">
        <w:t xml:space="preserve">que </w:t>
      </w:r>
      <w:r w:rsidR="00C73321">
        <w:t xml:space="preserve">les </w:t>
      </w:r>
      <w:r w:rsidRPr="003E3CA4">
        <w:t xml:space="preserve">traités internationaux </w:t>
      </w:r>
      <w:r w:rsidR="00C73321">
        <w:t xml:space="preserve">ont </w:t>
      </w:r>
      <w:r w:rsidR="00366093" w:rsidRPr="003E3CA4">
        <w:t xml:space="preserve">une autorité supérieure </w:t>
      </w:r>
      <w:r w:rsidRPr="003E3CA4">
        <w:t>à celle des lois de l’</w:t>
      </w:r>
      <w:r w:rsidR="00E461A1">
        <w:t>État</w:t>
      </w:r>
      <w:r w:rsidRPr="003E3CA4">
        <w:t xml:space="preserve"> partie, donner des informations sur les mesures prises </w:t>
      </w:r>
      <w:r w:rsidR="00AC44FC">
        <w:t>dans la</w:t>
      </w:r>
      <w:r w:rsidR="00AC44FC" w:rsidRPr="003E3CA4">
        <w:t xml:space="preserve"> </w:t>
      </w:r>
      <w:r w:rsidRPr="003E3CA4">
        <w:t>pratique pour assurer la primauté du Pacte</w:t>
      </w:r>
      <w:r w:rsidR="001104B9">
        <w:t xml:space="preserve"> </w:t>
      </w:r>
      <w:r w:rsidR="001104B9" w:rsidRPr="001104B9">
        <w:t>international relatif aux droits civils et politiques</w:t>
      </w:r>
      <w:r w:rsidRPr="003E3CA4">
        <w:t xml:space="preserve"> sur le droit interne. Donner, s’il en existe, des exemples d’affaires dans lesquelles</w:t>
      </w:r>
      <w:r w:rsidR="00BE438A">
        <w:t xml:space="preserve"> </w:t>
      </w:r>
      <w:r w:rsidRPr="003E3CA4">
        <w:t>les tribunaux ont directement appliqué les dispositions du Pacte. Eu égard au dualisme du système juridique de l’</w:t>
      </w:r>
      <w:r w:rsidR="00E461A1">
        <w:t>État</w:t>
      </w:r>
      <w:r w:rsidRPr="003E3CA4">
        <w:t xml:space="preserve"> partie, préciser quelles mesures ont été adoptées aux fins d’identifier les incompatibilités entre les normes coutumières et les dispositions du Pacte et d’assurer clairement la primauté de ces dernières sur le droit coutumier. Donner de plus amples informations sur les voies de recours ouvertes et accessibles à toute personne qui se déclare victime d’une violation des droits protégés par le Pacte. Donner des renseignements sur les mesures destinées à davantage faire connaître les dispositions du Pacte à l’ensemble de la population, en particulier aux juges, procureurs, avocats et membres des forces de défense et de sécurité, y compris la procédure de communications individuelles au titre du Protocole facultatif</w:t>
      </w:r>
      <w:r w:rsidR="006540CE">
        <w:t xml:space="preserve"> </w:t>
      </w:r>
      <w:r w:rsidR="006540CE" w:rsidRPr="006540CE">
        <w:t>se rapportant au Pacte</w:t>
      </w:r>
      <w:r w:rsidRPr="003E3CA4">
        <w:t>.</w:t>
      </w:r>
    </w:p>
    <w:p w14:paraId="42E5015D" w14:textId="3B81FC5F" w:rsidR="003E3CA4" w:rsidRPr="003E3CA4" w:rsidRDefault="003E3CA4" w:rsidP="005D00B1">
      <w:pPr>
        <w:pStyle w:val="SingleTxtG"/>
      </w:pPr>
      <w:r w:rsidRPr="003E3CA4">
        <w:t>2.</w:t>
      </w:r>
      <w:r w:rsidRPr="003E3CA4">
        <w:tab/>
        <w:t xml:space="preserve">Eu égard à la Commission nationale des droits humains, préciser les mesures </w:t>
      </w:r>
      <w:r w:rsidR="00D70B9B">
        <w:t>prises pour </w:t>
      </w:r>
      <w:r w:rsidRPr="004C05F7">
        <w:t>:</w:t>
      </w:r>
      <w:r w:rsidRPr="003E3CA4">
        <w:t xml:space="preserve"> a)</w:t>
      </w:r>
      <w:r w:rsidR="001F66B3">
        <w:t> </w:t>
      </w:r>
      <w:r w:rsidRPr="003E3CA4">
        <w:t xml:space="preserve">garantir une sélection transparente et une composition de ses membres </w:t>
      </w:r>
      <w:r w:rsidR="00D70B9B">
        <w:t>assurant</w:t>
      </w:r>
      <w:r w:rsidR="00D70B9B" w:rsidRPr="003E3CA4">
        <w:t xml:space="preserve"> </w:t>
      </w:r>
      <w:r w:rsidRPr="003E3CA4">
        <w:t>l’indépendance de l’institution</w:t>
      </w:r>
      <w:r w:rsidR="00C35635">
        <w:t> ;</w:t>
      </w:r>
      <w:r w:rsidRPr="003E3CA4">
        <w:t xml:space="preserve"> b)</w:t>
      </w:r>
      <w:r w:rsidR="001F66B3">
        <w:t> </w:t>
      </w:r>
      <w:r w:rsidRPr="003E3CA4">
        <w:t>garantir la représentation paritaire des femmes au sein de la Commission et de son personnel</w:t>
      </w:r>
      <w:r w:rsidR="00C35635">
        <w:t> ;</w:t>
      </w:r>
      <w:r w:rsidRPr="003E3CA4">
        <w:t xml:space="preserve"> et c)</w:t>
      </w:r>
      <w:r w:rsidR="001F66B3">
        <w:t> </w:t>
      </w:r>
      <w:r w:rsidRPr="003E3CA4">
        <w:t xml:space="preserve">doter la </w:t>
      </w:r>
      <w:r w:rsidR="00185BF5">
        <w:t>C</w:t>
      </w:r>
      <w:r w:rsidRPr="003E3CA4">
        <w:t xml:space="preserve">ommission des ressources suffisantes </w:t>
      </w:r>
      <w:r w:rsidR="00185BF5">
        <w:t xml:space="preserve">pour </w:t>
      </w:r>
      <w:r w:rsidRPr="003E3CA4">
        <w:t>accomplir pleinement son mandat. Préciser également ses pouvoirs concrets</w:t>
      </w:r>
      <w:r w:rsidR="00185BF5">
        <w:t>,</w:t>
      </w:r>
      <w:r w:rsidRPr="003E3CA4">
        <w:t xml:space="preserve"> en particulier en termes de vérification des cas de violations des droits </w:t>
      </w:r>
      <w:r w:rsidR="00185BF5">
        <w:t>de l’homme</w:t>
      </w:r>
      <w:r w:rsidR="00185BF5" w:rsidRPr="003E3CA4">
        <w:t xml:space="preserve"> </w:t>
      </w:r>
      <w:r w:rsidRPr="003E3CA4">
        <w:t xml:space="preserve">et des libertés fondamentales, ses effectifs en termes de ressources humaines, le nombre d’antennes régionales et locales, </w:t>
      </w:r>
      <w:r w:rsidR="00A76DC0">
        <w:t>l</w:t>
      </w:r>
      <w:r w:rsidRPr="003E3CA4">
        <w:t xml:space="preserve">es actions </w:t>
      </w:r>
      <w:proofErr w:type="spellStart"/>
      <w:r w:rsidR="00A76DC0">
        <w:t>qu</w:t>
      </w:r>
      <w:proofErr w:type="spellEnd"/>
      <w:r w:rsidR="00A76DC0" w:rsidRPr="004C05F7">
        <w:rPr>
          <w:lang w:val="fr-FR"/>
        </w:rPr>
        <w:t>’</w:t>
      </w:r>
      <w:r w:rsidR="00A76DC0">
        <w:t xml:space="preserve">elle a </w:t>
      </w:r>
      <w:r w:rsidR="00185BF5" w:rsidRPr="003E3CA4">
        <w:t xml:space="preserve">déjà menées </w:t>
      </w:r>
      <w:r w:rsidRPr="003E3CA4">
        <w:t xml:space="preserve">et </w:t>
      </w:r>
      <w:r w:rsidR="00022CCC">
        <w:t xml:space="preserve">les </w:t>
      </w:r>
      <w:r w:rsidRPr="003E3CA4">
        <w:t xml:space="preserve">rapports </w:t>
      </w:r>
      <w:r w:rsidR="00022CCC">
        <w:t xml:space="preserve">qu’elle a </w:t>
      </w:r>
      <w:r w:rsidRPr="003E3CA4">
        <w:t xml:space="preserve">déjà produits, ainsi que les mesures destinées à faire </w:t>
      </w:r>
      <w:proofErr w:type="spellStart"/>
      <w:r w:rsidRPr="003E3CA4">
        <w:t>connaitre</w:t>
      </w:r>
      <w:proofErr w:type="spellEnd"/>
      <w:r w:rsidRPr="003E3CA4">
        <w:t xml:space="preserve"> ladite institution auprès du grand public. </w:t>
      </w:r>
    </w:p>
    <w:p w14:paraId="66721397" w14:textId="77297789" w:rsidR="003E3CA4" w:rsidRPr="00F41E68" w:rsidRDefault="003E3CA4" w:rsidP="004C05F7">
      <w:pPr>
        <w:pStyle w:val="H23G"/>
      </w:pPr>
      <w:r>
        <w:tab/>
      </w:r>
      <w:r>
        <w:tab/>
        <w:t>Lutte contre la c</w:t>
      </w:r>
      <w:r w:rsidRPr="00F41E68">
        <w:t>orruption</w:t>
      </w:r>
      <w:r>
        <w:t xml:space="preserve"> et gestion des ressources naturelles (art.</w:t>
      </w:r>
      <w:r w:rsidR="00FD6879">
        <w:t> </w:t>
      </w:r>
      <w:r>
        <w:t xml:space="preserve">1, 2 et 25) </w:t>
      </w:r>
    </w:p>
    <w:p w14:paraId="41668882" w14:textId="7B81F029" w:rsidR="003E3CA4" w:rsidRPr="003E3CA4" w:rsidRDefault="003E3CA4" w:rsidP="003E3CA4">
      <w:pPr>
        <w:pStyle w:val="SingleTxtG"/>
      </w:pPr>
      <w:r w:rsidRPr="003E3CA4">
        <w:t>3.</w:t>
      </w:r>
      <w:r w:rsidRPr="003E3CA4">
        <w:tab/>
        <w:t>Indiquer toutes les mesures destinées à lutter contre la corruption qui a pour effet d'affaiblir l’</w:t>
      </w:r>
      <w:r w:rsidR="00F97A3A">
        <w:t>é</w:t>
      </w:r>
      <w:r w:rsidR="00E461A1">
        <w:t>tat</w:t>
      </w:r>
      <w:r w:rsidRPr="003E3CA4">
        <w:t xml:space="preserve"> de droit et de mener à des violations des dispositions du Pacte. Eu égard au paragraphe 23 du </w:t>
      </w:r>
      <w:r w:rsidR="00487067">
        <w:t xml:space="preserve">deuxième </w:t>
      </w:r>
      <w:r w:rsidRPr="003E3CA4">
        <w:t>rapport de l’</w:t>
      </w:r>
      <w:r w:rsidR="00E461A1">
        <w:t>État</w:t>
      </w:r>
      <w:r w:rsidRPr="003E3CA4">
        <w:t xml:space="preserve"> partie (CCPR/C/NER/2) et au</w:t>
      </w:r>
      <w:r w:rsidR="00F97A3A">
        <w:t>x dispositions du</w:t>
      </w:r>
      <w:r w:rsidRPr="003E3CA4">
        <w:t xml:space="preserve"> titre</w:t>
      </w:r>
      <w:r w:rsidR="00F97A3A">
        <w:t> </w:t>
      </w:r>
      <w:r w:rsidRPr="003E3CA4">
        <w:t>VII de la Constitution, préciser toutes les mesures destinées à garantir une gestion des ressources naturelles transparente, conform</w:t>
      </w:r>
      <w:r w:rsidR="00C75E99">
        <w:t>ément</w:t>
      </w:r>
      <w:r w:rsidRPr="003E3CA4">
        <w:t xml:space="preserve"> aux dispositions </w:t>
      </w:r>
      <w:r w:rsidR="008D4C07">
        <w:t xml:space="preserve">du </w:t>
      </w:r>
      <w:r w:rsidRPr="003E3CA4">
        <w:t>paragraphe</w:t>
      </w:r>
      <w:r w:rsidR="008D4C07">
        <w:t> </w:t>
      </w:r>
      <w:r w:rsidRPr="003E3CA4">
        <w:t xml:space="preserve">2 </w:t>
      </w:r>
      <w:r w:rsidR="008D4C07" w:rsidRPr="003E3CA4">
        <w:t xml:space="preserve">de l’article </w:t>
      </w:r>
      <w:r w:rsidR="008D4C07">
        <w:t>premier</w:t>
      </w:r>
      <w:r w:rsidR="008D4C07" w:rsidRPr="003E3CA4">
        <w:t xml:space="preserve"> </w:t>
      </w:r>
      <w:r w:rsidRPr="003E3CA4">
        <w:t>du Pacte. Répondre en particulier aux allégations selon lesquelles les contra</w:t>
      </w:r>
      <w:bookmarkStart w:id="0" w:name="_GoBack"/>
      <w:bookmarkEnd w:id="0"/>
      <w:r w:rsidRPr="003E3CA4">
        <w:t>ts de prospection et d’exploitation des ressources naturelles et du sous-sol conclus avec des entreprises étrangères</w:t>
      </w:r>
      <w:r w:rsidR="00532039">
        <w:t> </w:t>
      </w:r>
      <w:r w:rsidRPr="003E3CA4">
        <w:t>: a)</w:t>
      </w:r>
      <w:r w:rsidR="00FD6879">
        <w:t> </w:t>
      </w:r>
      <w:r w:rsidRPr="003E3CA4">
        <w:t>sont ou ont été négociés et exécutés sans transparence</w:t>
      </w:r>
      <w:r w:rsidR="00C35635">
        <w:t> ;</w:t>
      </w:r>
      <w:r w:rsidRPr="003E3CA4">
        <w:t xml:space="preserve"> et b)</w:t>
      </w:r>
      <w:r w:rsidR="00F42293">
        <w:t> </w:t>
      </w:r>
      <w:r w:rsidRPr="003E3CA4">
        <w:t xml:space="preserve">attribuent auxdites entreprises des conditions financières et avantages fiscaux ne </w:t>
      </w:r>
      <w:r w:rsidRPr="003E3CA4">
        <w:lastRenderedPageBreak/>
        <w:t>permettant pas à la population de l’</w:t>
      </w:r>
      <w:r w:rsidR="00E461A1">
        <w:t>État</w:t>
      </w:r>
      <w:r w:rsidRPr="003E3CA4">
        <w:t xml:space="preserve"> partie de bénéficier raisonnablement des avantages provenant de ses ressources nationales. </w:t>
      </w:r>
    </w:p>
    <w:p w14:paraId="158FB859" w14:textId="3D376E98" w:rsidR="003E3CA4" w:rsidRDefault="003E3CA4" w:rsidP="004C05F7">
      <w:pPr>
        <w:pStyle w:val="H23G"/>
      </w:pPr>
      <w:r>
        <w:tab/>
      </w:r>
      <w:r>
        <w:tab/>
      </w:r>
      <w:r w:rsidRPr="009841D0">
        <w:t>Lutte contre l’impunité et violations passées des droits de l’homme (art.</w:t>
      </w:r>
      <w:r w:rsidR="002568F9">
        <w:t> </w:t>
      </w:r>
      <w:r w:rsidRPr="009841D0">
        <w:t>2, 6, 7 et 14)</w:t>
      </w:r>
    </w:p>
    <w:p w14:paraId="459FEEFF" w14:textId="2B87B7B1" w:rsidR="003E3CA4" w:rsidRPr="003E3CA4" w:rsidRDefault="003E3CA4">
      <w:pPr>
        <w:pStyle w:val="SingleTxtG"/>
      </w:pPr>
      <w:r w:rsidRPr="003E3CA4">
        <w:t>4.</w:t>
      </w:r>
      <w:r w:rsidRPr="003E3CA4">
        <w:tab/>
        <w:t>Eu égard aux paragraphes 11 à 14 d</w:t>
      </w:r>
      <w:r w:rsidR="00F14623">
        <w:t>u</w:t>
      </w:r>
      <w:r w:rsidRPr="003E3CA4">
        <w:t xml:space="preserve"> document de base (HRI/CORE/NER/2017) et aux précédentes observations (</w:t>
      </w:r>
      <w:r w:rsidR="0079195F">
        <w:t xml:space="preserve">voir </w:t>
      </w:r>
      <w:r w:rsidRPr="003E3CA4">
        <w:t xml:space="preserve">CCPR/C/79/Add.17, </w:t>
      </w:r>
      <w:r w:rsidRPr="004C05F7">
        <w:t>par.</w:t>
      </w:r>
      <w:r w:rsidR="00E461A1">
        <w:t> </w:t>
      </w:r>
      <w:r w:rsidRPr="003E3CA4">
        <w:t xml:space="preserve">5 et 7), donner de plus amples informations sur les mesures prises pour faire la lumière sur les violations passées des droits de l’homme et garantir l’établissement de la vérité et le droit à réparation pour les victimes et leurs familles, en particulier </w:t>
      </w:r>
      <w:r w:rsidR="00796A3E">
        <w:t>en ce qui concerne </w:t>
      </w:r>
      <w:r w:rsidRPr="003E3CA4">
        <w:t>: a)</w:t>
      </w:r>
      <w:r w:rsidR="00454419">
        <w:t> </w:t>
      </w:r>
      <w:r w:rsidR="00796A3E">
        <w:t>les</w:t>
      </w:r>
      <w:r w:rsidR="00796A3E" w:rsidRPr="003E3CA4">
        <w:t xml:space="preserve"> </w:t>
      </w:r>
      <w:r w:rsidRPr="003E3CA4">
        <w:t xml:space="preserve">événements de </w:t>
      </w:r>
      <w:proofErr w:type="spellStart"/>
      <w:r w:rsidRPr="003E3CA4">
        <w:t>Tchintabaraden</w:t>
      </w:r>
      <w:proofErr w:type="spellEnd"/>
      <w:r w:rsidRPr="003E3CA4">
        <w:t xml:space="preserve"> de 1990 opposant des mouvements </w:t>
      </w:r>
      <w:proofErr w:type="spellStart"/>
      <w:r w:rsidR="00EF7AFB">
        <w:t>t</w:t>
      </w:r>
      <w:r w:rsidRPr="003E3CA4">
        <w:t>ouaregs</w:t>
      </w:r>
      <w:proofErr w:type="spellEnd"/>
      <w:r w:rsidRPr="003E3CA4">
        <w:t xml:space="preserve"> aux forces de l’ordre ; et b)</w:t>
      </w:r>
      <w:r w:rsidR="00454419">
        <w:t> </w:t>
      </w:r>
      <w:r w:rsidR="00796A3E">
        <w:t xml:space="preserve">les </w:t>
      </w:r>
      <w:r w:rsidR="00796A3E" w:rsidRPr="003E3CA4">
        <w:t xml:space="preserve">nombreuses </w:t>
      </w:r>
      <w:r w:rsidRPr="003E3CA4">
        <w:t xml:space="preserve">allégations de violations commises entre 1996 à 1999, y compris </w:t>
      </w:r>
      <w:r w:rsidR="00F31400">
        <w:t xml:space="preserve">en relation avec </w:t>
      </w:r>
      <w:r w:rsidRPr="003E3CA4">
        <w:t xml:space="preserve">la découverte du charnier de </w:t>
      </w:r>
      <w:proofErr w:type="spellStart"/>
      <w:r w:rsidRPr="003E3CA4">
        <w:t>Boultoungoure</w:t>
      </w:r>
      <w:proofErr w:type="spellEnd"/>
      <w:r w:rsidRPr="003E3CA4">
        <w:t xml:space="preserve"> en 1999. Indiquer toutes les mesures prises pour lutter contre l’impunité et expliquer en quoi la loi n</w:t>
      </w:r>
      <w:r w:rsidR="00454419" w:rsidRPr="004C05F7">
        <w:rPr>
          <w:vertAlign w:val="superscript"/>
        </w:rPr>
        <w:t>o</w:t>
      </w:r>
      <w:r w:rsidR="00FB6DC1">
        <w:t> </w:t>
      </w:r>
      <w:r w:rsidRPr="003E3CA4">
        <w:t>2000-01 du 24 janvier 2000 portant amnistie relative aux coups d’</w:t>
      </w:r>
      <w:r w:rsidR="00E461A1">
        <w:t>État</w:t>
      </w:r>
      <w:r w:rsidRPr="003E3CA4">
        <w:t xml:space="preserve"> des 27</w:t>
      </w:r>
      <w:r w:rsidR="00F31400">
        <w:t> </w:t>
      </w:r>
      <w:r w:rsidRPr="003E3CA4">
        <w:t>janvier 1996 et 9 avril 1999 et l’ordonnance n</w:t>
      </w:r>
      <w:r w:rsidR="00454419" w:rsidRPr="004C05F7">
        <w:rPr>
          <w:vertAlign w:val="superscript"/>
        </w:rPr>
        <w:t>o</w:t>
      </w:r>
      <w:r w:rsidR="00454419">
        <w:t> </w:t>
      </w:r>
      <w:r w:rsidRPr="003E3CA4">
        <w:t>2009-19 du 23 octobre 2009 portant amnistie sur des faits ayant eu lieu entre 2005 et 2009 sont compatibles avec les dispositions du Pacte.</w:t>
      </w:r>
    </w:p>
    <w:p w14:paraId="23A07D1D" w14:textId="36FF6022" w:rsidR="003E3CA4" w:rsidRPr="004D41B5" w:rsidRDefault="003E3CA4" w:rsidP="004C05F7">
      <w:pPr>
        <w:pStyle w:val="H23G"/>
      </w:pPr>
      <w:r>
        <w:tab/>
      </w:r>
      <w:r>
        <w:tab/>
      </w:r>
      <w:r w:rsidR="00E461A1">
        <w:t>État</w:t>
      </w:r>
      <w:r w:rsidRPr="004D41B5">
        <w:t xml:space="preserve"> d’urgence et </w:t>
      </w:r>
      <w:r>
        <w:t>m</w:t>
      </w:r>
      <w:r w:rsidRPr="004D41B5">
        <w:t>esures de lutte contre le terrorisme (art. 2, 4, 6, 7, 9, 12 et 19)</w:t>
      </w:r>
    </w:p>
    <w:p w14:paraId="5EEC7828" w14:textId="74CD5574" w:rsidR="003E3CA4" w:rsidRPr="00E82B78" w:rsidRDefault="003E3CA4" w:rsidP="004C05F7">
      <w:pPr>
        <w:pStyle w:val="SingleTxtG"/>
      </w:pPr>
      <w:r>
        <w:t>5.</w:t>
      </w:r>
      <w:r>
        <w:tab/>
      </w:r>
      <w:r w:rsidRPr="00B60442">
        <w:t xml:space="preserve">Eu égard </w:t>
      </w:r>
      <w:r w:rsidRPr="004908F4">
        <w:t xml:space="preserve">aux paragraphes 57 </w:t>
      </w:r>
      <w:r w:rsidR="002509B2">
        <w:t>et suivants</w:t>
      </w:r>
      <w:r w:rsidR="00AA5EDB">
        <w:t xml:space="preserve"> </w:t>
      </w:r>
      <w:r w:rsidRPr="004908F4">
        <w:t xml:space="preserve">du </w:t>
      </w:r>
      <w:r w:rsidR="00AA5EDB">
        <w:t xml:space="preserve">deuxième </w:t>
      </w:r>
      <w:r w:rsidRPr="004908F4">
        <w:t>rapport</w:t>
      </w:r>
      <w:r w:rsidR="00487067" w:rsidRPr="00487067">
        <w:t xml:space="preserve"> </w:t>
      </w:r>
      <w:r w:rsidR="00487067">
        <w:t>de l’État partie,</w:t>
      </w:r>
      <w:r w:rsidRPr="004908F4">
        <w:t xml:space="preserve"> fournir des renseignements complémentaires sur la conformité de la réglementation existante en ce qui concerne l’application de l’état d’urgence avec l’article 4 du Pacte</w:t>
      </w:r>
      <w:r w:rsidR="00AA5EDB">
        <w:t>,</w:t>
      </w:r>
      <w:r w:rsidRPr="004908F4">
        <w:t xml:space="preserve"> et préciser en particulier si les dérogations aux dispositions du Pacte non susceptibles de dérogation pendant l’application de l’état d’urgence sont expressément interdites.</w:t>
      </w:r>
      <w:r>
        <w:t xml:space="preserve"> Fournir le nombre d’états d’urgence qui ont été prononcés pour la période couvrant le deuxième rapport et préciser les régions concernées ainsi que leur durée. Répondre aux allégations selon lesquelles : a)</w:t>
      </w:r>
      <w:r w:rsidR="002568F9">
        <w:t> </w:t>
      </w:r>
      <w:r>
        <w:t>le texte écrit des arrêtés et circulaires de mise en œuvre de l’état d’urgence dans la région de Diffa ne serait pas accessible</w:t>
      </w:r>
      <w:r w:rsidR="0084666F">
        <w:t xml:space="preserve"> publiquement</w:t>
      </w:r>
      <w:r>
        <w:t> ; b)</w:t>
      </w:r>
      <w:r w:rsidR="002568F9">
        <w:t> </w:t>
      </w:r>
      <w:r>
        <w:t xml:space="preserve">les mesures prises dans le cadre de l’état d’urgence dans la région de </w:t>
      </w:r>
      <w:r w:rsidRPr="00FF1C0D">
        <w:t>Diffa porteraient disproportionnellement atteinte</w:t>
      </w:r>
      <w:r>
        <w:t xml:space="preserve"> à la liberté de circulation ; et c)</w:t>
      </w:r>
      <w:r w:rsidR="002568F9">
        <w:t> </w:t>
      </w:r>
      <w:r w:rsidR="00D4580C">
        <w:t>l</w:t>
      </w:r>
      <w:r>
        <w:t>es forces de défense et sécurité</w:t>
      </w:r>
      <w:r w:rsidR="00D4580C">
        <w:t xml:space="preserve"> </w:t>
      </w:r>
      <w:r w:rsidR="00DA29AC">
        <w:t xml:space="preserve">auraient abusé de leur autorité en </w:t>
      </w:r>
      <w:r w:rsidR="00D4580C">
        <w:t>se livr</w:t>
      </w:r>
      <w:r w:rsidR="00DA29AC">
        <w:t>ant</w:t>
      </w:r>
      <w:r w:rsidR="00D4580C">
        <w:t xml:space="preserve"> </w:t>
      </w:r>
      <w:r w:rsidR="00DA29AC">
        <w:t xml:space="preserve">à </w:t>
      </w:r>
      <w:r>
        <w:t xml:space="preserve">des </w:t>
      </w:r>
      <w:r w:rsidR="0084666F">
        <w:t xml:space="preserve">actes </w:t>
      </w:r>
      <w:r>
        <w:t>humilia</w:t>
      </w:r>
      <w:r w:rsidR="0084666F">
        <w:t>nts</w:t>
      </w:r>
      <w:r>
        <w:t xml:space="preserve"> </w:t>
      </w:r>
      <w:r w:rsidR="0084666F">
        <w:t xml:space="preserve">et en procédant à des </w:t>
      </w:r>
      <w:r>
        <w:t xml:space="preserve">arrestations et </w:t>
      </w:r>
      <w:r w:rsidR="0084666F">
        <w:t xml:space="preserve">à des </w:t>
      </w:r>
      <w:r>
        <w:t>interpellations collectives</w:t>
      </w:r>
      <w:r w:rsidR="00DA29AC">
        <w:t>.</w:t>
      </w:r>
      <w:r>
        <w:t xml:space="preserve"> Préciser les mesures prises pour enquêter sur lesdites allégations.</w:t>
      </w:r>
    </w:p>
    <w:p w14:paraId="30CA8055" w14:textId="75AC5750" w:rsidR="003E3CA4" w:rsidRPr="004C05F7" w:rsidRDefault="003E3CA4" w:rsidP="003E3CA4">
      <w:pPr>
        <w:pStyle w:val="SingleTxtG"/>
        <w:rPr>
          <w:bCs/>
        </w:rPr>
      </w:pPr>
      <w:r>
        <w:t>6.</w:t>
      </w:r>
      <w:r>
        <w:tab/>
        <w:t xml:space="preserve">Indiquer les mesures prises en vue de réformer la définition assez large du terrorisme du Code pénal et de la rendre compatible avec les dispositions du Pacte. </w:t>
      </w:r>
      <w:r w:rsidRPr="006657D5">
        <w:t xml:space="preserve">Indiquer </w:t>
      </w:r>
      <w:r w:rsidR="00784712">
        <w:t xml:space="preserve">également </w:t>
      </w:r>
      <w:r w:rsidRPr="006657D5">
        <w:t>le nombre</w:t>
      </w:r>
      <w:r>
        <w:t xml:space="preserve"> </w:t>
      </w:r>
      <w:r w:rsidRPr="006657D5">
        <w:t xml:space="preserve">d’enquêtes menées, </w:t>
      </w:r>
      <w:r w:rsidR="00B701B3">
        <w:t xml:space="preserve">de </w:t>
      </w:r>
      <w:r w:rsidRPr="006657D5">
        <w:t xml:space="preserve">poursuites intentées </w:t>
      </w:r>
      <w:r w:rsidR="00B701B3">
        <w:t>et d’</w:t>
      </w:r>
      <w:r w:rsidRPr="006657D5">
        <w:t xml:space="preserve">acquittements et </w:t>
      </w:r>
      <w:r w:rsidR="00B701B3">
        <w:t xml:space="preserve">de </w:t>
      </w:r>
      <w:r w:rsidRPr="006657D5">
        <w:t>condamnations prononcés dans les cinq dernières années sur la base de ladite</w:t>
      </w:r>
      <w:r w:rsidR="00B701B3" w:rsidRPr="00B701B3">
        <w:t xml:space="preserve"> </w:t>
      </w:r>
      <w:r w:rsidR="00B701B3">
        <w:t>définition</w:t>
      </w:r>
      <w:r w:rsidRPr="006657D5">
        <w:t>, en précisant les motifs invoqués dans chaque cas.</w:t>
      </w:r>
      <w:r w:rsidRPr="00525842">
        <w:rPr>
          <w:lang w:val="fr-FR"/>
        </w:rPr>
        <w:t xml:space="preserve"> </w:t>
      </w:r>
      <w:r>
        <w:t>R</w:t>
      </w:r>
      <w:r w:rsidRPr="006657D5">
        <w:t xml:space="preserve">épondre </w:t>
      </w:r>
      <w:r w:rsidR="00426CA4">
        <w:t xml:space="preserve">aux </w:t>
      </w:r>
      <w:r>
        <w:t>allégations</w:t>
      </w:r>
      <w:r w:rsidRPr="006657D5">
        <w:t xml:space="preserve"> selon lesquelles </w:t>
      </w:r>
      <w:r>
        <w:t>certaines</w:t>
      </w:r>
      <w:r w:rsidRPr="006657D5">
        <w:t xml:space="preserve"> </w:t>
      </w:r>
      <w:r w:rsidRPr="006657D5">
        <w:rPr>
          <w:lang w:val="fr-FR"/>
        </w:rPr>
        <w:t xml:space="preserve">arrestations et détentions sur la base d’accusations de terrorisme ou d’apologie du terrorisme, notamment à l’égard </w:t>
      </w:r>
      <w:r>
        <w:rPr>
          <w:lang w:val="fr-FR"/>
        </w:rPr>
        <w:t>d’acteurs de la société civile</w:t>
      </w:r>
      <w:r w:rsidRPr="006657D5">
        <w:rPr>
          <w:lang w:val="fr-FR"/>
        </w:rPr>
        <w:t>, répondraient en réalité à d’autres motifs, notamment d’ordre politique</w:t>
      </w:r>
      <w:r w:rsidRPr="00995DF0">
        <w:rPr>
          <w:lang w:val="fr-FR"/>
        </w:rPr>
        <w:t>.</w:t>
      </w:r>
      <w:r w:rsidRPr="00995DF0">
        <w:rPr>
          <w:color w:val="FF0000"/>
          <w:lang w:val="fr-FR"/>
        </w:rPr>
        <w:t xml:space="preserve"> </w:t>
      </w:r>
      <w:r w:rsidRPr="00995DF0">
        <w:rPr>
          <w:lang w:val="fr-FR"/>
        </w:rPr>
        <w:t>Répondre</w:t>
      </w:r>
      <w:r>
        <w:rPr>
          <w:lang w:val="fr-FR"/>
        </w:rPr>
        <w:t xml:space="preserve"> aux allégations selon lesquelles les personnes soupçonnées ou accusées d’activités terroristes feraient l’objet de mauvais traitement et de torture, notamment </w:t>
      </w:r>
      <w:r w:rsidR="00426CA4">
        <w:rPr>
          <w:lang w:val="fr-FR"/>
        </w:rPr>
        <w:t>dans le but d’</w:t>
      </w:r>
      <w:r w:rsidR="00B701B3">
        <w:rPr>
          <w:lang w:val="fr-FR"/>
        </w:rPr>
        <w:t xml:space="preserve">extorquer </w:t>
      </w:r>
      <w:r>
        <w:rPr>
          <w:lang w:val="fr-FR"/>
        </w:rPr>
        <w:t>d</w:t>
      </w:r>
      <w:r w:rsidR="00B701B3">
        <w:rPr>
          <w:lang w:val="fr-FR"/>
        </w:rPr>
        <w:t xml:space="preserve">es </w:t>
      </w:r>
      <w:r>
        <w:rPr>
          <w:lang w:val="fr-FR"/>
        </w:rPr>
        <w:t xml:space="preserve">aveux. </w:t>
      </w:r>
    </w:p>
    <w:p w14:paraId="63AA02A3" w14:textId="6F9EA154" w:rsidR="003E3CA4" w:rsidRPr="00B65278" w:rsidRDefault="003E3CA4" w:rsidP="004C05F7">
      <w:pPr>
        <w:pStyle w:val="H23G"/>
      </w:pPr>
      <w:r w:rsidRPr="00F41E68">
        <w:rPr>
          <w:sz w:val="22"/>
          <w:szCs w:val="22"/>
        </w:rPr>
        <w:tab/>
      </w:r>
      <w:r w:rsidRPr="00F41E68">
        <w:rPr>
          <w:sz w:val="22"/>
          <w:szCs w:val="22"/>
        </w:rPr>
        <w:tab/>
      </w:r>
      <w:r w:rsidRPr="00B65278">
        <w:t>Non-discrimination (art.</w:t>
      </w:r>
      <w:r w:rsidR="004735AF">
        <w:t> </w:t>
      </w:r>
      <w:r w:rsidRPr="00B65278">
        <w:t>2, 7, 24, 25 et 26)</w:t>
      </w:r>
    </w:p>
    <w:p w14:paraId="0C34052E" w14:textId="33041EED" w:rsidR="003E3CA4" w:rsidRPr="003E3CA4" w:rsidRDefault="003E3CA4">
      <w:pPr>
        <w:pStyle w:val="SingleTxtG"/>
      </w:pPr>
      <w:r w:rsidRPr="003E3CA4">
        <w:t>7.</w:t>
      </w:r>
      <w:r w:rsidRPr="003E3CA4">
        <w:tab/>
        <w:t xml:space="preserve">Donner des informations sur les mesures </w:t>
      </w:r>
      <w:r w:rsidR="00D70B9B">
        <w:t xml:space="preserve">prises pour </w:t>
      </w:r>
      <w:r w:rsidRPr="003E3CA4">
        <w:t>adopter une législation complète</w:t>
      </w:r>
      <w:r w:rsidR="0039375F">
        <w:t xml:space="preserve"> qui</w:t>
      </w:r>
      <w:r w:rsidR="00532039">
        <w:t> </w:t>
      </w:r>
      <w:r w:rsidRPr="003E3CA4">
        <w:t xml:space="preserve">: a) </w:t>
      </w:r>
      <w:r w:rsidR="007D41A7">
        <w:t>com</w:t>
      </w:r>
      <w:r w:rsidRPr="003E3CA4">
        <w:t>port</w:t>
      </w:r>
      <w:r w:rsidR="0039375F">
        <w:t>e</w:t>
      </w:r>
      <w:r w:rsidRPr="003E3CA4">
        <w:t xml:space="preserve"> une définition et une incrimination claires de la discrimination, directe et indirecte</w:t>
      </w:r>
      <w:r w:rsidR="00C35635">
        <w:t> ;</w:t>
      </w:r>
      <w:r w:rsidRPr="003E3CA4">
        <w:t xml:space="preserve"> b) couvr</w:t>
      </w:r>
      <w:r w:rsidR="0039375F">
        <w:t>e</w:t>
      </w:r>
      <w:r w:rsidRPr="003E3CA4">
        <w:t xml:space="preserve"> une liste complète de motifs de discrimination, y compris </w:t>
      </w:r>
      <w:r w:rsidRPr="005A6BEF">
        <w:t>l’orientation sexuelle</w:t>
      </w:r>
      <w:r w:rsidR="00B701B3" w:rsidRPr="005A6BEF">
        <w:t>,</w:t>
      </w:r>
      <w:r w:rsidRPr="005A6BEF">
        <w:t xml:space="preserve"> l’identité de genre</w:t>
      </w:r>
      <w:r w:rsidR="00B701B3" w:rsidRPr="005A6BEF">
        <w:t xml:space="preserve"> </w:t>
      </w:r>
      <w:r w:rsidRPr="005A6BEF">
        <w:t>et le handicap</w:t>
      </w:r>
      <w:r w:rsidR="00C35635" w:rsidRPr="005A6BEF">
        <w:t> ;</w:t>
      </w:r>
      <w:r w:rsidRPr="005A6BEF">
        <w:t xml:space="preserve"> et c) fourni</w:t>
      </w:r>
      <w:r w:rsidR="0039375F">
        <w:t>t</w:t>
      </w:r>
      <w:r w:rsidRPr="005A6BEF">
        <w:t xml:space="preserve"> aux victimes des recours efficaces. Fournir le nombre de plaintes enregistrées et poursuites menées sur le</w:t>
      </w:r>
      <w:r w:rsidRPr="003E3CA4">
        <w:t xml:space="preserve"> territoire de l’</w:t>
      </w:r>
      <w:r w:rsidR="00E461A1">
        <w:t>État</w:t>
      </w:r>
      <w:r w:rsidRPr="003E3CA4">
        <w:t xml:space="preserve"> partie pour discrimination. Indiquer les mesures prises pour combattre et prévenir les actes de discrimination, stigmatisation ou violence à l’encontre</w:t>
      </w:r>
      <w:r w:rsidR="00532039">
        <w:t> </w:t>
      </w:r>
      <w:r w:rsidRPr="003E3CA4">
        <w:t>: a)</w:t>
      </w:r>
      <w:r w:rsidR="00DA3BB3">
        <w:t> </w:t>
      </w:r>
      <w:r w:rsidRPr="003E3CA4">
        <w:t>des personnes atteintes d</w:t>
      </w:r>
      <w:r w:rsidR="001871AD">
        <w:t>’</w:t>
      </w:r>
      <w:r w:rsidRPr="003E3CA4">
        <w:t>albinisme</w:t>
      </w:r>
      <w:r w:rsidR="00C35635">
        <w:t> ;</w:t>
      </w:r>
      <w:r w:rsidRPr="003E3CA4">
        <w:t xml:space="preserve"> b)</w:t>
      </w:r>
      <w:r w:rsidR="00DA3BB3">
        <w:t> </w:t>
      </w:r>
      <w:r w:rsidRPr="003E3CA4">
        <w:t xml:space="preserve">des personnes </w:t>
      </w:r>
      <w:r w:rsidR="00E86DB5">
        <w:t>séropositives</w:t>
      </w:r>
      <w:r w:rsidRPr="003E3CA4">
        <w:t>, en particulier les femmes</w:t>
      </w:r>
      <w:r w:rsidR="00E461A1">
        <w:t> </w:t>
      </w:r>
      <w:r w:rsidRPr="003E3CA4">
        <w:t xml:space="preserve">; </w:t>
      </w:r>
      <w:r w:rsidR="006540CE">
        <w:t>c</w:t>
      </w:r>
      <w:r w:rsidRPr="003E3CA4">
        <w:t>)</w:t>
      </w:r>
      <w:r w:rsidR="00DA3BB3">
        <w:t> </w:t>
      </w:r>
      <w:r w:rsidRPr="003E3CA4">
        <w:t>des enfants nés hors mariage</w:t>
      </w:r>
      <w:r w:rsidR="00E461A1">
        <w:t> ;</w:t>
      </w:r>
      <w:r w:rsidRPr="003E3CA4">
        <w:t xml:space="preserve"> </w:t>
      </w:r>
      <w:r w:rsidR="006540CE">
        <w:t>d</w:t>
      </w:r>
      <w:r w:rsidRPr="003E3CA4">
        <w:t>)</w:t>
      </w:r>
      <w:r w:rsidR="00DA3BB3">
        <w:t> </w:t>
      </w:r>
      <w:r w:rsidRPr="003E3CA4">
        <w:t>des personnes appartenant à des minorités ethniques</w:t>
      </w:r>
      <w:r w:rsidR="00E461A1">
        <w:t> ;</w:t>
      </w:r>
      <w:r w:rsidRPr="003E3CA4">
        <w:t xml:space="preserve"> et </w:t>
      </w:r>
      <w:r w:rsidR="006540CE">
        <w:t>e</w:t>
      </w:r>
      <w:r w:rsidRPr="003E3CA4">
        <w:t>)</w:t>
      </w:r>
      <w:r w:rsidR="00DA3BB3">
        <w:t> </w:t>
      </w:r>
      <w:r w:rsidRPr="003E3CA4">
        <w:t xml:space="preserve">des personnes appartenant à des minorités sexuelles ou de genre. </w:t>
      </w:r>
      <w:r w:rsidR="005C6D0C">
        <w:t xml:space="preserve">À </w:t>
      </w:r>
      <w:r w:rsidRPr="003E3CA4">
        <w:t xml:space="preserve">cet égard, indiquer </w:t>
      </w:r>
      <w:r w:rsidR="00784712">
        <w:t xml:space="preserve">également </w:t>
      </w:r>
      <w:r w:rsidRPr="003E3CA4">
        <w:t>si l’</w:t>
      </w:r>
      <w:r w:rsidR="00E461A1">
        <w:t>État</w:t>
      </w:r>
      <w:r w:rsidRPr="003E3CA4">
        <w:t xml:space="preserve"> partie entend revoir la terminologie utilisée dans l’article 282 du Code pénal qualifiant d’acte « contre-nature » les activités sexuelles entre personnes de même sexe. Indiquer toutes les mesures prises </w:t>
      </w:r>
      <w:r w:rsidR="00784712">
        <w:t xml:space="preserve">pour </w:t>
      </w:r>
      <w:r w:rsidRPr="003E3CA4">
        <w:t>mettre en œuvre les recommandations de la Rapporteuse spéciale sur les formes contemporaines d’esclavage</w:t>
      </w:r>
      <w:r w:rsidR="00454EDA">
        <w:t>,</w:t>
      </w:r>
      <w:r w:rsidR="00454EDA" w:rsidRPr="00454EDA">
        <w:t xml:space="preserve"> y compris leurs causes et leurs conséquences</w:t>
      </w:r>
      <w:r w:rsidRPr="003E3CA4">
        <w:t xml:space="preserve"> (</w:t>
      </w:r>
      <w:r w:rsidR="00454EDA">
        <w:t xml:space="preserve">voir </w:t>
      </w:r>
      <w:r w:rsidRPr="003E3CA4">
        <w:lastRenderedPageBreak/>
        <w:t xml:space="preserve">A/HRC/30/35/Add.1) </w:t>
      </w:r>
      <w:r w:rsidR="00784712">
        <w:t xml:space="preserve">afin </w:t>
      </w:r>
      <w:r w:rsidRPr="003E3CA4">
        <w:t>de mettre un terme à la discrimination à l’encontre des anciens esclaves et de leurs descendants. Indiquer</w:t>
      </w:r>
      <w:r w:rsidR="00784712" w:rsidRPr="00784712">
        <w:t xml:space="preserve"> </w:t>
      </w:r>
      <w:r w:rsidR="00784712">
        <w:t>également</w:t>
      </w:r>
      <w:r w:rsidRPr="003E3CA4">
        <w:t xml:space="preserve"> les mesures destinées à assurer </w:t>
      </w:r>
      <w:r w:rsidR="00AC44FC">
        <w:t>dans la</w:t>
      </w:r>
      <w:r w:rsidRPr="003E3CA4">
        <w:t xml:space="preserve"> pratique la non-discrimination des personnes handicapées dans tous les domaines, y compris en matière d’éducation, d’emploi et de participation aux affaires publiques.</w:t>
      </w:r>
    </w:p>
    <w:p w14:paraId="42B760A5" w14:textId="2683C404" w:rsidR="003E3CA4" w:rsidRPr="004D41B5" w:rsidRDefault="003E3CA4" w:rsidP="004C05F7">
      <w:pPr>
        <w:pStyle w:val="H23G"/>
      </w:pPr>
      <w:r w:rsidRPr="00F41E68">
        <w:rPr>
          <w:sz w:val="22"/>
          <w:szCs w:val="22"/>
        </w:rPr>
        <w:tab/>
      </w:r>
      <w:r w:rsidRPr="004D41B5">
        <w:tab/>
      </w:r>
      <w:r w:rsidR="00E461A1" w:rsidRPr="00D724F0">
        <w:t>É</w:t>
      </w:r>
      <w:r w:rsidRPr="004C05F7">
        <w:t>galité</w:t>
      </w:r>
      <w:r w:rsidRPr="00D724F0">
        <w:t xml:space="preserve"> hommes femmes et discrimination à l’égard des femmes (art.</w:t>
      </w:r>
      <w:r w:rsidR="004735AF" w:rsidRPr="00D724F0">
        <w:t> </w:t>
      </w:r>
      <w:r w:rsidRPr="00D724F0">
        <w:t>2, 3, 23, 25 et 26)</w:t>
      </w:r>
    </w:p>
    <w:p w14:paraId="100376DB" w14:textId="3C1A6F80" w:rsidR="003E3CA4" w:rsidRDefault="003E3CA4" w:rsidP="004C05F7">
      <w:pPr>
        <w:pStyle w:val="SingleTxtG"/>
      </w:pPr>
      <w:r>
        <w:t>8.</w:t>
      </w:r>
      <w:r>
        <w:tab/>
        <w:t xml:space="preserve">Eu égard aux paragraphes 41 </w:t>
      </w:r>
      <w:r w:rsidR="00E0236B" w:rsidRPr="004C05F7">
        <w:rPr>
          <w:iCs/>
        </w:rPr>
        <w:t>et suivants</w:t>
      </w:r>
      <w:r w:rsidR="00E0236B">
        <w:rPr>
          <w:i/>
        </w:rPr>
        <w:t xml:space="preserve"> </w:t>
      </w:r>
      <w:r>
        <w:t xml:space="preserve">du </w:t>
      </w:r>
      <w:r w:rsidR="00487067">
        <w:t xml:space="preserve">deuxième </w:t>
      </w:r>
      <w:r>
        <w:t>rapport de l’</w:t>
      </w:r>
      <w:r w:rsidR="00E461A1">
        <w:t>État</w:t>
      </w:r>
      <w:r>
        <w:t xml:space="preserve"> partie</w:t>
      </w:r>
      <w:r w:rsidR="00487067">
        <w:t>,</w:t>
      </w:r>
      <w:r>
        <w:t xml:space="preserve"> donner de plus amples informations sur</w:t>
      </w:r>
      <w:r w:rsidR="00532039">
        <w:t> </w:t>
      </w:r>
      <w:r>
        <w:t>: a)</w:t>
      </w:r>
      <w:r w:rsidR="00F30B47">
        <w:t> </w:t>
      </w:r>
      <w:r>
        <w:t xml:space="preserve">le respect </w:t>
      </w:r>
      <w:r w:rsidR="00487067">
        <w:t xml:space="preserve">dans la </w:t>
      </w:r>
      <w:r>
        <w:t xml:space="preserve">pratique du système de quota </w:t>
      </w:r>
      <w:r w:rsidR="00B60709">
        <w:t xml:space="preserve">de femmes </w:t>
      </w:r>
      <w:r>
        <w:t>de 15</w:t>
      </w:r>
      <w:r w:rsidR="00487067">
        <w:t> </w:t>
      </w:r>
      <w:r>
        <w:t xml:space="preserve">% dans les fonctions électives et </w:t>
      </w:r>
      <w:r w:rsidR="00B60709">
        <w:t xml:space="preserve">de </w:t>
      </w:r>
      <w:r>
        <w:t>35</w:t>
      </w:r>
      <w:r w:rsidR="00487067">
        <w:t> </w:t>
      </w:r>
      <w:r>
        <w:t>% dans l’administration de l’</w:t>
      </w:r>
      <w:r w:rsidR="00E461A1">
        <w:t>État</w:t>
      </w:r>
      <w:r>
        <w:t xml:space="preserve"> et au gouvernement</w:t>
      </w:r>
      <w:r w:rsidR="00E461A1">
        <w:t> ;</w:t>
      </w:r>
      <w:r>
        <w:t xml:space="preserve"> </w:t>
      </w:r>
      <w:r w:rsidRPr="0021439D">
        <w:t>et b)</w:t>
      </w:r>
      <w:r w:rsidR="00F30B47">
        <w:t> </w:t>
      </w:r>
      <w:r w:rsidRPr="0021439D">
        <w:t>toute</w:t>
      </w:r>
      <w:r>
        <w:t xml:space="preserve"> mesure supplémentaire destinée </w:t>
      </w:r>
      <w:r w:rsidRPr="00F4758E">
        <w:t>à accroître la représentation d</w:t>
      </w:r>
      <w:r>
        <w:t>es femmes dans la vie publique</w:t>
      </w:r>
      <w:r w:rsidR="00740FFA">
        <w:t>,</w:t>
      </w:r>
      <w:r>
        <w:t xml:space="preserve"> </w:t>
      </w:r>
      <w:r w:rsidRPr="00F4758E">
        <w:t>tout particulièrement aux postes de décision</w:t>
      </w:r>
      <w:r>
        <w:t xml:space="preserve">. Donner </w:t>
      </w:r>
      <w:r w:rsidR="00B60709">
        <w:t xml:space="preserve">également </w:t>
      </w:r>
      <w:r>
        <w:t xml:space="preserve">de plus amples informations sur les étapes </w:t>
      </w:r>
      <w:r w:rsidR="00BC49B4">
        <w:t>envisagées</w:t>
      </w:r>
      <w:r w:rsidR="0079195F">
        <w:t xml:space="preserve"> </w:t>
      </w:r>
      <w:r>
        <w:t>en vue de l’adoption d’un code de la famille conforme aux dispositions du Pacte</w:t>
      </w:r>
      <w:r w:rsidR="00B60709">
        <w:t>,</w:t>
      </w:r>
      <w:r>
        <w:t xml:space="preserve"> et donner des indications sur les mesures destinées à lever les résistances envers un tel texte, en particulier </w:t>
      </w:r>
      <w:r w:rsidR="004D70A6">
        <w:t>parmi l</w:t>
      </w:r>
      <w:r>
        <w:t xml:space="preserve">es chefs </w:t>
      </w:r>
      <w:r w:rsidR="004E1EDB">
        <w:t xml:space="preserve">traditionnels et </w:t>
      </w:r>
      <w:r>
        <w:t xml:space="preserve">religieux. </w:t>
      </w:r>
      <w:bookmarkStart w:id="1" w:name="_Hlk524337966"/>
      <w:r>
        <w:t xml:space="preserve">Eu égard à la loi </w:t>
      </w:r>
      <w:r w:rsidRPr="00CB3532">
        <w:t>n</w:t>
      </w:r>
      <w:r w:rsidRPr="00CB3532">
        <w:rPr>
          <w:vertAlign w:val="superscript"/>
        </w:rPr>
        <w:t>o</w:t>
      </w:r>
      <w:r w:rsidR="00412018" w:rsidRPr="004C05F7">
        <w:t> </w:t>
      </w:r>
      <w:r w:rsidRPr="00CB3532">
        <w:t>62-11 du 16</w:t>
      </w:r>
      <w:r>
        <w:t xml:space="preserve"> </w:t>
      </w:r>
      <w:r w:rsidRPr="00CB3532">
        <w:t>m</w:t>
      </w:r>
      <w:r>
        <w:t>ars 1962</w:t>
      </w:r>
      <w:r w:rsidR="00344458">
        <w:t xml:space="preserve"> et à </w:t>
      </w:r>
      <w:r w:rsidRPr="00CB3532">
        <w:t xml:space="preserve">la loi </w:t>
      </w:r>
      <w:r w:rsidR="00412018">
        <w:t xml:space="preserve">qui l’a remplacée, la loi </w:t>
      </w:r>
      <w:r w:rsidRPr="00CB3532">
        <w:t>n</w:t>
      </w:r>
      <w:r w:rsidRPr="00CB3532">
        <w:rPr>
          <w:vertAlign w:val="superscript"/>
        </w:rPr>
        <w:t>o</w:t>
      </w:r>
      <w:r>
        <w:t xml:space="preserve"> 2004-50 du 22 </w:t>
      </w:r>
      <w:r w:rsidRPr="00CB3532">
        <w:t>juillet 2004</w:t>
      </w:r>
      <w:r>
        <w:t xml:space="preserve">, décrire </w:t>
      </w:r>
      <w:bookmarkEnd w:id="1"/>
      <w:r>
        <w:t xml:space="preserve">toutes les mesures </w:t>
      </w:r>
      <w:r w:rsidR="00353934">
        <w:t>prises</w:t>
      </w:r>
      <w:r w:rsidR="005B46A7">
        <w:t xml:space="preserve"> pour </w:t>
      </w:r>
      <w:r>
        <w:t>que les femmes ne fassent pas l’objet de pratiques discriminatoires du fait des dispositions coutumières quant aux question</w:t>
      </w:r>
      <w:r w:rsidR="005B46A7">
        <w:t>s</w:t>
      </w:r>
      <w:r>
        <w:t xml:space="preserve"> relatives au statut personnel, en particulier</w:t>
      </w:r>
      <w:r w:rsidR="00532039">
        <w:t> </w:t>
      </w:r>
      <w:r>
        <w:t>: le mariage, la polygamie et la répudiation ; le divorce ; la succession ; les donations et testaments</w:t>
      </w:r>
      <w:r w:rsidR="00E461A1">
        <w:t> ;</w:t>
      </w:r>
      <w:r>
        <w:t xml:space="preserve"> et la propriété foncière. Préciser si l’</w:t>
      </w:r>
      <w:r w:rsidR="00E461A1">
        <w:t>État</w:t>
      </w:r>
      <w:r>
        <w:t xml:space="preserve"> partie a entrepris de </w:t>
      </w:r>
      <w:r w:rsidRPr="00F4758E">
        <w:t>lever les dispositions discriminatoires</w:t>
      </w:r>
      <w:r>
        <w:t xml:space="preserve"> de son </w:t>
      </w:r>
      <w:r w:rsidR="00B60709">
        <w:t>C</w:t>
      </w:r>
      <w:r>
        <w:t>ode civil</w:t>
      </w:r>
      <w:r w:rsidRPr="00F4758E">
        <w:t xml:space="preserve">, notamment en matière de droit de la famille et en particulier en ce </w:t>
      </w:r>
      <w:r>
        <w:t>qui concerne</w:t>
      </w:r>
      <w:r w:rsidR="00532039">
        <w:t> </w:t>
      </w:r>
      <w:r>
        <w:t>: a</w:t>
      </w:r>
      <w:r w:rsidRPr="00F4758E">
        <w:t>)</w:t>
      </w:r>
      <w:r w:rsidR="00F30B47">
        <w:t> </w:t>
      </w:r>
      <w:r>
        <w:t xml:space="preserve">le </w:t>
      </w:r>
      <w:r w:rsidRPr="00F4758E">
        <w:t>choix de la résidence et la garde des enfants</w:t>
      </w:r>
      <w:r w:rsidR="00E461A1">
        <w:t> ;</w:t>
      </w:r>
      <w:r w:rsidRPr="00F4758E">
        <w:t xml:space="preserve"> </w:t>
      </w:r>
      <w:r>
        <w:t>b)</w:t>
      </w:r>
      <w:r w:rsidR="00A81C23">
        <w:t> </w:t>
      </w:r>
      <w:r>
        <w:t>le statut de chef de famille</w:t>
      </w:r>
      <w:r w:rsidR="00E461A1">
        <w:t> ;</w:t>
      </w:r>
      <w:r>
        <w:t xml:space="preserve"> c</w:t>
      </w:r>
      <w:r w:rsidRPr="00F4758E">
        <w:t>)</w:t>
      </w:r>
      <w:r w:rsidR="00F30B47">
        <w:t> </w:t>
      </w:r>
      <w:r w:rsidRPr="00F4758E">
        <w:t>la</w:t>
      </w:r>
      <w:r>
        <w:t xml:space="preserve"> capacité juridique des femmes mariées</w:t>
      </w:r>
      <w:r w:rsidR="00E461A1">
        <w:t> ;</w:t>
      </w:r>
      <w:r>
        <w:t xml:space="preserve"> et d)</w:t>
      </w:r>
      <w:r w:rsidR="005E1718">
        <w:t> </w:t>
      </w:r>
      <w:r>
        <w:t>la répartition des biens matrimoniaux</w:t>
      </w:r>
      <w:r w:rsidRPr="00F4758E">
        <w:t>.</w:t>
      </w:r>
    </w:p>
    <w:p w14:paraId="6FF36C06" w14:textId="3D0585C0" w:rsidR="003E3CA4" w:rsidRPr="004D41B5" w:rsidRDefault="003E3CA4" w:rsidP="004C05F7">
      <w:pPr>
        <w:pStyle w:val="H23G"/>
      </w:pPr>
      <w:r>
        <w:rPr>
          <w:sz w:val="22"/>
          <w:szCs w:val="22"/>
        </w:rPr>
        <w:tab/>
      </w:r>
      <w:r w:rsidRPr="004D41B5">
        <w:tab/>
        <w:t xml:space="preserve">Violence contre les femmes, pratiques préjudiciables et </w:t>
      </w:r>
      <w:proofErr w:type="spellStart"/>
      <w:r w:rsidRPr="004D41B5">
        <w:rPr>
          <w:i/>
        </w:rPr>
        <w:t>wahaya</w:t>
      </w:r>
      <w:proofErr w:type="spellEnd"/>
      <w:r w:rsidRPr="004D41B5">
        <w:t xml:space="preserve"> (art.</w:t>
      </w:r>
      <w:r w:rsidR="004735AF">
        <w:t> </w:t>
      </w:r>
      <w:r w:rsidRPr="004D41B5">
        <w:t>2, 3, 6, 7, 8 et 26)</w:t>
      </w:r>
    </w:p>
    <w:p w14:paraId="6884126C" w14:textId="6054019A" w:rsidR="003E3CA4" w:rsidRPr="00F41E68" w:rsidRDefault="003E3CA4" w:rsidP="003E3CA4">
      <w:pPr>
        <w:pStyle w:val="SingleTxtG"/>
        <w:rPr>
          <w:sz w:val="22"/>
          <w:szCs w:val="22"/>
        </w:rPr>
      </w:pPr>
      <w:r>
        <w:t>9</w:t>
      </w:r>
      <w:r w:rsidRPr="00B6722E">
        <w:t>.</w:t>
      </w:r>
      <w:r>
        <w:tab/>
      </w:r>
      <w:r w:rsidRPr="00B6722E">
        <w:t xml:space="preserve">Eu égard à </w:t>
      </w:r>
      <w:r>
        <w:t>la prévalence</w:t>
      </w:r>
      <w:r w:rsidRPr="00B6722E">
        <w:t xml:space="preserve"> de la violence contre les femmes, indiquer si l’</w:t>
      </w:r>
      <w:r w:rsidR="00E461A1">
        <w:t>État</w:t>
      </w:r>
      <w:r w:rsidRPr="00B6722E">
        <w:t xml:space="preserve"> partie entend adopter une loi et une stratégie globale pour lutter contre les violences faites aux femmes. Préciser les mesures prises en vue d’éradiquer l’impunité relative </w:t>
      </w:r>
      <w:r w:rsidR="005E1718">
        <w:t xml:space="preserve">dont jouissent les auteurs de </w:t>
      </w:r>
      <w:r w:rsidRPr="00B6722E">
        <w:t>violen</w:t>
      </w:r>
      <w:r>
        <w:t>ces sexuelles</w:t>
      </w:r>
      <w:r w:rsidR="005E1718">
        <w:t>,</w:t>
      </w:r>
      <w:r>
        <w:t xml:space="preserve"> et en particulier </w:t>
      </w:r>
      <w:r w:rsidRPr="00B6722E">
        <w:t>les mesures destinées</w:t>
      </w:r>
      <w:r w:rsidR="00353934">
        <w:t xml:space="preserve"> à</w:t>
      </w:r>
      <w:r w:rsidR="00532039">
        <w:t> </w:t>
      </w:r>
      <w:r w:rsidRPr="00B6722E">
        <w:t>: a)</w:t>
      </w:r>
      <w:r w:rsidR="00353934">
        <w:t> </w:t>
      </w:r>
      <w:r>
        <w:t>définir et criminaliser expressément la violence sexuelle et le viol conjugal</w:t>
      </w:r>
      <w:r w:rsidR="00E461A1">
        <w:t> ;</w:t>
      </w:r>
      <w:r w:rsidRPr="00B6722E">
        <w:t xml:space="preserve"> </w:t>
      </w:r>
      <w:r>
        <w:t>b)</w:t>
      </w:r>
      <w:r w:rsidR="00353934">
        <w:t> </w:t>
      </w:r>
      <w:r w:rsidRPr="00B6722E">
        <w:t>lever les tabous et les craintes d’être stigmatisées et encourager les victimes à déposer plainte</w:t>
      </w:r>
      <w:r w:rsidR="00E461A1">
        <w:t> ;</w:t>
      </w:r>
      <w:r w:rsidRPr="00B6722E">
        <w:t xml:space="preserve"> </w:t>
      </w:r>
      <w:r>
        <w:t xml:space="preserve">et </w:t>
      </w:r>
      <w:r w:rsidRPr="00B6722E">
        <w:t>c)</w:t>
      </w:r>
      <w:r w:rsidR="00353934">
        <w:t> </w:t>
      </w:r>
      <w:r w:rsidRPr="00B6722E">
        <w:t>former le personnel policier, hospitalier et judiciaire aux problèmes de violences sexuel</w:t>
      </w:r>
      <w:r>
        <w:t xml:space="preserve">les. </w:t>
      </w:r>
    </w:p>
    <w:p w14:paraId="2DC396F9" w14:textId="124AD883" w:rsidR="003E3CA4" w:rsidRPr="00A6026A" w:rsidRDefault="003E3CA4" w:rsidP="009E616A">
      <w:pPr>
        <w:pStyle w:val="SingleTxtG"/>
      </w:pPr>
      <w:r w:rsidRPr="00264349">
        <w:t>10</w:t>
      </w:r>
      <w:r>
        <w:t>.</w:t>
      </w:r>
      <w:r>
        <w:tab/>
      </w:r>
      <w:r w:rsidRPr="00264349">
        <w:t xml:space="preserve">Eu égard au taux extrêmement élevé de mariages précoces, indiquer toutes les mesures prises en vue de l’adoption d’une </w:t>
      </w:r>
      <w:r w:rsidRPr="0021439D">
        <w:t>loi et d'une</w:t>
      </w:r>
      <w:r>
        <w:t xml:space="preserve"> </w:t>
      </w:r>
      <w:r w:rsidRPr="00264349">
        <w:t>stratégie globale pour lutter contre le phénomène et donner de plus amples informations sur toutes les mesures destinées à lever les résistances contre un tel projet de loi, y compris parmi les chefs traditionnels et religieux.</w:t>
      </w:r>
      <w:r>
        <w:t xml:space="preserve"> Donner également des informations à jour sur la pratique des mutilations génitales féminines sur le territoire de l’</w:t>
      </w:r>
      <w:r w:rsidR="00E461A1">
        <w:t>État</w:t>
      </w:r>
      <w:r>
        <w:t xml:space="preserve"> partie, sur les mesures prises </w:t>
      </w:r>
      <w:r w:rsidR="00784712">
        <w:t xml:space="preserve">pour </w:t>
      </w:r>
      <w:r>
        <w:t>lutter contre le phénomène</w:t>
      </w:r>
      <w:r w:rsidR="00353934">
        <w:t>,</w:t>
      </w:r>
      <w:r>
        <w:t xml:space="preserve"> ainsi que leurs résultats</w:t>
      </w:r>
      <w:r w:rsidR="00353934">
        <w:t>,</w:t>
      </w:r>
      <w:r>
        <w:t xml:space="preserve"> et indiquer le </w:t>
      </w:r>
      <w:r w:rsidRPr="00112573">
        <w:t>nombre de plaintes</w:t>
      </w:r>
      <w:r w:rsidR="005625F3">
        <w:t xml:space="preserve"> enregistrées</w:t>
      </w:r>
      <w:r w:rsidRPr="00112573">
        <w:t xml:space="preserve">, </w:t>
      </w:r>
      <w:r w:rsidR="00D058FB">
        <w:t xml:space="preserve">de </w:t>
      </w:r>
      <w:r w:rsidRPr="00112573">
        <w:t xml:space="preserve">poursuites </w:t>
      </w:r>
      <w:r w:rsidR="00D058FB">
        <w:t xml:space="preserve">engagées </w:t>
      </w:r>
      <w:r w:rsidRPr="00112573">
        <w:t xml:space="preserve">et </w:t>
      </w:r>
      <w:r w:rsidR="00D058FB">
        <w:t xml:space="preserve">de </w:t>
      </w:r>
      <w:r w:rsidRPr="00112573">
        <w:t>condamnations prononcées sur la base</w:t>
      </w:r>
      <w:r>
        <w:t xml:space="preserve"> des articles 232</w:t>
      </w:r>
      <w:r w:rsidR="0069272A">
        <w:t>.</w:t>
      </w:r>
      <w:r>
        <w:t>1,</w:t>
      </w:r>
      <w:r w:rsidR="0069272A">
        <w:t xml:space="preserve"> </w:t>
      </w:r>
      <w:r>
        <w:t xml:space="preserve">2 et 3 du </w:t>
      </w:r>
      <w:r w:rsidR="005E1718">
        <w:t>C</w:t>
      </w:r>
      <w:r>
        <w:t xml:space="preserve">ode pénal. </w:t>
      </w:r>
      <w:r w:rsidRPr="00A6026A">
        <w:t xml:space="preserve">Eu égard aux paragraphes </w:t>
      </w:r>
      <w:r>
        <w:t xml:space="preserve">92 et 93 du </w:t>
      </w:r>
      <w:r w:rsidR="00487067">
        <w:t xml:space="preserve">deuxième </w:t>
      </w:r>
      <w:r>
        <w:t>rapport de l’</w:t>
      </w:r>
      <w:r w:rsidR="00E461A1">
        <w:t>État</w:t>
      </w:r>
      <w:r>
        <w:t xml:space="preserve"> partie</w:t>
      </w:r>
      <w:r w:rsidR="00487067">
        <w:t>,</w:t>
      </w:r>
      <w:r>
        <w:t xml:space="preserve"> donner de plus amples informations sur le phénomène de la </w:t>
      </w:r>
      <w:proofErr w:type="spellStart"/>
      <w:r>
        <w:rPr>
          <w:i/>
        </w:rPr>
        <w:t>wahaya</w:t>
      </w:r>
      <w:proofErr w:type="spellEnd"/>
      <w:r>
        <w:rPr>
          <w:i/>
        </w:rPr>
        <w:t xml:space="preserve"> </w:t>
      </w:r>
      <w:r>
        <w:t>sur le territoire de l’</w:t>
      </w:r>
      <w:r w:rsidR="00E461A1">
        <w:t>État</w:t>
      </w:r>
      <w:r>
        <w:t xml:space="preserve"> partie et</w:t>
      </w:r>
      <w:r w:rsidR="006F3751">
        <w:t>,</w:t>
      </w:r>
      <w:r>
        <w:t xml:space="preserve"> en particulier : a)</w:t>
      </w:r>
      <w:r w:rsidR="00FF164C">
        <w:t> </w:t>
      </w:r>
      <w:r>
        <w:t xml:space="preserve">une estimation à jour du nombre de </w:t>
      </w:r>
      <w:proofErr w:type="spellStart"/>
      <w:r>
        <w:rPr>
          <w:i/>
        </w:rPr>
        <w:t>wahayu</w:t>
      </w:r>
      <w:proofErr w:type="spellEnd"/>
      <w:r w:rsidR="00E461A1">
        <w:t> ;</w:t>
      </w:r>
      <w:r>
        <w:t xml:space="preserve"> b)</w:t>
      </w:r>
      <w:r w:rsidR="00FF164C">
        <w:t> </w:t>
      </w:r>
      <w:r>
        <w:t xml:space="preserve">l’ensemble des mesures destinées à mettre un terme à </w:t>
      </w:r>
      <w:r w:rsidR="009E616A">
        <w:t xml:space="preserve">la </w:t>
      </w:r>
      <w:r>
        <w:t>pratique</w:t>
      </w:r>
      <w:r w:rsidR="009E616A">
        <w:t xml:space="preserve"> de prendre une </w:t>
      </w:r>
      <w:proofErr w:type="spellStart"/>
      <w:r w:rsidR="009E616A">
        <w:rPr>
          <w:i/>
        </w:rPr>
        <w:t>wahaya</w:t>
      </w:r>
      <w:proofErr w:type="spellEnd"/>
      <w:r w:rsidR="009E616A">
        <w:rPr>
          <w:i/>
        </w:rPr>
        <w:t> </w:t>
      </w:r>
      <w:r>
        <w:t>; c)</w:t>
      </w:r>
      <w:r w:rsidR="00FF164C">
        <w:t> </w:t>
      </w:r>
      <w:r>
        <w:t xml:space="preserve">les étapes envisagées aux fins de criminaliser </w:t>
      </w:r>
      <w:r w:rsidR="009E616A">
        <w:t>spécifiquement cette</w:t>
      </w:r>
      <w:r w:rsidR="006F3751">
        <w:t xml:space="preserve"> pratique</w:t>
      </w:r>
      <w:r w:rsidR="009E616A">
        <w:t> ;</w:t>
      </w:r>
      <w:r>
        <w:t xml:space="preserve"> d)</w:t>
      </w:r>
      <w:r w:rsidR="00FF164C">
        <w:t> </w:t>
      </w:r>
      <w:r>
        <w:t xml:space="preserve">le nombre de plaintes, poursuites et condamnations </w:t>
      </w:r>
      <w:r w:rsidR="003A3520">
        <w:t xml:space="preserve">liées </w:t>
      </w:r>
      <w:r w:rsidR="008B050C">
        <w:t xml:space="preserve">à cette </w:t>
      </w:r>
      <w:r>
        <w:t>pratique</w:t>
      </w:r>
      <w:r w:rsidR="008B050C">
        <w:t> ;</w:t>
      </w:r>
      <w:r>
        <w:t xml:space="preserve"> et e)</w:t>
      </w:r>
      <w:r w:rsidR="00FF164C">
        <w:t> </w:t>
      </w:r>
      <w:r>
        <w:t xml:space="preserve">les </w:t>
      </w:r>
      <w:r w:rsidR="003A3520">
        <w:t xml:space="preserve">actions engagées </w:t>
      </w:r>
      <w:r>
        <w:t xml:space="preserve">pour assurer aux </w:t>
      </w:r>
      <w:proofErr w:type="spellStart"/>
      <w:r>
        <w:rPr>
          <w:i/>
        </w:rPr>
        <w:t>wahayu</w:t>
      </w:r>
      <w:proofErr w:type="spellEnd"/>
      <w:r>
        <w:rPr>
          <w:i/>
        </w:rPr>
        <w:t xml:space="preserve"> </w:t>
      </w:r>
      <w:r>
        <w:t>des mesures de réhabilitation et de réparation.</w:t>
      </w:r>
    </w:p>
    <w:p w14:paraId="43838AD9" w14:textId="5C60D9BA" w:rsidR="003E3CA4" w:rsidRPr="003D4135" w:rsidRDefault="003E3CA4" w:rsidP="004C05F7">
      <w:pPr>
        <w:pStyle w:val="H23G"/>
      </w:pPr>
      <w:r>
        <w:tab/>
      </w:r>
      <w:r>
        <w:tab/>
      </w:r>
      <w:r w:rsidRPr="003D4135">
        <w:t>Mortalité maternelle et inter</w:t>
      </w:r>
      <w:r w:rsidR="003D4135" w:rsidRPr="003D4135">
        <w:t xml:space="preserve">ruption volontaire de grossesse </w:t>
      </w:r>
      <w:r w:rsidRPr="003D4135">
        <w:t>(art.</w:t>
      </w:r>
      <w:r w:rsidR="004735AF">
        <w:t> </w:t>
      </w:r>
      <w:r w:rsidRPr="003D4135">
        <w:t xml:space="preserve">3, 6 et 7) </w:t>
      </w:r>
    </w:p>
    <w:p w14:paraId="2872901C" w14:textId="766603BE" w:rsidR="003E3CA4" w:rsidRDefault="003E3CA4" w:rsidP="003E3CA4">
      <w:pPr>
        <w:pStyle w:val="SingleTxtG"/>
      </w:pPr>
      <w:r>
        <w:t>11.</w:t>
      </w:r>
      <w:r>
        <w:tab/>
      </w:r>
      <w:r w:rsidRPr="00BB45EE">
        <w:t>Eu égard aux taux très élevés de mortalité maternelle</w:t>
      </w:r>
      <w:r>
        <w:t xml:space="preserve"> </w:t>
      </w:r>
      <w:r w:rsidRPr="00BB45EE">
        <w:t xml:space="preserve">et de grossesse précoce, fournir des données statistiques à jour sur la mortalité maternelle et infantile. Décrire les efforts déployés pour garantir l’accès à des méthodes contraceptives sans risques et à une éducation et </w:t>
      </w:r>
      <w:r w:rsidR="006266D9">
        <w:t xml:space="preserve">à </w:t>
      </w:r>
      <w:r w:rsidRPr="00BB45EE">
        <w:t>des informations sur la contraception et la santé sexuelle et génésique dans l’ensemble du pays, ainsi que pour prévenir les grossesses précoces. Donner des renseignements sur les mesures prises pour améliorer l’accès aux services de santé</w:t>
      </w:r>
      <w:r>
        <w:t xml:space="preserve"> des femmes enceintes</w:t>
      </w:r>
      <w:r w:rsidRPr="00BB45EE">
        <w:t>. Indiquer le nombre estimé d’avortements clandestins par an et</w:t>
      </w:r>
      <w:r>
        <w:t xml:space="preserve"> préciser si l’</w:t>
      </w:r>
      <w:r w:rsidR="00E461A1">
        <w:t>État</w:t>
      </w:r>
      <w:r>
        <w:t xml:space="preserve"> partie entend modifier sa législation, conformément au Pacte, en vue de garantir un accès sûr et légal à l’avortement </w:t>
      </w:r>
      <w:r>
        <w:lastRenderedPageBreak/>
        <w:t xml:space="preserve">lorsque </w:t>
      </w:r>
      <w:r w:rsidRPr="0079510C">
        <w:t xml:space="preserve">le fait de mener la grossesse à terme causerait pour la femme une souffrance considérable, tout particulièrement lorsque la grossesse résulte d’un viol ou d’un inceste ou </w:t>
      </w:r>
      <w:r>
        <w:t>est non viable</w:t>
      </w:r>
      <w:r w:rsidRPr="0079510C">
        <w:t>.</w:t>
      </w:r>
      <w:r>
        <w:t xml:space="preserve"> Préciser</w:t>
      </w:r>
      <w:r w:rsidR="00DF1E4C">
        <w:t xml:space="preserve"> également</w:t>
      </w:r>
      <w:r>
        <w:t xml:space="preserve"> le nombre de femmes condamnées pour avoir volontairement mis fin à </w:t>
      </w:r>
      <w:r w:rsidRPr="0021439D">
        <w:t>leurs grossesses</w:t>
      </w:r>
      <w:r>
        <w:t xml:space="preserve"> et les peines prononcés</w:t>
      </w:r>
      <w:r w:rsidR="00A17B90">
        <w:t>,</w:t>
      </w:r>
      <w:r>
        <w:t xml:space="preserve"> ainsi que le nombre de personnes condamnées pour avoir pratiqué une interruption volontaire de grossesse.</w:t>
      </w:r>
    </w:p>
    <w:p w14:paraId="4E0F3D84" w14:textId="42AA7733" w:rsidR="003E3CA4" w:rsidRPr="004D41B5" w:rsidRDefault="003E3CA4" w:rsidP="004C05F7">
      <w:pPr>
        <w:pStyle w:val="H23G"/>
      </w:pPr>
      <w:r w:rsidRPr="00F41E68">
        <w:rPr>
          <w:sz w:val="22"/>
          <w:szCs w:val="22"/>
        </w:rPr>
        <w:tab/>
      </w:r>
      <w:r w:rsidRPr="00F41E68">
        <w:rPr>
          <w:sz w:val="22"/>
          <w:szCs w:val="22"/>
        </w:rPr>
        <w:tab/>
      </w:r>
      <w:r w:rsidRPr="004D41B5">
        <w:t>Peine de mort (art.</w:t>
      </w:r>
      <w:r w:rsidR="004735AF">
        <w:t> </w:t>
      </w:r>
      <w:r w:rsidRPr="004D41B5">
        <w:t>6)</w:t>
      </w:r>
    </w:p>
    <w:p w14:paraId="39B7C566" w14:textId="29D27F31" w:rsidR="003E3CA4" w:rsidRDefault="003E3CA4" w:rsidP="003E3CA4">
      <w:pPr>
        <w:pStyle w:val="SingleTxtG"/>
      </w:pPr>
      <w:r>
        <w:t>12.</w:t>
      </w:r>
      <w:r>
        <w:tab/>
        <w:t xml:space="preserve">Eu égard au paragraphe 69 du </w:t>
      </w:r>
      <w:r w:rsidR="00487067">
        <w:t xml:space="preserve">deuxième </w:t>
      </w:r>
      <w:r>
        <w:t>rapport de l’</w:t>
      </w:r>
      <w:r w:rsidR="00E461A1">
        <w:t>État</w:t>
      </w:r>
      <w:r>
        <w:t xml:space="preserve"> partie</w:t>
      </w:r>
      <w:r w:rsidR="00487067">
        <w:t>,</w:t>
      </w:r>
      <w:r>
        <w:t xml:space="preserve"> i</w:t>
      </w:r>
      <w:r w:rsidRPr="006657D5">
        <w:t xml:space="preserve">ndiquer </w:t>
      </w:r>
      <w:r>
        <w:t xml:space="preserve">s’il existe un moratoire officiel sur la peine de mort ainsi que </w:t>
      </w:r>
      <w:r w:rsidRPr="006657D5">
        <w:t>les mesures prises en vue d’abolir la peine de mort</w:t>
      </w:r>
      <w:r w:rsidR="00A17B90">
        <w:t>,</w:t>
      </w:r>
      <w:r w:rsidRPr="006657D5">
        <w:t xml:space="preserve"> et </w:t>
      </w:r>
      <w:r>
        <w:t xml:space="preserve">préciser </w:t>
      </w:r>
      <w:r w:rsidRPr="006657D5">
        <w:t>quels</w:t>
      </w:r>
      <w:r>
        <w:t xml:space="preserve"> </w:t>
      </w:r>
      <w:r w:rsidRPr="006657D5">
        <w:t>seraient à ce jour les obstacles à</w:t>
      </w:r>
      <w:r>
        <w:t xml:space="preserve"> une telle abolition. Préciser </w:t>
      </w:r>
      <w:r w:rsidR="006266D9">
        <w:t xml:space="preserve">également </w:t>
      </w:r>
      <w:r>
        <w:t xml:space="preserve">si l’État </w:t>
      </w:r>
      <w:r w:rsidRPr="006657D5">
        <w:t xml:space="preserve">partie envisage de ratifier le </w:t>
      </w:r>
      <w:r w:rsidR="00B57977" w:rsidRPr="00B57977">
        <w:t xml:space="preserve">Deuxième </w:t>
      </w:r>
      <w:r w:rsidRPr="006657D5">
        <w:t xml:space="preserve">Protocole </w:t>
      </w:r>
      <w:r w:rsidR="00B57977" w:rsidRPr="00B57977">
        <w:t xml:space="preserve">facultatif se rapportant </w:t>
      </w:r>
      <w:r w:rsidRPr="006657D5">
        <w:t>au Pacte</w:t>
      </w:r>
      <w:r w:rsidR="00B57977">
        <w:t xml:space="preserve"> </w:t>
      </w:r>
      <w:r w:rsidR="00B57977" w:rsidRPr="00B57977">
        <w:t>international relatif aux droits civils et politiques, visant à abolir la peine de mort</w:t>
      </w:r>
      <w:r w:rsidRPr="006657D5">
        <w:t>.</w:t>
      </w:r>
    </w:p>
    <w:p w14:paraId="5A1CA8BA" w14:textId="77A71CB7" w:rsidR="003E3CA4" w:rsidRPr="004D41B5" w:rsidRDefault="003E3CA4" w:rsidP="004C05F7">
      <w:pPr>
        <w:pStyle w:val="H23G"/>
      </w:pPr>
      <w:r>
        <w:rPr>
          <w:sz w:val="22"/>
          <w:szCs w:val="22"/>
        </w:rPr>
        <w:tab/>
      </w:r>
      <w:r w:rsidRPr="004D41B5">
        <w:tab/>
        <w:t xml:space="preserve">Protection des civils dans le cadre du conflit avec </w:t>
      </w:r>
      <w:proofErr w:type="spellStart"/>
      <w:r w:rsidRPr="004D41B5">
        <w:t>Boko</w:t>
      </w:r>
      <w:proofErr w:type="spellEnd"/>
      <w:r w:rsidRPr="004D41B5">
        <w:t xml:space="preserve"> </w:t>
      </w:r>
      <w:proofErr w:type="spellStart"/>
      <w:r w:rsidRPr="004D41B5">
        <w:t>Haram</w:t>
      </w:r>
      <w:proofErr w:type="spellEnd"/>
      <w:r w:rsidRPr="004D41B5">
        <w:t xml:space="preserve"> (art.</w:t>
      </w:r>
      <w:r w:rsidR="00454419">
        <w:t> </w:t>
      </w:r>
      <w:r w:rsidRPr="004D41B5">
        <w:t xml:space="preserve">2, </w:t>
      </w:r>
      <w:r>
        <w:t>3, 6, 7,</w:t>
      </w:r>
      <w:r w:rsidRPr="004D41B5">
        <w:t xml:space="preserve"> 9</w:t>
      </w:r>
      <w:r>
        <w:t xml:space="preserve"> et 24</w:t>
      </w:r>
      <w:r w:rsidRPr="004D41B5">
        <w:t>)</w:t>
      </w:r>
    </w:p>
    <w:p w14:paraId="1881DD23" w14:textId="21D2E606" w:rsidR="003E3CA4" w:rsidRPr="001377D1" w:rsidRDefault="003E3CA4" w:rsidP="004C05F7">
      <w:pPr>
        <w:pStyle w:val="SingleTxtG"/>
      </w:pPr>
      <w:r>
        <w:t>13</w:t>
      </w:r>
      <w:r w:rsidRPr="00AA30EA">
        <w:t>.</w:t>
      </w:r>
      <w:r>
        <w:tab/>
        <w:t>Eu égard aux attaques menées depuis février 2015 dans plusieurs localités du pays</w:t>
      </w:r>
      <w:r w:rsidR="004C6631">
        <w:t>,</w:t>
      </w:r>
      <w:r>
        <w:t xml:space="preserve"> dont </w:t>
      </w:r>
      <w:proofErr w:type="spellStart"/>
      <w:r>
        <w:t>Bosso</w:t>
      </w:r>
      <w:proofErr w:type="spellEnd"/>
      <w:r>
        <w:t>, Diffa et l’</w:t>
      </w:r>
      <w:r w:rsidR="004C6631">
        <w:t>î</w:t>
      </w:r>
      <w:r>
        <w:t xml:space="preserve">le de </w:t>
      </w:r>
      <w:proofErr w:type="spellStart"/>
      <w:r>
        <w:t>Karamga</w:t>
      </w:r>
      <w:proofErr w:type="spellEnd"/>
      <w:r>
        <w:t xml:space="preserve">, préciser toutes les mesures </w:t>
      </w:r>
      <w:r w:rsidR="00D70B9B">
        <w:t xml:space="preserve">prises pour </w:t>
      </w:r>
      <w:r>
        <w:t>renforcer la protection de la population civile, notamment</w:t>
      </w:r>
      <w:r w:rsidR="00622F51" w:rsidRPr="00622F51">
        <w:t xml:space="preserve"> </w:t>
      </w:r>
      <w:r w:rsidR="00622F51">
        <w:t>contre </w:t>
      </w:r>
      <w:r>
        <w:t>: a)</w:t>
      </w:r>
      <w:r w:rsidR="0036109F">
        <w:t> </w:t>
      </w:r>
      <w:r w:rsidR="00622F51">
        <w:t xml:space="preserve">les </w:t>
      </w:r>
      <w:r>
        <w:t>exécutions et enlèvements</w:t>
      </w:r>
      <w:r w:rsidR="00622F51">
        <w:t> ;</w:t>
      </w:r>
      <w:r>
        <w:t xml:space="preserve"> b)</w:t>
      </w:r>
      <w:r w:rsidR="00F42293">
        <w:t> </w:t>
      </w:r>
      <w:r w:rsidR="00622F51">
        <w:t xml:space="preserve">le </w:t>
      </w:r>
      <w:r>
        <w:t>ciblage de biens de caractère civil protégés</w:t>
      </w:r>
      <w:r w:rsidR="00E461A1">
        <w:t> ;</w:t>
      </w:r>
      <w:r>
        <w:t xml:space="preserve"> c)</w:t>
      </w:r>
      <w:r w:rsidR="0036109F">
        <w:t> </w:t>
      </w:r>
      <w:r w:rsidR="00622F51">
        <w:t>l</w:t>
      </w:r>
      <w:r>
        <w:t>’utilisation d’enfants dans les hostilités</w:t>
      </w:r>
      <w:r w:rsidR="00E461A1">
        <w:t> ;</w:t>
      </w:r>
      <w:r>
        <w:t xml:space="preserve"> d)</w:t>
      </w:r>
      <w:r w:rsidR="00F42293">
        <w:t> </w:t>
      </w:r>
      <w:r w:rsidR="00622F51">
        <w:t>l</w:t>
      </w:r>
      <w:r>
        <w:t xml:space="preserve">e viol et </w:t>
      </w:r>
      <w:r w:rsidR="00622F51">
        <w:t xml:space="preserve">les </w:t>
      </w:r>
      <w:r>
        <w:t>autres formes de violence sexuelle</w:t>
      </w:r>
      <w:r w:rsidR="00E461A1">
        <w:t> ;</w:t>
      </w:r>
      <w:r>
        <w:t xml:space="preserve"> et e)</w:t>
      </w:r>
      <w:r w:rsidR="0036109F">
        <w:t> </w:t>
      </w:r>
      <w:r w:rsidR="00622F51">
        <w:t>la</w:t>
      </w:r>
      <w:r>
        <w:t xml:space="preserve"> torture ou </w:t>
      </w:r>
      <w:r w:rsidR="00622F51">
        <w:t xml:space="preserve">tout </w:t>
      </w:r>
      <w:r>
        <w:t xml:space="preserve">autre mauvais traitement, imputables à </w:t>
      </w:r>
      <w:proofErr w:type="spellStart"/>
      <w:r>
        <w:t>Boko</w:t>
      </w:r>
      <w:proofErr w:type="spellEnd"/>
      <w:r>
        <w:t xml:space="preserve"> </w:t>
      </w:r>
      <w:proofErr w:type="spellStart"/>
      <w:r>
        <w:t>Haram</w:t>
      </w:r>
      <w:proofErr w:type="spellEnd"/>
      <w:r>
        <w:t xml:space="preserve">. </w:t>
      </w:r>
      <w:r w:rsidRPr="00204CD9">
        <w:t>Donner en particulier de plus amples informations sur les mesures destinées à accompagner les victimes survivantes de violences sexuelles perpétrées</w:t>
      </w:r>
      <w:r>
        <w:t xml:space="preserve"> par des groupes terroristes et s’assurer qu’elles ne fassent pas l’objet de stigmatisation. Indiquer toutes les mesures </w:t>
      </w:r>
      <w:r w:rsidR="00DB5C4B">
        <w:t>prises pour </w:t>
      </w:r>
      <w:r>
        <w:t>: a)</w:t>
      </w:r>
      <w:r w:rsidR="0036109F">
        <w:t> </w:t>
      </w:r>
      <w:r>
        <w:t>veiller à ce que tous les auteurs de violations de</w:t>
      </w:r>
      <w:r w:rsidR="00DB5C4B">
        <w:t>s</w:t>
      </w:r>
      <w:r>
        <w:t xml:space="preserve"> droits de l’homme et d</w:t>
      </w:r>
      <w:r w:rsidR="00DB5C4B">
        <w:t>u</w:t>
      </w:r>
      <w:r>
        <w:t xml:space="preserve"> droit international humanitaire aient à répondre de leurs actes</w:t>
      </w:r>
      <w:r w:rsidR="00E461A1">
        <w:t> ;</w:t>
      </w:r>
      <w:r>
        <w:t xml:space="preserve"> et b)</w:t>
      </w:r>
      <w:r w:rsidR="0036109F">
        <w:t> </w:t>
      </w:r>
      <w:r>
        <w:t xml:space="preserve">assurer aux victimes des recours appropriés et efficaces. Indiquer </w:t>
      </w:r>
      <w:r w:rsidR="00DB5C4B">
        <w:t xml:space="preserve">également </w:t>
      </w:r>
      <w:r>
        <w:t xml:space="preserve">toutes les mesures </w:t>
      </w:r>
      <w:r w:rsidR="004C6631">
        <w:t xml:space="preserve">prises pour </w:t>
      </w:r>
      <w:r>
        <w:t xml:space="preserve">que les forces de sécurité nigériennes ne commettent pas de violations des droits de l’homme et répondre aux allégations d’arrestations massives et collectives de personnes simplement soupçonnées d’appartenir à </w:t>
      </w:r>
      <w:proofErr w:type="spellStart"/>
      <w:r>
        <w:t>Boko</w:t>
      </w:r>
      <w:proofErr w:type="spellEnd"/>
      <w:r>
        <w:t xml:space="preserve"> </w:t>
      </w:r>
      <w:proofErr w:type="spellStart"/>
      <w:r>
        <w:t>Haram</w:t>
      </w:r>
      <w:proofErr w:type="spellEnd"/>
      <w:r>
        <w:t xml:space="preserve">. Donner des informations sur le nombre estimé de personnes déplacées du fait du conflit et préciser les mesures destinées à assurer leur protection, en particulier </w:t>
      </w:r>
      <w:r w:rsidR="00DB5C4B">
        <w:t xml:space="preserve">celle </w:t>
      </w:r>
      <w:r>
        <w:t>des femmes et des enfants</w:t>
      </w:r>
      <w:r w:rsidR="00B52D2C">
        <w:t xml:space="preserve">, </w:t>
      </w:r>
      <w:r w:rsidR="00DB5C4B">
        <w:t>qui sont</w:t>
      </w:r>
      <w:r>
        <w:t xml:space="preserve"> plus vulnérables aux violence</w:t>
      </w:r>
      <w:r w:rsidR="00DB5C4B">
        <w:t>s</w:t>
      </w:r>
      <w:r>
        <w:t>.</w:t>
      </w:r>
    </w:p>
    <w:p w14:paraId="490D3AF7" w14:textId="32CF2599" w:rsidR="003E3CA4" w:rsidRPr="004D41B5" w:rsidRDefault="003E3CA4" w:rsidP="004C05F7">
      <w:pPr>
        <w:pStyle w:val="H23G"/>
      </w:pPr>
      <w:r w:rsidRPr="001377D1">
        <w:rPr>
          <w:sz w:val="22"/>
          <w:szCs w:val="22"/>
          <w:lang w:val="fr-FR"/>
        </w:rPr>
        <w:tab/>
      </w:r>
      <w:r w:rsidRPr="001377D1">
        <w:rPr>
          <w:lang w:val="fr-FR"/>
        </w:rPr>
        <w:tab/>
      </w:r>
      <w:r w:rsidRPr="004D41B5">
        <w:t>Interdiction de la torture et des traitements cruels, inhumains et dégradants, comportement des forces de sécurité et traitement des personnes privées de liberté (art.</w:t>
      </w:r>
      <w:r w:rsidR="004735AF">
        <w:t> </w:t>
      </w:r>
      <w:r w:rsidRPr="004D41B5">
        <w:t>6, 7 et 10)</w:t>
      </w:r>
    </w:p>
    <w:p w14:paraId="1B9BF8DD" w14:textId="74453BB6" w:rsidR="003E3CA4" w:rsidRPr="003E3CA4" w:rsidRDefault="003E3CA4" w:rsidP="004C05F7">
      <w:pPr>
        <w:pStyle w:val="SingleTxtG"/>
      </w:pPr>
      <w:r w:rsidRPr="003E3CA4">
        <w:t>14.</w:t>
      </w:r>
      <w:r w:rsidRPr="003E3CA4">
        <w:tab/>
        <w:t xml:space="preserve">Eu égard au paragraphe 79 du </w:t>
      </w:r>
      <w:r w:rsidR="00487067">
        <w:t xml:space="preserve">deuxième </w:t>
      </w:r>
      <w:r w:rsidRPr="003E3CA4">
        <w:t>rapport de l’</w:t>
      </w:r>
      <w:r w:rsidR="00E461A1">
        <w:t>État</w:t>
      </w:r>
      <w:r w:rsidRPr="003E3CA4">
        <w:t xml:space="preserve"> partie</w:t>
      </w:r>
      <w:r w:rsidR="00487067">
        <w:t>,</w:t>
      </w:r>
      <w:r w:rsidRPr="003E3CA4">
        <w:t xml:space="preserve"> préciser les mesures envisagées aux fins</w:t>
      </w:r>
      <w:r w:rsidR="00C35635">
        <w:t> </w:t>
      </w:r>
      <w:r w:rsidRPr="003E3CA4">
        <w:t>: a)</w:t>
      </w:r>
      <w:r w:rsidR="007F371E">
        <w:t> </w:t>
      </w:r>
      <w:r w:rsidRPr="003E3CA4">
        <w:t xml:space="preserve">d’introduire dans le </w:t>
      </w:r>
      <w:r w:rsidR="005E1718">
        <w:t>C</w:t>
      </w:r>
      <w:r w:rsidRPr="003E3CA4">
        <w:t>ode pénal une définition de la torture conforme aux dispositions du Pacte</w:t>
      </w:r>
      <w:r w:rsidR="00E461A1">
        <w:t> ;</w:t>
      </w:r>
      <w:r w:rsidRPr="003E3CA4">
        <w:t xml:space="preserve"> et b)</w:t>
      </w:r>
      <w:r w:rsidR="007F371E">
        <w:t> </w:t>
      </w:r>
      <w:r w:rsidRPr="003E3CA4">
        <w:t>d’élaborer un plan national d’action contre la torture. Indiquer</w:t>
      </w:r>
      <w:r w:rsidR="00C35635">
        <w:t> </w:t>
      </w:r>
      <w:r w:rsidRPr="003E3CA4">
        <w:t>: a)</w:t>
      </w:r>
      <w:r w:rsidR="007F371E">
        <w:t> </w:t>
      </w:r>
      <w:r w:rsidRPr="003E3CA4">
        <w:t xml:space="preserve">l’ensemble des mesures prises </w:t>
      </w:r>
      <w:r w:rsidR="00784712">
        <w:t xml:space="preserve">pour </w:t>
      </w:r>
      <w:r w:rsidRPr="003E3CA4">
        <w:t>prévenir et lutter contre la torture</w:t>
      </w:r>
      <w:r w:rsidR="00E461A1">
        <w:t> ;</w:t>
      </w:r>
      <w:r w:rsidRPr="003E3CA4">
        <w:t xml:space="preserve"> b)</w:t>
      </w:r>
      <w:r w:rsidR="007F371E">
        <w:t> </w:t>
      </w:r>
      <w:r w:rsidRPr="003E3CA4">
        <w:t>les mécanismes de plaintes et de recours utiles lorsqu’une personne allègue avoir fait l’objet de torture ou de mauvais traitement par des agents de l’</w:t>
      </w:r>
      <w:r w:rsidR="00E461A1">
        <w:t>État ;</w:t>
      </w:r>
      <w:r w:rsidRPr="003E3CA4">
        <w:t xml:space="preserve"> et c)</w:t>
      </w:r>
      <w:r w:rsidR="007F371E">
        <w:t> </w:t>
      </w:r>
      <w:r w:rsidRPr="003E3CA4">
        <w:t xml:space="preserve">le nombre précis de plaintes enregistrées, d’enquêtes menées, de poursuites engagées, de condamnations </w:t>
      </w:r>
      <w:r w:rsidR="00D058FB" w:rsidRPr="003E3CA4">
        <w:t xml:space="preserve">prononcées </w:t>
      </w:r>
      <w:r w:rsidRPr="003E3CA4">
        <w:t xml:space="preserve">et </w:t>
      </w:r>
      <w:r w:rsidR="00224B81">
        <w:t>d’</w:t>
      </w:r>
      <w:r w:rsidRPr="003E3CA4">
        <w:t>indemnisation</w:t>
      </w:r>
      <w:r w:rsidR="00224B81">
        <w:t>s</w:t>
      </w:r>
      <w:r w:rsidRPr="003E3CA4">
        <w:t xml:space="preserve"> </w:t>
      </w:r>
      <w:r w:rsidR="00D058FB">
        <w:t xml:space="preserve">accordées </w:t>
      </w:r>
      <w:r w:rsidRPr="003E3CA4">
        <w:t>pour actes de torture au cours de la période considérée. Répondre aux allégations selon lesquelles les forces de défense et de sécurité</w:t>
      </w:r>
      <w:r w:rsidR="00D058FB">
        <w:t xml:space="preserve"> </w:t>
      </w:r>
      <w:r w:rsidR="00D058FB" w:rsidRPr="003E3CA4">
        <w:t>pratiqu</w:t>
      </w:r>
      <w:r w:rsidR="00D058FB">
        <w:t>eraient</w:t>
      </w:r>
      <w:r w:rsidR="00D058FB" w:rsidRPr="003E3CA4">
        <w:t xml:space="preserve"> la torture et les mauvais traitements</w:t>
      </w:r>
      <w:r w:rsidRPr="003E3CA4">
        <w:t>, notamment pour extorquer des aveux ou des renseignements. Indiquer à ce</w:t>
      </w:r>
      <w:r w:rsidR="00884582">
        <w:t>t</w:t>
      </w:r>
      <w:r w:rsidRPr="003E3CA4">
        <w:t xml:space="preserve"> égard s’il existe des dispositions légales établissant l’irrecevabilité des déclarations ou aveux obtenus sous la torture. </w:t>
      </w:r>
    </w:p>
    <w:p w14:paraId="49A6F5AD" w14:textId="0DD8F018" w:rsidR="003E3CA4" w:rsidRPr="003E3CA4" w:rsidRDefault="003E3CA4" w:rsidP="003E3CA4">
      <w:pPr>
        <w:pStyle w:val="SingleTxtG"/>
      </w:pPr>
      <w:r w:rsidRPr="003E3CA4">
        <w:t>15.</w:t>
      </w:r>
      <w:r w:rsidRPr="003E3CA4">
        <w:tab/>
        <w:t>Répondre aux allégations selon lesquelles des violences auraient été exercé</w:t>
      </w:r>
      <w:r w:rsidR="00B66CD1">
        <w:t>e</w:t>
      </w:r>
      <w:r w:rsidRPr="003E3CA4">
        <w:t>s sur des manifestants, notamment à Niamey</w:t>
      </w:r>
      <w:r w:rsidR="009C3931" w:rsidRPr="009C3931">
        <w:t xml:space="preserve"> </w:t>
      </w:r>
      <w:r w:rsidR="009C3931" w:rsidRPr="003E3CA4">
        <w:t>en janvier 2015</w:t>
      </w:r>
      <w:r w:rsidRPr="003E3CA4">
        <w:t>. Donner à ce</w:t>
      </w:r>
      <w:r w:rsidR="00B66CD1">
        <w:t>t</w:t>
      </w:r>
      <w:r w:rsidRPr="003E3CA4">
        <w:t xml:space="preserve"> égard des informations sur la formation et les mécanismes de surveillance et de responsabilisation qui visent à garantir le respect des dispositions du Pacte</w:t>
      </w:r>
      <w:r w:rsidR="009C3931">
        <w:t xml:space="preserve"> par </w:t>
      </w:r>
      <w:r w:rsidR="009C3931" w:rsidRPr="003E3CA4">
        <w:t>les forces de police</w:t>
      </w:r>
      <w:r w:rsidRPr="003E3CA4">
        <w:t>, y compris lorsqu’elles ont à contenir des violences collectives.</w:t>
      </w:r>
    </w:p>
    <w:p w14:paraId="252BBAF3" w14:textId="0C7E606C" w:rsidR="003E3CA4" w:rsidRPr="003E3CA4" w:rsidRDefault="003E3CA4" w:rsidP="007D7FAE">
      <w:pPr>
        <w:pStyle w:val="SingleTxtG"/>
      </w:pPr>
      <w:r w:rsidRPr="003E3CA4">
        <w:t>16.</w:t>
      </w:r>
      <w:r w:rsidRPr="003E3CA4">
        <w:tab/>
        <w:t xml:space="preserve">Répondre aux allégations selon lesquelles les agents des </w:t>
      </w:r>
      <w:r w:rsidR="007D7FAE">
        <w:t>f</w:t>
      </w:r>
      <w:r w:rsidRPr="003E3CA4">
        <w:t xml:space="preserve">orces de </w:t>
      </w:r>
      <w:r w:rsidR="007D7FAE">
        <w:t>d</w:t>
      </w:r>
      <w:r w:rsidRPr="003E3CA4">
        <w:t xml:space="preserve">éfense et de </w:t>
      </w:r>
      <w:r w:rsidR="007D7FAE">
        <w:t>s</w:t>
      </w:r>
      <w:r w:rsidRPr="003E3CA4">
        <w:t xml:space="preserve">écurité ont recours à des traitements inhumains et dégradants sur les migrants traversant le Niger, </w:t>
      </w:r>
      <w:r w:rsidR="00564FDC">
        <w:t xml:space="preserve">par exemple en les </w:t>
      </w:r>
      <w:r w:rsidR="00564FDC" w:rsidRPr="003E3CA4">
        <w:t>dépouill</w:t>
      </w:r>
      <w:r w:rsidR="00564FDC">
        <w:t xml:space="preserve">ant ou en leur demandant de verser des </w:t>
      </w:r>
      <w:r w:rsidR="00564FDC" w:rsidRPr="003E3CA4">
        <w:t>pot</w:t>
      </w:r>
      <w:r w:rsidR="00564FDC">
        <w:t>s</w:t>
      </w:r>
      <w:r w:rsidR="00564FDC" w:rsidRPr="003E3CA4">
        <w:t>-de-vin</w:t>
      </w:r>
      <w:r w:rsidR="00564FDC">
        <w:t xml:space="preserve">, </w:t>
      </w:r>
      <w:r w:rsidRPr="003E3CA4">
        <w:t>en particulier sur l’axe Agadez-</w:t>
      </w:r>
      <w:proofErr w:type="spellStart"/>
      <w:r w:rsidRPr="003E3CA4">
        <w:t>Arlit</w:t>
      </w:r>
      <w:proofErr w:type="spellEnd"/>
      <w:r w:rsidRPr="003E3CA4">
        <w:t>-</w:t>
      </w:r>
      <w:proofErr w:type="spellStart"/>
      <w:r w:rsidRPr="003E3CA4">
        <w:t>Assamak</w:t>
      </w:r>
      <w:r w:rsidR="00564FDC">
        <w:t>k</w:t>
      </w:r>
      <w:r w:rsidRPr="003E3CA4">
        <w:t>a</w:t>
      </w:r>
      <w:proofErr w:type="spellEnd"/>
      <w:r w:rsidRPr="003E3CA4">
        <w:t xml:space="preserve"> et l’axe Agadez-</w:t>
      </w:r>
      <w:proofErr w:type="spellStart"/>
      <w:r w:rsidRPr="003E3CA4">
        <w:t>Dirkou</w:t>
      </w:r>
      <w:proofErr w:type="spellEnd"/>
      <w:r w:rsidRPr="003E3CA4">
        <w:t>-</w:t>
      </w:r>
      <w:proofErr w:type="spellStart"/>
      <w:r w:rsidRPr="003E3CA4">
        <w:t>Madama</w:t>
      </w:r>
      <w:proofErr w:type="spellEnd"/>
      <w:r w:rsidRPr="003E3CA4">
        <w:t xml:space="preserve">. Répondre également aux allégations selon lesquelles le principe de non-refoulement ne serait pas </w:t>
      </w:r>
      <w:r w:rsidRPr="003E3CA4">
        <w:lastRenderedPageBreak/>
        <w:t>toujours respecté et des réfugiés, en particulier nigérians ou soudanais, seraient refoulés par l’armée et la police nigériennes</w:t>
      </w:r>
      <w:r w:rsidR="009C3931">
        <w:t xml:space="preserve"> </w:t>
      </w:r>
      <w:r w:rsidR="009C3931" w:rsidRPr="003E3CA4">
        <w:t xml:space="preserve">sans aucune </w:t>
      </w:r>
      <w:r w:rsidR="009C3931">
        <w:t>forme de procès</w:t>
      </w:r>
      <w:r w:rsidRPr="003E3CA4">
        <w:t>. Indiquer s’il existe des dispositions légales établissant le non-refoulement des demandeurs d’asile</w:t>
      </w:r>
      <w:r w:rsidR="00564FDC">
        <w:t>,</w:t>
      </w:r>
      <w:r w:rsidRPr="003E3CA4">
        <w:t xml:space="preserve"> notamment lorsque ces derniers encourent le risque de subir des traitements contraires à l’article</w:t>
      </w:r>
      <w:r w:rsidR="00F42293">
        <w:t> </w:t>
      </w:r>
      <w:r w:rsidRPr="003E3CA4">
        <w:t xml:space="preserve">7 du Pacte. </w:t>
      </w:r>
    </w:p>
    <w:p w14:paraId="19AFD299" w14:textId="2F473A82" w:rsidR="003E3CA4" w:rsidRPr="003E3CA4" w:rsidRDefault="003E3CA4" w:rsidP="003E3CA4">
      <w:pPr>
        <w:pStyle w:val="SingleTxtG"/>
      </w:pPr>
      <w:r w:rsidRPr="003E3CA4">
        <w:t>17.</w:t>
      </w:r>
      <w:r w:rsidRPr="003E3CA4">
        <w:tab/>
        <w:t>Fournir des données à jour, ventilées par lieu de détention, sur les capacités d’accueil officielles des lieux de détention et le nombre effectif de détenus. Indiquer le budget alloué à l’administration pénitentiaire pour les cinq dernières années. Répondre aux allégations faisant état</w:t>
      </w:r>
      <w:r w:rsidR="00564FDC">
        <w:t>,</w:t>
      </w:r>
      <w:r w:rsidRPr="003E3CA4">
        <w:t xml:space="preserve"> entre autres</w:t>
      </w:r>
      <w:r w:rsidR="00564FDC">
        <w:t>,</w:t>
      </w:r>
      <w:r w:rsidRPr="003E3CA4">
        <w:t xml:space="preserve"> de surpeuplement, d’absence de séparation entre prévenus et condamnés, de manque d’accès aux soins médicaux et à une alimentation </w:t>
      </w:r>
      <w:r w:rsidR="00564FDC">
        <w:t>correcte</w:t>
      </w:r>
      <w:r w:rsidRPr="003E3CA4">
        <w:t xml:space="preserve">, et de violences perpétrées contre les prisonniers, en particulier dans la prison de </w:t>
      </w:r>
      <w:r w:rsidR="00AB648F">
        <w:t>h</w:t>
      </w:r>
      <w:r w:rsidRPr="003E3CA4">
        <w:t xml:space="preserve">aute </w:t>
      </w:r>
      <w:r w:rsidR="00AB648F">
        <w:t>s</w:t>
      </w:r>
      <w:r w:rsidRPr="003E3CA4">
        <w:t xml:space="preserve">écurité de </w:t>
      </w:r>
      <w:proofErr w:type="spellStart"/>
      <w:r w:rsidRPr="003E3CA4">
        <w:t>Koutou</w:t>
      </w:r>
      <w:r w:rsidR="00AB648F">
        <w:t>k</w:t>
      </w:r>
      <w:r w:rsidRPr="003E3CA4">
        <w:t>a</w:t>
      </w:r>
      <w:r w:rsidR="00AB648F">
        <w:t>l</w:t>
      </w:r>
      <w:r w:rsidRPr="003E3CA4">
        <w:t>é</w:t>
      </w:r>
      <w:proofErr w:type="spellEnd"/>
      <w:r w:rsidRPr="003E3CA4">
        <w:t>, qui aurait engendré la mort d’un détenu</w:t>
      </w:r>
      <w:r w:rsidR="00D6232D">
        <w:t>.</w:t>
      </w:r>
      <w:r w:rsidRPr="003E3CA4">
        <w:t xml:space="preserve"> </w:t>
      </w:r>
      <w:r w:rsidR="00D6232D">
        <w:t>I</w:t>
      </w:r>
      <w:r w:rsidRPr="003E3CA4">
        <w:t>ndiquer quelles mesures ont été prises pour remédier auxdits phénomènes et préciser si l’</w:t>
      </w:r>
      <w:r w:rsidR="00E461A1">
        <w:t>État</w:t>
      </w:r>
      <w:r w:rsidRPr="003E3CA4">
        <w:t xml:space="preserve"> partie envisage de créer un mécanisme national indépendant chargé de visiter l’ensemble des </w:t>
      </w:r>
      <w:r w:rsidR="00D6232D">
        <w:t xml:space="preserve">lieux </w:t>
      </w:r>
      <w:r w:rsidRPr="003E3CA4">
        <w:t>de détention.</w:t>
      </w:r>
    </w:p>
    <w:p w14:paraId="092EF4A7" w14:textId="39AFB0F0" w:rsidR="003E3CA4" w:rsidRPr="004D41B5" w:rsidRDefault="003E3CA4" w:rsidP="004C05F7">
      <w:pPr>
        <w:pStyle w:val="H23G"/>
      </w:pPr>
      <w:r>
        <w:tab/>
      </w:r>
      <w:r>
        <w:tab/>
      </w:r>
      <w:r w:rsidRPr="004D41B5">
        <w:t>Esclavage, travail forcé et traite des personnes (art.</w:t>
      </w:r>
      <w:r w:rsidR="00FA0054">
        <w:t> </w:t>
      </w:r>
      <w:r w:rsidRPr="004D41B5">
        <w:t xml:space="preserve">6, 7, 8 et 24) </w:t>
      </w:r>
    </w:p>
    <w:p w14:paraId="696C5F91" w14:textId="011C6D12" w:rsidR="003E3CA4" w:rsidRDefault="003E3CA4" w:rsidP="004C05F7">
      <w:pPr>
        <w:pStyle w:val="SingleTxtG"/>
      </w:pPr>
      <w:r>
        <w:t>18.</w:t>
      </w:r>
      <w:r>
        <w:tab/>
        <w:t xml:space="preserve">Eu égard aux paragraphes 86 </w:t>
      </w:r>
      <w:r w:rsidR="00E0236B">
        <w:t xml:space="preserve">et suivants </w:t>
      </w:r>
      <w:r>
        <w:t xml:space="preserve">du </w:t>
      </w:r>
      <w:r w:rsidR="00487067">
        <w:t xml:space="preserve">deuxième </w:t>
      </w:r>
      <w:r>
        <w:t>rapport de l’</w:t>
      </w:r>
      <w:r w:rsidR="00E461A1">
        <w:t>État</w:t>
      </w:r>
      <w:r>
        <w:t xml:space="preserve"> partie</w:t>
      </w:r>
      <w:r w:rsidR="00487067">
        <w:t>,</w:t>
      </w:r>
      <w:r>
        <w:t xml:space="preserve"> donner de plus amples informations sur les mesures destinées à faire appliquer le cadre législatif prohibant l’esclavage, qui demeure une réalité, en particulier </w:t>
      </w:r>
      <w:r w:rsidR="00293B08">
        <w:t xml:space="preserve">chez </w:t>
      </w:r>
      <w:r>
        <w:t>certaines ethnies. Indiquer toutes les mesures destinées à mettre en œuvre les recommandations de la Rapporteuse spéciale sur les formes contemporaines d’esclavage, y compris leurs causes et leurs conséquences (</w:t>
      </w:r>
      <w:r w:rsidR="00AB0F5F">
        <w:t xml:space="preserve">voir </w:t>
      </w:r>
      <w:r w:rsidRPr="004C05F7">
        <w:t>A/HRC/30/35/Add.1)</w:t>
      </w:r>
      <w:r>
        <w:t>. Préciser en particulier</w:t>
      </w:r>
      <w:r w:rsidR="00C35635">
        <w:t> </w:t>
      </w:r>
      <w:r>
        <w:t>: a)</w:t>
      </w:r>
      <w:r w:rsidR="00FA0054">
        <w:t> </w:t>
      </w:r>
      <w:r>
        <w:t>toutes les mesures destinées à déterminer le nombre de personnes contraintes à l’esclavage dans le territoire de l’</w:t>
      </w:r>
      <w:r w:rsidR="00E461A1">
        <w:t>État</w:t>
      </w:r>
      <w:r>
        <w:t xml:space="preserve"> partie</w:t>
      </w:r>
      <w:r w:rsidR="00E461A1">
        <w:t> ;</w:t>
      </w:r>
      <w:r>
        <w:t xml:space="preserve"> b)</w:t>
      </w:r>
      <w:r w:rsidR="00FA0054">
        <w:t> </w:t>
      </w:r>
      <w:r>
        <w:t>le nombre de poursuites</w:t>
      </w:r>
      <w:r w:rsidR="00D058FB">
        <w:t xml:space="preserve"> engagées</w:t>
      </w:r>
      <w:r>
        <w:t xml:space="preserve"> </w:t>
      </w:r>
      <w:r w:rsidR="00D058FB">
        <w:t xml:space="preserve">et de </w:t>
      </w:r>
      <w:r>
        <w:t xml:space="preserve">condamnations et </w:t>
      </w:r>
      <w:r w:rsidR="00D058FB">
        <w:t xml:space="preserve">de </w:t>
      </w:r>
      <w:r>
        <w:t>peines prononcées sur la base des articles 270 et suivant</w:t>
      </w:r>
      <w:r w:rsidR="00AA2FC7">
        <w:t>s</w:t>
      </w:r>
      <w:r>
        <w:t xml:space="preserve"> du Code pénal</w:t>
      </w:r>
      <w:r w:rsidR="00E461A1">
        <w:t> ;</w:t>
      </w:r>
      <w:r>
        <w:t xml:space="preserve"> c)</w:t>
      </w:r>
      <w:r w:rsidR="00FA0054">
        <w:t> </w:t>
      </w:r>
      <w:r>
        <w:t>les réparations obtenues par les victimes ainsi que les mesures de réadaptation prévues</w:t>
      </w:r>
      <w:r w:rsidR="00E461A1">
        <w:t> ;</w:t>
      </w:r>
      <w:r>
        <w:t xml:space="preserve"> d)</w:t>
      </w:r>
      <w:r w:rsidR="00FA0054">
        <w:t> </w:t>
      </w:r>
      <w:r>
        <w:t xml:space="preserve">les mesures destinées à faire </w:t>
      </w:r>
      <w:proofErr w:type="spellStart"/>
      <w:r>
        <w:t>connaitre</w:t>
      </w:r>
      <w:proofErr w:type="spellEnd"/>
      <w:r>
        <w:t xml:space="preserve"> la législation prohibant l’esclavage</w:t>
      </w:r>
      <w:r w:rsidR="007C6E25">
        <w:t>,</w:t>
      </w:r>
      <w:r>
        <w:t xml:space="preserve"> en particulier auprès des autorités judiciaires et de sécurité</w:t>
      </w:r>
      <w:r w:rsidR="00E461A1">
        <w:t> ;</w:t>
      </w:r>
      <w:r>
        <w:t xml:space="preserve"> et e)</w:t>
      </w:r>
      <w:r w:rsidR="00FA0054">
        <w:t> </w:t>
      </w:r>
      <w:r>
        <w:t xml:space="preserve">toutes les mesures destinées à </w:t>
      </w:r>
      <w:r w:rsidRPr="00453AAD">
        <w:t xml:space="preserve">encourager les victimes </w:t>
      </w:r>
      <w:r>
        <w:t xml:space="preserve">craignant des représailles </w:t>
      </w:r>
      <w:r w:rsidRPr="00453AAD">
        <w:t>à déposer plainte</w:t>
      </w:r>
      <w:r>
        <w:t>.</w:t>
      </w:r>
    </w:p>
    <w:p w14:paraId="7D9B20A7" w14:textId="46A6719A" w:rsidR="003E3CA4" w:rsidRDefault="003E3CA4" w:rsidP="004C05F7">
      <w:pPr>
        <w:pStyle w:val="SingleTxtG"/>
      </w:pPr>
      <w:r>
        <w:t>19.</w:t>
      </w:r>
      <w:r>
        <w:tab/>
        <w:t xml:space="preserve">Indiquer toutes les mesures destinées à mettre un terme à la soumission </w:t>
      </w:r>
      <w:r w:rsidR="007C6E25">
        <w:t xml:space="preserve">des enfants </w:t>
      </w:r>
      <w:r>
        <w:t>aux pires formes de travail</w:t>
      </w:r>
      <w:r w:rsidR="007C6E25">
        <w:t>,</w:t>
      </w:r>
      <w:r>
        <w:t xml:space="preserve"> en particulier dans les domaines de la domesticité forcée et </w:t>
      </w:r>
      <w:r w:rsidR="007C6E25">
        <w:t xml:space="preserve">de </w:t>
      </w:r>
      <w:r>
        <w:t>l’agriculture, des travaux domestiques et de l’exploitation de mines d’or artisanales, de carrières et de mines de sel et de gypse. Indiquer en particulier le nombre de poursuites</w:t>
      </w:r>
      <w:r w:rsidR="00D058FB">
        <w:t xml:space="preserve"> engagées</w:t>
      </w:r>
      <w:r>
        <w:t xml:space="preserve"> </w:t>
      </w:r>
      <w:r w:rsidR="00D058FB">
        <w:t xml:space="preserve">et de </w:t>
      </w:r>
      <w:r>
        <w:t xml:space="preserve">condamnations et peines prononcées en rapport avec les pires formes de travail des enfants et les mesures de réadaptation </w:t>
      </w:r>
      <w:r w:rsidR="0094304B">
        <w:t>dont bénéficient l</w:t>
      </w:r>
      <w:r>
        <w:t>es victimes. Eu égard à l’ordonnance n</w:t>
      </w:r>
      <w:r w:rsidR="00512D05" w:rsidRPr="004C05F7">
        <w:rPr>
          <w:vertAlign w:val="superscript"/>
        </w:rPr>
        <w:t>o</w:t>
      </w:r>
      <w:r w:rsidR="00085675">
        <w:t> </w:t>
      </w:r>
      <w:r>
        <w:t xml:space="preserve">2010-86 du 16 décembre 2010 </w:t>
      </w:r>
      <w:r w:rsidR="00085675">
        <w:t xml:space="preserve">relative </w:t>
      </w:r>
      <w:r>
        <w:t xml:space="preserve">à </w:t>
      </w:r>
      <w:r w:rsidR="00085675">
        <w:t xml:space="preserve">la </w:t>
      </w:r>
      <w:r>
        <w:t>lutte contre la traite des personnes</w:t>
      </w:r>
      <w:r w:rsidR="00C35635">
        <w:t> </w:t>
      </w:r>
      <w:r w:rsidRPr="00453AAD">
        <w:t xml:space="preserve">: </w:t>
      </w:r>
      <w:r>
        <w:t>a)</w:t>
      </w:r>
      <w:r w:rsidR="00512D05">
        <w:t> </w:t>
      </w:r>
      <w:r w:rsidRPr="00453AAD">
        <w:t xml:space="preserve">préciser le mandat </w:t>
      </w:r>
      <w:r w:rsidR="00D31118">
        <w:t xml:space="preserve">et </w:t>
      </w:r>
      <w:r w:rsidRPr="00453AAD">
        <w:t xml:space="preserve">le budget </w:t>
      </w:r>
      <w:r w:rsidR="00D31118">
        <w:t xml:space="preserve">de </w:t>
      </w:r>
      <w:r w:rsidRPr="00453AAD">
        <w:t xml:space="preserve">la </w:t>
      </w:r>
      <w:r>
        <w:t xml:space="preserve">Commission </w:t>
      </w:r>
      <w:r w:rsidR="00085675">
        <w:t>n</w:t>
      </w:r>
      <w:r>
        <w:t xml:space="preserve">ationale de </w:t>
      </w:r>
      <w:r w:rsidR="00085675">
        <w:t>c</w:t>
      </w:r>
      <w:r>
        <w:t xml:space="preserve">oordination de la </w:t>
      </w:r>
      <w:r w:rsidR="00085675">
        <w:t>l</w:t>
      </w:r>
      <w:r>
        <w:t xml:space="preserve">utte contre la </w:t>
      </w:r>
      <w:r w:rsidR="00085675">
        <w:t>t</w:t>
      </w:r>
      <w:r>
        <w:t xml:space="preserve">raite des </w:t>
      </w:r>
      <w:r w:rsidR="00085675">
        <w:t>p</w:t>
      </w:r>
      <w:r>
        <w:t xml:space="preserve">ersonnes et de l’Agence </w:t>
      </w:r>
      <w:r w:rsidR="00085675">
        <w:t>n</w:t>
      </w:r>
      <w:r>
        <w:t xml:space="preserve">ationale chargée de la </w:t>
      </w:r>
      <w:r w:rsidR="00085675">
        <w:t>l</w:t>
      </w:r>
      <w:r>
        <w:t xml:space="preserve">utte contre la </w:t>
      </w:r>
      <w:r w:rsidR="00085675">
        <w:t>t</w:t>
      </w:r>
      <w:r>
        <w:t xml:space="preserve">raite des </w:t>
      </w:r>
      <w:r w:rsidR="00085675">
        <w:t>p</w:t>
      </w:r>
      <w:r>
        <w:t>ersonnes</w:t>
      </w:r>
      <w:r w:rsidR="00D31118">
        <w:t xml:space="preserve">, ainsi que </w:t>
      </w:r>
      <w:r w:rsidR="00D31118" w:rsidRPr="00453AAD">
        <w:t xml:space="preserve">les actions </w:t>
      </w:r>
      <w:r w:rsidR="00D31118">
        <w:t xml:space="preserve">qu’elles </w:t>
      </w:r>
      <w:r w:rsidR="00D31118" w:rsidRPr="00453AAD">
        <w:t>m</w:t>
      </w:r>
      <w:r w:rsidR="00D31118">
        <w:t>ènent</w:t>
      </w:r>
      <w:r w:rsidR="00E461A1">
        <w:t> ;</w:t>
      </w:r>
      <w:r w:rsidRPr="00453AAD">
        <w:t xml:space="preserve"> b)</w:t>
      </w:r>
      <w:r w:rsidR="00512D05">
        <w:t> </w:t>
      </w:r>
      <w:r w:rsidRPr="00453AAD">
        <w:t xml:space="preserve">préciser le nombre de plaintes enregistrées </w:t>
      </w:r>
      <w:r w:rsidR="00085675">
        <w:t xml:space="preserve">et </w:t>
      </w:r>
      <w:r w:rsidRPr="00453AAD">
        <w:t>d’enquêtes menées</w:t>
      </w:r>
      <w:r w:rsidR="00085675">
        <w:t>,</w:t>
      </w:r>
      <w:r w:rsidRPr="00453AAD">
        <w:t xml:space="preserve"> </w:t>
      </w:r>
      <w:r w:rsidR="00085675">
        <w:t>ainsi que</w:t>
      </w:r>
      <w:r w:rsidRPr="00453AAD">
        <w:t xml:space="preserve"> </w:t>
      </w:r>
      <w:r>
        <w:t>les</w:t>
      </w:r>
      <w:r w:rsidRPr="00453AAD">
        <w:t xml:space="preserve"> résultats</w:t>
      </w:r>
      <w:r>
        <w:t xml:space="preserve"> de celles-ci</w:t>
      </w:r>
      <w:r w:rsidR="00085675">
        <w:t>,</w:t>
      </w:r>
      <w:r>
        <w:t xml:space="preserve"> depuis </w:t>
      </w:r>
      <w:r w:rsidR="00D31118">
        <w:t xml:space="preserve">l’entrée en vigueur </w:t>
      </w:r>
      <w:r>
        <w:t>de l’ordonnance</w:t>
      </w:r>
      <w:r w:rsidR="00E461A1">
        <w:t> ;</w:t>
      </w:r>
      <w:r w:rsidRPr="00453AAD">
        <w:t xml:space="preserve"> c)</w:t>
      </w:r>
      <w:r w:rsidR="00512D05">
        <w:t> </w:t>
      </w:r>
      <w:r w:rsidRPr="00453AAD">
        <w:t>indiquer le nombre de victimes identifiées</w:t>
      </w:r>
      <w:r>
        <w:t xml:space="preserve"> depuis </w:t>
      </w:r>
      <w:r w:rsidR="00D31118">
        <w:t xml:space="preserve">l’entrée en vigueur </w:t>
      </w:r>
      <w:r>
        <w:t>de l’ordonnance</w:t>
      </w:r>
      <w:r w:rsidR="00E461A1">
        <w:t> ;</w:t>
      </w:r>
      <w:r w:rsidRPr="00453AAD">
        <w:t xml:space="preserve"> et </w:t>
      </w:r>
      <w:r>
        <w:t>d)</w:t>
      </w:r>
      <w:r w:rsidR="00512D05">
        <w:t> </w:t>
      </w:r>
      <w:r w:rsidRPr="00453AAD">
        <w:t>décrire les mesures destinées à faire conna</w:t>
      </w:r>
      <w:r>
        <w:t>î</w:t>
      </w:r>
      <w:r w:rsidRPr="00453AAD">
        <w:t>tre lesdites dispositio</w:t>
      </w:r>
      <w:r>
        <w:t xml:space="preserve">ns. Préciser les mesures prises </w:t>
      </w:r>
      <w:r w:rsidR="00D31118">
        <w:t xml:space="preserve">pour </w:t>
      </w:r>
      <w:r w:rsidRPr="00453AAD">
        <w:t>assurer une prise en charge</w:t>
      </w:r>
      <w:r w:rsidR="00D31118">
        <w:t xml:space="preserve"> des </w:t>
      </w:r>
      <w:r w:rsidR="00D31118" w:rsidRPr="00453AAD">
        <w:t>victimes</w:t>
      </w:r>
      <w:r>
        <w:t xml:space="preserve">, des réparations et </w:t>
      </w:r>
      <w:r w:rsidR="00D31118">
        <w:t xml:space="preserve">des </w:t>
      </w:r>
      <w:r>
        <w:t>mesures de réhabilitation.</w:t>
      </w:r>
    </w:p>
    <w:p w14:paraId="4340A4D9" w14:textId="786D2110" w:rsidR="003E3CA4" w:rsidRPr="004D41B5" w:rsidRDefault="003E3CA4" w:rsidP="004C05F7">
      <w:pPr>
        <w:pStyle w:val="H23G"/>
      </w:pPr>
      <w:r w:rsidRPr="004D41B5">
        <w:tab/>
      </w:r>
      <w:r w:rsidRPr="004D41B5">
        <w:tab/>
        <w:t>Liberté et sécurité de la personne et administration de la justice (art.</w:t>
      </w:r>
      <w:r w:rsidR="004735AF">
        <w:t> </w:t>
      </w:r>
      <w:r w:rsidRPr="004D41B5">
        <w:t>9 et 14)</w:t>
      </w:r>
    </w:p>
    <w:p w14:paraId="2200EE2D" w14:textId="72C78067" w:rsidR="003E3CA4" w:rsidRPr="00A00481" w:rsidRDefault="003E3CA4" w:rsidP="00E0236B">
      <w:pPr>
        <w:pStyle w:val="SingleTxtG"/>
      </w:pPr>
      <w:r>
        <w:t>20.</w:t>
      </w:r>
      <w:r>
        <w:tab/>
        <w:t xml:space="preserve">Eu égard au paragraphe </w:t>
      </w:r>
      <w:r w:rsidR="008B2471">
        <w:t>1</w:t>
      </w:r>
      <w:r>
        <w:t xml:space="preserve">02 </w:t>
      </w:r>
      <w:r w:rsidR="00E0236B">
        <w:t xml:space="preserve">et suivants </w:t>
      </w:r>
      <w:r w:rsidRPr="00A00481">
        <w:t xml:space="preserve">du </w:t>
      </w:r>
      <w:r w:rsidR="00487067">
        <w:t xml:space="preserve">deuxième </w:t>
      </w:r>
      <w:r w:rsidRPr="00A00481">
        <w:t>rapport de l’</w:t>
      </w:r>
      <w:r w:rsidR="00E461A1">
        <w:t>État</w:t>
      </w:r>
      <w:r w:rsidRPr="00A00481">
        <w:t xml:space="preserve"> partie</w:t>
      </w:r>
      <w:r w:rsidR="00487067">
        <w:t>,</w:t>
      </w:r>
      <w:r w:rsidRPr="00A00481">
        <w:t xml:space="preserve"> indiquer les mesures prises </w:t>
      </w:r>
      <w:r w:rsidR="00D70B9B">
        <w:t xml:space="preserve">pour </w:t>
      </w:r>
      <w:r w:rsidRPr="00A00481">
        <w:t xml:space="preserve">veiller à ce que les garanties juridiques fondamentales soient respectées à l’égard des personnes en détention. Répondre en particulier aux allégations selon lesquelles des </w:t>
      </w:r>
      <w:bookmarkStart w:id="2" w:name="_Hlk523907890"/>
      <w:r w:rsidR="00AC44FC">
        <w:t>personnes</w:t>
      </w:r>
      <w:r w:rsidR="00AC44FC" w:rsidRPr="00A00481">
        <w:t xml:space="preserve"> </w:t>
      </w:r>
      <w:r w:rsidRPr="00A00481">
        <w:t xml:space="preserve">seraient arrêtés sans mandat, gardés à vue au-delà des délais fixés par la loi et se verraient </w:t>
      </w:r>
      <w:r w:rsidRPr="00D724F0">
        <w:t>ni</w:t>
      </w:r>
      <w:r w:rsidR="00D31118" w:rsidRPr="00D724F0">
        <w:t>er</w:t>
      </w:r>
      <w:r w:rsidRPr="00A00481">
        <w:t xml:space="preserve"> leur droit à consulter un médecin.</w:t>
      </w:r>
      <w:bookmarkEnd w:id="2"/>
      <w:r w:rsidRPr="00A00481">
        <w:t xml:space="preserve"> Fournir des informations sur la durée moyenne de la détention provisoire, le nombre de personnes en détention provisoire et la part que celles-ci représentent </w:t>
      </w:r>
      <w:r w:rsidR="005E74E1">
        <w:t xml:space="preserve">dans </w:t>
      </w:r>
      <w:r w:rsidRPr="00A00481">
        <w:t xml:space="preserve">l’ensemble de la population </w:t>
      </w:r>
      <w:r w:rsidR="00AC44FC">
        <w:t>en détention</w:t>
      </w:r>
      <w:r w:rsidRPr="00A00481">
        <w:t xml:space="preserve">. Répondre aux allégations selon lesquelles les dispositions liées à la détention préventive ne seraient pas respectées </w:t>
      </w:r>
      <w:r w:rsidR="00AC44FC">
        <w:t>dans la</w:t>
      </w:r>
      <w:r w:rsidRPr="00A00481">
        <w:t xml:space="preserve"> pratique. Indiquer les mesures prises aux fins d’assurer à l’ensemble des prévenus une assistance judiciaire et préciser leur </w:t>
      </w:r>
      <w:r w:rsidR="00AC44FC">
        <w:t>efficacité dans la</w:t>
      </w:r>
      <w:r w:rsidRPr="00A00481">
        <w:t xml:space="preserve"> pratique.</w:t>
      </w:r>
    </w:p>
    <w:p w14:paraId="18BE09EB" w14:textId="02D69A1C" w:rsidR="003E3CA4" w:rsidRPr="00A00481" w:rsidRDefault="003E3CA4" w:rsidP="004C05F7">
      <w:pPr>
        <w:pStyle w:val="SingleTxtG"/>
      </w:pPr>
      <w:r>
        <w:lastRenderedPageBreak/>
        <w:t>21.</w:t>
      </w:r>
      <w:r>
        <w:tab/>
      </w:r>
      <w:r w:rsidRPr="00A00481">
        <w:t xml:space="preserve">Eu égard aux états généraux de la justice tenus en novembre 2012, décrire les mesures prises pour renforcer les capacités </w:t>
      </w:r>
      <w:r w:rsidR="005E74E1">
        <w:t xml:space="preserve">et l’indépendance </w:t>
      </w:r>
      <w:r w:rsidRPr="00A00481">
        <w:t>du système judiciaire</w:t>
      </w:r>
      <w:r w:rsidR="005E74E1">
        <w:t>,</w:t>
      </w:r>
      <w:r>
        <w:t xml:space="preserve"> </w:t>
      </w:r>
      <w:r w:rsidRPr="00A00481">
        <w:t>en particulier</w:t>
      </w:r>
      <w:r w:rsidR="009D0D2E">
        <w:t xml:space="preserve"> </w:t>
      </w:r>
      <w:r w:rsidR="00D724F0">
        <w:t>afin de</w:t>
      </w:r>
      <w:r w:rsidR="009D0D2E">
        <w:t> </w:t>
      </w:r>
      <w:r w:rsidRPr="00A00481">
        <w:t>: a)</w:t>
      </w:r>
      <w:r w:rsidR="0036109F">
        <w:t> </w:t>
      </w:r>
      <w:r w:rsidRPr="00A00481">
        <w:t>lutter contre les influences politiques et la corruption</w:t>
      </w:r>
      <w:r w:rsidR="00E461A1">
        <w:t> ;</w:t>
      </w:r>
      <w:r w:rsidRPr="00A00481">
        <w:t xml:space="preserve"> et b)</w:t>
      </w:r>
      <w:r w:rsidR="0036109F">
        <w:t> </w:t>
      </w:r>
      <w:r w:rsidRPr="00A00481">
        <w:t>réduire les retards dans l’administration de la justice et garantir l’accès à la justice à tous les justiciables, en particulier hors de la capitale. Donner des informations sur</w:t>
      </w:r>
      <w:r w:rsidR="00C35635">
        <w:t> </w:t>
      </w:r>
      <w:r w:rsidRPr="00A00481">
        <w:t>: a)</w:t>
      </w:r>
      <w:r w:rsidR="005073BE">
        <w:t> </w:t>
      </w:r>
      <w:r w:rsidRPr="00A00481">
        <w:t xml:space="preserve">le budget attribué au secteur de la justice pour les </w:t>
      </w:r>
      <w:r w:rsidR="009D0D2E">
        <w:t>cinq</w:t>
      </w:r>
      <w:r w:rsidRPr="00A00481">
        <w:t xml:space="preserve"> dernières années</w:t>
      </w:r>
      <w:r w:rsidR="00CB7CBE">
        <w:t>,</w:t>
      </w:r>
      <w:r w:rsidRPr="00A00481">
        <w:t xml:space="preserve"> ainsi que </w:t>
      </w:r>
      <w:r w:rsidR="00CB7CBE">
        <w:t>l’effectif du</w:t>
      </w:r>
      <w:r w:rsidRPr="00A00481">
        <w:t xml:space="preserve"> pe</w:t>
      </w:r>
      <w:r>
        <w:t>rsonnel judiciaire par région</w:t>
      </w:r>
      <w:r w:rsidR="00E461A1">
        <w:t> ;</w:t>
      </w:r>
      <w:r w:rsidRPr="00A00481">
        <w:t xml:space="preserve"> b)</w:t>
      </w:r>
      <w:r w:rsidR="005073BE">
        <w:t> </w:t>
      </w:r>
      <w:r>
        <w:t>les procédures de nomination des juges et des procureurs et les autorités disposant de pouvoirs de nomination</w:t>
      </w:r>
      <w:r w:rsidR="00E461A1">
        <w:t> ;</w:t>
      </w:r>
      <w:r>
        <w:t xml:space="preserve"> et c)</w:t>
      </w:r>
      <w:r w:rsidR="005073BE">
        <w:t> </w:t>
      </w:r>
      <w:r w:rsidRPr="00A00481">
        <w:t>le fonctionnement du Conseil supérieur de la magistrature</w:t>
      </w:r>
      <w:r w:rsidR="009D0D2E">
        <w:t>,</w:t>
      </w:r>
      <w:r w:rsidRPr="00A00481">
        <w:t xml:space="preserve"> </w:t>
      </w:r>
      <w:r w:rsidR="009D0D2E">
        <w:t>en</w:t>
      </w:r>
      <w:r w:rsidRPr="00A00481">
        <w:t xml:space="preserve"> indiqu</w:t>
      </w:r>
      <w:r w:rsidR="009D0D2E">
        <w:t>ant</w:t>
      </w:r>
      <w:r w:rsidRPr="00A00481">
        <w:t xml:space="preserve"> les garanties visant à assurer que ce dernier </w:t>
      </w:r>
      <w:r w:rsidR="00D724F0">
        <w:t>soit</w:t>
      </w:r>
      <w:r w:rsidR="00D724F0" w:rsidRPr="00A00481">
        <w:t xml:space="preserve"> </w:t>
      </w:r>
      <w:r w:rsidRPr="00A00481">
        <w:t>libre de toute press</w:t>
      </w:r>
      <w:r>
        <w:t>ion ou ingérence</w:t>
      </w:r>
      <w:r w:rsidRPr="00A00481">
        <w:t>.</w:t>
      </w:r>
    </w:p>
    <w:p w14:paraId="4D8F407B" w14:textId="44A25CE3" w:rsidR="003E3CA4" w:rsidRPr="005214D7" w:rsidRDefault="003E3CA4" w:rsidP="004C05F7">
      <w:pPr>
        <w:pStyle w:val="H23G"/>
      </w:pPr>
      <w:r w:rsidRPr="00F41E68">
        <w:rPr>
          <w:sz w:val="22"/>
          <w:szCs w:val="22"/>
        </w:rPr>
        <w:tab/>
      </w:r>
      <w:r w:rsidRPr="005214D7">
        <w:tab/>
        <w:t xml:space="preserve">Libertés d’expression, de réunion pacifique et d’association </w:t>
      </w:r>
      <w:r w:rsidR="001B47B4">
        <w:t xml:space="preserve">et </w:t>
      </w:r>
      <w:r w:rsidRPr="005214D7">
        <w:t>protection des</w:t>
      </w:r>
      <w:r w:rsidR="00F6120C">
        <w:t> </w:t>
      </w:r>
      <w:r w:rsidRPr="005214D7">
        <w:t>journalistes et des défenseurs des droits de l’homme (art.</w:t>
      </w:r>
      <w:r w:rsidR="004735AF">
        <w:t> </w:t>
      </w:r>
      <w:r w:rsidRPr="005214D7">
        <w:t>6, 7, 9, 19 et 21)</w:t>
      </w:r>
    </w:p>
    <w:p w14:paraId="0BA98CCC" w14:textId="0FE24F5F" w:rsidR="003E3CA4" w:rsidRPr="005D00B1" w:rsidRDefault="003E3CA4" w:rsidP="004C05F7">
      <w:pPr>
        <w:pStyle w:val="SingleTxtG"/>
      </w:pPr>
      <w:r w:rsidRPr="005D00B1">
        <w:t>22</w:t>
      </w:r>
      <w:r w:rsidR="005D00B1" w:rsidRPr="005D00B1">
        <w:t>.</w:t>
      </w:r>
      <w:r w:rsidR="005D00B1" w:rsidRPr="005D00B1">
        <w:tab/>
      </w:r>
      <w:r w:rsidRPr="005D00B1">
        <w:t xml:space="preserve">Eu égard au paragraphe 218 </w:t>
      </w:r>
      <w:r w:rsidR="00E0236B" w:rsidRPr="004C05F7">
        <w:t>et suivants</w:t>
      </w:r>
      <w:r w:rsidRPr="005D00B1">
        <w:t xml:space="preserve"> du </w:t>
      </w:r>
      <w:r w:rsidR="00487067">
        <w:t xml:space="preserve">deuxième </w:t>
      </w:r>
      <w:r w:rsidRPr="005D00B1">
        <w:t>rapport de l’</w:t>
      </w:r>
      <w:r w:rsidR="00E461A1">
        <w:t>État</w:t>
      </w:r>
      <w:r w:rsidRPr="005D00B1">
        <w:t xml:space="preserve"> partie</w:t>
      </w:r>
      <w:r w:rsidR="00487067">
        <w:t>,</w:t>
      </w:r>
      <w:r w:rsidRPr="005D00B1">
        <w:t xml:space="preserve"> donner de plus amples informations sur les mesures destinées à assurer la liberté de la presse et répondre aux allégations selon lesquelles plusieurs journalistes ont été </w:t>
      </w:r>
      <w:proofErr w:type="spellStart"/>
      <w:r w:rsidRPr="005D00B1">
        <w:t>interpelés</w:t>
      </w:r>
      <w:proofErr w:type="spellEnd"/>
      <w:r w:rsidRPr="005D00B1">
        <w:t xml:space="preserve"> et gardés à vue suite à des propos tenus lors de débats ou </w:t>
      </w:r>
      <w:r w:rsidR="001B47B4">
        <w:t xml:space="preserve">à </w:t>
      </w:r>
      <w:r w:rsidRPr="005D00B1">
        <w:t>la publication d’articles de presse. Répondre également aux allégations</w:t>
      </w:r>
      <w:r w:rsidR="00C35635">
        <w:t> </w:t>
      </w:r>
      <w:r w:rsidRPr="005D00B1">
        <w:t>: a)</w:t>
      </w:r>
      <w:r w:rsidR="003274E5">
        <w:t> </w:t>
      </w:r>
      <w:r w:rsidRPr="005D00B1">
        <w:t xml:space="preserve">d’agression de journalistes, de fermeture de </w:t>
      </w:r>
      <w:proofErr w:type="spellStart"/>
      <w:r w:rsidRPr="005D00B1">
        <w:t>médias</w:t>
      </w:r>
      <w:proofErr w:type="spellEnd"/>
      <w:r w:rsidRPr="005D00B1">
        <w:t xml:space="preserve"> </w:t>
      </w:r>
      <w:r w:rsidR="001B47B4">
        <w:t xml:space="preserve">et </w:t>
      </w:r>
      <w:r w:rsidRPr="005D00B1">
        <w:t>de prise d’assaut de b</w:t>
      </w:r>
      <w:r w:rsidR="005D00B1">
        <w:t xml:space="preserve">ureaux de </w:t>
      </w:r>
      <w:proofErr w:type="spellStart"/>
      <w:r w:rsidR="005D00B1">
        <w:t>médias</w:t>
      </w:r>
      <w:proofErr w:type="spellEnd"/>
      <w:r w:rsidR="005D00B1">
        <w:t xml:space="preserve"> pro-opposition </w:t>
      </w:r>
      <w:r w:rsidRPr="005D00B1">
        <w:t>en janvier 2015</w:t>
      </w:r>
      <w:r w:rsidR="00E461A1">
        <w:t> ;</w:t>
      </w:r>
      <w:r w:rsidRPr="005D00B1">
        <w:t xml:space="preserve"> b)</w:t>
      </w:r>
      <w:r w:rsidR="003274E5">
        <w:t> </w:t>
      </w:r>
      <w:r w:rsidRPr="005D00B1">
        <w:t xml:space="preserve">d’amendes excessives </w:t>
      </w:r>
      <w:r w:rsidR="00542BC8">
        <w:t>infligées à</w:t>
      </w:r>
      <w:r w:rsidR="00542BC8" w:rsidRPr="005D00B1">
        <w:t xml:space="preserve"> </w:t>
      </w:r>
      <w:r w:rsidRPr="005D00B1">
        <w:t xml:space="preserve">des journalistes, d’autocensure pratiquée par les journalistes, de censure et de blocage d’accès aux </w:t>
      </w:r>
      <w:proofErr w:type="spellStart"/>
      <w:r w:rsidRPr="005D00B1">
        <w:t>médias</w:t>
      </w:r>
      <w:proofErr w:type="spellEnd"/>
      <w:r w:rsidRPr="005D00B1">
        <w:t xml:space="preserve"> sociaux qui aurait eu lieu en janvier 2015</w:t>
      </w:r>
      <w:r w:rsidR="00E461A1">
        <w:t> ;</w:t>
      </w:r>
      <w:r w:rsidRPr="005D00B1">
        <w:t xml:space="preserve"> et c)</w:t>
      </w:r>
      <w:r w:rsidR="003274E5">
        <w:t> </w:t>
      </w:r>
      <w:r w:rsidRPr="005D00B1">
        <w:t>de menaces proférées notamment par le Ministre de l’</w:t>
      </w:r>
      <w:r w:rsidR="00542BC8">
        <w:t>i</w:t>
      </w:r>
      <w:r w:rsidRPr="005D00B1">
        <w:t xml:space="preserve">ntérieur à l’encontre de </w:t>
      </w:r>
      <w:proofErr w:type="spellStart"/>
      <w:r w:rsidRPr="005D00B1">
        <w:t>médias</w:t>
      </w:r>
      <w:proofErr w:type="spellEnd"/>
      <w:r w:rsidRPr="005D00B1">
        <w:t xml:space="preserve"> privés. Donner des informations sur les cadres légaux régissant la liberté d’expression dans le cyberespace. Indiquer les mesures prises en vue de garantir la protection des défenseurs des droits de l’homme et des journalistes et répondre aux allégations faisant état de menaces, de détentions, d’abus physiques et de harcèlement judiciaire contre ces derniers. Donner à ce</w:t>
      </w:r>
      <w:r w:rsidR="00884582">
        <w:t>t</w:t>
      </w:r>
      <w:r w:rsidRPr="005D00B1">
        <w:t xml:space="preserve"> égard des informations sur le sort des 26 activistes arrêtés suite à des manifestations pacifiques contre la loi de finances 2018</w:t>
      </w:r>
      <w:r w:rsidR="00A63F9C">
        <w:t xml:space="preserve"> </w:t>
      </w:r>
      <w:r w:rsidR="00A63F9C" w:rsidRPr="005D00B1">
        <w:t>à Niamey</w:t>
      </w:r>
      <w:r w:rsidRPr="005D00B1">
        <w:t>, notamment de M.</w:t>
      </w:r>
      <w:r w:rsidR="00D724F0">
        <w:t> </w:t>
      </w:r>
      <w:r w:rsidRPr="005D00B1">
        <w:t>Ali Idrissa.</w:t>
      </w:r>
    </w:p>
    <w:p w14:paraId="028B26FC" w14:textId="3F39D4F6" w:rsidR="003E3CA4" w:rsidRPr="005D00B1" w:rsidRDefault="003E3CA4" w:rsidP="004C05F7">
      <w:pPr>
        <w:pStyle w:val="SingleTxtG"/>
      </w:pPr>
      <w:r w:rsidRPr="005D00B1">
        <w:t>23.</w:t>
      </w:r>
      <w:r w:rsidR="005D00B1" w:rsidRPr="005D00B1">
        <w:tab/>
      </w:r>
      <w:r w:rsidRPr="005D00B1">
        <w:t xml:space="preserve">Eu égard au paragraphe 238 du </w:t>
      </w:r>
      <w:r w:rsidR="00487067">
        <w:t xml:space="preserve">deuxième </w:t>
      </w:r>
      <w:r w:rsidRPr="005D00B1">
        <w:t>rapport de l’</w:t>
      </w:r>
      <w:r w:rsidR="00E461A1">
        <w:t>État</w:t>
      </w:r>
      <w:r w:rsidRPr="005D00B1">
        <w:t xml:space="preserve"> partie</w:t>
      </w:r>
      <w:r w:rsidR="00487067">
        <w:t>,</w:t>
      </w:r>
      <w:r w:rsidRPr="005D00B1">
        <w:t xml:space="preserve"> donner de plus amples information sur le régime d’autorisation des réunions pacifiques et répondre aux allégations selon lesquelles</w:t>
      </w:r>
      <w:r w:rsidR="00C35635">
        <w:t> </w:t>
      </w:r>
      <w:r w:rsidRPr="005D00B1">
        <w:t>: a)</w:t>
      </w:r>
      <w:r w:rsidR="005E6E19">
        <w:t> </w:t>
      </w:r>
      <w:r w:rsidRPr="005D00B1">
        <w:t xml:space="preserve">certaines manifestations, notamment de l’opposition ou de la société civile, </w:t>
      </w:r>
      <w:r w:rsidR="005D00B1" w:rsidRPr="005D00B1">
        <w:t>auraient été interdites</w:t>
      </w:r>
      <w:r w:rsidR="00E461A1">
        <w:t> ;</w:t>
      </w:r>
      <w:r w:rsidRPr="005D00B1">
        <w:t xml:space="preserve"> b)</w:t>
      </w:r>
      <w:r w:rsidR="005E6E19">
        <w:t> </w:t>
      </w:r>
      <w:r w:rsidRPr="005D00B1">
        <w:t>les autorités municipales refuseraient régulièrement d’octroyer des autorisations de manifestation</w:t>
      </w:r>
      <w:r w:rsidR="00E461A1">
        <w:t> ;</w:t>
      </w:r>
      <w:r w:rsidRPr="005D00B1">
        <w:t xml:space="preserve"> et c)</w:t>
      </w:r>
      <w:r w:rsidR="005E6E19">
        <w:t> </w:t>
      </w:r>
      <w:r w:rsidRPr="005D00B1">
        <w:t xml:space="preserve">les forces de sécurité auraient recours à la force pour disperser certaines manifestations et </w:t>
      </w:r>
      <w:proofErr w:type="spellStart"/>
      <w:r w:rsidRPr="005D00B1">
        <w:t>procèderaient</w:t>
      </w:r>
      <w:proofErr w:type="spellEnd"/>
      <w:r w:rsidRPr="005D00B1">
        <w:t xml:space="preserve"> à de larges arrestations, comme à Niamey en octobre 2015 dans le cadre d’une manifestation d’étudiants. Répondre aux allégations selon lesquelles l’organisation ACTICE aurait été dissoute suite à une manifestation tenue en octobre 2017.</w:t>
      </w:r>
    </w:p>
    <w:p w14:paraId="2F633FDB" w14:textId="28ABC805" w:rsidR="003E3CA4" w:rsidRPr="004C7721" w:rsidRDefault="005D00B1" w:rsidP="004C05F7">
      <w:pPr>
        <w:pStyle w:val="H23G"/>
      </w:pPr>
      <w:r>
        <w:tab/>
      </w:r>
      <w:r>
        <w:tab/>
      </w:r>
      <w:r w:rsidR="003E3CA4">
        <w:t>Protection des enfants</w:t>
      </w:r>
      <w:r w:rsidR="003E3CA4" w:rsidRPr="005214D7">
        <w:t xml:space="preserve"> (art.</w:t>
      </w:r>
      <w:r w:rsidR="004735AF">
        <w:t> </w:t>
      </w:r>
      <w:r w:rsidR="003E3CA4" w:rsidRPr="005214D7">
        <w:t xml:space="preserve">24) </w:t>
      </w:r>
    </w:p>
    <w:p w14:paraId="0D9571C8" w14:textId="4871DE4F" w:rsidR="003E3CA4" w:rsidRPr="005D00B1" w:rsidRDefault="003E3CA4" w:rsidP="005D00B1">
      <w:pPr>
        <w:pStyle w:val="SingleTxtG"/>
      </w:pPr>
      <w:r w:rsidRPr="003D4135">
        <w:rPr>
          <w:spacing w:val="-2"/>
        </w:rPr>
        <w:t>24</w:t>
      </w:r>
      <w:r w:rsidR="005D00B1" w:rsidRPr="003D4135">
        <w:rPr>
          <w:spacing w:val="-2"/>
        </w:rPr>
        <w:t>.</w:t>
      </w:r>
      <w:r w:rsidR="005D00B1" w:rsidRPr="003D4135">
        <w:rPr>
          <w:spacing w:val="-2"/>
        </w:rPr>
        <w:tab/>
      </w:r>
      <w:r w:rsidRPr="003D4135">
        <w:rPr>
          <w:spacing w:val="-2"/>
        </w:rPr>
        <w:t xml:space="preserve">Préciser si l’État partie entend prohiber l’emploi des châtiments corporels </w:t>
      </w:r>
      <w:r w:rsidR="00326EFF">
        <w:rPr>
          <w:spacing w:val="-2"/>
        </w:rPr>
        <w:t>d</w:t>
      </w:r>
      <w:r w:rsidRPr="003D4135">
        <w:rPr>
          <w:spacing w:val="-2"/>
        </w:rPr>
        <w:t xml:space="preserve">es enfants dans tous les contextes. Préciser </w:t>
      </w:r>
      <w:r w:rsidR="00DF1E4C">
        <w:t xml:space="preserve">également </w:t>
      </w:r>
      <w:r w:rsidRPr="003D4135">
        <w:rPr>
          <w:spacing w:val="-2"/>
        </w:rPr>
        <w:t xml:space="preserve">à cet égard les mesures prises pour garantir l’absence de violences contre les enfants dans les écoles coraniques. Indiquer toutes les mesures destinées à poursuivre les efforts d’enregistrement des naissances, en particulier auprès des populations rurales les plus démunies et des minorités, en particulier parmi les </w:t>
      </w:r>
      <w:proofErr w:type="spellStart"/>
      <w:r w:rsidRPr="003D4135">
        <w:rPr>
          <w:spacing w:val="-2"/>
        </w:rPr>
        <w:t>Mahamides</w:t>
      </w:r>
      <w:proofErr w:type="spellEnd"/>
      <w:r w:rsidRPr="005D00B1">
        <w:t>.</w:t>
      </w:r>
    </w:p>
    <w:p w14:paraId="393AB922" w14:textId="536A5424" w:rsidR="003E3CA4" w:rsidRPr="00F41E68" w:rsidRDefault="003E3CA4" w:rsidP="004C05F7">
      <w:pPr>
        <w:pStyle w:val="H23G"/>
      </w:pPr>
      <w:r w:rsidRPr="00F41E68">
        <w:tab/>
      </w:r>
      <w:r w:rsidRPr="00F41E68">
        <w:tab/>
        <w:t>Participation aux affaires publiques (art.</w:t>
      </w:r>
      <w:r w:rsidR="004735AF">
        <w:t> </w:t>
      </w:r>
      <w:r w:rsidRPr="00F41E68">
        <w:t>19 et 25)</w:t>
      </w:r>
    </w:p>
    <w:p w14:paraId="1CDD1F07" w14:textId="4683786A" w:rsidR="003E3CA4" w:rsidRPr="005D00B1" w:rsidRDefault="003E3CA4" w:rsidP="004C05F7">
      <w:pPr>
        <w:pStyle w:val="SingleTxtG"/>
      </w:pPr>
      <w:r w:rsidRPr="005D00B1">
        <w:t>25.</w:t>
      </w:r>
      <w:r w:rsidR="005D00B1" w:rsidRPr="005D00B1">
        <w:tab/>
      </w:r>
      <w:r w:rsidRPr="005D00B1">
        <w:t xml:space="preserve">Eu égard aux élections présidentielles et législatives de 2016, préciser toutes les mesures destinées à poursuivre les efforts pour assurer la tenue d’élections libres, fiables et transparentes. Donner des informations sur les mesures garantissant l’indépendance de la Commission </w:t>
      </w:r>
      <w:r w:rsidR="00A03EA0">
        <w:t>é</w:t>
      </w:r>
      <w:r w:rsidRPr="005D00B1">
        <w:t xml:space="preserve">lectorale </w:t>
      </w:r>
      <w:r w:rsidR="00A03EA0">
        <w:t>n</w:t>
      </w:r>
      <w:r w:rsidRPr="005D00B1">
        <w:t xml:space="preserve">ationale </w:t>
      </w:r>
      <w:r w:rsidR="00A03EA0">
        <w:t>i</w:t>
      </w:r>
      <w:r w:rsidRPr="005D00B1">
        <w:t>ndépendante</w:t>
      </w:r>
      <w:r w:rsidR="00A03EA0">
        <w:t>,</w:t>
      </w:r>
      <w:r w:rsidRPr="005D00B1">
        <w:t xml:space="preserve"> en particulier sur</w:t>
      </w:r>
      <w:r w:rsidR="00C35635">
        <w:t> </w:t>
      </w:r>
      <w:r w:rsidRPr="005D00B1">
        <w:t>: a)</w:t>
      </w:r>
      <w:r w:rsidR="00DD6ED8">
        <w:t> </w:t>
      </w:r>
      <w:r w:rsidRPr="005D00B1">
        <w:t xml:space="preserve">son budget et </w:t>
      </w:r>
      <w:r w:rsidR="00326EFF">
        <w:t>son effectif</w:t>
      </w:r>
      <w:r w:rsidR="00E461A1">
        <w:t> ;</w:t>
      </w:r>
      <w:r w:rsidRPr="005D00B1">
        <w:t xml:space="preserve"> et b)</w:t>
      </w:r>
      <w:r w:rsidR="00DD6ED8">
        <w:t> </w:t>
      </w:r>
      <w:r w:rsidRPr="005D00B1">
        <w:t>le processus de nomination de ses membres. Répondre aux allégations selon lesquelles les maires pourraient être révoqués par l’exécutif, préciser le nombre de maires révoqués durant les cinq dernières années, en précisant leur appartenance politique, et expliquer les justifications d’une telle pratique. Donner de plus amples informations sur le sort et sur les raisons d</w:t>
      </w:r>
      <w:r w:rsidR="00A03EA0">
        <w:t>e l</w:t>
      </w:r>
      <w:r w:rsidRPr="005D00B1">
        <w:t>’incarcération en 2016 de 13</w:t>
      </w:r>
      <w:r w:rsidR="00A03EA0">
        <w:t> </w:t>
      </w:r>
      <w:r w:rsidRPr="005D00B1">
        <w:t>membres de l’opposition appartenant au parti du</w:t>
      </w:r>
      <w:r w:rsidR="003A0D12" w:rsidRPr="003A0D12">
        <w:t xml:space="preserve"> Mouvement démocratique nigérien pour une fédération africaine</w:t>
      </w:r>
      <w:r w:rsidRPr="005D00B1">
        <w:t>. Donner de plus amples informations sur la mise en œuvre pratique de l’article 20 du Code pénal et préciser</w:t>
      </w:r>
      <w:r w:rsidR="00C35635">
        <w:t> </w:t>
      </w:r>
      <w:r w:rsidRPr="005D00B1">
        <w:t xml:space="preserve">: </w:t>
      </w:r>
      <w:r w:rsidRPr="005D00B1">
        <w:lastRenderedPageBreak/>
        <w:t>a)</w:t>
      </w:r>
      <w:r w:rsidR="0003593B">
        <w:t> </w:t>
      </w:r>
      <w:r w:rsidRPr="005D00B1">
        <w:t xml:space="preserve">les catégories de condamnés se </w:t>
      </w:r>
      <w:r w:rsidR="003A0D12">
        <w:t>voyant</w:t>
      </w:r>
      <w:r w:rsidR="003A0D12" w:rsidRPr="005D00B1">
        <w:t xml:space="preserve"> </w:t>
      </w:r>
      <w:r w:rsidRPr="005D00B1">
        <w:t>privés de l’</w:t>
      </w:r>
      <w:r w:rsidR="005D00B1">
        <w:t>exercice de leurs droits civils</w:t>
      </w:r>
      <w:r w:rsidR="00E461A1">
        <w:t> ;</w:t>
      </w:r>
      <w:r w:rsidRPr="005D00B1">
        <w:t xml:space="preserve"> et b)</w:t>
      </w:r>
      <w:r w:rsidR="0003593B">
        <w:t> </w:t>
      </w:r>
      <w:r w:rsidRPr="005D00B1">
        <w:t>s’il existe d’autres catégories de personnes connaissant des restrictions à l’exercice de leurs droits civi</w:t>
      </w:r>
      <w:r w:rsidR="008B2471">
        <w:t>que</w:t>
      </w:r>
      <w:r w:rsidRPr="005D00B1">
        <w:t xml:space="preserve">s, en particulier le droit de vote. </w:t>
      </w:r>
    </w:p>
    <w:p w14:paraId="69FC0291" w14:textId="2CB6D258" w:rsidR="003E3CA4" w:rsidRPr="005D00B1" w:rsidRDefault="003E3CA4" w:rsidP="005D00B1">
      <w:pPr>
        <w:pStyle w:val="SingleTxtG"/>
      </w:pPr>
      <w:r w:rsidRPr="005D00B1">
        <w:t>26.</w:t>
      </w:r>
      <w:r w:rsidR="005D00B1" w:rsidRPr="005D00B1">
        <w:tab/>
      </w:r>
      <w:r w:rsidRPr="005D00B1">
        <w:t>Donner de plus amples informations sur les dispositions légales garantissant le droit à l’information des citoyens et préciser si l’</w:t>
      </w:r>
      <w:r w:rsidR="00E461A1">
        <w:t>État</w:t>
      </w:r>
      <w:r w:rsidRPr="005D00B1">
        <w:t xml:space="preserve"> partie entend adopter une loi générale sur l’accès à l’information. Indiquer les mesures destinées à garantir le droit des populations à la participation </w:t>
      </w:r>
      <w:r w:rsidR="00533C07">
        <w:t>à</w:t>
      </w:r>
      <w:r w:rsidRPr="005D00B1">
        <w:t xml:space="preserve"> la gestion des ressources naturelles et aux processus de décision relatifs aux projets d’investissements ayant un impact social et environnemental, notamment en termes de pollution.</w:t>
      </w:r>
    </w:p>
    <w:p w14:paraId="03FB6945" w14:textId="7CB0371B" w:rsidR="003E3CA4" w:rsidRPr="00B60E11" w:rsidRDefault="005D00B1" w:rsidP="004C05F7">
      <w:pPr>
        <w:pStyle w:val="H23G"/>
      </w:pPr>
      <w:r>
        <w:tab/>
      </w:r>
      <w:r>
        <w:tab/>
      </w:r>
      <w:r w:rsidR="003E3CA4" w:rsidRPr="00B60E11">
        <w:t>Droit des minorités ethniques (art.</w:t>
      </w:r>
      <w:r w:rsidR="004735AF">
        <w:t> </w:t>
      </w:r>
      <w:r w:rsidR="003E3CA4">
        <w:t xml:space="preserve">2, 6, 25 et </w:t>
      </w:r>
      <w:r w:rsidR="003E3CA4" w:rsidRPr="00B60E11">
        <w:t>27)</w:t>
      </w:r>
    </w:p>
    <w:p w14:paraId="5F022174" w14:textId="6CEB1B6B" w:rsidR="003E3CA4" w:rsidRPr="005D00B1" w:rsidRDefault="003E3CA4" w:rsidP="005D00B1">
      <w:pPr>
        <w:pStyle w:val="SingleTxtG"/>
      </w:pPr>
      <w:r w:rsidRPr="005D00B1">
        <w:t>27</w:t>
      </w:r>
      <w:r w:rsidR="005D00B1" w:rsidRPr="005D00B1">
        <w:t>.</w:t>
      </w:r>
      <w:r w:rsidR="005D00B1" w:rsidRPr="005D00B1">
        <w:tab/>
      </w:r>
      <w:r w:rsidRPr="005D00B1">
        <w:t>Préciser si l’</w:t>
      </w:r>
      <w:r w:rsidR="00E461A1">
        <w:t>État</w:t>
      </w:r>
      <w:r w:rsidRPr="005D00B1">
        <w:t xml:space="preserve"> partie entend adopter une politique et une stratégie globale pour protéger l’ensemble des droits des minorités ethniques. Donner de plus amples informations sur la question de la reconnaissance des droits fonciers des populations pastorales et nomades, respectueuse de leur mode de vie, en particulier des </w:t>
      </w:r>
      <w:r w:rsidR="00626E7C" w:rsidRPr="004C05F7">
        <w:t>P</w:t>
      </w:r>
      <w:r w:rsidRPr="004C05F7">
        <w:t>euls</w:t>
      </w:r>
      <w:r w:rsidRPr="005D00B1">
        <w:t>, et commenter les informations selon lesquelles des populations plus sédentaires s’octroient leur</w:t>
      </w:r>
      <w:r w:rsidR="00B23E28">
        <w:t>s</w:t>
      </w:r>
      <w:r w:rsidRPr="005D00B1">
        <w:t xml:space="preserve"> terre</w:t>
      </w:r>
      <w:r w:rsidR="00B23E28">
        <w:t>s</w:t>
      </w:r>
      <w:r w:rsidRPr="005D00B1">
        <w:t>. Indiquer les mesures envisagées pour résoudre cette question qui constitue une source de conflits conduisant à des pertes de vie. Commenter également les informations selon lesquelles de nombreux espaces pastoraux inclus dans le domaine public de l’</w:t>
      </w:r>
      <w:r w:rsidR="00E461A1">
        <w:t>État</w:t>
      </w:r>
      <w:r w:rsidRPr="005D00B1">
        <w:t xml:space="preserve"> seraient concédés pour la mise en œuvre de projets d’industrie extractive, dans bien des cas sans consultation préalable et sans indemnisation adéquate, ce qui entra</w:t>
      </w:r>
      <w:r w:rsidR="00626E7C">
        <w:t>î</w:t>
      </w:r>
      <w:r w:rsidRPr="005D00B1">
        <w:t xml:space="preserve">ne des répercussions sur les moyens de subsistance et le mode de vie de ces communautés. Indiquer les mesures destinées à répondre </w:t>
      </w:r>
      <w:r w:rsidR="00B23E28">
        <w:t>à</w:t>
      </w:r>
      <w:r w:rsidR="00B23E28" w:rsidRPr="005D00B1">
        <w:t xml:space="preserve"> </w:t>
      </w:r>
      <w:r w:rsidR="00B23E28">
        <w:t>l’</w:t>
      </w:r>
      <w:r w:rsidRPr="005D00B1">
        <w:t>exposition plus fréquente des populations nomades aux radiations radioactives dues aux industries extractives.</w:t>
      </w:r>
    </w:p>
    <w:p w14:paraId="6FCA517B" w14:textId="7183157B" w:rsidR="003E3CA4" w:rsidRPr="005D00B1" w:rsidRDefault="003E3CA4" w:rsidP="004C05F7">
      <w:pPr>
        <w:pStyle w:val="H23G"/>
      </w:pPr>
      <w:r w:rsidRPr="005D00B1">
        <w:tab/>
      </w:r>
      <w:r w:rsidRPr="005D00B1">
        <w:tab/>
        <w:t xml:space="preserve">Diffusion </w:t>
      </w:r>
      <w:r w:rsidR="00287D17">
        <w:t>d</w:t>
      </w:r>
      <w:r w:rsidRPr="005D00B1">
        <w:t>’information</w:t>
      </w:r>
      <w:r w:rsidR="00287D17">
        <w:t>s</w:t>
      </w:r>
      <w:r w:rsidRPr="005D00B1">
        <w:t xml:space="preserve"> concernant le Pacte (art. 2)</w:t>
      </w:r>
    </w:p>
    <w:p w14:paraId="3FA4BC91" w14:textId="2D04BB22" w:rsidR="000C1293" w:rsidRDefault="003E3CA4" w:rsidP="005D00B1">
      <w:pPr>
        <w:pStyle w:val="SingleTxtG"/>
      </w:pPr>
      <w:r w:rsidRPr="005D00B1">
        <w:t>28.</w:t>
      </w:r>
      <w:r w:rsidRPr="005D00B1">
        <w:tab/>
        <w:t xml:space="preserve">Préciser les mesures prises pour diffuser </w:t>
      </w:r>
      <w:r w:rsidR="00287D17">
        <w:t xml:space="preserve">des </w:t>
      </w:r>
      <w:r w:rsidRPr="005D00B1">
        <w:t>information</w:t>
      </w:r>
      <w:r w:rsidR="00287D17">
        <w:t>s</w:t>
      </w:r>
      <w:r w:rsidRPr="005D00B1">
        <w:t xml:space="preserve"> concernant le </w:t>
      </w:r>
      <w:r w:rsidRPr="004C05F7">
        <w:t>Pacte</w:t>
      </w:r>
      <w:r w:rsidRPr="005D00B1">
        <w:t>, le deuxième rapport périodique de l’État partie et l’examen prochain de celui-ci par le Comité. Donner des informations détaillées sur la participation de représentants de la société civile et d’organisations non gouvernementales à l’établissement du rapport de l’État partie</w:t>
      </w:r>
      <w:r w:rsidR="005D00B1">
        <w:t>.</w:t>
      </w:r>
    </w:p>
    <w:p w14:paraId="2DE2DB45" w14:textId="77777777" w:rsidR="005D00B1" w:rsidRPr="005D00B1" w:rsidRDefault="005D00B1" w:rsidP="005D00B1">
      <w:pPr>
        <w:pStyle w:val="SingleTxtG"/>
        <w:spacing w:before="240" w:after="0"/>
        <w:jc w:val="center"/>
        <w:rPr>
          <w:u w:val="single"/>
        </w:rPr>
      </w:pPr>
      <w:r>
        <w:rPr>
          <w:u w:val="single"/>
        </w:rPr>
        <w:tab/>
      </w:r>
      <w:r>
        <w:rPr>
          <w:u w:val="single"/>
        </w:rPr>
        <w:tab/>
      </w:r>
      <w:r>
        <w:rPr>
          <w:u w:val="single"/>
        </w:rPr>
        <w:tab/>
      </w:r>
      <w:r w:rsidR="003D4135">
        <w:rPr>
          <w:u w:val="single"/>
        </w:rPr>
        <w:tab/>
      </w:r>
    </w:p>
    <w:sectPr w:rsidR="005D00B1" w:rsidRPr="005D00B1" w:rsidSect="004C05F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86F37" w14:textId="77777777" w:rsidR="001067B9" w:rsidRDefault="001067B9" w:rsidP="00F95C08">
      <w:pPr>
        <w:spacing w:line="240" w:lineRule="auto"/>
      </w:pPr>
    </w:p>
  </w:endnote>
  <w:endnote w:type="continuationSeparator" w:id="0">
    <w:p w14:paraId="77C6B40D" w14:textId="77777777" w:rsidR="001067B9" w:rsidRPr="00AC3823" w:rsidRDefault="001067B9" w:rsidP="00AC3823">
      <w:pPr>
        <w:pStyle w:val="Pieddepage"/>
      </w:pPr>
    </w:p>
  </w:endnote>
  <w:endnote w:type="continuationNotice" w:id="1">
    <w:p w14:paraId="2D5B42EC" w14:textId="77777777" w:rsidR="001067B9" w:rsidRDefault="001067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5224" w14:textId="56A02A32" w:rsidR="006056E0" w:rsidRDefault="005B6BC9"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4A1833">
      <w:rPr>
        <w:b/>
        <w:noProof/>
        <w:sz w:val="18"/>
      </w:rPr>
      <w:t>6</w:t>
    </w:r>
    <w:r w:rsidRPr="0072392D">
      <w:rPr>
        <w:b/>
        <w:sz w:val="18"/>
      </w:rPr>
      <w:fldChar w:fldCharType="end"/>
    </w:r>
    <w:r>
      <w:tab/>
    </w:r>
    <w:r w:rsidR="005D00B1">
      <w:fldChar w:fldCharType="begin"/>
    </w:r>
    <w:r w:rsidR="005D00B1">
      <w:instrText xml:space="preserve"> DOCPROPERTY  gdocf  \* MERGEFORMAT </w:instrText>
    </w:r>
    <w:r w:rsidR="005D00B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5AE0" w14:textId="11C7CD12" w:rsidR="001E498C" w:rsidRDefault="005D00B1" w:rsidP="005B6BC9">
    <w:pPr>
      <w:pStyle w:val="Pieddepage"/>
      <w:tabs>
        <w:tab w:val="right" w:pos="9639"/>
      </w:tabs>
      <w:rPr>
        <w:sz w:val="20"/>
      </w:rPr>
    </w:pPr>
    <w:r>
      <w:fldChar w:fldCharType="begin"/>
    </w:r>
    <w:r>
      <w:instrText xml:space="preserve"> DOCPROPERTY  gdocf  \* MERGEFORMAT </w:instrText>
    </w:r>
    <w:r>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4A1833">
      <w:rPr>
        <w:b/>
        <w:noProof/>
        <w:sz w:val="18"/>
      </w:rPr>
      <w:t>7</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B181" w14:textId="02D7A9F1" w:rsidR="00B30950" w:rsidRPr="00B30950" w:rsidRDefault="00B30950">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55121CCB" wp14:editId="0D7FAAFB">
          <wp:simplePos x="0" y="0"/>
          <wp:positionH relativeFrom="margin">
            <wp:posOffset>4319905</wp:posOffset>
          </wp:positionH>
          <wp:positionV relativeFrom="margin">
            <wp:posOffset>9215295</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07679458" wp14:editId="22B1F53A">
          <wp:simplePos x="0" y="0"/>
          <wp:positionH relativeFrom="column">
            <wp:posOffset>5475889</wp:posOffset>
          </wp:positionH>
          <wp:positionV relativeFrom="paragraph">
            <wp:posOffset>5255</wp:posOffset>
          </wp:positionV>
          <wp:extent cx="638175" cy="638175"/>
          <wp:effectExtent l="0" t="0" r="9525" b="9525"/>
          <wp:wrapNone/>
          <wp:docPr id="3" name="Image 1" descr="https://undocs.org/m2/QRCode.ashx?DS=CCPR/C/NER/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w:t>
    </w:r>
    <w:r>
      <w:rPr>
        <w:sz w:val="20"/>
      </w:rPr>
      <w:t>1504</w:t>
    </w:r>
    <w:r>
      <w:rPr>
        <w:sz w:val="20"/>
      </w:rPr>
      <w:t xml:space="preserve">7 </w:t>
    </w:r>
    <w:r>
      <w:rPr>
        <w:sz w:val="20"/>
      </w:rPr>
      <w:t xml:space="preserve"> </w:t>
    </w:r>
    <w:r>
      <w:rPr>
        <w:sz w:val="20"/>
      </w:rPr>
      <w:t>(F)</w:t>
    </w:r>
    <w:r>
      <w:br/>
    </w:r>
    <w:r w:rsidRPr="00B30950">
      <w:rPr>
        <w:rFonts w:ascii="C39T30Lfz" w:hAnsi="C39T30Lfz"/>
        <w:sz w:val="56"/>
      </w:rPr>
      <w:t></w:t>
    </w:r>
    <w:r w:rsidRPr="00B30950">
      <w:rPr>
        <w:rFonts w:ascii="C39T30Lfz" w:hAnsi="C39T30Lfz"/>
        <w:sz w:val="56"/>
      </w:rPr>
      <w:t></w:t>
    </w:r>
    <w:r w:rsidRPr="00B30950">
      <w:rPr>
        <w:rFonts w:ascii="C39T30Lfz" w:hAnsi="C39T30Lfz"/>
        <w:sz w:val="56"/>
      </w:rPr>
      <w:t></w:t>
    </w:r>
    <w:r w:rsidRPr="00B30950">
      <w:rPr>
        <w:rFonts w:ascii="C39T30Lfz" w:hAnsi="C39T30Lfz"/>
        <w:sz w:val="56"/>
      </w:rPr>
      <w:t></w:t>
    </w:r>
    <w:r w:rsidRPr="00B30950">
      <w:rPr>
        <w:rFonts w:ascii="C39T30Lfz" w:hAnsi="C39T30Lfz"/>
        <w:sz w:val="56"/>
      </w:rPr>
      <w:t></w:t>
    </w:r>
    <w:r w:rsidRPr="00B30950">
      <w:rPr>
        <w:rFonts w:ascii="C39T30Lfz" w:hAnsi="C39T30Lfz"/>
        <w:sz w:val="56"/>
      </w:rPr>
      <w:t></w:t>
    </w:r>
    <w:r w:rsidRPr="00B30950">
      <w:rPr>
        <w:rFonts w:ascii="C39T30Lfz" w:hAnsi="C39T30Lfz"/>
        <w:sz w:val="56"/>
      </w:rPr>
      <w:t></w:t>
    </w:r>
    <w:r w:rsidRPr="00B30950">
      <w:rPr>
        <w:rFonts w:ascii="C39T30Lfz" w:hAnsi="C39T30Lfz"/>
        <w:sz w:val="56"/>
      </w:rPr>
      <w:t></w:t>
    </w:r>
    <w:r w:rsidRPr="00B3095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5FC05" w14:textId="77777777"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Separator" w:id="0">
    <w:p w14:paraId="66002C48" w14:textId="77777777"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Notice" w:id="1">
    <w:p w14:paraId="03C9FB13" w14:textId="77777777" w:rsidR="001067B9" w:rsidRPr="00AC3823" w:rsidRDefault="001067B9">
      <w:pPr>
        <w:spacing w:line="240" w:lineRule="auto"/>
        <w:rPr>
          <w:sz w:val="2"/>
          <w:szCs w:val="2"/>
        </w:rPr>
      </w:pPr>
    </w:p>
  </w:footnote>
  <w:footnote w:id="2">
    <w:p w14:paraId="5D52274C" w14:textId="298BD32E" w:rsidR="005426BF" w:rsidRPr="008E05C3" w:rsidRDefault="005426BF" w:rsidP="00B30950">
      <w:pPr>
        <w:pStyle w:val="Notedebasdepage"/>
        <w:spacing w:after="240"/>
      </w:pPr>
      <w:r>
        <w:rPr>
          <w:rStyle w:val="Appelnotedebasdep"/>
        </w:rPr>
        <w:tab/>
      </w:r>
      <w:r w:rsidRPr="008E05C3">
        <w:rPr>
          <w:rStyle w:val="Appelnotedebasdep"/>
          <w:sz w:val="20"/>
          <w:vertAlign w:val="baseline"/>
        </w:rPr>
        <w:t>*</w:t>
      </w:r>
      <w:r>
        <w:rPr>
          <w:rStyle w:val="Appelnotedebasdep"/>
          <w:sz w:val="20"/>
          <w:vertAlign w:val="baseline"/>
        </w:rPr>
        <w:tab/>
      </w:r>
      <w:r>
        <w:rPr>
          <w:lang w:eastAsia="en-GB"/>
        </w:rPr>
        <w:t>Adoptée par le Comité à sa</w:t>
      </w:r>
      <w:r w:rsidR="003E3CA4">
        <w:rPr>
          <w:lang w:eastAsia="en-GB"/>
        </w:rPr>
        <w:t xml:space="preserve"> </w:t>
      </w:r>
      <w:r w:rsidR="003E3CA4" w:rsidRPr="004C05F7">
        <w:rPr>
          <w:lang w:eastAsia="en-GB"/>
        </w:rPr>
        <w:t>123</w:t>
      </w:r>
      <w:r w:rsidR="003E3CA4" w:rsidRPr="004C05F7">
        <w:rPr>
          <w:vertAlign w:val="superscript"/>
          <w:lang w:eastAsia="en-GB"/>
        </w:rPr>
        <w:t>e</w:t>
      </w:r>
      <w:r w:rsidRPr="004C05F7">
        <w:rPr>
          <w:lang w:eastAsia="en-GB"/>
        </w:rPr>
        <w:t xml:space="preserve"> session (</w:t>
      </w:r>
      <w:r w:rsidR="001703A0" w:rsidRPr="004C05F7">
        <w:rPr>
          <w:lang w:eastAsia="en-GB"/>
        </w:rPr>
        <w:t>2</w:t>
      </w:r>
      <w:r w:rsidR="00753D53" w:rsidRPr="004C05F7">
        <w:rPr>
          <w:lang w:eastAsia="en-GB"/>
        </w:rPr>
        <w:t>-</w:t>
      </w:r>
      <w:r w:rsidR="003E3CA4" w:rsidRPr="004C05F7">
        <w:rPr>
          <w:lang w:eastAsia="en-GB"/>
        </w:rPr>
        <w:t>27 juillet 2018</w:t>
      </w:r>
      <w:r w:rsidRPr="004C05F7">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7650" w14:textId="77777777" w:rsidR="006056E0" w:rsidRDefault="00A2752C" w:rsidP="00A2752C">
    <w:pPr>
      <w:pStyle w:val="En-tte"/>
    </w:pPr>
    <w:r>
      <w:t>CCPR/C/NER/Q/2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2FD6" w14:textId="77777777" w:rsidR="005B6BC9" w:rsidRDefault="00A2752C" w:rsidP="00A2752C">
    <w:pPr>
      <w:pStyle w:val="En-tte"/>
      <w:jc w:val="right"/>
    </w:pPr>
    <w:r>
      <w:t>CCPR/C/NER/Q/2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defaultTabStop w:val="567"/>
  <w:hyphenationZone w:val="425"/>
  <w:evenAndOddHeaders/>
  <w:characterSpacingControl w:val="doNotCompress"/>
  <w:hdrShapeDefaults>
    <o:shapedefaults v:ext="edit" spidmax="6963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17F94"/>
    <w:rsid w:val="0002146B"/>
    <w:rsid w:val="00022CCC"/>
    <w:rsid w:val="00023842"/>
    <w:rsid w:val="000320A3"/>
    <w:rsid w:val="000334F9"/>
    <w:rsid w:val="0003593B"/>
    <w:rsid w:val="000407DE"/>
    <w:rsid w:val="000544B2"/>
    <w:rsid w:val="00065CBF"/>
    <w:rsid w:val="000714FD"/>
    <w:rsid w:val="0007292F"/>
    <w:rsid w:val="0007796D"/>
    <w:rsid w:val="00085675"/>
    <w:rsid w:val="000860BB"/>
    <w:rsid w:val="000B7790"/>
    <w:rsid w:val="000C1293"/>
    <w:rsid w:val="000C2875"/>
    <w:rsid w:val="000C390E"/>
    <w:rsid w:val="000D1A91"/>
    <w:rsid w:val="000D6818"/>
    <w:rsid w:val="001067B9"/>
    <w:rsid w:val="001104B9"/>
    <w:rsid w:val="00111F2F"/>
    <w:rsid w:val="0013283B"/>
    <w:rsid w:val="0014365E"/>
    <w:rsid w:val="001459C9"/>
    <w:rsid w:val="00150DB2"/>
    <w:rsid w:val="001703A0"/>
    <w:rsid w:val="00176178"/>
    <w:rsid w:val="00185BF5"/>
    <w:rsid w:val="001871AD"/>
    <w:rsid w:val="001A2EBD"/>
    <w:rsid w:val="001B47B4"/>
    <w:rsid w:val="001D64AF"/>
    <w:rsid w:val="001E498C"/>
    <w:rsid w:val="001F525A"/>
    <w:rsid w:val="001F66B3"/>
    <w:rsid w:val="0020091D"/>
    <w:rsid w:val="00214CB3"/>
    <w:rsid w:val="00223272"/>
    <w:rsid w:val="00224B81"/>
    <w:rsid w:val="0024779E"/>
    <w:rsid w:val="002509B2"/>
    <w:rsid w:val="002557C6"/>
    <w:rsid w:val="002568F9"/>
    <w:rsid w:val="00287D17"/>
    <w:rsid w:val="00291F1D"/>
    <w:rsid w:val="00293B08"/>
    <w:rsid w:val="002A0540"/>
    <w:rsid w:val="002D340A"/>
    <w:rsid w:val="002E3178"/>
    <w:rsid w:val="0031039C"/>
    <w:rsid w:val="00326EFF"/>
    <w:rsid w:val="003274E5"/>
    <w:rsid w:val="00344458"/>
    <w:rsid w:val="003459EF"/>
    <w:rsid w:val="00353934"/>
    <w:rsid w:val="00353ED5"/>
    <w:rsid w:val="0036109F"/>
    <w:rsid w:val="00366093"/>
    <w:rsid w:val="0037014C"/>
    <w:rsid w:val="00380143"/>
    <w:rsid w:val="0039005B"/>
    <w:rsid w:val="0039375F"/>
    <w:rsid w:val="003A0D12"/>
    <w:rsid w:val="003A3520"/>
    <w:rsid w:val="003B745D"/>
    <w:rsid w:val="003D1AD0"/>
    <w:rsid w:val="003D4135"/>
    <w:rsid w:val="003E3CA4"/>
    <w:rsid w:val="003F1369"/>
    <w:rsid w:val="00412018"/>
    <w:rsid w:val="0041336D"/>
    <w:rsid w:val="00426CA4"/>
    <w:rsid w:val="00437041"/>
    <w:rsid w:val="00443A85"/>
    <w:rsid w:val="00446FE5"/>
    <w:rsid w:val="00452396"/>
    <w:rsid w:val="00454419"/>
    <w:rsid w:val="00454EDA"/>
    <w:rsid w:val="00470737"/>
    <w:rsid w:val="004735AF"/>
    <w:rsid w:val="00475149"/>
    <w:rsid w:val="004758DF"/>
    <w:rsid w:val="00484F44"/>
    <w:rsid w:val="00487067"/>
    <w:rsid w:val="00494BBC"/>
    <w:rsid w:val="004A1833"/>
    <w:rsid w:val="004C05F7"/>
    <w:rsid w:val="004C6631"/>
    <w:rsid w:val="004D4565"/>
    <w:rsid w:val="004D70A6"/>
    <w:rsid w:val="004E1EDB"/>
    <w:rsid w:val="005073BE"/>
    <w:rsid w:val="00512D05"/>
    <w:rsid w:val="00532039"/>
    <w:rsid w:val="00533C07"/>
    <w:rsid w:val="005426BF"/>
    <w:rsid w:val="00542BC8"/>
    <w:rsid w:val="005505B7"/>
    <w:rsid w:val="005625F3"/>
    <w:rsid w:val="00564F93"/>
    <w:rsid w:val="00564FDC"/>
    <w:rsid w:val="00566B53"/>
    <w:rsid w:val="00573BE5"/>
    <w:rsid w:val="00582D63"/>
    <w:rsid w:val="00586ED3"/>
    <w:rsid w:val="00596AA9"/>
    <w:rsid w:val="005A5D62"/>
    <w:rsid w:val="005A6BEF"/>
    <w:rsid w:val="005B2412"/>
    <w:rsid w:val="005B46A7"/>
    <w:rsid w:val="005B6BC9"/>
    <w:rsid w:val="005C6D0C"/>
    <w:rsid w:val="005D00B1"/>
    <w:rsid w:val="005E1718"/>
    <w:rsid w:val="005E2B17"/>
    <w:rsid w:val="005E6E19"/>
    <w:rsid w:val="005E74E1"/>
    <w:rsid w:val="00603F95"/>
    <w:rsid w:val="006056E0"/>
    <w:rsid w:val="00613A58"/>
    <w:rsid w:val="00613C13"/>
    <w:rsid w:val="00622F51"/>
    <w:rsid w:val="006266D9"/>
    <w:rsid w:val="00626E7C"/>
    <w:rsid w:val="006540CE"/>
    <w:rsid w:val="00660A5E"/>
    <w:rsid w:val="00680E4C"/>
    <w:rsid w:val="00684555"/>
    <w:rsid w:val="006910CE"/>
    <w:rsid w:val="0069272A"/>
    <w:rsid w:val="006A1C29"/>
    <w:rsid w:val="006D44E0"/>
    <w:rsid w:val="006D7B46"/>
    <w:rsid w:val="006F0310"/>
    <w:rsid w:val="006F3751"/>
    <w:rsid w:val="00701612"/>
    <w:rsid w:val="00706E82"/>
    <w:rsid w:val="0071601D"/>
    <w:rsid w:val="00740FFA"/>
    <w:rsid w:val="00753D53"/>
    <w:rsid w:val="00766CEC"/>
    <w:rsid w:val="00784712"/>
    <w:rsid w:val="0079195F"/>
    <w:rsid w:val="00796A3E"/>
    <w:rsid w:val="007A248D"/>
    <w:rsid w:val="007A62E6"/>
    <w:rsid w:val="007C6E25"/>
    <w:rsid w:val="007D41A7"/>
    <w:rsid w:val="007D7FAE"/>
    <w:rsid w:val="007F371E"/>
    <w:rsid w:val="0080684C"/>
    <w:rsid w:val="0081290F"/>
    <w:rsid w:val="00815502"/>
    <w:rsid w:val="00822B95"/>
    <w:rsid w:val="00824D57"/>
    <w:rsid w:val="0084666F"/>
    <w:rsid w:val="00867D17"/>
    <w:rsid w:val="00871C75"/>
    <w:rsid w:val="008776DC"/>
    <w:rsid w:val="00884582"/>
    <w:rsid w:val="00892BF7"/>
    <w:rsid w:val="008A0E26"/>
    <w:rsid w:val="008B050C"/>
    <w:rsid w:val="008B2471"/>
    <w:rsid w:val="008C6C1B"/>
    <w:rsid w:val="008C7952"/>
    <w:rsid w:val="008D4C07"/>
    <w:rsid w:val="008E5798"/>
    <w:rsid w:val="008F5D35"/>
    <w:rsid w:val="009122BF"/>
    <w:rsid w:val="00912821"/>
    <w:rsid w:val="009413F3"/>
    <w:rsid w:val="0094304B"/>
    <w:rsid w:val="00957790"/>
    <w:rsid w:val="009705C8"/>
    <w:rsid w:val="00976E39"/>
    <w:rsid w:val="00981901"/>
    <w:rsid w:val="0099754D"/>
    <w:rsid w:val="009C3931"/>
    <w:rsid w:val="009D0D2E"/>
    <w:rsid w:val="009E06AD"/>
    <w:rsid w:val="009E616A"/>
    <w:rsid w:val="009F65C5"/>
    <w:rsid w:val="00A03EA0"/>
    <w:rsid w:val="00A17B90"/>
    <w:rsid w:val="00A2752C"/>
    <w:rsid w:val="00A41291"/>
    <w:rsid w:val="00A63F9C"/>
    <w:rsid w:val="00A76DC0"/>
    <w:rsid w:val="00A81C23"/>
    <w:rsid w:val="00AA2FC7"/>
    <w:rsid w:val="00AA5EDB"/>
    <w:rsid w:val="00AA69DF"/>
    <w:rsid w:val="00AB0F5F"/>
    <w:rsid w:val="00AB648F"/>
    <w:rsid w:val="00AC34B0"/>
    <w:rsid w:val="00AC3823"/>
    <w:rsid w:val="00AC44FC"/>
    <w:rsid w:val="00AC7C7A"/>
    <w:rsid w:val="00AE2A62"/>
    <w:rsid w:val="00AE323C"/>
    <w:rsid w:val="00B00181"/>
    <w:rsid w:val="00B002C4"/>
    <w:rsid w:val="00B030B1"/>
    <w:rsid w:val="00B23E28"/>
    <w:rsid w:val="00B30950"/>
    <w:rsid w:val="00B33DFE"/>
    <w:rsid w:val="00B41ABF"/>
    <w:rsid w:val="00B43C66"/>
    <w:rsid w:val="00B44264"/>
    <w:rsid w:val="00B52D2C"/>
    <w:rsid w:val="00B57977"/>
    <w:rsid w:val="00B60709"/>
    <w:rsid w:val="00B66CD1"/>
    <w:rsid w:val="00B701B3"/>
    <w:rsid w:val="00B765F7"/>
    <w:rsid w:val="00B80BD3"/>
    <w:rsid w:val="00B853AC"/>
    <w:rsid w:val="00BA0CA9"/>
    <w:rsid w:val="00BC49B4"/>
    <w:rsid w:val="00BC4CFE"/>
    <w:rsid w:val="00BE438A"/>
    <w:rsid w:val="00BE4745"/>
    <w:rsid w:val="00BF3C2C"/>
    <w:rsid w:val="00C02897"/>
    <w:rsid w:val="00C02B10"/>
    <w:rsid w:val="00C04DBC"/>
    <w:rsid w:val="00C35635"/>
    <w:rsid w:val="00C43C8B"/>
    <w:rsid w:val="00C454D2"/>
    <w:rsid w:val="00C54ED5"/>
    <w:rsid w:val="00C71AAB"/>
    <w:rsid w:val="00C73321"/>
    <w:rsid w:val="00C75E99"/>
    <w:rsid w:val="00C906BD"/>
    <w:rsid w:val="00C9261A"/>
    <w:rsid w:val="00CA3912"/>
    <w:rsid w:val="00CB2A6A"/>
    <w:rsid w:val="00CB7CBE"/>
    <w:rsid w:val="00CC2887"/>
    <w:rsid w:val="00D00DEE"/>
    <w:rsid w:val="00D02F73"/>
    <w:rsid w:val="00D058FB"/>
    <w:rsid w:val="00D263CF"/>
    <w:rsid w:val="00D31118"/>
    <w:rsid w:val="00D3439C"/>
    <w:rsid w:val="00D4580C"/>
    <w:rsid w:val="00D6232D"/>
    <w:rsid w:val="00D70B9B"/>
    <w:rsid w:val="00D724F0"/>
    <w:rsid w:val="00D76F7A"/>
    <w:rsid w:val="00DA21C9"/>
    <w:rsid w:val="00DA22F4"/>
    <w:rsid w:val="00DA29AC"/>
    <w:rsid w:val="00DA3BB3"/>
    <w:rsid w:val="00DA7434"/>
    <w:rsid w:val="00DB1831"/>
    <w:rsid w:val="00DB5C4B"/>
    <w:rsid w:val="00DD3BFD"/>
    <w:rsid w:val="00DD6ED8"/>
    <w:rsid w:val="00DF0775"/>
    <w:rsid w:val="00DF1E4C"/>
    <w:rsid w:val="00DF6678"/>
    <w:rsid w:val="00E018E1"/>
    <w:rsid w:val="00E0236B"/>
    <w:rsid w:val="00E0623C"/>
    <w:rsid w:val="00E066A5"/>
    <w:rsid w:val="00E22CF2"/>
    <w:rsid w:val="00E31142"/>
    <w:rsid w:val="00E461A1"/>
    <w:rsid w:val="00E506F1"/>
    <w:rsid w:val="00E52D9F"/>
    <w:rsid w:val="00E64BA0"/>
    <w:rsid w:val="00E86DB5"/>
    <w:rsid w:val="00EA0791"/>
    <w:rsid w:val="00EA4D06"/>
    <w:rsid w:val="00EF7AFB"/>
    <w:rsid w:val="00F14623"/>
    <w:rsid w:val="00F164B0"/>
    <w:rsid w:val="00F30B47"/>
    <w:rsid w:val="00F31400"/>
    <w:rsid w:val="00F32429"/>
    <w:rsid w:val="00F376B8"/>
    <w:rsid w:val="00F42293"/>
    <w:rsid w:val="00F43810"/>
    <w:rsid w:val="00F610A2"/>
    <w:rsid w:val="00F6120C"/>
    <w:rsid w:val="00F660DF"/>
    <w:rsid w:val="00F7162F"/>
    <w:rsid w:val="00F80094"/>
    <w:rsid w:val="00F95C08"/>
    <w:rsid w:val="00F97A3A"/>
    <w:rsid w:val="00FA0054"/>
    <w:rsid w:val="00FA66E5"/>
    <w:rsid w:val="00FB6DC1"/>
    <w:rsid w:val="00FD66ED"/>
    <w:rsid w:val="00FD6879"/>
    <w:rsid w:val="00FE4E9D"/>
    <w:rsid w:val="00FF16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009EC1FA"/>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Footnote,callout,Footnote Refernece,Footnote Reference Number,Fußnotenzeichen_Raxen,BVI fnr,Fago Fußnotenzeichen,Footnotes refss,Style 10,ftref,16 Point,Superscript 6 Point,Footnote number,Endnote Text1,Ref,de nota al pie"/>
    <w:basedOn w:val="Policepardfaut"/>
    <w:link w:val="4GCharChar"/>
    <w:uiPriority w:val="99"/>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uiPriority w:val="99"/>
    <w:rsid w:val="003E3CA4"/>
    <w:pPr>
      <w:suppressAutoHyphens w:val="0"/>
      <w:kinsoku/>
      <w:overflowPunct/>
      <w:autoSpaceDE/>
      <w:autoSpaceDN/>
      <w:adjustRightInd/>
      <w:snapToGrid/>
      <w:spacing w:after="160" w:line="240" w:lineRule="exact"/>
    </w:pPr>
    <w:rPr>
      <w:rFonts w:cstheme="minorBidi"/>
      <w:sz w:val="18"/>
      <w:szCs w:val="22"/>
      <w:vertAlign w:val="superscript"/>
    </w:rPr>
  </w:style>
  <w:style w:type="paragraph" w:styleId="Sansinterligne">
    <w:name w:val="No Spacing"/>
    <w:uiPriority w:val="1"/>
    <w:qFormat/>
    <w:rsid w:val="003E3CA4"/>
    <w:pPr>
      <w:suppressAutoHyphens/>
      <w:spacing w:after="0" w:line="240" w:lineRule="auto"/>
    </w:pPr>
    <w:rPr>
      <w:rFonts w:ascii="Times New Roman" w:eastAsia="Times New Roman" w:hAnsi="Times New Roman" w:cs="Times New Roman"/>
      <w:sz w:val="20"/>
      <w:szCs w:val="20"/>
    </w:rPr>
  </w:style>
  <w:style w:type="character" w:styleId="Marquedecommentaire">
    <w:name w:val="annotation reference"/>
    <w:basedOn w:val="Policepardfaut"/>
    <w:uiPriority w:val="99"/>
    <w:semiHidden/>
    <w:unhideWhenUsed/>
    <w:rsid w:val="00D70B9B"/>
    <w:rPr>
      <w:sz w:val="16"/>
      <w:szCs w:val="16"/>
    </w:rPr>
  </w:style>
  <w:style w:type="paragraph" w:styleId="Commentaire">
    <w:name w:val="annotation text"/>
    <w:basedOn w:val="Normal"/>
    <w:link w:val="CommentaireCar"/>
    <w:uiPriority w:val="99"/>
    <w:semiHidden/>
    <w:unhideWhenUsed/>
    <w:rsid w:val="00D70B9B"/>
    <w:pPr>
      <w:spacing w:line="240" w:lineRule="auto"/>
    </w:pPr>
  </w:style>
  <w:style w:type="character" w:customStyle="1" w:styleId="CommentaireCar">
    <w:name w:val="Commentaire Car"/>
    <w:basedOn w:val="Policepardfaut"/>
    <w:link w:val="Commentaire"/>
    <w:uiPriority w:val="99"/>
    <w:semiHidden/>
    <w:rsid w:val="00D70B9B"/>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70B9B"/>
    <w:rPr>
      <w:b/>
      <w:bCs/>
    </w:rPr>
  </w:style>
  <w:style w:type="character" w:customStyle="1" w:styleId="ObjetducommentaireCar">
    <w:name w:val="Objet du commentaire Car"/>
    <w:basedOn w:val="CommentaireCar"/>
    <w:link w:val="Objetducommentaire"/>
    <w:uiPriority w:val="99"/>
    <w:semiHidden/>
    <w:rsid w:val="00D70B9B"/>
    <w:rPr>
      <w:rFonts w:ascii="Times New Roman" w:hAnsi="Times New Roman" w:cs="Times New Roman"/>
      <w:b/>
      <w:bCs/>
      <w:sz w:val="20"/>
      <w:szCs w:val="20"/>
    </w:rPr>
  </w:style>
  <w:style w:type="paragraph" w:styleId="Rvision">
    <w:name w:val="Revision"/>
    <w:hidden/>
    <w:uiPriority w:val="99"/>
    <w:semiHidden/>
    <w:rsid w:val="00E0236B"/>
    <w:pPr>
      <w:spacing w:after="0" w:line="240" w:lineRule="auto"/>
    </w:pPr>
    <w:rPr>
      <w:rFonts w:ascii="Times New Roman" w:hAnsi="Times New Roman" w:cs="Times New Roman"/>
      <w:sz w:val="20"/>
      <w:szCs w:val="20"/>
    </w:rPr>
  </w:style>
  <w:style w:type="character" w:customStyle="1" w:styleId="UnresolvedMention1">
    <w:name w:val="Unresolved Mention1"/>
    <w:basedOn w:val="Policepardfaut"/>
    <w:uiPriority w:val="99"/>
    <w:semiHidden/>
    <w:unhideWhenUsed/>
    <w:rsid w:val="00892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4648</Words>
  <Characters>24640</Characters>
  <Application>Microsoft Office Word</Application>
  <DocSecurity>0</DocSecurity>
  <Lines>367</Lines>
  <Paragraphs>72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CCPR/C/NER/Q/2</vt:lpstr>
      <vt:lpstr>CCPR/C/NER/Q/2</vt:lpstr>
      <vt:lpstr>a/hthhhh</vt:lpstr>
    </vt:vector>
  </TitlesOfParts>
  <Company>DCM</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CCPR/C/NER/Q/2</dc:title>
  <dc:subject>qrcode</dc:subject>
  <dc:creator>dvx</dc:creator>
  <cp:keywords/>
  <dc:description/>
  <cp:lastModifiedBy>Christine Devouassoux</cp:lastModifiedBy>
  <cp:revision>3</cp:revision>
  <cp:lastPrinted>2018-09-11T13:36:00Z</cp:lastPrinted>
  <dcterms:created xsi:type="dcterms:W3CDTF">2018-09-11T13:36:00Z</dcterms:created>
  <dcterms:modified xsi:type="dcterms:W3CDTF">2018-09-11T13:37:00Z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C/NER/Q/2</vt:lpwstr>
  </property>
  <property fmtid="{D5CDD505-2E9C-101B-9397-08002B2CF9AE}" pid="3" name="symh">
    <vt:lpwstr>CCPR/C/NER/Q/2</vt:lpwstr>
  </property>
  <property fmtid="{D5CDD505-2E9C-101B-9397-08002B2CF9AE}" pid="4" name="dist">
    <vt:lpwstr>générale</vt:lpwstr>
  </property>
  <property fmtid="{D5CDD505-2E9C-101B-9397-08002B2CF9AE}" pid="5" name="date">
    <vt:lpwstr>31 juillet 2018</vt:lpwstr>
  </property>
  <property fmtid="{D5CDD505-2E9C-101B-9397-08002B2CF9AE}" pid="6" name="sdate">
    <vt:lpwstr>2-27 juillet 2018</vt:lpwstr>
  </property>
  <property fmtid="{D5CDD505-2E9C-101B-9397-08002B2CF9AE}" pid="7" name="virs">
    <vt:lpwstr>Anglais, espagnol et français seulement</vt:lpwstr>
  </property>
  <property fmtid="{D5CDD505-2E9C-101B-9397-08002B2CF9AE}" pid="8" name="snum">
    <vt:lpwstr>123ᵉ</vt:lpwstr>
  </property>
  <property fmtid="{D5CDD505-2E9C-101B-9397-08002B2CF9AE}" pid="9" name="anum">
    <vt:lpwstr>[NUMBER]</vt:lpwstr>
  </property>
  <property fmtid="{D5CDD505-2E9C-101B-9397-08002B2CF9AE}" pid="10" name="count">
    <vt:lpwstr>du Niger </vt:lpwstr>
  </property>
  <property fmtid="{D5CDD505-2E9C-101B-9397-08002B2CF9AE}" pid="11" name="countw">
    <vt:lpwstr>Niger </vt:lpwstr>
  </property>
  <property fmtid="{D5CDD505-2E9C-101B-9397-08002B2CF9AE}" pid="12" name="countwd">
    <vt:lpwstr>le Niger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Examen des rapports soumis par les États parties en application de l’article 40 du Pacte</vt:lpwstr>
  </property>
  <property fmtid="{D5CDD505-2E9C-101B-9397-08002B2CF9AE}" pid="17" name="stitle">
    <vt:lpwstr>[Title]</vt:lpwstr>
  </property>
  <property fmtid="{D5CDD505-2E9C-101B-9397-08002B2CF9AE}" pid="18" name="prep">
    <vt:lpwstr>deuxième rapport périodique du Niger </vt:lpwstr>
  </property>
  <property fmtid="{D5CDD505-2E9C-101B-9397-08002B2CF9AE}" pid="19" name="preps">
    <vt:lpwstr>deuxième rapport périodique du Niger </vt:lpwstr>
  </property>
  <property fmtid="{D5CDD505-2E9C-101B-9397-08002B2CF9AE}" pid="20" name="prepw">
    <vt:lpwstr>deuxième rapport périodique</vt:lpwstr>
  </property>
  <property fmtid="{D5CDD505-2E9C-101B-9397-08002B2CF9AE}" pid="21" name="prepws">
    <vt:lpwstr>deuxième rapport périodique</vt:lpwstr>
  </property>
  <property fmtid="{D5CDD505-2E9C-101B-9397-08002B2CF9AE}" pid="22" name="prepwc">
    <vt:lpwstr>Deuxième rapport périodique </vt:lpwstr>
  </property>
  <property fmtid="{D5CDD505-2E9C-101B-9397-08002B2CF9AE}" pid="23" name="olang">
    <vt:lpwstr>français</vt:lpwstr>
  </property>
  <property fmtid="{D5CDD505-2E9C-101B-9397-08002B2CF9AE}" pid="24" name="Date-Generated">
    <vt:filetime>2018-07-26T14:59:11Z</vt:filetime>
  </property>
  <property fmtid="{D5CDD505-2E9C-101B-9397-08002B2CF9AE}" pid="25" name="Author">
    <vt:lpwstr/>
  </property>
  <property fmtid="{D5CDD505-2E9C-101B-9397-08002B2CF9AE}" pid="26" name="bar">
    <vt:lpwstr/>
  </property>
</Properties>
</file>