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94" w:rsidRDefault="006F5694">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2B7759" w:rsidRDefault="002B7759">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06526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2B7759" w:rsidRDefault="002B7759">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2B7759" w:rsidRDefault="002B7759">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F5694" w:rsidRDefault="006F5694">
      <w:pPr>
        <w:rPr>
          <w:lang w:val="es-ES_tradnl"/>
        </w:rPr>
      </w:pPr>
    </w:p>
    <w:p w:rsidR="006F5694" w:rsidRDefault="006F5694"/>
    <w:p w:rsidR="006F5694" w:rsidRDefault="006F5694" w:rsidP="006F5694">
      <w:pPr>
        <w:spacing w:after="240"/>
        <w:ind w:left="6720"/>
        <w:rPr>
          <w:szCs w:val="28"/>
        </w:rPr>
      </w:pPr>
      <w:r>
        <w:rPr>
          <w:szCs w:val="28"/>
        </w:rPr>
        <w:t>Distr.</w:t>
      </w:r>
      <w:r>
        <w:rPr>
          <w:szCs w:val="28"/>
        </w:rPr>
        <w:br/>
        <w:t>GENERAL</w:t>
      </w:r>
    </w:p>
    <w:p w:rsidR="006F5694" w:rsidRDefault="006F5694" w:rsidP="006F5694">
      <w:pPr>
        <w:spacing w:after="240"/>
        <w:ind w:left="6720"/>
        <w:rPr>
          <w:szCs w:val="28"/>
        </w:rPr>
      </w:pPr>
      <w:proofErr w:type="spellStart"/>
      <w:r>
        <w:rPr>
          <w:szCs w:val="28"/>
        </w:rPr>
        <w:t>CCPR</w:t>
      </w:r>
      <w:proofErr w:type="spellEnd"/>
      <w:r>
        <w:rPr>
          <w:szCs w:val="28"/>
        </w:rPr>
        <w:t>/C/NET/4/</w:t>
      </w:r>
      <w:proofErr w:type="spellStart"/>
      <w:r>
        <w:rPr>
          <w:szCs w:val="28"/>
        </w:rPr>
        <w:t>Add</w:t>
      </w:r>
      <w:proofErr w:type="spellEnd"/>
      <w:r>
        <w:rPr>
          <w:szCs w:val="28"/>
        </w:rPr>
        <w:t>.1</w:t>
      </w:r>
      <w:r>
        <w:rPr>
          <w:szCs w:val="28"/>
        </w:rPr>
        <w:br/>
        <w:t>20 de febrero de 2008</w:t>
      </w:r>
    </w:p>
    <w:p w:rsidR="006F5694" w:rsidRDefault="006F5694" w:rsidP="006F5694">
      <w:pPr>
        <w:spacing w:after="480"/>
        <w:ind w:left="6719"/>
        <w:rPr>
          <w:szCs w:val="28"/>
        </w:rPr>
      </w:pPr>
      <w:r>
        <w:rPr>
          <w:szCs w:val="28"/>
        </w:rPr>
        <w:t>ESPAÑOL</w:t>
      </w:r>
      <w:r>
        <w:rPr>
          <w:szCs w:val="28"/>
        </w:rPr>
        <w:br/>
        <w:t>Original:  INGLÉS</w:t>
      </w:r>
    </w:p>
    <w:p w:rsidR="006F5694" w:rsidRDefault="006F5694" w:rsidP="006F5694">
      <w:pPr>
        <w:spacing w:after="1080"/>
        <w:rPr>
          <w:szCs w:val="28"/>
        </w:rPr>
      </w:pPr>
      <w:r w:rsidRPr="00E86C37">
        <w:rPr>
          <w:szCs w:val="28"/>
        </w:rPr>
        <w:t>COMITÉ DE DERECHOS HUMANOS</w:t>
      </w:r>
    </w:p>
    <w:p w:rsidR="006F5694" w:rsidRPr="00E86C37" w:rsidRDefault="006F5694" w:rsidP="006F5694">
      <w:pPr>
        <w:autoSpaceDE w:val="0"/>
        <w:autoSpaceDN w:val="0"/>
        <w:adjustRightInd w:val="0"/>
        <w:spacing w:after="360"/>
        <w:jc w:val="center"/>
        <w:rPr>
          <w:b/>
          <w:bCs/>
          <w:szCs w:val="28"/>
        </w:rPr>
      </w:pPr>
      <w:r w:rsidRPr="00E86C37">
        <w:rPr>
          <w:b/>
          <w:bCs/>
          <w:szCs w:val="28"/>
        </w:rPr>
        <w:t xml:space="preserve">EXAMEN DE LOS INFORMES PRESENTADOS POR LOS ESTADOS </w:t>
      </w:r>
      <w:r>
        <w:rPr>
          <w:b/>
          <w:bCs/>
          <w:szCs w:val="28"/>
        </w:rPr>
        <w:br/>
      </w:r>
      <w:r w:rsidRPr="00E86C37">
        <w:rPr>
          <w:b/>
          <w:bCs/>
          <w:szCs w:val="28"/>
        </w:rPr>
        <w:t>PARTES DE CONFORMIDAD CON EL ARTÍCULO 40 DEL PACTO</w:t>
      </w:r>
    </w:p>
    <w:p w:rsidR="006F5694" w:rsidRPr="00E86C37" w:rsidRDefault="006F5694" w:rsidP="006F5694">
      <w:pPr>
        <w:autoSpaceDE w:val="0"/>
        <w:autoSpaceDN w:val="0"/>
        <w:adjustRightInd w:val="0"/>
        <w:spacing w:after="360"/>
        <w:jc w:val="center"/>
        <w:rPr>
          <w:b/>
          <w:bCs/>
          <w:szCs w:val="28"/>
        </w:rPr>
      </w:pPr>
      <w:r w:rsidRPr="00E86C37">
        <w:rPr>
          <w:b/>
          <w:bCs/>
          <w:szCs w:val="28"/>
        </w:rPr>
        <w:t>Adición</w:t>
      </w:r>
    </w:p>
    <w:p w:rsidR="006F5694" w:rsidRPr="00E86C37" w:rsidRDefault="006F5694" w:rsidP="006F5694">
      <w:pPr>
        <w:autoSpaceDE w:val="0"/>
        <w:autoSpaceDN w:val="0"/>
        <w:adjustRightInd w:val="0"/>
        <w:spacing w:after="480"/>
        <w:jc w:val="center"/>
        <w:rPr>
          <w:b/>
          <w:bCs/>
          <w:szCs w:val="28"/>
        </w:rPr>
      </w:pPr>
      <w:r w:rsidRPr="00E86C37">
        <w:rPr>
          <w:b/>
          <w:bCs/>
          <w:szCs w:val="28"/>
        </w:rPr>
        <w:t>ARUBA</w:t>
      </w:r>
      <w:r w:rsidRPr="00E86C37">
        <w:rPr>
          <w:rStyle w:val="FootnoteReference"/>
          <w:bCs/>
          <w:szCs w:val="28"/>
        </w:rPr>
        <w:footnoteReference w:customMarkFollows="1" w:id="1"/>
        <w:t>*</w:t>
      </w:r>
      <w:r>
        <w:rPr>
          <w:rStyle w:val="FootnoteReference"/>
          <w:b w:val="0"/>
          <w:bCs/>
          <w:szCs w:val="28"/>
        </w:rPr>
        <w:t xml:space="preserve"> </w:t>
      </w:r>
      <w:r>
        <w:rPr>
          <w:rStyle w:val="FootnoteReference"/>
          <w:bCs/>
          <w:szCs w:val="28"/>
        </w:rPr>
        <w:footnoteReference w:customMarkFollows="1" w:id="2"/>
        <w:t>**</w:t>
      </w:r>
    </w:p>
    <w:p w:rsidR="006F5694" w:rsidRPr="00E86C37" w:rsidRDefault="006F5694" w:rsidP="006F5694">
      <w:pPr>
        <w:autoSpaceDE w:val="0"/>
        <w:autoSpaceDN w:val="0"/>
        <w:adjustRightInd w:val="0"/>
        <w:spacing w:after="240"/>
        <w:jc w:val="right"/>
        <w:rPr>
          <w:szCs w:val="28"/>
        </w:rPr>
      </w:pPr>
      <w:r w:rsidRPr="00E86C37">
        <w:rPr>
          <w:szCs w:val="28"/>
        </w:rPr>
        <w:t>[19 de octubre de 2007]</w:t>
      </w:r>
    </w:p>
    <w:p w:rsidR="006F5694" w:rsidRDefault="006F5694" w:rsidP="006F5694">
      <w:pPr>
        <w:spacing w:after="240"/>
        <w:jc w:val="center"/>
        <w:rPr>
          <w:szCs w:val="28"/>
        </w:rPr>
      </w:pPr>
      <w:r>
        <w:rPr>
          <w:szCs w:val="28"/>
        </w:rPr>
        <w:br w:type="page"/>
      </w:r>
      <w:r>
        <w:rPr>
          <w:b/>
          <w:szCs w:val="28"/>
        </w:rPr>
        <w:t>ÍNDICE</w:t>
      </w:r>
    </w:p>
    <w:p w:rsidR="006F5694" w:rsidRDefault="006F5694" w:rsidP="006F5694">
      <w:pPr>
        <w:spacing w:after="240"/>
        <w:jc w:val="right"/>
        <w:rPr>
          <w:i/>
          <w:szCs w:val="28"/>
        </w:rPr>
      </w:pPr>
      <w:r>
        <w:rPr>
          <w:i/>
          <w:szCs w:val="28"/>
        </w:rPr>
        <w:t>Párrafos     Página</w:t>
      </w:r>
    </w:p>
    <w:p w:rsidR="006F5694" w:rsidRDefault="007F57B2" w:rsidP="007B0EB2">
      <w:pPr>
        <w:tabs>
          <w:tab w:val="right" w:pos="567"/>
          <w:tab w:val="left" w:pos="850"/>
          <w:tab w:val="left" w:pos="1304"/>
          <w:tab w:val="left" w:pos="1701"/>
          <w:tab w:val="right" w:leader="dot" w:pos="7285"/>
          <w:tab w:val="right" w:pos="7835"/>
          <w:tab w:val="center" w:pos="7920"/>
          <w:tab w:val="right" w:pos="8280"/>
          <w:tab w:val="right" w:pos="9099"/>
        </w:tabs>
        <w:spacing w:after="240"/>
        <w:rPr>
          <w:szCs w:val="28"/>
        </w:rPr>
      </w:pPr>
      <w:r>
        <w:rPr>
          <w:szCs w:val="28"/>
        </w:rPr>
        <w:t>I</w:t>
      </w:r>
      <w:r w:rsidR="00835E02">
        <w:rPr>
          <w:szCs w:val="28"/>
        </w:rPr>
        <w:t>ntroducción</w:t>
      </w:r>
      <w:r>
        <w:rPr>
          <w:szCs w:val="28"/>
        </w:rPr>
        <w:tab/>
      </w:r>
      <w:r>
        <w:rPr>
          <w:szCs w:val="28"/>
        </w:rPr>
        <w:tab/>
      </w:r>
      <w:r>
        <w:rPr>
          <w:szCs w:val="28"/>
        </w:rPr>
        <w:tab/>
      </w:r>
      <w:r w:rsidR="00835E02">
        <w:rPr>
          <w:szCs w:val="28"/>
        </w:rPr>
        <w:tab/>
        <w:t>1</w:t>
      </w:r>
      <w:r w:rsidR="00835E02">
        <w:rPr>
          <w:szCs w:val="28"/>
        </w:rPr>
        <w:tab/>
        <w:t>-</w:t>
      </w:r>
      <w:r w:rsidR="00835E02">
        <w:rPr>
          <w:szCs w:val="28"/>
        </w:rPr>
        <w:tab/>
      </w:r>
      <w:r w:rsidR="00AE1359">
        <w:rPr>
          <w:szCs w:val="28"/>
        </w:rPr>
        <w:t>2</w:t>
      </w:r>
      <w:r w:rsidR="00835E02">
        <w:rPr>
          <w:szCs w:val="28"/>
        </w:rPr>
        <w:tab/>
      </w:r>
      <w:r w:rsidR="00BF5BA7">
        <w:rPr>
          <w:szCs w:val="28"/>
        </w:rPr>
        <w:t>4</w:t>
      </w:r>
    </w:p>
    <w:p w:rsidR="006F5694" w:rsidRDefault="00AE1359"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1</w:t>
      </w:r>
      <w:r>
        <w:rPr>
          <w:szCs w:val="28"/>
        </w:rPr>
        <w:tab/>
      </w:r>
      <w:r>
        <w:rPr>
          <w:szCs w:val="28"/>
        </w:rPr>
        <w:tab/>
      </w:r>
      <w:r>
        <w:rPr>
          <w:szCs w:val="28"/>
        </w:rPr>
        <w:tab/>
        <w:t>3</w:t>
      </w:r>
      <w:r>
        <w:rPr>
          <w:szCs w:val="28"/>
        </w:rPr>
        <w:tab/>
      </w:r>
      <w:r>
        <w:rPr>
          <w:szCs w:val="28"/>
        </w:rPr>
        <w:tab/>
      </w:r>
      <w:r w:rsidR="00BF5BA7">
        <w:rPr>
          <w:szCs w:val="28"/>
        </w:rPr>
        <w:t>4</w:t>
      </w:r>
    </w:p>
    <w:p w:rsidR="00AE1359" w:rsidRDefault="00AE1359"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2</w:t>
      </w:r>
      <w:r>
        <w:rPr>
          <w:szCs w:val="28"/>
        </w:rPr>
        <w:tab/>
      </w:r>
      <w:r>
        <w:rPr>
          <w:szCs w:val="28"/>
        </w:rPr>
        <w:tab/>
        <w:t>4</w:t>
      </w:r>
      <w:r>
        <w:rPr>
          <w:szCs w:val="28"/>
        </w:rPr>
        <w:tab/>
        <w:t>-</w:t>
      </w:r>
      <w:r>
        <w:rPr>
          <w:szCs w:val="28"/>
        </w:rPr>
        <w:tab/>
        <w:t>10</w:t>
      </w:r>
      <w:r>
        <w:rPr>
          <w:szCs w:val="28"/>
        </w:rPr>
        <w:tab/>
      </w:r>
      <w:r w:rsidR="00BF5BA7">
        <w:rPr>
          <w:szCs w:val="28"/>
        </w:rPr>
        <w:t>4</w:t>
      </w:r>
    </w:p>
    <w:p w:rsidR="00AE1359" w:rsidRDefault="00AE1359"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3</w:t>
      </w:r>
      <w:r>
        <w:rPr>
          <w:szCs w:val="28"/>
        </w:rPr>
        <w:tab/>
      </w:r>
      <w:r>
        <w:rPr>
          <w:szCs w:val="28"/>
        </w:rPr>
        <w:tab/>
        <w:t>11</w:t>
      </w:r>
      <w:r>
        <w:rPr>
          <w:szCs w:val="28"/>
        </w:rPr>
        <w:tab/>
        <w:t>-</w:t>
      </w:r>
      <w:r>
        <w:rPr>
          <w:szCs w:val="28"/>
        </w:rPr>
        <w:tab/>
        <w:t>13</w:t>
      </w:r>
      <w:r>
        <w:rPr>
          <w:szCs w:val="28"/>
        </w:rPr>
        <w:tab/>
      </w:r>
      <w:r w:rsidR="00BF5BA7">
        <w:rPr>
          <w:szCs w:val="28"/>
        </w:rPr>
        <w:t>5</w:t>
      </w:r>
    </w:p>
    <w:p w:rsidR="00AE1359" w:rsidRDefault="00AE1359"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4</w:t>
      </w:r>
      <w:r>
        <w:rPr>
          <w:szCs w:val="28"/>
        </w:rPr>
        <w:tab/>
      </w:r>
      <w:r>
        <w:rPr>
          <w:szCs w:val="28"/>
        </w:rPr>
        <w:tab/>
        <w:t>14</w:t>
      </w:r>
      <w:r>
        <w:rPr>
          <w:szCs w:val="28"/>
        </w:rPr>
        <w:tab/>
        <w:t>-</w:t>
      </w:r>
      <w:r>
        <w:rPr>
          <w:szCs w:val="28"/>
        </w:rPr>
        <w:tab/>
        <w:t>17</w:t>
      </w:r>
      <w:r>
        <w:rPr>
          <w:szCs w:val="28"/>
        </w:rPr>
        <w:tab/>
      </w:r>
      <w:r w:rsidR="00BF5BA7">
        <w:rPr>
          <w:szCs w:val="28"/>
        </w:rPr>
        <w:t>6</w:t>
      </w:r>
    </w:p>
    <w:p w:rsidR="00AE1359" w:rsidRDefault="00AE1359"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5</w:t>
      </w:r>
      <w:r>
        <w:rPr>
          <w:szCs w:val="28"/>
        </w:rPr>
        <w:tab/>
      </w:r>
      <w:r>
        <w:rPr>
          <w:szCs w:val="28"/>
        </w:rPr>
        <w:tab/>
      </w:r>
      <w:r>
        <w:rPr>
          <w:szCs w:val="28"/>
        </w:rPr>
        <w:tab/>
        <w:t>18</w:t>
      </w:r>
      <w:r>
        <w:rPr>
          <w:szCs w:val="28"/>
        </w:rPr>
        <w:tab/>
      </w:r>
      <w:r>
        <w:rPr>
          <w:szCs w:val="28"/>
        </w:rPr>
        <w:tab/>
      </w:r>
      <w:r w:rsidR="00BF5BA7">
        <w:rPr>
          <w:szCs w:val="28"/>
        </w:rPr>
        <w:t>6</w:t>
      </w:r>
    </w:p>
    <w:p w:rsidR="00AE1359" w:rsidRDefault="00AE1359"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6</w:t>
      </w:r>
      <w:r>
        <w:rPr>
          <w:szCs w:val="28"/>
        </w:rPr>
        <w:tab/>
      </w:r>
      <w:r>
        <w:rPr>
          <w:szCs w:val="28"/>
        </w:rPr>
        <w:tab/>
        <w:t>19</w:t>
      </w:r>
      <w:r>
        <w:rPr>
          <w:szCs w:val="28"/>
        </w:rPr>
        <w:tab/>
        <w:t>-</w:t>
      </w:r>
      <w:r>
        <w:rPr>
          <w:szCs w:val="28"/>
        </w:rPr>
        <w:tab/>
      </w:r>
      <w:r w:rsidR="003332D2">
        <w:rPr>
          <w:szCs w:val="28"/>
        </w:rPr>
        <w:t>35</w:t>
      </w:r>
      <w:r>
        <w:rPr>
          <w:szCs w:val="28"/>
        </w:rPr>
        <w:tab/>
      </w:r>
      <w:r w:rsidR="00BF5BA7">
        <w:rPr>
          <w:szCs w:val="28"/>
        </w:rPr>
        <w:t>6</w:t>
      </w:r>
    </w:p>
    <w:p w:rsidR="003332D2" w:rsidRDefault="003332D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7</w:t>
      </w:r>
      <w:r>
        <w:rPr>
          <w:szCs w:val="28"/>
        </w:rPr>
        <w:tab/>
      </w:r>
      <w:r>
        <w:rPr>
          <w:szCs w:val="28"/>
        </w:rPr>
        <w:tab/>
        <w:t>36</w:t>
      </w:r>
      <w:r>
        <w:rPr>
          <w:szCs w:val="28"/>
        </w:rPr>
        <w:tab/>
        <w:t>-</w:t>
      </w:r>
      <w:r>
        <w:rPr>
          <w:szCs w:val="28"/>
        </w:rPr>
        <w:tab/>
        <w:t>38</w:t>
      </w:r>
      <w:r>
        <w:rPr>
          <w:szCs w:val="28"/>
        </w:rPr>
        <w:tab/>
      </w:r>
      <w:r w:rsidR="00BF5BA7">
        <w:rPr>
          <w:szCs w:val="28"/>
        </w:rPr>
        <w:t>9</w:t>
      </w:r>
    </w:p>
    <w:p w:rsidR="003332D2" w:rsidRDefault="003332D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8</w:t>
      </w:r>
      <w:r>
        <w:rPr>
          <w:szCs w:val="28"/>
        </w:rPr>
        <w:tab/>
      </w:r>
      <w:r>
        <w:rPr>
          <w:szCs w:val="28"/>
        </w:rPr>
        <w:tab/>
      </w:r>
      <w:r>
        <w:rPr>
          <w:szCs w:val="28"/>
        </w:rPr>
        <w:tab/>
        <w:t>39</w:t>
      </w:r>
      <w:r>
        <w:rPr>
          <w:szCs w:val="28"/>
        </w:rPr>
        <w:tab/>
      </w:r>
      <w:r>
        <w:rPr>
          <w:szCs w:val="28"/>
        </w:rPr>
        <w:tab/>
      </w:r>
      <w:r w:rsidR="00BF5BA7">
        <w:rPr>
          <w:szCs w:val="28"/>
        </w:rPr>
        <w:t>10</w:t>
      </w:r>
    </w:p>
    <w:p w:rsidR="003332D2" w:rsidRDefault="003332D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9</w:t>
      </w:r>
      <w:r>
        <w:rPr>
          <w:szCs w:val="28"/>
        </w:rPr>
        <w:tab/>
      </w:r>
      <w:r>
        <w:rPr>
          <w:szCs w:val="28"/>
        </w:rPr>
        <w:tab/>
      </w:r>
      <w:r>
        <w:rPr>
          <w:szCs w:val="28"/>
        </w:rPr>
        <w:tab/>
        <w:t>40</w:t>
      </w:r>
      <w:r>
        <w:rPr>
          <w:szCs w:val="28"/>
        </w:rPr>
        <w:tab/>
      </w:r>
      <w:r>
        <w:rPr>
          <w:szCs w:val="28"/>
        </w:rPr>
        <w:tab/>
      </w:r>
      <w:r w:rsidR="00BF5BA7">
        <w:rPr>
          <w:szCs w:val="28"/>
        </w:rPr>
        <w:t>10</w:t>
      </w:r>
    </w:p>
    <w:p w:rsidR="003332D2" w:rsidRDefault="003332D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10</w:t>
      </w:r>
      <w:r>
        <w:rPr>
          <w:szCs w:val="28"/>
        </w:rPr>
        <w:tab/>
      </w:r>
      <w:r>
        <w:rPr>
          <w:szCs w:val="28"/>
        </w:rPr>
        <w:tab/>
        <w:t>41</w:t>
      </w:r>
      <w:r>
        <w:rPr>
          <w:szCs w:val="28"/>
        </w:rPr>
        <w:tab/>
        <w:t>-</w:t>
      </w:r>
      <w:r>
        <w:rPr>
          <w:szCs w:val="28"/>
        </w:rPr>
        <w:tab/>
        <w:t>48</w:t>
      </w:r>
      <w:r>
        <w:rPr>
          <w:szCs w:val="28"/>
        </w:rPr>
        <w:tab/>
        <w:t>1</w:t>
      </w:r>
      <w:r w:rsidR="00BF5BA7">
        <w:rPr>
          <w:szCs w:val="28"/>
        </w:rPr>
        <w:t>1</w:t>
      </w:r>
    </w:p>
    <w:p w:rsidR="003332D2" w:rsidRDefault="003332D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11</w:t>
      </w:r>
      <w:r>
        <w:rPr>
          <w:szCs w:val="28"/>
        </w:rPr>
        <w:tab/>
      </w:r>
      <w:r>
        <w:rPr>
          <w:szCs w:val="28"/>
        </w:rPr>
        <w:tab/>
      </w:r>
      <w:r>
        <w:rPr>
          <w:szCs w:val="28"/>
        </w:rPr>
        <w:tab/>
        <w:t>49</w:t>
      </w:r>
      <w:r>
        <w:rPr>
          <w:szCs w:val="28"/>
        </w:rPr>
        <w:tab/>
      </w:r>
      <w:r>
        <w:rPr>
          <w:szCs w:val="28"/>
        </w:rPr>
        <w:tab/>
        <w:t>1</w:t>
      </w:r>
      <w:r w:rsidR="00BF5BA7">
        <w:rPr>
          <w:szCs w:val="28"/>
        </w:rPr>
        <w:t>2</w:t>
      </w:r>
    </w:p>
    <w:p w:rsidR="003332D2" w:rsidRDefault="003332D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12</w:t>
      </w:r>
      <w:r>
        <w:rPr>
          <w:szCs w:val="28"/>
        </w:rPr>
        <w:tab/>
      </w:r>
      <w:r>
        <w:rPr>
          <w:szCs w:val="28"/>
        </w:rPr>
        <w:tab/>
        <w:t>50</w:t>
      </w:r>
      <w:r>
        <w:rPr>
          <w:szCs w:val="28"/>
        </w:rPr>
        <w:tab/>
        <w:t>-</w:t>
      </w:r>
      <w:r>
        <w:rPr>
          <w:szCs w:val="28"/>
        </w:rPr>
        <w:tab/>
        <w:t>56</w:t>
      </w:r>
      <w:r>
        <w:rPr>
          <w:szCs w:val="28"/>
        </w:rPr>
        <w:tab/>
        <w:t>1</w:t>
      </w:r>
      <w:r w:rsidR="00BF5BA7">
        <w:rPr>
          <w:szCs w:val="28"/>
        </w:rPr>
        <w:t>2</w:t>
      </w:r>
    </w:p>
    <w:p w:rsidR="003332D2" w:rsidRDefault="003332D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13</w:t>
      </w:r>
      <w:r>
        <w:rPr>
          <w:szCs w:val="28"/>
        </w:rPr>
        <w:tab/>
      </w:r>
      <w:r>
        <w:rPr>
          <w:szCs w:val="28"/>
        </w:rPr>
        <w:tab/>
        <w:t>57</w:t>
      </w:r>
      <w:r>
        <w:rPr>
          <w:szCs w:val="28"/>
        </w:rPr>
        <w:tab/>
        <w:t>-</w:t>
      </w:r>
      <w:r>
        <w:rPr>
          <w:szCs w:val="28"/>
        </w:rPr>
        <w:tab/>
        <w:t>63</w:t>
      </w:r>
      <w:r>
        <w:rPr>
          <w:szCs w:val="28"/>
        </w:rPr>
        <w:tab/>
        <w:t>1</w:t>
      </w:r>
      <w:r w:rsidR="00BF5BA7">
        <w:rPr>
          <w:szCs w:val="28"/>
        </w:rPr>
        <w:t>4</w:t>
      </w:r>
    </w:p>
    <w:p w:rsidR="003332D2" w:rsidRDefault="003332D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14</w:t>
      </w:r>
      <w:r>
        <w:rPr>
          <w:szCs w:val="28"/>
        </w:rPr>
        <w:tab/>
      </w:r>
      <w:r>
        <w:rPr>
          <w:szCs w:val="28"/>
        </w:rPr>
        <w:tab/>
      </w:r>
      <w:r>
        <w:rPr>
          <w:szCs w:val="28"/>
        </w:rPr>
        <w:tab/>
        <w:t>64</w:t>
      </w:r>
      <w:r>
        <w:rPr>
          <w:szCs w:val="28"/>
        </w:rPr>
        <w:tab/>
      </w:r>
      <w:r>
        <w:rPr>
          <w:szCs w:val="28"/>
        </w:rPr>
        <w:tab/>
        <w:t>1</w:t>
      </w:r>
      <w:r w:rsidR="00BF5BA7">
        <w:rPr>
          <w:szCs w:val="28"/>
        </w:rPr>
        <w:t>5</w:t>
      </w:r>
    </w:p>
    <w:p w:rsidR="00835E02" w:rsidRDefault="00835E0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15</w:t>
      </w:r>
      <w:r>
        <w:rPr>
          <w:szCs w:val="28"/>
        </w:rPr>
        <w:tab/>
      </w:r>
      <w:r>
        <w:rPr>
          <w:szCs w:val="28"/>
        </w:rPr>
        <w:tab/>
      </w:r>
      <w:r>
        <w:rPr>
          <w:szCs w:val="28"/>
        </w:rPr>
        <w:tab/>
        <w:t>65</w:t>
      </w:r>
      <w:r>
        <w:rPr>
          <w:szCs w:val="28"/>
        </w:rPr>
        <w:tab/>
      </w:r>
      <w:r>
        <w:rPr>
          <w:szCs w:val="28"/>
        </w:rPr>
        <w:tab/>
        <w:t>1</w:t>
      </w:r>
      <w:r w:rsidR="007B0EB2">
        <w:rPr>
          <w:szCs w:val="28"/>
        </w:rPr>
        <w:t>5</w:t>
      </w:r>
    </w:p>
    <w:p w:rsidR="00835E02" w:rsidRDefault="00835E0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16</w:t>
      </w:r>
      <w:r>
        <w:rPr>
          <w:szCs w:val="28"/>
        </w:rPr>
        <w:tab/>
      </w:r>
      <w:r>
        <w:rPr>
          <w:szCs w:val="28"/>
        </w:rPr>
        <w:tab/>
      </w:r>
      <w:r>
        <w:rPr>
          <w:szCs w:val="28"/>
        </w:rPr>
        <w:tab/>
        <w:t>66</w:t>
      </w:r>
      <w:r>
        <w:rPr>
          <w:szCs w:val="28"/>
        </w:rPr>
        <w:tab/>
      </w:r>
      <w:r>
        <w:rPr>
          <w:szCs w:val="28"/>
        </w:rPr>
        <w:tab/>
        <w:t>1</w:t>
      </w:r>
      <w:r w:rsidR="007B0EB2">
        <w:rPr>
          <w:szCs w:val="28"/>
        </w:rPr>
        <w:t>5</w:t>
      </w:r>
    </w:p>
    <w:p w:rsidR="00835E02" w:rsidRDefault="00835E0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17</w:t>
      </w:r>
      <w:r>
        <w:rPr>
          <w:szCs w:val="28"/>
        </w:rPr>
        <w:tab/>
      </w:r>
      <w:r>
        <w:rPr>
          <w:szCs w:val="28"/>
        </w:rPr>
        <w:tab/>
      </w:r>
      <w:r>
        <w:rPr>
          <w:szCs w:val="28"/>
        </w:rPr>
        <w:tab/>
        <w:t>67</w:t>
      </w:r>
      <w:r>
        <w:rPr>
          <w:szCs w:val="28"/>
        </w:rPr>
        <w:tab/>
      </w:r>
      <w:r>
        <w:rPr>
          <w:szCs w:val="28"/>
        </w:rPr>
        <w:tab/>
        <w:t>1</w:t>
      </w:r>
      <w:r w:rsidR="007B0EB2">
        <w:rPr>
          <w:szCs w:val="28"/>
        </w:rPr>
        <w:t>5</w:t>
      </w:r>
    </w:p>
    <w:p w:rsidR="00835E02" w:rsidRDefault="00835E0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18</w:t>
      </w:r>
      <w:r>
        <w:rPr>
          <w:szCs w:val="28"/>
        </w:rPr>
        <w:tab/>
      </w:r>
      <w:r>
        <w:rPr>
          <w:szCs w:val="28"/>
        </w:rPr>
        <w:tab/>
      </w:r>
      <w:r>
        <w:rPr>
          <w:szCs w:val="28"/>
        </w:rPr>
        <w:tab/>
        <w:t>68</w:t>
      </w:r>
      <w:r>
        <w:rPr>
          <w:szCs w:val="28"/>
        </w:rPr>
        <w:tab/>
      </w:r>
      <w:r>
        <w:rPr>
          <w:szCs w:val="28"/>
        </w:rPr>
        <w:tab/>
        <w:t>1</w:t>
      </w:r>
      <w:r w:rsidR="007B0EB2">
        <w:rPr>
          <w:szCs w:val="28"/>
        </w:rPr>
        <w:t>5</w:t>
      </w:r>
    </w:p>
    <w:p w:rsidR="00835E02" w:rsidRDefault="00835E0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19</w:t>
      </w:r>
      <w:r>
        <w:rPr>
          <w:szCs w:val="28"/>
        </w:rPr>
        <w:tab/>
      </w:r>
      <w:r>
        <w:rPr>
          <w:szCs w:val="28"/>
        </w:rPr>
        <w:tab/>
      </w:r>
      <w:r>
        <w:rPr>
          <w:szCs w:val="28"/>
        </w:rPr>
        <w:tab/>
        <w:t>69</w:t>
      </w:r>
      <w:r>
        <w:rPr>
          <w:szCs w:val="28"/>
        </w:rPr>
        <w:tab/>
      </w:r>
      <w:r>
        <w:rPr>
          <w:szCs w:val="28"/>
        </w:rPr>
        <w:tab/>
        <w:t>1</w:t>
      </w:r>
      <w:r w:rsidR="007B0EB2">
        <w:rPr>
          <w:szCs w:val="28"/>
        </w:rPr>
        <w:t>5</w:t>
      </w:r>
    </w:p>
    <w:p w:rsidR="00835E02" w:rsidRDefault="00835E0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20</w:t>
      </w:r>
      <w:r>
        <w:rPr>
          <w:szCs w:val="28"/>
        </w:rPr>
        <w:tab/>
      </w:r>
      <w:r>
        <w:rPr>
          <w:szCs w:val="28"/>
        </w:rPr>
        <w:tab/>
      </w:r>
      <w:r>
        <w:rPr>
          <w:szCs w:val="28"/>
        </w:rPr>
        <w:tab/>
        <w:t>70</w:t>
      </w:r>
      <w:r>
        <w:rPr>
          <w:szCs w:val="28"/>
        </w:rPr>
        <w:tab/>
      </w:r>
      <w:r>
        <w:rPr>
          <w:szCs w:val="28"/>
        </w:rPr>
        <w:tab/>
        <w:t>1</w:t>
      </w:r>
      <w:r w:rsidR="007B0EB2">
        <w:rPr>
          <w:szCs w:val="28"/>
        </w:rPr>
        <w:t>5</w:t>
      </w:r>
    </w:p>
    <w:p w:rsidR="00835E02" w:rsidRDefault="00835E0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21</w:t>
      </w:r>
      <w:r>
        <w:rPr>
          <w:szCs w:val="28"/>
        </w:rPr>
        <w:tab/>
      </w:r>
      <w:r>
        <w:rPr>
          <w:szCs w:val="28"/>
        </w:rPr>
        <w:tab/>
      </w:r>
      <w:r>
        <w:rPr>
          <w:szCs w:val="28"/>
        </w:rPr>
        <w:tab/>
        <w:t>71</w:t>
      </w:r>
      <w:r>
        <w:rPr>
          <w:szCs w:val="28"/>
        </w:rPr>
        <w:tab/>
      </w:r>
      <w:r>
        <w:rPr>
          <w:szCs w:val="28"/>
        </w:rPr>
        <w:tab/>
        <w:t>1</w:t>
      </w:r>
      <w:r w:rsidR="007B0EB2">
        <w:rPr>
          <w:szCs w:val="28"/>
        </w:rPr>
        <w:t>5</w:t>
      </w:r>
    </w:p>
    <w:p w:rsidR="00835E02" w:rsidRDefault="00835E0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22</w:t>
      </w:r>
      <w:r>
        <w:rPr>
          <w:szCs w:val="28"/>
        </w:rPr>
        <w:tab/>
      </w:r>
      <w:r>
        <w:rPr>
          <w:szCs w:val="28"/>
        </w:rPr>
        <w:tab/>
      </w:r>
      <w:r>
        <w:rPr>
          <w:szCs w:val="28"/>
        </w:rPr>
        <w:tab/>
        <w:t>72</w:t>
      </w:r>
      <w:r>
        <w:rPr>
          <w:szCs w:val="28"/>
        </w:rPr>
        <w:tab/>
      </w:r>
      <w:r>
        <w:rPr>
          <w:szCs w:val="28"/>
        </w:rPr>
        <w:tab/>
        <w:t>1</w:t>
      </w:r>
      <w:r w:rsidR="007B0EB2">
        <w:rPr>
          <w:szCs w:val="28"/>
        </w:rPr>
        <w:t>5</w:t>
      </w:r>
    </w:p>
    <w:p w:rsidR="00213DE5" w:rsidRPr="00213DE5" w:rsidRDefault="00213DE5" w:rsidP="007B0EB2">
      <w:pPr>
        <w:tabs>
          <w:tab w:val="right" w:pos="8280"/>
        </w:tabs>
        <w:spacing w:after="240"/>
        <w:jc w:val="center"/>
        <w:rPr>
          <w:szCs w:val="28"/>
        </w:rPr>
      </w:pPr>
      <w:r>
        <w:rPr>
          <w:b/>
          <w:szCs w:val="28"/>
        </w:rPr>
        <w:t xml:space="preserve">ÍNDICE </w:t>
      </w:r>
      <w:r>
        <w:rPr>
          <w:szCs w:val="28"/>
        </w:rPr>
        <w:t>(</w:t>
      </w:r>
      <w:r>
        <w:rPr>
          <w:i/>
          <w:szCs w:val="28"/>
        </w:rPr>
        <w:t>continuación</w:t>
      </w:r>
      <w:r>
        <w:rPr>
          <w:szCs w:val="28"/>
        </w:rPr>
        <w:t>)</w:t>
      </w:r>
    </w:p>
    <w:p w:rsidR="00213DE5" w:rsidRDefault="00213DE5" w:rsidP="007B0EB2">
      <w:pPr>
        <w:tabs>
          <w:tab w:val="right" w:pos="8280"/>
        </w:tabs>
        <w:spacing w:after="240"/>
        <w:jc w:val="right"/>
        <w:rPr>
          <w:i/>
          <w:szCs w:val="28"/>
        </w:rPr>
      </w:pPr>
      <w:r>
        <w:rPr>
          <w:i/>
          <w:szCs w:val="28"/>
        </w:rPr>
        <w:t>Párrafos     Página</w:t>
      </w:r>
    </w:p>
    <w:p w:rsidR="00835E02" w:rsidRDefault="00835E0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23</w:t>
      </w:r>
      <w:r>
        <w:rPr>
          <w:szCs w:val="28"/>
        </w:rPr>
        <w:tab/>
      </w:r>
      <w:r>
        <w:rPr>
          <w:szCs w:val="28"/>
        </w:rPr>
        <w:tab/>
        <w:t>73</w:t>
      </w:r>
      <w:r>
        <w:rPr>
          <w:szCs w:val="28"/>
        </w:rPr>
        <w:tab/>
        <w:t>-</w:t>
      </w:r>
      <w:r>
        <w:rPr>
          <w:szCs w:val="28"/>
        </w:rPr>
        <w:tab/>
        <w:t>75</w:t>
      </w:r>
      <w:r>
        <w:rPr>
          <w:szCs w:val="28"/>
        </w:rPr>
        <w:tab/>
      </w:r>
      <w:r w:rsidR="007B0EB2">
        <w:rPr>
          <w:szCs w:val="28"/>
        </w:rPr>
        <w:t>15</w:t>
      </w:r>
    </w:p>
    <w:p w:rsidR="00835E02" w:rsidRDefault="00835E0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24</w:t>
      </w:r>
      <w:r>
        <w:rPr>
          <w:szCs w:val="28"/>
        </w:rPr>
        <w:tab/>
      </w:r>
      <w:r>
        <w:rPr>
          <w:szCs w:val="28"/>
        </w:rPr>
        <w:tab/>
        <w:t>76</w:t>
      </w:r>
      <w:r>
        <w:rPr>
          <w:szCs w:val="28"/>
        </w:rPr>
        <w:tab/>
        <w:t>-</w:t>
      </w:r>
      <w:r>
        <w:rPr>
          <w:szCs w:val="28"/>
        </w:rPr>
        <w:tab/>
        <w:t>80</w:t>
      </w:r>
      <w:r>
        <w:rPr>
          <w:szCs w:val="28"/>
        </w:rPr>
        <w:tab/>
      </w:r>
      <w:r w:rsidR="007B0EB2">
        <w:rPr>
          <w:szCs w:val="28"/>
        </w:rPr>
        <w:t>16</w:t>
      </w:r>
    </w:p>
    <w:p w:rsidR="00835E02" w:rsidRDefault="00835E0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25</w:t>
      </w:r>
      <w:r>
        <w:rPr>
          <w:szCs w:val="28"/>
        </w:rPr>
        <w:tab/>
      </w:r>
      <w:r>
        <w:rPr>
          <w:szCs w:val="28"/>
        </w:rPr>
        <w:tab/>
      </w:r>
      <w:r>
        <w:rPr>
          <w:szCs w:val="28"/>
        </w:rPr>
        <w:tab/>
        <w:t>81</w:t>
      </w:r>
      <w:r>
        <w:rPr>
          <w:szCs w:val="28"/>
        </w:rPr>
        <w:tab/>
      </w:r>
      <w:r>
        <w:rPr>
          <w:szCs w:val="28"/>
        </w:rPr>
        <w:tab/>
      </w:r>
      <w:r w:rsidR="007B0EB2">
        <w:rPr>
          <w:szCs w:val="28"/>
        </w:rPr>
        <w:t>17</w:t>
      </w:r>
    </w:p>
    <w:p w:rsidR="00835E02" w:rsidRDefault="00835E0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26</w:t>
      </w:r>
      <w:r>
        <w:rPr>
          <w:szCs w:val="28"/>
        </w:rPr>
        <w:tab/>
      </w:r>
      <w:r>
        <w:rPr>
          <w:szCs w:val="28"/>
        </w:rPr>
        <w:tab/>
        <w:t>82</w:t>
      </w:r>
      <w:r>
        <w:rPr>
          <w:szCs w:val="28"/>
        </w:rPr>
        <w:tab/>
        <w:t>-</w:t>
      </w:r>
      <w:r>
        <w:rPr>
          <w:szCs w:val="28"/>
        </w:rPr>
        <w:tab/>
        <w:t>85</w:t>
      </w:r>
      <w:r>
        <w:rPr>
          <w:szCs w:val="28"/>
        </w:rPr>
        <w:tab/>
      </w:r>
      <w:r w:rsidR="007B0EB2">
        <w:rPr>
          <w:szCs w:val="28"/>
        </w:rPr>
        <w:t>17</w:t>
      </w:r>
    </w:p>
    <w:p w:rsidR="00835E02" w:rsidRDefault="00835E02"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Artículo 27</w:t>
      </w:r>
      <w:r>
        <w:rPr>
          <w:szCs w:val="28"/>
        </w:rPr>
        <w:tab/>
      </w:r>
      <w:r>
        <w:rPr>
          <w:szCs w:val="28"/>
        </w:rPr>
        <w:tab/>
      </w:r>
      <w:r>
        <w:rPr>
          <w:szCs w:val="28"/>
        </w:rPr>
        <w:tab/>
        <w:t>86</w:t>
      </w:r>
      <w:r>
        <w:rPr>
          <w:szCs w:val="28"/>
        </w:rPr>
        <w:tab/>
      </w:r>
      <w:r>
        <w:rPr>
          <w:szCs w:val="28"/>
        </w:rPr>
        <w:tab/>
      </w:r>
      <w:r w:rsidR="007B0EB2">
        <w:rPr>
          <w:szCs w:val="28"/>
        </w:rPr>
        <w:t>17</w:t>
      </w:r>
    </w:p>
    <w:p w:rsidR="003332D2" w:rsidRDefault="00213DE5" w:rsidP="007B0EB2">
      <w:pPr>
        <w:tabs>
          <w:tab w:val="left" w:pos="546"/>
          <w:tab w:val="left" w:pos="1304"/>
          <w:tab w:val="left" w:pos="1440"/>
          <w:tab w:val="right" w:leader="dot" w:pos="7285"/>
          <w:tab w:val="right" w:pos="7835"/>
          <w:tab w:val="center" w:pos="7920"/>
          <w:tab w:val="right" w:pos="8280"/>
          <w:tab w:val="right" w:pos="9099"/>
        </w:tabs>
        <w:spacing w:after="240"/>
        <w:rPr>
          <w:szCs w:val="28"/>
        </w:rPr>
      </w:pPr>
      <w:r>
        <w:rPr>
          <w:szCs w:val="28"/>
        </w:rPr>
        <w:tab/>
        <w:t>Información y recomendaciones del Comité de Derechos Humanos</w:t>
      </w:r>
      <w:r>
        <w:rPr>
          <w:szCs w:val="28"/>
        </w:rPr>
        <w:tab/>
      </w:r>
      <w:r>
        <w:rPr>
          <w:szCs w:val="28"/>
        </w:rPr>
        <w:tab/>
        <w:t>87</w:t>
      </w:r>
      <w:r>
        <w:rPr>
          <w:szCs w:val="28"/>
        </w:rPr>
        <w:tab/>
        <w:t>-</w:t>
      </w:r>
      <w:r>
        <w:rPr>
          <w:szCs w:val="28"/>
        </w:rPr>
        <w:tab/>
        <w:t>98</w:t>
      </w:r>
      <w:r>
        <w:rPr>
          <w:szCs w:val="28"/>
        </w:rPr>
        <w:tab/>
      </w:r>
      <w:r w:rsidR="007B0EB2">
        <w:rPr>
          <w:szCs w:val="28"/>
        </w:rPr>
        <w:t>17</w:t>
      </w:r>
    </w:p>
    <w:p w:rsidR="00213DE5" w:rsidRDefault="00213DE5" w:rsidP="007B0EB2">
      <w:pPr>
        <w:tabs>
          <w:tab w:val="left" w:pos="546"/>
          <w:tab w:val="left" w:pos="1304"/>
          <w:tab w:val="left" w:pos="1440"/>
          <w:tab w:val="right" w:leader="dot" w:pos="8160"/>
          <w:tab w:val="right" w:pos="8280"/>
          <w:tab w:val="right" w:pos="9099"/>
        </w:tabs>
        <w:spacing w:after="240"/>
        <w:rPr>
          <w:szCs w:val="28"/>
        </w:rPr>
      </w:pPr>
      <w:r w:rsidRPr="007B0EB2">
        <w:rPr>
          <w:i/>
          <w:szCs w:val="28"/>
        </w:rPr>
        <w:t>Anexo 1</w:t>
      </w:r>
      <w:r>
        <w:rPr>
          <w:szCs w:val="28"/>
        </w:rPr>
        <w:t>.  Indicadores demográficos fundamentales</w:t>
      </w:r>
      <w:r>
        <w:rPr>
          <w:szCs w:val="28"/>
        </w:rPr>
        <w:tab/>
      </w:r>
      <w:r>
        <w:rPr>
          <w:szCs w:val="28"/>
        </w:rPr>
        <w:tab/>
      </w:r>
      <w:r w:rsidR="007B0EB2">
        <w:rPr>
          <w:szCs w:val="28"/>
        </w:rPr>
        <w:tab/>
      </w:r>
      <w:r>
        <w:rPr>
          <w:szCs w:val="28"/>
        </w:rPr>
        <w:t>19</w:t>
      </w:r>
    </w:p>
    <w:p w:rsidR="006F5694" w:rsidRPr="007C4F31" w:rsidRDefault="006F5694" w:rsidP="006F5694">
      <w:pPr>
        <w:tabs>
          <w:tab w:val="right" w:pos="567"/>
          <w:tab w:val="left" w:pos="850"/>
          <w:tab w:val="left" w:pos="1304"/>
          <w:tab w:val="left" w:pos="1701"/>
          <w:tab w:val="right" w:leader="dot" w:pos="7285"/>
          <w:tab w:val="right" w:pos="7835"/>
          <w:tab w:val="center" w:pos="7920"/>
          <w:tab w:val="right" w:pos="8357"/>
          <w:tab w:val="right" w:pos="9099"/>
        </w:tabs>
        <w:spacing w:after="240"/>
        <w:rPr>
          <w:szCs w:val="28"/>
        </w:rPr>
      </w:pPr>
    </w:p>
    <w:p w:rsidR="006F5694" w:rsidRPr="00B43F6F" w:rsidRDefault="006F5694" w:rsidP="006F5694">
      <w:pPr>
        <w:spacing w:after="240"/>
        <w:jc w:val="center"/>
        <w:rPr>
          <w:b/>
          <w:bCs/>
          <w:iCs/>
          <w:szCs w:val="28"/>
        </w:rPr>
      </w:pPr>
      <w:r w:rsidRPr="00E86C37">
        <w:rPr>
          <w:szCs w:val="28"/>
        </w:rPr>
        <w:br w:type="page"/>
      </w:r>
      <w:r w:rsidRPr="00B43F6F">
        <w:rPr>
          <w:b/>
          <w:szCs w:val="28"/>
        </w:rPr>
        <w:t>I</w:t>
      </w:r>
      <w:r w:rsidRPr="00B43F6F">
        <w:rPr>
          <w:b/>
          <w:bCs/>
          <w:iCs/>
          <w:szCs w:val="28"/>
        </w:rPr>
        <w:t>NTRODUCCIÓN</w:t>
      </w:r>
    </w:p>
    <w:p w:rsidR="006F5694" w:rsidRDefault="006F5694" w:rsidP="006F5694">
      <w:pPr>
        <w:spacing w:after="240"/>
        <w:rPr>
          <w:szCs w:val="28"/>
        </w:rPr>
      </w:pPr>
      <w:r w:rsidRPr="00E86C37">
        <w:rPr>
          <w:szCs w:val="28"/>
        </w:rPr>
        <w:t>1.</w:t>
      </w:r>
      <w:r w:rsidRPr="00E86C37">
        <w:rPr>
          <w:szCs w:val="28"/>
        </w:rPr>
        <w:tab/>
        <w:t>Aruba es una isla del sur del Caribe que tiene una superficie de 193 k</w:t>
      </w:r>
      <w:r>
        <w:rPr>
          <w:szCs w:val="28"/>
        </w:rPr>
        <w:t>m</w:t>
      </w:r>
      <w:r w:rsidRPr="00B43F6F">
        <w:rPr>
          <w:szCs w:val="28"/>
          <w:vertAlign w:val="superscript"/>
        </w:rPr>
        <w:t>2</w:t>
      </w:r>
      <w:r w:rsidRPr="00E86C37">
        <w:rPr>
          <w:szCs w:val="28"/>
        </w:rPr>
        <w:t xml:space="preserve"> </w:t>
      </w:r>
      <w:r>
        <w:rPr>
          <w:szCs w:val="28"/>
        </w:rPr>
        <w:t>y algo más de </w:t>
      </w:r>
      <w:r w:rsidRPr="00E86C37">
        <w:rPr>
          <w:szCs w:val="28"/>
        </w:rPr>
        <w:t>100.000 habitantes</w:t>
      </w:r>
      <w:r>
        <w:rPr>
          <w:szCs w:val="28"/>
        </w:rPr>
        <w:t xml:space="preserve">.  </w:t>
      </w:r>
      <w:r w:rsidRPr="00E86C37">
        <w:rPr>
          <w:szCs w:val="28"/>
        </w:rPr>
        <w:t>El Jefe de Estado es la Reina de los Países Bajos, que está representada por un Gobernador</w:t>
      </w:r>
      <w:r>
        <w:rPr>
          <w:szCs w:val="28"/>
        </w:rPr>
        <w:t xml:space="preserve">.  </w:t>
      </w:r>
      <w:r w:rsidRPr="00E86C37">
        <w:rPr>
          <w:szCs w:val="28"/>
        </w:rPr>
        <w:t xml:space="preserve">El poder ejecutivo lo ejerce un Consejo de Ministros de </w:t>
      </w:r>
      <w:r>
        <w:rPr>
          <w:szCs w:val="28"/>
        </w:rPr>
        <w:t>8</w:t>
      </w:r>
      <w:r w:rsidRPr="00E86C37">
        <w:rPr>
          <w:szCs w:val="28"/>
        </w:rPr>
        <w:t xml:space="preserve"> miembros bajo la autoridad de un Parlamento de 21 miembros designados en elecciones generales por un sistema de representación proporcional cada cuatro años, en un sistema multipartidista</w:t>
      </w:r>
      <w:r>
        <w:rPr>
          <w:szCs w:val="28"/>
        </w:rPr>
        <w:t xml:space="preserve">.  </w:t>
      </w:r>
      <w:r w:rsidRPr="00E86C37">
        <w:rPr>
          <w:szCs w:val="28"/>
        </w:rPr>
        <w:t>El Gobernador y el Consejo de Ministros constituyen el Gobierno de Aruba.</w:t>
      </w:r>
    </w:p>
    <w:p w:rsidR="006F5694" w:rsidRDefault="006F5694" w:rsidP="006F5694">
      <w:pPr>
        <w:spacing w:after="240"/>
        <w:rPr>
          <w:szCs w:val="28"/>
        </w:rPr>
      </w:pPr>
      <w:r w:rsidRPr="00E86C37">
        <w:rPr>
          <w:szCs w:val="28"/>
        </w:rPr>
        <w:t>2.</w:t>
      </w:r>
      <w:r w:rsidRPr="00E86C37">
        <w:rPr>
          <w:szCs w:val="28"/>
        </w:rPr>
        <w:tab/>
        <w:t>E</w:t>
      </w:r>
      <w:r>
        <w:rPr>
          <w:szCs w:val="28"/>
        </w:rPr>
        <w:t>ste</w:t>
      </w:r>
      <w:r w:rsidRPr="00E86C37">
        <w:rPr>
          <w:szCs w:val="28"/>
        </w:rPr>
        <w:t xml:space="preserve"> informe se presenta a tenor de lo dispuesto en el </w:t>
      </w:r>
      <w:r>
        <w:rPr>
          <w:szCs w:val="28"/>
        </w:rPr>
        <w:t>a</w:t>
      </w:r>
      <w:r w:rsidRPr="00E86C37">
        <w:rPr>
          <w:szCs w:val="28"/>
        </w:rPr>
        <w:t>rtículo 40 del Pacto Internacional de Derechos Civil</w:t>
      </w:r>
      <w:r>
        <w:rPr>
          <w:szCs w:val="28"/>
        </w:rPr>
        <w:t xml:space="preserve">es y Políticos y es conforme a </w:t>
      </w:r>
      <w:r w:rsidRPr="00E86C37">
        <w:rPr>
          <w:szCs w:val="28"/>
        </w:rPr>
        <w:t xml:space="preserve">las directrices para la presentación de informes periódicos y las </w:t>
      </w:r>
      <w:r>
        <w:rPr>
          <w:szCs w:val="28"/>
        </w:rPr>
        <w:t>o</w:t>
      </w:r>
      <w:r w:rsidRPr="00E86C37">
        <w:rPr>
          <w:szCs w:val="28"/>
        </w:rPr>
        <w:t xml:space="preserve">bservaciones </w:t>
      </w:r>
      <w:r>
        <w:rPr>
          <w:szCs w:val="28"/>
        </w:rPr>
        <w:t>g</w:t>
      </w:r>
      <w:r w:rsidRPr="00E86C37">
        <w:rPr>
          <w:szCs w:val="28"/>
        </w:rPr>
        <w:t>enerales adoptadas por el Comité de Derechos Humanos</w:t>
      </w:r>
      <w:r>
        <w:rPr>
          <w:szCs w:val="28"/>
        </w:rPr>
        <w:t xml:space="preserve">.  El presente </w:t>
      </w:r>
      <w:r w:rsidRPr="00E86C37">
        <w:rPr>
          <w:szCs w:val="28"/>
        </w:rPr>
        <w:t xml:space="preserve">informe </w:t>
      </w:r>
      <w:r>
        <w:rPr>
          <w:szCs w:val="28"/>
        </w:rPr>
        <w:t>periódico (sexto) abarca el período comprendido entre enero de </w:t>
      </w:r>
      <w:r w:rsidRPr="00E86C37">
        <w:rPr>
          <w:szCs w:val="28"/>
        </w:rPr>
        <w:t>2001 y diciembre de 2005</w:t>
      </w:r>
      <w:r>
        <w:rPr>
          <w:szCs w:val="28"/>
        </w:rPr>
        <w:t xml:space="preserve">.  </w:t>
      </w:r>
      <w:r w:rsidRPr="00E86C37">
        <w:rPr>
          <w:szCs w:val="28"/>
        </w:rPr>
        <w:t>Incluye igualmente información relativa a las recomendaciones del Comité de Derechos Humanos adoptadas en agosto de 2001(</w:t>
      </w:r>
      <w:proofErr w:type="spellStart"/>
      <w:r w:rsidRPr="00E86C37">
        <w:rPr>
          <w:szCs w:val="28"/>
        </w:rPr>
        <w:t>CCPR</w:t>
      </w:r>
      <w:proofErr w:type="spellEnd"/>
      <w:r w:rsidRPr="00E86C37">
        <w:rPr>
          <w:szCs w:val="28"/>
        </w:rPr>
        <w:t>/CO/72/NET)</w:t>
      </w:r>
      <w:r>
        <w:rPr>
          <w:szCs w:val="28"/>
        </w:rPr>
        <w:t xml:space="preserve">.  </w:t>
      </w:r>
      <w:r w:rsidRPr="00E86C37">
        <w:rPr>
          <w:szCs w:val="28"/>
        </w:rPr>
        <w:t xml:space="preserve">No se desarrollan los temas que ya fueron tratados en informes anteriores y que no han cambiado durante el </w:t>
      </w:r>
      <w:r>
        <w:rPr>
          <w:szCs w:val="28"/>
        </w:rPr>
        <w:t>período</w:t>
      </w:r>
      <w:r w:rsidRPr="00E86C37">
        <w:rPr>
          <w:szCs w:val="28"/>
        </w:rPr>
        <w:t xml:space="preserve"> considerado.</w:t>
      </w:r>
    </w:p>
    <w:p w:rsidR="006F5694" w:rsidRPr="00B43F6F" w:rsidRDefault="006F5694" w:rsidP="006F5694">
      <w:pPr>
        <w:spacing w:after="240"/>
        <w:rPr>
          <w:b/>
          <w:bCs/>
          <w:iCs/>
          <w:szCs w:val="28"/>
        </w:rPr>
      </w:pPr>
      <w:r w:rsidRPr="00B43F6F">
        <w:rPr>
          <w:b/>
          <w:bCs/>
          <w:iCs/>
          <w:szCs w:val="28"/>
        </w:rPr>
        <w:t>Artículo 1</w:t>
      </w:r>
      <w:r>
        <w:rPr>
          <w:b/>
          <w:bCs/>
          <w:iCs/>
          <w:szCs w:val="28"/>
        </w:rPr>
        <w:t xml:space="preserve">. </w:t>
      </w:r>
      <w:r w:rsidRPr="00B43F6F">
        <w:rPr>
          <w:b/>
          <w:bCs/>
          <w:iCs/>
          <w:szCs w:val="28"/>
        </w:rPr>
        <w:t xml:space="preserve"> Derecho de libre determinación</w:t>
      </w:r>
    </w:p>
    <w:p w:rsidR="006F5694" w:rsidRDefault="006F5694" w:rsidP="006F5694">
      <w:pPr>
        <w:spacing w:after="240"/>
        <w:rPr>
          <w:szCs w:val="28"/>
        </w:rPr>
      </w:pPr>
      <w:r>
        <w:rPr>
          <w:szCs w:val="28"/>
        </w:rPr>
        <w:t>3.</w:t>
      </w:r>
      <w:r>
        <w:rPr>
          <w:szCs w:val="28"/>
        </w:rPr>
        <w:tab/>
        <w:t xml:space="preserve">Véase el </w:t>
      </w:r>
      <w:r w:rsidRPr="00E86C37">
        <w:rPr>
          <w:szCs w:val="28"/>
        </w:rPr>
        <w:t>informe de los Países Bajos (la parte europea del Reino), párrafos 4 y 5 (</w:t>
      </w:r>
      <w:proofErr w:type="spellStart"/>
      <w:r w:rsidRPr="00E86C37">
        <w:rPr>
          <w:szCs w:val="28"/>
        </w:rPr>
        <w:t>CCPR</w:t>
      </w:r>
      <w:proofErr w:type="spellEnd"/>
      <w:r w:rsidRPr="00E86C37">
        <w:rPr>
          <w:szCs w:val="28"/>
        </w:rPr>
        <w:t>/C/NET/99/3/</w:t>
      </w:r>
      <w:proofErr w:type="spellStart"/>
      <w:r w:rsidRPr="00E86C37">
        <w:rPr>
          <w:szCs w:val="28"/>
        </w:rPr>
        <w:t>Add</w:t>
      </w:r>
      <w:proofErr w:type="spellEnd"/>
      <w:r w:rsidRPr="00E86C37">
        <w:rPr>
          <w:szCs w:val="28"/>
        </w:rPr>
        <w:t>.1)</w:t>
      </w:r>
      <w:r>
        <w:rPr>
          <w:szCs w:val="28"/>
        </w:rPr>
        <w:t xml:space="preserve">.  </w:t>
      </w:r>
    </w:p>
    <w:p w:rsidR="006F5694" w:rsidRPr="000B5A8D" w:rsidRDefault="006F5694" w:rsidP="006F5694">
      <w:pPr>
        <w:spacing w:after="240"/>
        <w:rPr>
          <w:b/>
          <w:bCs/>
          <w:iCs/>
          <w:szCs w:val="28"/>
        </w:rPr>
      </w:pPr>
      <w:r w:rsidRPr="000B5A8D">
        <w:rPr>
          <w:b/>
          <w:bCs/>
          <w:iCs/>
          <w:szCs w:val="28"/>
        </w:rPr>
        <w:t>Artículo 2</w:t>
      </w:r>
      <w:r>
        <w:rPr>
          <w:b/>
          <w:bCs/>
          <w:iCs/>
          <w:szCs w:val="28"/>
        </w:rPr>
        <w:t>.</w:t>
      </w:r>
      <w:r w:rsidRPr="000B5A8D">
        <w:rPr>
          <w:b/>
          <w:bCs/>
          <w:iCs/>
          <w:szCs w:val="28"/>
        </w:rPr>
        <w:t xml:space="preserve">  No discriminación</w:t>
      </w:r>
    </w:p>
    <w:p w:rsidR="006F5694" w:rsidRPr="000B5A8D" w:rsidRDefault="006F5694" w:rsidP="006F5694">
      <w:pPr>
        <w:spacing w:after="240"/>
        <w:ind w:firstLine="567"/>
        <w:rPr>
          <w:b/>
          <w:bCs/>
          <w:szCs w:val="28"/>
        </w:rPr>
      </w:pPr>
      <w:r w:rsidRPr="000B5A8D">
        <w:rPr>
          <w:b/>
          <w:bCs/>
          <w:szCs w:val="28"/>
        </w:rPr>
        <w:t xml:space="preserve">Ordenanza </w:t>
      </w:r>
      <w:r>
        <w:rPr>
          <w:b/>
          <w:bCs/>
          <w:szCs w:val="28"/>
        </w:rPr>
        <w:t>n</w:t>
      </w:r>
      <w:r w:rsidRPr="000B5A8D">
        <w:rPr>
          <w:b/>
          <w:bCs/>
          <w:szCs w:val="28"/>
        </w:rPr>
        <w:t xml:space="preserve">acional de </w:t>
      </w:r>
      <w:r>
        <w:rPr>
          <w:b/>
          <w:bCs/>
          <w:szCs w:val="28"/>
        </w:rPr>
        <w:t>d</w:t>
      </w:r>
      <w:r w:rsidRPr="000B5A8D">
        <w:rPr>
          <w:b/>
          <w:bCs/>
          <w:szCs w:val="28"/>
        </w:rPr>
        <w:t xml:space="preserve">erecho </w:t>
      </w:r>
      <w:r>
        <w:rPr>
          <w:b/>
          <w:bCs/>
          <w:szCs w:val="28"/>
        </w:rPr>
        <w:t>a</w:t>
      </w:r>
      <w:r w:rsidRPr="000B5A8D">
        <w:rPr>
          <w:b/>
          <w:bCs/>
          <w:szCs w:val="28"/>
        </w:rPr>
        <w:t>dministrativo</w:t>
      </w:r>
    </w:p>
    <w:p w:rsidR="006F5694" w:rsidRDefault="006F5694" w:rsidP="006F5694">
      <w:pPr>
        <w:spacing w:after="240"/>
        <w:rPr>
          <w:szCs w:val="28"/>
        </w:rPr>
      </w:pPr>
      <w:r w:rsidRPr="00E86C37">
        <w:rPr>
          <w:szCs w:val="28"/>
        </w:rPr>
        <w:t>4.</w:t>
      </w:r>
      <w:r w:rsidRPr="00E86C37">
        <w:rPr>
          <w:szCs w:val="28"/>
        </w:rPr>
        <w:tab/>
        <w:t xml:space="preserve">La </w:t>
      </w:r>
      <w:r w:rsidRPr="00E86C37">
        <w:rPr>
          <w:bCs/>
          <w:szCs w:val="28"/>
        </w:rPr>
        <w:t xml:space="preserve">Ordenanza </w:t>
      </w:r>
      <w:r>
        <w:rPr>
          <w:bCs/>
          <w:szCs w:val="28"/>
        </w:rPr>
        <w:t>n</w:t>
      </w:r>
      <w:r w:rsidRPr="00E86C37">
        <w:rPr>
          <w:bCs/>
          <w:szCs w:val="28"/>
        </w:rPr>
        <w:t xml:space="preserve">acional de </w:t>
      </w:r>
      <w:r>
        <w:rPr>
          <w:bCs/>
          <w:szCs w:val="28"/>
        </w:rPr>
        <w:t>d</w:t>
      </w:r>
      <w:r w:rsidRPr="00E86C37">
        <w:rPr>
          <w:bCs/>
          <w:szCs w:val="28"/>
        </w:rPr>
        <w:t xml:space="preserve">erecho </w:t>
      </w:r>
      <w:r>
        <w:rPr>
          <w:bCs/>
          <w:szCs w:val="28"/>
        </w:rPr>
        <w:t>a</w:t>
      </w:r>
      <w:r w:rsidRPr="00E86C37">
        <w:rPr>
          <w:bCs/>
          <w:szCs w:val="28"/>
        </w:rPr>
        <w:t xml:space="preserve">dministrativo </w:t>
      </w:r>
      <w:r w:rsidRPr="00E86C37">
        <w:rPr>
          <w:szCs w:val="28"/>
        </w:rPr>
        <w:t xml:space="preserve">(LAR) se enmendó en mayo de 2003 y esta enmienda permite apelar una sentencia del </w:t>
      </w:r>
      <w:r>
        <w:rPr>
          <w:szCs w:val="28"/>
        </w:rPr>
        <w:t>T</w:t>
      </w:r>
      <w:r w:rsidRPr="00E86C37">
        <w:rPr>
          <w:szCs w:val="28"/>
        </w:rPr>
        <w:t xml:space="preserve">ribunal de </w:t>
      </w:r>
      <w:r>
        <w:rPr>
          <w:szCs w:val="28"/>
        </w:rPr>
        <w:t>P</w:t>
      </w:r>
      <w:r w:rsidRPr="00E86C37">
        <w:rPr>
          <w:szCs w:val="28"/>
        </w:rPr>
        <w:t xml:space="preserve">rimera </w:t>
      </w:r>
      <w:r>
        <w:rPr>
          <w:szCs w:val="28"/>
        </w:rPr>
        <w:t>I</w:t>
      </w:r>
      <w:r w:rsidRPr="00E86C37">
        <w:rPr>
          <w:szCs w:val="28"/>
        </w:rPr>
        <w:t xml:space="preserve">nstancia introduciendo una petición de examen </w:t>
      </w:r>
      <w:r>
        <w:rPr>
          <w:szCs w:val="28"/>
        </w:rPr>
        <w:t xml:space="preserve">de acuerdo con </w:t>
      </w:r>
      <w:r w:rsidRPr="00E86C37">
        <w:rPr>
          <w:szCs w:val="28"/>
        </w:rPr>
        <w:t xml:space="preserve">esta </w:t>
      </w:r>
      <w:r>
        <w:rPr>
          <w:szCs w:val="28"/>
        </w:rPr>
        <w:t>o</w:t>
      </w:r>
      <w:r w:rsidRPr="00E86C37">
        <w:rPr>
          <w:szCs w:val="28"/>
        </w:rPr>
        <w:t>rdenanza ante el Tribunal Común de Justicia de las Antillas Neerlandesas y Aruba</w:t>
      </w:r>
      <w:r>
        <w:rPr>
          <w:szCs w:val="28"/>
        </w:rPr>
        <w:t xml:space="preserve">.  </w:t>
      </w:r>
    </w:p>
    <w:p w:rsidR="006F5694" w:rsidRDefault="006F5694" w:rsidP="006F5694">
      <w:pPr>
        <w:spacing w:after="240"/>
        <w:rPr>
          <w:szCs w:val="28"/>
        </w:rPr>
      </w:pPr>
      <w:r w:rsidRPr="00E86C37">
        <w:rPr>
          <w:szCs w:val="28"/>
        </w:rPr>
        <w:t>5.</w:t>
      </w:r>
      <w:r w:rsidRPr="00E86C37">
        <w:rPr>
          <w:szCs w:val="28"/>
        </w:rPr>
        <w:tab/>
        <w:t xml:space="preserve">El Comité Asesor en materia de Objeciones publica un informe anual sobre sus actividades </w:t>
      </w:r>
      <w:r>
        <w:rPr>
          <w:szCs w:val="28"/>
        </w:rPr>
        <w:t xml:space="preserve">destinado </w:t>
      </w:r>
      <w:r w:rsidRPr="00E86C37">
        <w:rPr>
          <w:szCs w:val="28"/>
        </w:rPr>
        <w:t xml:space="preserve">a las autoridades administrativas, las dependencias públicas y otras personas y órganos que participan en la aplicación de las disposiciones de la </w:t>
      </w:r>
      <w:r>
        <w:rPr>
          <w:szCs w:val="28"/>
        </w:rPr>
        <w:t>o</w:t>
      </w:r>
      <w:r w:rsidRPr="00E86C37">
        <w:rPr>
          <w:szCs w:val="28"/>
        </w:rPr>
        <w:t>rdenanza</w:t>
      </w:r>
      <w:r>
        <w:rPr>
          <w:szCs w:val="28"/>
        </w:rPr>
        <w:t xml:space="preserve">.  </w:t>
      </w:r>
    </w:p>
    <w:p w:rsidR="006F5694" w:rsidRDefault="006F5694" w:rsidP="006F5694">
      <w:pPr>
        <w:spacing w:after="240"/>
        <w:rPr>
          <w:szCs w:val="28"/>
        </w:rPr>
      </w:pPr>
      <w:r w:rsidRPr="00E86C37">
        <w:rPr>
          <w:szCs w:val="28"/>
        </w:rPr>
        <w:t>6.</w:t>
      </w:r>
      <w:r w:rsidRPr="00E86C37">
        <w:rPr>
          <w:szCs w:val="28"/>
        </w:rPr>
        <w:tab/>
        <w:t xml:space="preserve">En enero de 2003, coincidiendo con su quinto aniversario, el Comité organizó un simposio titulado "Cinco años avanzando hacia una justicia independiente e imparcial" para analizar la aplicación práctica de la </w:t>
      </w:r>
      <w:r>
        <w:rPr>
          <w:bCs/>
          <w:szCs w:val="28"/>
        </w:rPr>
        <w:t>Ordenanza n</w:t>
      </w:r>
      <w:r w:rsidRPr="00E86C37">
        <w:rPr>
          <w:bCs/>
          <w:szCs w:val="28"/>
        </w:rPr>
        <w:t xml:space="preserve">acional de </w:t>
      </w:r>
      <w:r>
        <w:rPr>
          <w:bCs/>
          <w:szCs w:val="28"/>
        </w:rPr>
        <w:t>d</w:t>
      </w:r>
      <w:r w:rsidRPr="00E86C37">
        <w:rPr>
          <w:bCs/>
          <w:szCs w:val="28"/>
        </w:rPr>
        <w:t xml:space="preserve">erecho </w:t>
      </w:r>
      <w:r>
        <w:rPr>
          <w:bCs/>
          <w:szCs w:val="28"/>
        </w:rPr>
        <w:t>a</w:t>
      </w:r>
      <w:r w:rsidRPr="00E86C37">
        <w:rPr>
          <w:bCs/>
          <w:szCs w:val="28"/>
        </w:rPr>
        <w:t xml:space="preserve">dministrativo, </w:t>
      </w:r>
      <w:r>
        <w:rPr>
          <w:bCs/>
          <w:szCs w:val="28"/>
        </w:rPr>
        <w:t xml:space="preserve">identificar </w:t>
      </w:r>
      <w:r w:rsidRPr="00E86C37">
        <w:rPr>
          <w:bCs/>
          <w:szCs w:val="28"/>
        </w:rPr>
        <w:t>posibles problemas y formular recomendaciones para resolverlos</w:t>
      </w:r>
      <w:r>
        <w:rPr>
          <w:bCs/>
          <w:szCs w:val="28"/>
        </w:rPr>
        <w:t xml:space="preserve">.  </w:t>
      </w:r>
      <w:r w:rsidRPr="00E86C37">
        <w:rPr>
          <w:bCs/>
          <w:szCs w:val="28"/>
        </w:rPr>
        <w:t xml:space="preserve">Al final se </w:t>
      </w:r>
      <w:r>
        <w:rPr>
          <w:bCs/>
          <w:szCs w:val="28"/>
        </w:rPr>
        <w:t xml:space="preserve">presentó al Ministerio de Justicia </w:t>
      </w:r>
      <w:r w:rsidRPr="00E86C37">
        <w:rPr>
          <w:bCs/>
          <w:szCs w:val="28"/>
        </w:rPr>
        <w:t xml:space="preserve">un informe consultivo con algunas propuestas específicas para mejorar los procedimientos de la </w:t>
      </w:r>
      <w:r>
        <w:rPr>
          <w:bCs/>
          <w:szCs w:val="28"/>
        </w:rPr>
        <w:t>o</w:t>
      </w:r>
      <w:r w:rsidRPr="00E86C37">
        <w:rPr>
          <w:bCs/>
          <w:szCs w:val="28"/>
        </w:rPr>
        <w:t>rdenanza</w:t>
      </w:r>
      <w:r>
        <w:rPr>
          <w:bCs/>
          <w:szCs w:val="28"/>
        </w:rPr>
        <w:t xml:space="preserve">.  </w:t>
      </w:r>
      <w:r w:rsidRPr="00E86C37">
        <w:rPr>
          <w:bCs/>
          <w:szCs w:val="28"/>
        </w:rPr>
        <w:t xml:space="preserve">Un nuevo comité formado por representantes de la secretaría del </w:t>
      </w:r>
      <w:r w:rsidRPr="00E86C37">
        <w:rPr>
          <w:szCs w:val="28"/>
        </w:rPr>
        <w:t xml:space="preserve">Comité Asesor en materia de Objeciones, el Tribunal de Primera Instancia, el Departamento de Legislación y Asuntos Jurídicos y el Colegio de Abogados se encarga </w:t>
      </w:r>
      <w:r>
        <w:rPr>
          <w:szCs w:val="28"/>
        </w:rPr>
        <w:t>de desarrollar estas propuestas</w:t>
      </w:r>
      <w:r w:rsidRPr="00E86C37">
        <w:rPr>
          <w:szCs w:val="28"/>
        </w:rPr>
        <w:t>.</w:t>
      </w:r>
    </w:p>
    <w:p w:rsidR="006F5694" w:rsidRPr="000B5A8D" w:rsidRDefault="006F5694" w:rsidP="006F5694">
      <w:pPr>
        <w:keepNext/>
        <w:spacing w:after="240"/>
        <w:ind w:firstLine="567"/>
        <w:rPr>
          <w:b/>
          <w:bCs/>
          <w:szCs w:val="28"/>
        </w:rPr>
      </w:pPr>
      <w:r w:rsidRPr="000B5A8D">
        <w:rPr>
          <w:b/>
          <w:bCs/>
          <w:szCs w:val="28"/>
        </w:rPr>
        <w:t>Lengua vehicular de la enseñanza escolar</w:t>
      </w:r>
    </w:p>
    <w:p w:rsidR="006F5694" w:rsidRPr="00E86C37" w:rsidRDefault="006F5694" w:rsidP="006F5694">
      <w:pPr>
        <w:spacing w:after="240"/>
        <w:rPr>
          <w:szCs w:val="28"/>
        </w:rPr>
      </w:pPr>
      <w:r w:rsidRPr="00E86C37">
        <w:rPr>
          <w:szCs w:val="28"/>
        </w:rPr>
        <w:t>7.</w:t>
      </w:r>
      <w:r w:rsidRPr="00E86C37">
        <w:rPr>
          <w:szCs w:val="28"/>
        </w:rPr>
        <w:tab/>
        <w:t xml:space="preserve">El Proyecto </w:t>
      </w:r>
      <w:r>
        <w:rPr>
          <w:szCs w:val="28"/>
        </w:rPr>
        <w:t>de i</w:t>
      </w:r>
      <w:r w:rsidRPr="00E86C37">
        <w:rPr>
          <w:szCs w:val="28"/>
        </w:rPr>
        <w:t xml:space="preserve">nnovación </w:t>
      </w:r>
      <w:r>
        <w:rPr>
          <w:szCs w:val="28"/>
        </w:rPr>
        <w:t>en la e</w:t>
      </w:r>
      <w:r w:rsidRPr="00E86C37">
        <w:rPr>
          <w:szCs w:val="28"/>
        </w:rPr>
        <w:t xml:space="preserve">nseñanza </w:t>
      </w:r>
      <w:r>
        <w:rPr>
          <w:szCs w:val="28"/>
        </w:rPr>
        <w:t>p</w:t>
      </w:r>
      <w:r w:rsidRPr="00E86C37">
        <w:rPr>
          <w:szCs w:val="28"/>
        </w:rPr>
        <w:t xml:space="preserve">reparatoria y </w:t>
      </w:r>
      <w:r>
        <w:rPr>
          <w:szCs w:val="28"/>
        </w:rPr>
        <w:t>la e</w:t>
      </w:r>
      <w:r w:rsidRPr="00E86C37">
        <w:rPr>
          <w:szCs w:val="28"/>
        </w:rPr>
        <w:t xml:space="preserve">nseñanza </w:t>
      </w:r>
      <w:r>
        <w:rPr>
          <w:szCs w:val="28"/>
        </w:rPr>
        <w:t>b</w:t>
      </w:r>
      <w:r w:rsidRPr="00E86C37">
        <w:rPr>
          <w:szCs w:val="28"/>
        </w:rPr>
        <w:t>ásica  (</w:t>
      </w:r>
      <w:proofErr w:type="spellStart"/>
      <w:r w:rsidRPr="00E86C37">
        <w:rPr>
          <w:szCs w:val="28"/>
        </w:rPr>
        <w:t>PRIEPEB</w:t>
      </w:r>
      <w:proofErr w:type="spellEnd"/>
      <w:r w:rsidRPr="00E86C37">
        <w:rPr>
          <w:szCs w:val="28"/>
        </w:rPr>
        <w:t>) determina que la enseñanza en las escuelas primarias debe impartirse en varios idiomas</w:t>
      </w:r>
      <w:r>
        <w:rPr>
          <w:szCs w:val="28"/>
        </w:rPr>
        <w:t>.  El </w:t>
      </w:r>
      <w:r w:rsidRPr="00E86C37">
        <w:rPr>
          <w:szCs w:val="28"/>
        </w:rPr>
        <w:t>papiamento ha de ser la principal lengua vehicular de la enseñanza, pero se podrán utilizar otras lenguas vehiculares secundarias si el papiamento no es el idioma materno de los niños</w:t>
      </w:r>
      <w:r>
        <w:rPr>
          <w:szCs w:val="28"/>
        </w:rPr>
        <w:t xml:space="preserve">.  La enseñanza del </w:t>
      </w:r>
      <w:r w:rsidRPr="00E86C37">
        <w:rPr>
          <w:szCs w:val="28"/>
        </w:rPr>
        <w:t xml:space="preserve">neerlandés, </w:t>
      </w:r>
      <w:r>
        <w:rPr>
          <w:szCs w:val="28"/>
        </w:rPr>
        <w:t xml:space="preserve">el </w:t>
      </w:r>
      <w:r w:rsidRPr="00E86C37">
        <w:rPr>
          <w:szCs w:val="28"/>
        </w:rPr>
        <w:t xml:space="preserve">inglés y </w:t>
      </w:r>
      <w:r>
        <w:rPr>
          <w:szCs w:val="28"/>
        </w:rPr>
        <w:t xml:space="preserve">el </w:t>
      </w:r>
      <w:r w:rsidRPr="00E86C37">
        <w:rPr>
          <w:szCs w:val="28"/>
        </w:rPr>
        <w:t xml:space="preserve">español empieza a los </w:t>
      </w:r>
      <w:r>
        <w:rPr>
          <w:szCs w:val="28"/>
        </w:rPr>
        <w:t>4</w:t>
      </w:r>
      <w:r w:rsidRPr="00E86C37">
        <w:rPr>
          <w:szCs w:val="28"/>
        </w:rPr>
        <w:t xml:space="preserve"> años</w:t>
      </w:r>
      <w:r>
        <w:rPr>
          <w:szCs w:val="28"/>
        </w:rPr>
        <w:t xml:space="preserve">.  </w:t>
      </w:r>
      <w:r w:rsidRPr="00E86C37">
        <w:rPr>
          <w:szCs w:val="28"/>
        </w:rPr>
        <w:t xml:space="preserve">Los alumnos aprenden a leer y escribir </w:t>
      </w:r>
      <w:r>
        <w:rPr>
          <w:szCs w:val="28"/>
        </w:rPr>
        <w:t xml:space="preserve">en </w:t>
      </w:r>
      <w:r w:rsidRPr="00E86C37">
        <w:rPr>
          <w:szCs w:val="28"/>
        </w:rPr>
        <w:t xml:space="preserve">estos tres idiomas a partir de los </w:t>
      </w:r>
      <w:r>
        <w:rPr>
          <w:szCs w:val="28"/>
        </w:rPr>
        <w:t xml:space="preserve">8 </w:t>
      </w:r>
      <w:r w:rsidRPr="00E86C37">
        <w:rPr>
          <w:szCs w:val="28"/>
        </w:rPr>
        <w:t>años.</w:t>
      </w:r>
    </w:p>
    <w:p w:rsidR="006F5694" w:rsidRDefault="006F5694" w:rsidP="006F5694">
      <w:pPr>
        <w:spacing w:after="240"/>
        <w:rPr>
          <w:szCs w:val="28"/>
        </w:rPr>
      </w:pPr>
      <w:r w:rsidRPr="00E86C37">
        <w:rPr>
          <w:szCs w:val="28"/>
        </w:rPr>
        <w:t>8.</w:t>
      </w:r>
      <w:r w:rsidRPr="00E86C37">
        <w:rPr>
          <w:szCs w:val="28"/>
        </w:rPr>
        <w:tab/>
        <w:t xml:space="preserve">Esta política refleja tres principios básicos de la Organización de las Naciones Unidas para la Educación, la Ciencia y la Cultura (UNESCO): </w:t>
      </w:r>
      <w:r>
        <w:rPr>
          <w:szCs w:val="28"/>
        </w:rPr>
        <w:t xml:space="preserve"> </w:t>
      </w:r>
      <w:r w:rsidRPr="00E86C37">
        <w:rPr>
          <w:szCs w:val="28"/>
        </w:rPr>
        <w:t xml:space="preserve">1) la enseñanza en la lengua materna permite mejorar la calidad de la educación; </w:t>
      </w:r>
      <w:r>
        <w:rPr>
          <w:szCs w:val="28"/>
        </w:rPr>
        <w:t xml:space="preserve"> </w:t>
      </w:r>
      <w:r w:rsidRPr="00E86C37">
        <w:rPr>
          <w:szCs w:val="28"/>
        </w:rPr>
        <w:t xml:space="preserve">2) la educación plurilingüe es un medio de promoción de la igualdad y la unidad de la población; y </w:t>
      </w:r>
      <w:r>
        <w:rPr>
          <w:szCs w:val="28"/>
        </w:rPr>
        <w:t xml:space="preserve"> </w:t>
      </w:r>
      <w:r w:rsidRPr="00E86C37">
        <w:rPr>
          <w:szCs w:val="28"/>
        </w:rPr>
        <w:t>3) el idioma es un componente esencial de la educación intercultural</w:t>
      </w:r>
      <w:r>
        <w:rPr>
          <w:szCs w:val="28"/>
        </w:rPr>
        <w:t xml:space="preserve">.  </w:t>
      </w:r>
      <w:r w:rsidRPr="00E86C37">
        <w:rPr>
          <w:szCs w:val="28"/>
        </w:rPr>
        <w:t>La finalidad es empezar a introducir el papiamento como lengua vehicular de la enseñanza en las escuelas primarias en 2007, pero aún no se ha determinado si se hará progresivamente o de una vez.</w:t>
      </w:r>
    </w:p>
    <w:p w:rsidR="006F5694" w:rsidRPr="00124E0E" w:rsidRDefault="006F5694" w:rsidP="006F5694">
      <w:pPr>
        <w:spacing w:after="240"/>
        <w:ind w:firstLine="567"/>
        <w:rPr>
          <w:b/>
          <w:bCs/>
          <w:szCs w:val="28"/>
        </w:rPr>
      </w:pPr>
      <w:r>
        <w:rPr>
          <w:b/>
          <w:bCs/>
          <w:szCs w:val="28"/>
        </w:rPr>
        <w:t>Ordenanza n</w:t>
      </w:r>
      <w:r w:rsidRPr="00124E0E">
        <w:rPr>
          <w:b/>
          <w:bCs/>
          <w:szCs w:val="28"/>
        </w:rPr>
        <w:t xml:space="preserve">acional de </w:t>
      </w:r>
      <w:r>
        <w:rPr>
          <w:b/>
          <w:bCs/>
          <w:szCs w:val="28"/>
        </w:rPr>
        <w:t>i</w:t>
      </w:r>
      <w:r w:rsidRPr="00124E0E">
        <w:rPr>
          <w:b/>
          <w:bCs/>
          <w:szCs w:val="28"/>
        </w:rPr>
        <w:t xml:space="preserve">diomas </w:t>
      </w:r>
      <w:r>
        <w:rPr>
          <w:b/>
          <w:bCs/>
          <w:szCs w:val="28"/>
        </w:rPr>
        <w:t>o</w:t>
      </w:r>
      <w:r w:rsidRPr="00124E0E">
        <w:rPr>
          <w:b/>
          <w:bCs/>
          <w:szCs w:val="28"/>
        </w:rPr>
        <w:t>ficiales</w:t>
      </w:r>
    </w:p>
    <w:p w:rsidR="006F5694" w:rsidRDefault="006F5694" w:rsidP="006F5694">
      <w:pPr>
        <w:spacing w:after="240"/>
        <w:rPr>
          <w:bCs/>
          <w:szCs w:val="28"/>
        </w:rPr>
      </w:pPr>
      <w:r w:rsidRPr="00E86C37">
        <w:rPr>
          <w:szCs w:val="28"/>
        </w:rPr>
        <w:t>9.</w:t>
      </w:r>
      <w:r w:rsidRPr="00E86C37">
        <w:rPr>
          <w:szCs w:val="28"/>
        </w:rPr>
        <w:tab/>
        <w:t>Este instrumento entró en vigor en agosto de 2003</w:t>
      </w:r>
      <w:r>
        <w:rPr>
          <w:szCs w:val="28"/>
        </w:rPr>
        <w:t xml:space="preserve">.  </w:t>
      </w:r>
      <w:r w:rsidRPr="00E86C37">
        <w:rPr>
          <w:szCs w:val="28"/>
        </w:rPr>
        <w:t>Actualmente los idiomas oficiales de Aruba son el papiamento y el neerlandés</w:t>
      </w:r>
      <w:r>
        <w:rPr>
          <w:szCs w:val="28"/>
        </w:rPr>
        <w:t xml:space="preserve">.  </w:t>
      </w:r>
      <w:r w:rsidRPr="00E86C37">
        <w:rPr>
          <w:szCs w:val="28"/>
        </w:rPr>
        <w:t xml:space="preserve">La </w:t>
      </w:r>
      <w:r w:rsidRPr="00E86C37">
        <w:rPr>
          <w:bCs/>
          <w:szCs w:val="28"/>
        </w:rPr>
        <w:t xml:space="preserve">Ordenanza </w:t>
      </w:r>
      <w:r>
        <w:rPr>
          <w:bCs/>
          <w:szCs w:val="28"/>
        </w:rPr>
        <w:t>n</w:t>
      </w:r>
      <w:r w:rsidRPr="00E86C37">
        <w:rPr>
          <w:bCs/>
          <w:szCs w:val="28"/>
        </w:rPr>
        <w:t xml:space="preserve">acional de </w:t>
      </w:r>
      <w:r>
        <w:rPr>
          <w:bCs/>
          <w:szCs w:val="28"/>
        </w:rPr>
        <w:t>i</w:t>
      </w:r>
      <w:r w:rsidRPr="00E86C37">
        <w:rPr>
          <w:bCs/>
          <w:szCs w:val="28"/>
        </w:rPr>
        <w:t xml:space="preserve">diomas </w:t>
      </w:r>
      <w:r>
        <w:rPr>
          <w:bCs/>
          <w:szCs w:val="28"/>
        </w:rPr>
        <w:t>o</w:t>
      </w:r>
      <w:r w:rsidRPr="00E86C37">
        <w:rPr>
          <w:bCs/>
          <w:szCs w:val="28"/>
        </w:rPr>
        <w:t>ficiales establece que la población debe utilizar uno de estos dos idiomas en sus contactos con la administración pública y el mismo principio se aplica a las comunicaciones de las autoridades nacionales con el público</w:t>
      </w:r>
      <w:r>
        <w:rPr>
          <w:bCs/>
          <w:szCs w:val="28"/>
        </w:rPr>
        <w:t xml:space="preserve">.  </w:t>
      </w:r>
      <w:r w:rsidRPr="00E86C37">
        <w:rPr>
          <w:bCs/>
          <w:szCs w:val="28"/>
        </w:rPr>
        <w:t xml:space="preserve">Algunas dependencias oficiales utilizan documentos en papiamento desde hace </w:t>
      </w:r>
      <w:r>
        <w:rPr>
          <w:bCs/>
          <w:szCs w:val="28"/>
        </w:rPr>
        <w:t xml:space="preserve">muchos </w:t>
      </w:r>
      <w:r w:rsidRPr="00E86C37">
        <w:rPr>
          <w:bCs/>
          <w:szCs w:val="28"/>
        </w:rPr>
        <w:t>años</w:t>
      </w:r>
      <w:r>
        <w:rPr>
          <w:bCs/>
          <w:szCs w:val="28"/>
        </w:rPr>
        <w:t>.  La o</w:t>
      </w:r>
      <w:r w:rsidRPr="00E86C37">
        <w:rPr>
          <w:bCs/>
          <w:szCs w:val="28"/>
        </w:rPr>
        <w:t>rdenanza dispone igualmente que la persona</w:t>
      </w:r>
      <w:r>
        <w:rPr>
          <w:bCs/>
          <w:szCs w:val="28"/>
        </w:rPr>
        <w:t xml:space="preserve"> que reciba un documento de la a</w:t>
      </w:r>
      <w:r w:rsidRPr="00E86C37">
        <w:rPr>
          <w:bCs/>
          <w:szCs w:val="28"/>
        </w:rPr>
        <w:t>dministración en uno de los idiomas oficiales podrá pedir la traducción al segundo idioma oficial.</w:t>
      </w:r>
    </w:p>
    <w:p w:rsidR="006F5694" w:rsidRDefault="006F5694" w:rsidP="006F5694">
      <w:pPr>
        <w:spacing w:after="240"/>
        <w:rPr>
          <w:szCs w:val="28"/>
        </w:rPr>
      </w:pPr>
      <w:r w:rsidRPr="00E86C37">
        <w:rPr>
          <w:szCs w:val="28"/>
        </w:rPr>
        <w:t>10.</w:t>
      </w:r>
      <w:r w:rsidRPr="00E86C37">
        <w:rPr>
          <w:szCs w:val="28"/>
        </w:rPr>
        <w:tab/>
        <w:t xml:space="preserve">Por el momento las disposiciones jurídicas y las sentencias se </w:t>
      </w:r>
      <w:r>
        <w:rPr>
          <w:szCs w:val="28"/>
        </w:rPr>
        <w:t xml:space="preserve">redactan </w:t>
      </w:r>
      <w:r w:rsidRPr="00E86C37">
        <w:rPr>
          <w:szCs w:val="28"/>
        </w:rPr>
        <w:t>en neerlandés</w:t>
      </w:r>
      <w:r>
        <w:rPr>
          <w:szCs w:val="28"/>
        </w:rPr>
        <w:t xml:space="preserve">.  </w:t>
      </w:r>
    </w:p>
    <w:p w:rsidR="006F5694" w:rsidRPr="00387EF8" w:rsidRDefault="006F5694" w:rsidP="006F5694">
      <w:pPr>
        <w:spacing w:after="240"/>
        <w:rPr>
          <w:b/>
          <w:bCs/>
          <w:iCs/>
          <w:szCs w:val="28"/>
        </w:rPr>
      </w:pPr>
      <w:r w:rsidRPr="00387EF8">
        <w:rPr>
          <w:b/>
          <w:bCs/>
          <w:iCs/>
          <w:szCs w:val="28"/>
        </w:rPr>
        <w:t>Artículo 3</w:t>
      </w:r>
      <w:r>
        <w:rPr>
          <w:b/>
          <w:bCs/>
          <w:iCs/>
          <w:szCs w:val="28"/>
        </w:rPr>
        <w:t>.</w:t>
      </w:r>
      <w:r w:rsidRPr="00387EF8">
        <w:rPr>
          <w:b/>
          <w:bCs/>
          <w:iCs/>
          <w:szCs w:val="28"/>
        </w:rPr>
        <w:t xml:space="preserve">  </w:t>
      </w:r>
      <w:r w:rsidRPr="00387EF8">
        <w:rPr>
          <w:b/>
          <w:szCs w:val="28"/>
        </w:rPr>
        <w:t xml:space="preserve">Igualdad de derechos entre hombres y mujeres </w:t>
      </w:r>
    </w:p>
    <w:p w:rsidR="006F5694" w:rsidRDefault="006F5694" w:rsidP="006F5694">
      <w:pPr>
        <w:spacing w:after="240"/>
        <w:rPr>
          <w:szCs w:val="28"/>
        </w:rPr>
      </w:pPr>
      <w:r w:rsidRPr="00E86C37">
        <w:rPr>
          <w:szCs w:val="28"/>
        </w:rPr>
        <w:t>11.</w:t>
      </w:r>
      <w:r w:rsidRPr="00E86C37">
        <w:rPr>
          <w:szCs w:val="28"/>
        </w:rPr>
        <w:tab/>
        <w:t>El nuevo Código Civil de Aruba entró en vigor el 1º de enero de 2002</w:t>
      </w:r>
      <w:r>
        <w:rPr>
          <w:szCs w:val="28"/>
        </w:rPr>
        <w:t xml:space="preserve">.  </w:t>
      </w:r>
      <w:r w:rsidRPr="00E86C37">
        <w:rPr>
          <w:szCs w:val="28"/>
        </w:rPr>
        <w:t xml:space="preserve">El </w:t>
      </w:r>
      <w:r>
        <w:rPr>
          <w:szCs w:val="28"/>
        </w:rPr>
        <w:t>l</w:t>
      </w:r>
      <w:r w:rsidRPr="00E86C37">
        <w:rPr>
          <w:szCs w:val="28"/>
        </w:rPr>
        <w:t>ibro 1 del nuevo Código Civil reemplaza a la antigua Ley de las personas y la familia</w:t>
      </w:r>
      <w:r>
        <w:rPr>
          <w:szCs w:val="28"/>
        </w:rPr>
        <w:t xml:space="preserve">.  </w:t>
      </w:r>
      <w:r w:rsidRPr="00E86C37">
        <w:rPr>
          <w:szCs w:val="28"/>
        </w:rPr>
        <w:t>Con ocasión de esta revisión se derogaron muchas disposiciones discriminatorias</w:t>
      </w:r>
      <w:r>
        <w:rPr>
          <w:szCs w:val="28"/>
        </w:rPr>
        <w:t xml:space="preserve">.  Véanse </w:t>
      </w:r>
      <w:r w:rsidRPr="00E86C37">
        <w:rPr>
          <w:szCs w:val="28"/>
        </w:rPr>
        <w:t xml:space="preserve">igualmente los apartados dedicados a los artículos 15 y 16 en el cuarto informe periódico </w:t>
      </w:r>
      <w:r>
        <w:rPr>
          <w:szCs w:val="28"/>
        </w:rPr>
        <w:t xml:space="preserve">presentado </w:t>
      </w:r>
      <w:r w:rsidRPr="00E86C37">
        <w:rPr>
          <w:szCs w:val="28"/>
        </w:rPr>
        <w:t>al Comité para la Eliminación de la Discriminación contra la Mujer (</w:t>
      </w:r>
      <w:proofErr w:type="spellStart"/>
      <w:r w:rsidRPr="00E86C37">
        <w:rPr>
          <w:szCs w:val="28"/>
        </w:rPr>
        <w:t>CEDAW</w:t>
      </w:r>
      <w:proofErr w:type="spellEnd"/>
      <w:r w:rsidRPr="00E86C37">
        <w:rPr>
          <w:szCs w:val="28"/>
        </w:rPr>
        <w:t>/C/</w:t>
      </w:r>
      <w:proofErr w:type="spellStart"/>
      <w:r w:rsidRPr="00E86C37">
        <w:rPr>
          <w:szCs w:val="28"/>
        </w:rPr>
        <w:t>NLD</w:t>
      </w:r>
      <w:proofErr w:type="spellEnd"/>
      <w:r w:rsidRPr="00E86C37">
        <w:rPr>
          <w:szCs w:val="28"/>
        </w:rPr>
        <w:t xml:space="preserve">/4 y </w:t>
      </w:r>
      <w:proofErr w:type="spellStart"/>
      <w:r w:rsidRPr="00E86C37">
        <w:rPr>
          <w:szCs w:val="28"/>
        </w:rPr>
        <w:t>CEDAW</w:t>
      </w:r>
      <w:proofErr w:type="spellEnd"/>
      <w:r w:rsidRPr="00E86C37">
        <w:rPr>
          <w:szCs w:val="28"/>
        </w:rPr>
        <w:t>/C/</w:t>
      </w:r>
      <w:proofErr w:type="spellStart"/>
      <w:r w:rsidRPr="00E86C37">
        <w:rPr>
          <w:szCs w:val="28"/>
        </w:rPr>
        <w:t>NLD</w:t>
      </w:r>
      <w:proofErr w:type="spellEnd"/>
      <w:r w:rsidRPr="00E86C37">
        <w:rPr>
          <w:szCs w:val="28"/>
        </w:rPr>
        <w:t>/4/</w:t>
      </w:r>
      <w:proofErr w:type="spellStart"/>
      <w:r w:rsidRPr="00E86C37">
        <w:rPr>
          <w:szCs w:val="28"/>
        </w:rPr>
        <w:t>Add</w:t>
      </w:r>
      <w:proofErr w:type="spellEnd"/>
      <w:r w:rsidRPr="00E86C37">
        <w:rPr>
          <w:szCs w:val="28"/>
        </w:rPr>
        <w:t>.1)</w:t>
      </w:r>
      <w:r>
        <w:rPr>
          <w:szCs w:val="28"/>
        </w:rPr>
        <w:t xml:space="preserve">.  </w:t>
      </w:r>
    </w:p>
    <w:p w:rsidR="006F5694" w:rsidRPr="00FC5E5E" w:rsidRDefault="006F5694" w:rsidP="006F5694">
      <w:pPr>
        <w:spacing w:after="240"/>
        <w:jc w:val="center"/>
        <w:rPr>
          <w:b/>
          <w:sz w:val="22"/>
          <w:szCs w:val="22"/>
        </w:rPr>
      </w:pPr>
      <w:r w:rsidRPr="00FC5E5E">
        <w:rPr>
          <w:b/>
          <w:sz w:val="22"/>
          <w:szCs w:val="22"/>
        </w:rPr>
        <w:t>Cifras de participación de la mujer en la política en los años 2001 y 2005</w:t>
      </w:r>
    </w:p>
    <w:tbl>
      <w:tblPr>
        <w:tblStyle w:val="TableGrid"/>
        <w:tblW w:w="9552" w:type="dxa"/>
        <w:tblLayout w:type="fixed"/>
        <w:tblCellMar>
          <w:left w:w="57" w:type="dxa"/>
          <w:right w:w="57" w:type="dxa"/>
        </w:tblCellMar>
        <w:tblLook w:val="01E0" w:firstRow="1" w:lastRow="1" w:firstColumn="1" w:lastColumn="1" w:noHBand="0" w:noVBand="0"/>
      </w:tblPr>
      <w:tblGrid>
        <w:gridCol w:w="668"/>
        <w:gridCol w:w="1402"/>
        <w:gridCol w:w="1155"/>
        <w:gridCol w:w="2036"/>
        <w:gridCol w:w="1702"/>
        <w:gridCol w:w="952"/>
        <w:gridCol w:w="1637"/>
      </w:tblGrid>
      <w:tr w:rsidR="006F5694" w:rsidRPr="006F34FF" w:rsidTr="004F4422">
        <w:tc>
          <w:tcPr>
            <w:tcW w:w="668" w:type="dxa"/>
            <w:vAlign w:val="center"/>
          </w:tcPr>
          <w:p w:rsidR="006F5694" w:rsidRPr="006F34FF" w:rsidRDefault="006F5694" w:rsidP="004F4422">
            <w:pPr>
              <w:jc w:val="center"/>
              <w:rPr>
                <w:b/>
                <w:sz w:val="22"/>
                <w:szCs w:val="22"/>
              </w:rPr>
            </w:pPr>
            <w:r w:rsidRPr="006F34FF">
              <w:rPr>
                <w:b/>
                <w:sz w:val="22"/>
                <w:szCs w:val="22"/>
              </w:rPr>
              <w:t>Año</w:t>
            </w:r>
          </w:p>
        </w:tc>
        <w:tc>
          <w:tcPr>
            <w:tcW w:w="1402" w:type="dxa"/>
            <w:vAlign w:val="center"/>
          </w:tcPr>
          <w:p w:rsidR="006F5694" w:rsidRPr="006F34FF" w:rsidRDefault="006F5694" w:rsidP="004F4422">
            <w:pPr>
              <w:jc w:val="center"/>
              <w:rPr>
                <w:b/>
                <w:sz w:val="22"/>
                <w:szCs w:val="22"/>
              </w:rPr>
            </w:pPr>
            <w:r w:rsidRPr="006F34FF">
              <w:rPr>
                <w:b/>
                <w:sz w:val="22"/>
                <w:szCs w:val="22"/>
              </w:rPr>
              <w:t>Número de mujeres que se presentan</w:t>
            </w:r>
          </w:p>
        </w:tc>
        <w:tc>
          <w:tcPr>
            <w:tcW w:w="1155" w:type="dxa"/>
            <w:vAlign w:val="center"/>
          </w:tcPr>
          <w:p w:rsidR="006F5694" w:rsidRPr="006F34FF" w:rsidRDefault="006F5694" w:rsidP="004F4422">
            <w:pPr>
              <w:jc w:val="center"/>
              <w:rPr>
                <w:b/>
                <w:sz w:val="22"/>
                <w:szCs w:val="22"/>
              </w:rPr>
            </w:pPr>
            <w:r w:rsidRPr="006F34FF">
              <w:rPr>
                <w:b/>
                <w:sz w:val="22"/>
                <w:szCs w:val="22"/>
              </w:rPr>
              <w:t>Número total de candidatos</w:t>
            </w:r>
          </w:p>
        </w:tc>
        <w:tc>
          <w:tcPr>
            <w:tcW w:w="2036" w:type="dxa"/>
            <w:vAlign w:val="center"/>
          </w:tcPr>
          <w:p w:rsidR="006F5694" w:rsidRPr="006F34FF" w:rsidRDefault="006F5694" w:rsidP="004F4422">
            <w:pPr>
              <w:jc w:val="center"/>
              <w:rPr>
                <w:b/>
                <w:sz w:val="22"/>
                <w:szCs w:val="22"/>
              </w:rPr>
            </w:pPr>
            <w:r w:rsidRPr="006F34FF">
              <w:rPr>
                <w:b/>
                <w:sz w:val="22"/>
                <w:szCs w:val="22"/>
              </w:rPr>
              <w:t>Mujeres en porcentaje de todos los candidatos</w:t>
            </w:r>
          </w:p>
        </w:tc>
        <w:tc>
          <w:tcPr>
            <w:tcW w:w="1702" w:type="dxa"/>
            <w:vAlign w:val="center"/>
          </w:tcPr>
          <w:p w:rsidR="006F5694" w:rsidRPr="006F34FF" w:rsidRDefault="006F5694" w:rsidP="004F4422">
            <w:pPr>
              <w:jc w:val="center"/>
              <w:rPr>
                <w:b/>
                <w:sz w:val="22"/>
                <w:szCs w:val="22"/>
              </w:rPr>
            </w:pPr>
            <w:r w:rsidRPr="006F34FF">
              <w:rPr>
                <w:b/>
                <w:sz w:val="22"/>
                <w:szCs w:val="22"/>
              </w:rPr>
              <w:t>Número de votos favorable a las mujeres</w:t>
            </w:r>
          </w:p>
        </w:tc>
        <w:tc>
          <w:tcPr>
            <w:tcW w:w="952" w:type="dxa"/>
            <w:vAlign w:val="center"/>
          </w:tcPr>
          <w:p w:rsidR="006F5694" w:rsidRPr="006F34FF" w:rsidRDefault="006F5694" w:rsidP="004F4422">
            <w:pPr>
              <w:jc w:val="center"/>
              <w:rPr>
                <w:b/>
                <w:sz w:val="22"/>
                <w:szCs w:val="22"/>
              </w:rPr>
            </w:pPr>
            <w:r w:rsidRPr="006F34FF">
              <w:rPr>
                <w:b/>
                <w:sz w:val="22"/>
                <w:szCs w:val="22"/>
              </w:rPr>
              <w:t>Número total de votos</w:t>
            </w:r>
          </w:p>
        </w:tc>
        <w:tc>
          <w:tcPr>
            <w:tcW w:w="1637" w:type="dxa"/>
            <w:vAlign w:val="center"/>
          </w:tcPr>
          <w:p w:rsidR="006F5694" w:rsidRPr="006F34FF" w:rsidRDefault="006F5694" w:rsidP="004F4422">
            <w:pPr>
              <w:jc w:val="center"/>
              <w:rPr>
                <w:b/>
                <w:sz w:val="22"/>
                <w:szCs w:val="22"/>
              </w:rPr>
            </w:pPr>
            <w:r w:rsidRPr="006F34FF">
              <w:rPr>
                <w:b/>
                <w:sz w:val="22"/>
                <w:szCs w:val="22"/>
              </w:rPr>
              <w:t>Porcentaje de votos favorable a las mujeres</w:t>
            </w:r>
          </w:p>
        </w:tc>
      </w:tr>
      <w:tr w:rsidR="006F5694" w:rsidRPr="006F34FF" w:rsidTr="004F4422">
        <w:tc>
          <w:tcPr>
            <w:tcW w:w="668" w:type="dxa"/>
          </w:tcPr>
          <w:p w:rsidR="006F5694" w:rsidRPr="006F34FF" w:rsidRDefault="006F5694" w:rsidP="004F4422">
            <w:pPr>
              <w:jc w:val="center"/>
              <w:rPr>
                <w:sz w:val="22"/>
                <w:szCs w:val="22"/>
              </w:rPr>
            </w:pPr>
            <w:r w:rsidRPr="006F34FF">
              <w:rPr>
                <w:sz w:val="22"/>
                <w:szCs w:val="22"/>
              </w:rPr>
              <w:t>2001</w:t>
            </w:r>
          </w:p>
        </w:tc>
        <w:tc>
          <w:tcPr>
            <w:tcW w:w="1402" w:type="dxa"/>
          </w:tcPr>
          <w:p w:rsidR="006F5694" w:rsidRPr="006F34FF" w:rsidRDefault="006F5694" w:rsidP="004F4422">
            <w:pPr>
              <w:jc w:val="center"/>
              <w:rPr>
                <w:sz w:val="22"/>
                <w:szCs w:val="22"/>
              </w:rPr>
            </w:pPr>
            <w:r w:rsidRPr="006F34FF">
              <w:rPr>
                <w:sz w:val="22"/>
                <w:szCs w:val="22"/>
              </w:rPr>
              <w:t>35</w:t>
            </w:r>
          </w:p>
        </w:tc>
        <w:tc>
          <w:tcPr>
            <w:tcW w:w="1155" w:type="dxa"/>
          </w:tcPr>
          <w:p w:rsidR="006F5694" w:rsidRPr="006F34FF" w:rsidRDefault="006F5694" w:rsidP="004F4422">
            <w:pPr>
              <w:jc w:val="center"/>
              <w:rPr>
                <w:sz w:val="22"/>
                <w:szCs w:val="22"/>
              </w:rPr>
            </w:pPr>
            <w:r w:rsidRPr="006F34FF">
              <w:rPr>
                <w:sz w:val="22"/>
                <w:szCs w:val="22"/>
              </w:rPr>
              <w:t>169</w:t>
            </w:r>
          </w:p>
        </w:tc>
        <w:tc>
          <w:tcPr>
            <w:tcW w:w="2036" w:type="dxa"/>
          </w:tcPr>
          <w:p w:rsidR="006F5694" w:rsidRPr="006F34FF" w:rsidRDefault="006F5694" w:rsidP="004F4422">
            <w:pPr>
              <w:jc w:val="center"/>
              <w:rPr>
                <w:sz w:val="22"/>
                <w:szCs w:val="22"/>
              </w:rPr>
            </w:pPr>
            <w:r w:rsidRPr="006F34FF">
              <w:rPr>
                <w:sz w:val="22"/>
                <w:szCs w:val="22"/>
              </w:rPr>
              <w:t>20,71</w:t>
            </w:r>
          </w:p>
        </w:tc>
        <w:tc>
          <w:tcPr>
            <w:tcW w:w="1702" w:type="dxa"/>
          </w:tcPr>
          <w:p w:rsidR="006F5694" w:rsidRPr="006F34FF" w:rsidRDefault="006F5694" w:rsidP="004F4422">
            <w:pPr>
              <w:jc w:val="center"/>
              <w:rPr>
                <w:sz w:val="22"/>
                <w:szCs w:val="22"/>
              </w:rPr>
            </w:pPr>
            <w:r w:rsidRPr="006F34FF">
              <w:rPr>
                <w:sz w:val="22"/>
                <w:szCs w:val="22"/>
              </w:rPr>
              <w:t>11.855</w:t>
            </w:r>
          </w:p>
        </w:tc>
        <w:tc>
          <w:tcPr>
            <w:tcW w:w="952" w:type="dxa"/>
          </w:tcPr>
          <w:p w:rsidR="006F5694" w:rsidRPr="006F34FF" w:rsidRDefault="006F5694" w:rsidP="004F4422">
            <w:pPr>
              <w:jc w:val="center"/>
              <w:rPr>
                <w:sz w:val="22"/>
                <w:szCs w:val="22"/>
              </w:rPr>
            </w:pPr>
            <w:r w:rsidRPr="006F34FF">
              <w:rPr>
                <w:sz w:val="22"/>
                <w:szCs w:val="22"/>
              </w:rPr>
              <w:t>47.969</w:t>
            </w:r>
          </w:p>
        </w:tc>
        <w:tc>
          <w:tcPr>
            <w:tcW w:w="1637" w:type="dxa"/>
          </w:tcPr>
          <w:p w:rsidR="006F5694" w:rsidRPr="006F34FF" w:rsidRDefault="006F5694" w:rsidP="004F4422">
            <w:pPr>
              <w:jc w:val="center"/>
              <w:rPr>
                <w:sz w:val="22"/>
                <w:szCs w:val="22"/>
              </w:rPr>
            </w:pPr>
            <w:r w:rsidRPr="006F34FF">
              <w:rPr>
                <w:sz w:val="22"/>
                <w:szCs w:val="22"/>
              </w:rPr>
              <w:t>24,71</w:t>
            </w:r>
          </w:p>
        </w:tc>
      </w:tr>
      <w:tr w:rsidR="006F5694" w:rsidRPr="006F34FF" w:rsidTr="004F4422">
        <w:tc>
          <w:tcPr>
            <w:tcW w:w="668" w:type="dxa"/>
          </w:tcPr>
          <w:p w:rsidR="006F5694" w:rsidRPr="006F34FF" w:rsidRDefault="006F5694" w:rsidP="004F4422">
            <w:pPr>
              <w:jc w:val="center"/>
              <w:rPr>
                <w:sz w:val="22"/>
                <w:szCs w:val="22"/>
              </w:rPr>
            </w:pPr>
            <w:r w:rsidRPr="006F34FF">
              <w:rPr>
                <w:sz w:val="22"/>
                <w:szCs w:val="22"/>
              </w:rPr>
              <w:t>2005</w:t>
            </w:r>
          </w:p>
        </w:tc>
        <w:tc>
          <w:tcPr>
            <w:tcW w:w="1402" w:type="dxa"/>
          </w:tcPr>
          <w:p w:rsidR="006F5694" w:rsidRPr="006F34FF" w:rsidRDefault="006F5694" w:rsidP="004F4422">
            <w:pPr>
              <w:jc w:val="center"/>
              <w:rPr>
                <w:sz w:val="22"/>
                <w:szCs w:val="22"/>
              </w:rPr>
            </w:pPr>
            <w:r w:rsidRPr="006F34FF">
              <w:rPr>
                <w:sz w:val="22"/>
                <w:szCs w:val="22"/>
              </w:rPr>
              <w:t>42</w:t>
            </w:r>
          </w:p>
        </w:tc>
        <w:tc>
          <w:tcPr>
            <w:tcW w:w="1155" w:type="dxa"/>
          </w:tcPr>
          <w:p w:rsidR="006F5694" w:rsidRPr="006F34FF" w:rsidRDefault="006F5694" w:rsidP="004F4422">
            <w:pPr>
              <w:jc w:val="center"/>
              <w:rPr>
                <w:sz w:val="22"/>
                <w:szCs w:val="22"/>
              </w:rPr>
            </w:pPr>
            <w:r w:rsidRPr="006F34FF">
              <w:rPr>
                <w:sz w:val="22"/>
                <w:szCs w:val="22"/>
              </w:rPr>
              <w:t>173</w:t>
            </w:r>
          </w:p>
        </w:tc>
        <w:tc>
          <w:tcPr>
            <w:tcW w:w="2036" w:type="dxa"/>
          </w:tcPr>
          <w:p w:rsidR="006F5694" w:rsidRPr="006F34FF" w:rsidRDefault="006F5694" w:rsidP="004F4422">
            <w:pPr>
              <w:jc w:val="center"/>
              <w:rPr>
                <w:sz w:val="22"/>
                <w:szCs w:val="22"/>
              </w:rPr>
            </w:pPr>
            <w:r w:rsidRPr="006F34FF">
              <w:rPr>
                <w:sz w:val="22"/>
                <w:szCs w:val="22"/>
              </w:rPr>
              <w:t>24,28</w:t>
            </w:r>
          </w:p>
        </w:tc>
        <w:tc>
          <w:tcPr>
            <w:tcW w:w="1702" w:type="dxa"/>
          </w:tcPr>
          <w:p w:rsidR="006F5694" w:rsidRPr="006F34FF" w:rsidRDefault="006F5694" w:rsidP="004F4422">
            <w:pPr>
              <w:jc w:val="center"/>
              <w:rPr>
                <w:sz w:val="22"/>
                <w:szCs w:val="22"/>
              </w:rPr>
            </w:pPr>
            <w:r w:rsidRPr="006F34FF">
              <w:rPr>
                <w:sz w:val="22"/>
                <w:szCs w:val="22"/>
              </w:rPr>
              <w:t>11.826</w:t>
            </w:r>
          </w:p>
        </w:tc>
        <w:tc>
          <w:tcPr>
            <w:tcW w:w="952" w:type="dxa"/>
          </w:tcPr>
          <w:p w:rsidR="006F5694" w:rsidRPr="006F34FF" w:rsidRDefault="006F5694" w:rsidP="004F4422">
            <w:pPr>
              <w:jc w:val="center"/>
              <w:rPr>
                <w:sz w:val="22"/>
                <w:szCs w:val="22"/>
              </w:rPr>
            </w:pPr>
            <w:r w:rsidRPr="006F34FF">
              <w:rPr>
                <w:sz w:val="22"/>
                <w:szCs w:val="22"/>
              </w:rPr>
              <w:t>49.592</w:t>
            </w:r>
          </w:p>
        </w:tc>
        <w:tc>
          <w:tcPr>
            <w:tcW w:w="1637" w:type="dxa"/>
          </w:tcPr>
          <w:p w:rsidR="006F5694" w:rsidRPr="006F34FF" w:rsidRDefault="006F5694" w:rsidP="004F4422">
            <w:pPr>
              <w:jc w:val="center"/>
              <w:rPr>
                <w:sz w:val="22"/>
                <w:szCs w:val="22"/>
              </w:rPr>
            </w:pPr>
            <w:r w:rsidRPr="006F34FF">
              <w:rPr>
                <w:sz w:val="22"/>
                <w:szCs w:val="22"/>
              </w:rPr>
              <w:t>21,83</w:t>
            </w:r>
          </w:p>
        </w:tc>
      </w:tr>
    </w:tbl>
    <w:p w:rsidR="006F5694" w:rsidRPr="00FC5E5E" w:rsidRDefault="006F5694" w:rsidP="006F5694">
      <w:pPr>
        <w:spacing w:before="220" w:after="440"/>
        <w:rPr>
          <w:sz w:val="22"/>
          <w:szCs w:val="22"/>
        </w:rPr>
      </w:pPr>
      <w:r w:rsidRPr="00FC5E5E">
        <w:rPr>
          <w:i/>
          <w:sz w:val="22"/>
          <w:szCs w:val="22"/>
        </w:rPr>
        <w:t>Fuente</w:t>
      </w:r>
      <w:r w:rsidRPr="00FC5E5E">
        <w:rPr>
          <w:sz w:val="22"/>
          <w:szCs w:val="22"/>
        </w:rPr>
        <w:t>:</w:t>
      </w:r>
      <w:r>
        <w:rPr>
          <w:sz w:val="22"/>
          <w:szCs w:val="22"/>
        </w:rPr>
        <w:t xml:space="preserve"> </w:t>
      </w:r>
      <w:r w:rsidRPr="00FC5E5E">
        <w:rPr>
          <w:sz w:val="22"/>
          <w:szCs w:val="22"/>
        </w:rPr>
        <w:t xml:space="preserve"> Registro Civil y Registro de Población</w:t>
      </w:r>
      <w:r>
        <w:rPr>
          <w:sz w:val="22"/>
          <w:szCs w:val="22"/>
        </w:rPr>
        <w:t>.</w:t>
      </w:r>
    </w:p>
    <w:p w:rsidR="006F5694" w:rsidRDefault="006F5694" w:rsidP="006F5694">
      <w:pPr>
        <w:spacing w:after="240"/>
        <w:rPr>
          <w:szCs w:val="28"/>
        </w:rPr>
      </w:pPr>
      <w:r w:rsidRPr="00E86C37">
        <w:rPr>
          <w:szCs w:val="28"/>
        </w:rPr>
        <w:t>12.</w:t>
      </w:r>
      <w:r w:rsidRPr="00E86C37">
        <w:rPr>
          <w:szCs w:val="28"/>
        </w:rPr>
        <w:tab/>
        <w:t>Actualmente el titular de un Ministerio de Aruba (</w:t>
      </w:r>
      <w:r>
        <w:rPr>
          <w:szCs w:val="28"/>
        </w:rPr>
        <w:t>nueve</w:t>
      </w:r>
      <w:r w:rsidRPr="00E86C37">
        <w:rPr>
          <w:szCs w:val="28"/>
        </w:rPr>
        <w:t xml:space="preserve"> en total) es </w:t>
      </w:r>
      <w:r w:rsidR="00213DE5">
        <w:rPr>
          <w:szCs w:val="28"/>
        </w:rPr>
        <w:t>1</w:t>
      </w:r>
      <w:r w:rsidRPr="00E86C37">
        <w:rPr>
          <w:szCs w:val="28"/>
        </w:rPr>
        <w:t xml:space="preserve"> mujer</w:t>
      </w:r>
      <w:r w:rsidR="00213DE5">
        <w:rPr>
          <w:szCs w:val="28"/>
        </w:rPr>
        <w:t>,</w:t>
      </w:r>
      <w:r w:rsidRPr="00E86C37">
        <w:rPr>
          <w:szCs w:val="28"/>
        </w:rPr>
        <w:t xml:space="preserve"> y </w:t>
      </w:r>
      <w:r w:rsidR="00213DE5">
        <w:rPr>
          <w:szCs w:val="28"/>
        </w:rPr>
        <w:t>4</w:t>
      </w:r>
      <w:r w:rsidRPr="00E86C37">
        <w:rPr>
          <w:szCs w:val="28"/>
        </w:rPr>
        <w:t xml:space="preserve"> miembros del Parlamento son mujeres (21 parlamentarios en total)</w:t>
      </w:r>
      <w:r>
        <w:rPr>
          <w:szCs w:val="28"/>
        </w:rPr>
        <w:t xml:space="preserve">.  </w:t>
      </w:r>
      <w:r w:rsidRPr="00E86C37">
        <w:rPr>
          <w:szCs w:val="28"/>
        </w:rPr>
        <w:t xml:space="preserve">Las cifras eran muy similares durante el anterior Gobierno (2001-2005): </w:t>
      </w:r>
      <w:r>
        <w:rPr>
          <w:szCs w:val="28"/>
        </w:rPr>
        <w:t xml:space="preserve"> </w:t>
      </w:r>
      <w:r w:rsidR="00213DE5">
        <w:rPr>
          <w:szCs w:val="28"/>
        </w:rPr>
        <w:t>2</w:t>
      </w:r>
      <w:r w:rsidRPr="00E86C37">
        <w:rPr>
          <w:szCs w:val="28"/>
        </w:rPr>
        <w:t xml:space="preserve"> mujeres titulares de ministerios y </w:t>
      </w:r>
      <w:r w:rsidR="00213DE5">
        <w:rPr>
          <w:szCs w:val="28"/>
        </w:rPr>
        <w:t>4</w:t>
      </w:r>
      <w:r w:rsidRPr="00E86C37">
        <w:rPr>
          <w:szCs w:val="28"/>
        </w:rPr>
        <w:t xml:space="preserve"> mujeres miembros del Parlamento</w:t>
      </w:r>
      <w:r>
        <w:rPr>
          <w:szCs w:val="28"/>
        </w:rPr>
        <w:t xml:space="preserve">.  </w:t>
      </w:r>
      <w:r w:rsidRPr="00E86C37">
        <w:rPr>
          <w:szCs w:val="28"/>
        </w:rPr>
        <w:t xml:space="preserve">Por primera vez </w:t>
      </w:r>
      <w:r w:rsidR="00213DE5">
        <w:rPr>
          <w:szCs w:val="28"/>
        </w:rPr>
        <w:t>1</w:t>
      </w:r>
      <w:r w:rsidRPr="00E86C37">
        <w:rPr>
          <w:szCs w:val="28"/>
        </w:rPr>
        <w:t xml:space="preserve"> mujer preside el Parlamento</w:t>
      </w:r>
      <w:r>
        <w:rPr>
          <w:szCs w:val="28"/>
        </w:rPr>
        <w:t xml:space="preserve">.  </w:t>
      </w:r>
      <w:r w:rsidRPr="00E86C37">
        <w:rPr>
          <w:szCs w:val="28"/>
        </w:rPr>
        <w:t>Los</w:t>
      </w:r>
      <w:r>
        <w:rPr>
          <w:szCs w:val="28"/>
        </w:rPr>
        <w:t> </w:t>
      </w:r>
      <w:r w:rsidRPr="00E86C37">
        <w:rPr>
          <w:szCs w:val="28"/>
        </w:rPr>
        <w:t xml:space="preserve">cargos de Fiscal General, Vicegobernador y Secretario del Tribunal de Primera Instancia </w:t>
      </w:r>
      <w:r>
        <w:rPr>
          <w:szCs w:val="28"/>
        </w:rPr>
        <w:t xml:space="preserve">están </w:t>
      </w:r>
      <w:r w:rsidRPr="00E86C37">
        <w:rPr>
          <w:szCs w:val="28"/>
        </w:rPr>
        <w:t xml:space="preserve">actualmente </w:t>
      </w:r>
      <w:r>
        <w:rPr>
          <w:szCs w:val="28"/>
        </w:rPr>
        <w:t xml:space="preserve">ocupados por </w:t>
      </w:r>
      <w:r w:rsidRPr="00E86C37">
        <w:rPr>
          <w:szCs w:val="28"/>
        </w:rPr>
        <w:t>mujeres</w:t>
      </w:r>
      <w:r>
        <w:rPr>
          <w:szCs w:val="28"/>
        </w:rPr>
        <w:t xml:space="preserve">.  </w:t>
      </w:r>
      <w:r w:rsidRPr="00E86C37">
        <w:rPr>
          <w:szCs w:val="28"/>
        </w:rPr>
        <w:t xml:space="preserve">Además, las mujeres ocupan </w:t>
      </w:r>
      <w:r w:rsidR="00213DE5">
        <w:rPr>
          <w:szCs w:val="28"/>
        </w:rPr>
        <w:t>4</w:t>
      </w:r>
      <w:r w:rsidRPr="00E86C37">
        <w:rPr>
          <w:szCs w:val="28"/>
        </w:rPr>
        <w:t xml:space="preserve"> cargos de fiscales públicos (de un total de </w:t>
      </w:r>
      <w:r w:rsidR="00213DE5">
        <w:rPr>
          <w:szCs w:val="28"/>
        </w:rPr>
        <w:t>5</w:t>
      </w:r>
      <w:r w:rsidRPr="00E86C37">
        <w:rPr>
          <w:szCs w:val="28"/>
        </w:rPr>
        <w:t xml:space="preserve">) y </w:t>
      </w:r>
      <w:r w:rsidR="00213DE5">
        <w:rPr>
          <w:szCs w:val="28"/>
        </w:rPr>
        <w:t>1</w:t>
      </w:r>
      <w:r w:rsidRPr="00E86C37">
        <w:rPr>
          <w:szCs w:val="28"/>
        </w:rPr>
        <w:t xml:space="preserve"> mujer es juez (de un total de </w:t>
      </w:r>
      <w:r w:rsidR="00213DE5">
        <w:rPr>
          <w:szCs w:val="28"/>
        </w:rPr>
        <w:t>5</w:t>
      </w:r>
      <w:r w:rsidRPr="00E86C37">
        <w:rPr>
          <w:szCs w:val="28"/>
        </w:rPr>
        <w:t>)</w:t>
      </w:r>
      <w:r>
        <w:rPr>
          <w:szCs w:val="28"/>
        </w:rPr>
        <w:t xml:space="preserve">.  </w:t>
      </w:r>
    </w:p>
    <w:p w:rsidR="006F5694" w:rsidRPr="00E86C37" w:rsidRDefault="006F5694" w:rsidP="006F5694">
      <w:pPr>
        <w:spacing w:after="240"/>
        <w:rPr>
          <w:szCs w:val="28"/>
        </w:rPr>
      </w:pPr>
      <w:r w:rsidRPr="00E86C37">
        <w:rPr>
          <w:szCs w:val="28"/>
        </w:rPr>
        <w:t>13.</w:t>
      </w:r>
      <w:r w:rsidRPr="00E86C37">
        <w:rPr>
          <w:szCs w:val="28"/>
        </w:rPr>
        <w:tab/>
        <w:t xml:space="preserve">Para mayor información sobre la participación de las mujeres en la vida política y económica </w:t>
      </w:r>
      <w:r>
        <w:rPr>
          <w:szCs w:val="28"/>
        </w:rPr>
        <w:t xml:space="preserve">véanse </w:t>
      </w:r>
      <w:r w:rsidRPr="00E86C37">
        <w:rPr>
          <w:szCs w:val="28"/>
        </w:rPr>
        <w:t xml:space="preserve">los apartados dedicados a los artículos 7, 10, 11 y 13 en el cuarto informe periódico </w:t>
      </w:r>
      <w:r>
        <w:rPr>
          <w:szCs w:val="28"/>
        </w:rPr>
        <w:t xml:space="preserve">presentado </w:t>
      </w:r>
      <w:r w:rsidRPr="00E86C37">
        <w:rPr>
          <w:szCs w:val="28"/>
        </w:rPr>
        <w:t>al Comité para la Eliminación de la Discriminación contra la Mujer (véase el párrafo 11</w:t>
      </w:r>
      <w:r>
        <w:rPr>
          <w:szCs w:val="28"/>
        </w:rPr>
        <w:t xml:space="preserve"> </w:t>
      </w:r>
      <w:proofErr w:type="spellStart"/>
      <w:r w:rsidRPr="00FC5E5E">
        <w:rPr>
          <w:i/>
          <w:szCs w:val="28"/>
        </w:rPr>
        <w:t>supra</w:t>
      </w:r>
      <w:proofErr w:type="spellEnd"/>
      <w:r w:rsidRPr="00E86C37">
        <w:rPr>
          <w:szCs w:val="28"/>
        </w:rPr>
        <w:t>).</w:t>
      </w:r>
    </w:p>
    <w:p w:rsidR="006F5694" w:rsidRPr="00FC5E5E" w:rsidRDefault="006F5694" w:rsidP="006F5694">
      <w:pPr>
        <w:spacing w:after="240"/>
        <w:rPr>
          <w:b/>
          <w:bCs/>
          <w:iCs/>
          <w:szCs w:val="28"/>
        </w:rPr>
      </w:pPr>
      <w:r w:rsidRPr="00FC5E5E">
        <w:rPr>
          <w:b/>
          <w:bCs/>
          <w:iCs/>
          <w:szCs w:val="28"/>
        </w:rPr>
        <w:t>Artículo 4</w:t>
      </w:r>
      <w:r>
        <w:rPr>
          <w:b/>
          <w:bCs/>
          <w:iCs/>
          <w:szCs w:val="28"/>
        </w:rPr>
        <w:t>.</w:t>
      </w:r>
      <w:r w:rsidRPr="00FC5E5E">
        <w:rPr>
          <w:b/>
          <w:bCs/>
          <w:iCs/>
          <w:szCs w:val="28"/>
        </w:rPr>
        <w:t xml:space="preserve">  </w:t>
      </w:r>
      <w:r w:rsidRPr="00FC5E5E">
        <w:rPr>
          <w:b/>
          <w:szCs w:val="28"/>
        </w:rPr>
        <w:t xml:space="preserve">Restricciones a la suspensión de las obligaciones contraídas en virtud del Pacto </w:t>
      </w:r>
    </w:p>
    <w:p w:rsidR="006F5694" w:rsidRDefault="006F5694" w:rsidP="006F5694">
      <w:pPr>
        <w:spacing w:after="240"/>
        <w:rPr>
          <w:szCs w:val="28"/>
        </w:rPr>
      </w:pPr>
      <w:r w:rsidRPr="00E86C37">
        <w:rPr>
          <w:szCs w:val="28"/>
        </w:rPr>
        <w:t>14.</w:t>
      </w:r>
      <w:r w:rsidRPr="00E86C37">
        <w:rPr>
          <w:szCs w:val="28"/>
        </w:rPr>
        <w:tab/>
        <w:t xml:space="preserve">Durante el </w:t>
      </w:r>
      <w:r>
        <w:rPr>
          <w:szCs w:val="28"/>
        </w:rPr>
        <w:t>período</w:t>
      </w:r>
      <w:r w:rsidRPr="00E86C37">
        <w:rPr>
          <w:szCs w:val="28"/>
        </w:rPr>
        <w:t xml:space="preserve"> 2001-2005 no se declaró en ningún momento el estado de excepción.</w:t>
      </w:r>
    </w:p>
    <w:p w:rsidR="006F5694" w:rsidRDefault="006F5694" w:rsidP="006F5694">
      <w:pPr>
        <w:spacing w:after="240"/>
        <w:rPr>
          <w:szCs w:val="28"/>
        </w:rPr>
      </w:pPr>
      <w:r w:rsidRPr="00E86C37">
        <w:rPr>
          <w:szCs w:val="28"/>
        </w:rPr>
        <w:t>15.</w:t>
      </w:r>
      <w:r w:rsidRPr="00E86C37">
        <w:rPr>
          <w:szCs w:val="28"/>
        </w:rPr>
        <w:tab/>
        <w:t xml:space="preserve">El Consejo de Ministros </w:t>
      </w:r>
      <w:r>
        <w:rPr>
          <w:szCs w:val="28"/>
        </w:rPr>
        <w:t xml:space="preserve">aprobó </w:t>
      </w:r>
      <w:r w:rsidRPr="00E86C37">
        <w:rPr>
          <w:szCs w:val="28"/>
        </w:rPr>
        <w:t>un Plan Nacional para Desastres y Emergencias en 2005</w:t>
      </w:r>
      <w:r>
        <w:rPr>
          <w:szCs w:val="28"/>
        </w:rPr>
        <w:t xml:space="preserve">.  </w:t>
      </w:r>
      <w:r w:rsidRPr="00E86C37">
        <w:rPr>
          <w:szCs w:val="28"/>
        </w:rPr>
        <w:t xml:space="preserve">Desde la </w:t>
      </w:r>
      <w:r>
        <w:rPr>
          <w:szCs w:val="28"/>
        </w:rPr>
        <w:t xml:space="preserve">aprobación </w:t>
      </w:r>
      <w:r w:rsidRPr="00E86C37">
        <w:rPr>
          <w:szCs w:val="28"/>
        </w:rPr>
        <w:t xml:space="preserve">de la Ordenanza sobre </w:t>
      </w:r>
      <w:r>
        <w:rPr>
          <w:szCs w:val="28"/>
        </w:rPr>
        <w:t>d</w:t>
      </w:r>
      <w:r w:rsidRPr="00E86C37">
        <w:rPr>
          <w:szCs w:val="28"/>
        </w:rPr>
        <w:t xml:space="preserve">esastres en 1989, las autoridades han organizado muchos cursillos, conferencias y simulacros para prepararse a un accidente de aviación o </w:t>
      </w:r>
      <w:r>
        <w:rPr>
          <w:szCs w:val="28"/>
        </w:rPr>
        <w:t xml:space="preserve">a los </w:t>
      </w:r>
      <w:r w:rsidRPr="00E86C37">
        <w:rPr>
          <w:szCs w:val="28"/>
        </w:rPr>
        <w:t>desastres causados por huracanes.</w:t>
      </w:r>
    </w:p>
    <w:p w:rsidR="006F5694" w:rsidRPr="00E86C37" w:rsidRDefault="006F5694" w:rsidP="006F5694">
      <w:pPr>
        <w:spacing w:after="240"/>
        <w:rPr>
          <w:szCs w:val="28"/>
        </w:rPr>
      </w:pPr>
      <w:r w:rsidRPr="00E86C37">
        <w:rPr>
          <w:szCs w:val="28"/>
        </w:rPr>
        <w:t>16.</w:t>
      </w:r>
      <w:r w:rsidRPr="00E86C37">
        <w:rPr>
          <w:szCs w:val="28"/>
        </w:rPr>
        <w:tab/>
      </w:r>
      <w:r>
        <w:rPr>
          <w:szCs w:val="28"/>
        </w:rPr>
        <w:t>L</w:t>
      </w:r>
      <w:r w:rsidRPr="00E86C37">
        <w:rPr>
          <w:szCs w:val="28"/>
        </w:rPr>
        <w:t xml:space="preserve">a </w:t>
      </w:r>
      <w:r>
        <w:rPr>
          <w:szCs w:val="28"/>
        </w:rPr>
        <w:t>o</w:t>
      </w:r>
      <w:r w:rsidRPr="00E86C37">
        <w:rPr>
          <w:szCs w:val="28"/>
        </w:rPr>
        <w:t xml:space="preserve">rdenanza </w:t>
      </w:r>
      <w:r>
        <w:rPr>
          <w:szCs w:val="28"/>
        </w:rPr>
        <w:t xml:space="preserve">fue enmendada </w:t>
      </w:r>
      <w:r w:rsidRPr="00E86C37">
        <w:rPr>
          <w:szCs w:val="28"/>
        </w:rPr>
        <w:t>en 1996 por consideraciones prácticas</w:t>
      </w:r>
      <w:r>
        <w:rPr>
          <w:szCs w:val="28"/>
        </w:rPr>
        <w:t>.  E</w:t>
      </w:r>
      <w:r w:rsidRPr="00E86C37">
        <w:rPr>
          <w:szCs w:val="28"/>
        </w:rPr>
        <w:t xml:space="preserve">n 1999 </w:t>
      </w:r>
      <w:r>
        <w:rPr>
          <w:szCs w:val="28"/>
        </w:rPr>
        <w:t xml:space="preserve">fue objeto de una nueva enmienda </w:t>
      </w:r>
      <w:r w:rsidRPr="00E86C37">
        <w:rPr>
          <w:szCs w:val="28"/>
        </w:rPr>
        <w:t xml:space="preserve">para adaptarla a las posibles consecuencias del </w:t>
      </w:r>
      <w:r>
        <w:rPr>
          <w:szCs w:val="28"/>
        </w:rPr>
        <w:t xml:space="preserve">cambio de siglo.  </w:t>
      </w:r>
      <w:r w:rsidRPr="00E86C37">
        <w:rPr>
          <w:szCs w:val="28"/>
        </w:rPr>
        <w:t>Actualmente se hace una nueva revisión consiguiente a los at</w:t>
      </w:r>
      <w:r>
        <w:rPr>
          <w:szCs w:val="28"/>
        </w:rPr>
        <w:t>entados del 11 de septiembre de </w:t>
      </w:r>
      <w:r w:rsidRPr="00E86C37">
        <w:rPr>
          <w:szCs w:val="28"/>
        </w:rPr>
        <w:t>2001 y otros hechos acaecidos en el mundo.</w:t>
      </w:r>
    </w:p>
    <w:p w:rsidR="006F5694" w:rsidRDefault="006F5694" w:rsidP="006F5694">
      <w:pPr>
        <w:spacing w:after="240"/>
        <w:rPr>
          <w:szCs w:val="28"/>
        </w:rPr>
      </w:pPr>
      <w:r w:rsidRPr="00E86C37">
        <w:rPr>
          <w:szCs w:val="28"/>
        </w:rPr>
        <w:t>17.</w:t>
      </w:r>
      <w:r w:rsidRPr="00E86C37">
        <w:rPr>
          <w:szCs w:val="28"/>
        </w:rPr>
        <w:tab/>
        <w:t xml:space="preserve">La Oficina de Gestión de Crisis de Aruba tiene un </w:t>
      </w:r>
      <w:r>
        <w:rPr>
          <w:szCs w:val="28"/>
        </w:rPr>
        <w:t>p</w:t>
      </w:r>
      <w:r w:rsidRPr="00E86C37">
        <w:rPr>
          <w:szCs w:val="28"/>
        </w:rPr>
        <w:t>lan específico para accidentes de aviación que incluye un completo ejercicio de simulación bienal (respuesta masiva en situación de urgencia) conforme a las normas de la Organización de Aviación Civil Internacional</w:t>
      </w:r>
      <w:r>
        <w:rPr>
          <w:szCs w:val="28"/>
        </w:rPr>
        <w:t xml:space="preserve">.  </w:t>
      </w:r>
      <w:r w:rsidRPr="00E86C37">
        <w:rPr>
          <w:szCs w:val="28"/>
        </w:rPr>
        <w:t>Tiene además otros tres Planes de desastres específicos:</w:t>
      </w:r>
      <w:r>
        <w:rPr>
          <w:szCs w:val="28"/>
        </w:rPr>
        <w:t xml:space="preserve"> </w:t>
      </w:r>
      <w:r w:rsidRPr="00E86C37">
        <w:rPr>
          <w:szCs w:val="28"/>
        </w:rPr>
        <w:t xml:space="preserve"> huracanes, mareas negras y accidentes en el mar</w:t>
      </w:r>
      <w:r>
        <w:rPr>
          <w:szCs w:val="28"/>
        </w:rPr>
        <w:t xml:space="preserve">.  </w:t>
      </w:r>
      <w:r w:rsidRPr="00E86C37">
        <w:rPr>
          <w:szCs w:val="28"/>
        </w:rPr>
        <w:t xml:space="preserve">Actualmente prepara un sistema de alerta de </w:t>
      </w:r>
      <w:r>
        <w:rPr>
          <w:szCs w:val="28"/>
        </w:rPr>
        <w:t xml:space="preserve">maremotos </w:t>
      </w:r>
      <w:r w:rsidRPr="00E86C37">
        <w:rPr>
          <w:szCs w:val="28"/>
        </w:rPr>
        <w:t>y un plan para hacer frente a la gripe aviar.</w:t>
      </w:r>
    </w:p>
    <w:p w:rsidR="006F5694" w:rsidRPr="00042420" w:rsidRDefault="006F5694" w:rsidP="006F5694">
      <w:pPr>
        <w:spacing w:after="240"/>
        <w:rPr>
          <w:b/>
          <w:bCs/>
          <w:iCs/>
          <w:szCs w:val="28"/>
        </w:rPr>
      </w:pPr>
      <w:r w:rsidRPr="00042420">
        <w:rPr>
          <w:b/>
          <w:bCs/>
          <w:iCs/>
          <w:szCs w:val="28"/>
        </w:rPr>
        <w:t>Artículo 5</w:t>
      </w:r>
      <w:r>
        <w:rPr>
          <w:b/>
          <w:bCs/>
          <w:iCs/>
          <w:szCs w:val="28"/>
        </w:rPr>
        <w:t xml:space="preserve">. </w:t>
      </w:r>
      <w:r w:rsidRPr="00042420">
        <w:rPr>
          <w:b/>
          <w:bCs/>
          <w:iCs/>
          <w:szCs w:val="28"/>
        </w:rPr>
        <w:t xml:space="preserve"> </w:t>
      </w:r>
      <w:r w:rsidRPr="00042420">
        <w:rPr>
          <w:b/>
          <w:szCs w:val="28"/>
        </w:rPr>
        <w:t>Prohibición de la inter</w:t>
      </w:r>
      <w:r>
        <w:rPr>
          <w:b/>
          <w:szCs w:val="28"/>
        </w:rPr>
        <w:t>pretación restrictiva del Pacto</w:t>
      </w:r>
    </w:p>
    <w:p w:rsidR="006F5694" w:rsidRDefault="006F5694" w:rsidP="006F5694">
      <w:pPr>
        <w:spacing w:after="240"/>
        <w:rPr>
          <w:szCs w:val="28"/>
        </w:rPr>
      </w:pPr>
      <w:r w:rsidRPr="00E86C37">
        <w:rPr>
          <w:szCs w:val="28"/>
        </w:rPr>
        <w:t>18.</w:t>
      </w:r>
      <w:r w:rsidRPr="00E86C37">
        <w:rPr>
          <w:szCs w:val="28"/>
        </w:rPr>
        <w:tab/>
      </w:r>
      <w:r>
        <w:rPr>
          <w:szCs w:val="28"/>
        </w:rPr>
        <w:t xml:space="preserve">Véanse </w:t>
      </w:r>
      <w:r w:rsidRPr="00E86C37">
        <w:rPr>
          <w:szCs w:val="28"/>
        </w:rPr>
        <w:t>los informes anteriores</w:t>
      </w:r>
      <w:r>
        <w:rPr>
          <w:szCs w:val="28"/>
        </w:rPr>
        <w:t xml:space="preserve">.  </w:t>
      </w:r>
    </w:p>
    <w:p w:rsidR="006F5694" w:rsidRPr="00042420" w:rsidRDefault="006F5694" w:rsidP="006F5694">
      <w:pPr>
        <w:spacing w:after="240"/>
        <w:rPr>
          <w:b/>
          <w:bCs/>
          <w:iCs/>
          <w:szCs w:val="28"/>
        </w:rPr>
      </w:pPr>
      <w:r w:rsidRPr="00042420">
        <w:rPr>
          <w:b/>
          <w:bCs/>
          <w:iCs/>
          <w:szCs w:val="28"/>
        </w:rPr>
        <w:t>Artículo 6</w:t>
      </w:r>
      <w:r>
        <w:rPr>
          <w:b/>
          <w:bCs/>
          <w:iCs/>
          <w:szCs w:val="28"/>
        </w:rPr>
        <w:t xml:space="preserve">. </w:t>
      </w:r>
      <w:r w:rsidRPr="00042420">
        <w:rPr>
          <w:b/>
          <w:bCs/>
          <w:iCs/>
          <w:szCs w:val="28"/>
        </w:rPr>
        <w:t xml:space="preserve"> Derecho a la vida</w:t>
      </w:r>
    </w:p>
    <w:p w:rsidR="006F5694" w:rsidRDefault="006F5694" w:rsidP="006F5694">
      <w:pPr>
        <w:spacing w:after="240"/>
        <w:rPr>
          <w:szCs w:val="28"/>
        </w:rPr>
      </w:pPr>
      <w:r w:rsidRPr="00E86C37">
        <w:rPr>
          <w:szCs w:val="28"/>
        </w:rPr>
        <w:t>19.</w:t>
      </w:r>
      <w:r w:rsidRPr="00E86C37">
        <w:rPr>
          <w:szCs w:val="28"/>
        </w:rPr>
        <w:tab/>
        <w:t>Como se dijo en informes anteriores, la pena capital no existe en Aruba</w:t>
      </w:r>
      <w:r>
        <w:rPr>
          <w:szCs w:val="28"/>
        </w:rPr>
        <w:t xml:space="preserve">.  </w:t>
      </w:r>
      <w:r w:rsidRPr="00E86C37">
        <w:rPr>
          <w:szCs w:val="28"/>
        </w:rPr>
        <w:t xml:space="preserve">El Código Penal prevé penas de reclusión </w:t>
      </w:r>
      <w:r>
        <w:rPr>
          <w:szCs w:val="28"/>
        </w:rPr>
        <w:t xml:space="preserve">temporal </w:t>
      </w:r>
      <w:r w:rsidRPr="00E86C37">
        <w:rPr>
          <w:szCs w:val="28"/>
        </w:rPr>
        <w:t>o perpetua</w:t>
      </w:r>
      <w:r>
        <w:rPr>
          <w:szCs w:val="28"/>
        </w:rPr>
        <w:t xml:space="preserve">.  </w:t>
      </w:r>
      <w:r w:rsidRPr="00E86C37">
        <w:rPr>
          <w:szCs w:val="28"/>
        </w:rPr>
        <w:t>Los condenados a cadena perpetua permanecen encarcelados durante toda su vida, a no ser que obtengan el indulto.</w:t>
      </w:r>
    </w:p>
    <w:p w:rsidR="006F5694" w:rsidRPr="00E86C37" w:rsidRDefault="006F5694" w:rsidP="006F5694">
      <w:pPr>
        <w:spacing w:after="240"/>
        <w:rPr>
          <w:bCs/>
          <w:iCs/>
          <w:szCs w:val="28"/>
        </w:rPr>
      </w:pPr>
      <w:r w:rsidRPr="00E86C37">
        <w:rPr>
          <w:bCs/>
          <w:iCs/>
          <w:szCs w:val="28"/>
        </w:rPr>
        <w:t>20.</w:t>
      </w:r>
      <w:r w:rsidRPr="00E86C37">
        <w:rPr>
          <w:bCs/>
          <w:iCs/>
          <w:szCs w:val="28"/>
        </w:rPr>
        <w:tab/>
        <w:t>Obsérvese que el Código Penal de Aruba está pendiente de una revisión completa que incluirá las sentencias</w:t>
      </w:r>
      <w:r>
        <w:rPr>
          <w:bCs/>
          <w:iCs/>
          <w:szCs w:val="28"/>
        </w:rPr>
        <w:t xml:space="preserve">.  </w:t>
      </w:r>
      <w:r w:rsidRPr="00E86C37">
        <w:rPr>
          <w:bCs/>
          <w:iCs/>
          <w:szCs w:val="28"/>
        </w:rPr>
        <w:t xml:space="preserve">Por ejemplo, se alargará la duración de la pena máxima de </w:t>
      </w:r>
      <w:r>
        <w:rPr>
          <w:bCs/>
          <w:iCs/>
          <w:szCs w:val="28"/>
        </w:rPr>
        <w:t xml:space="preserve">prisión </w:t>
      </w:r>
      <w:r w:rsidRPr="00E86C37">
        <w:rPr>
          <w:bCs/>
          <w:iCs/>
          <w:szCs w:val="28"/>
        </w:rPr>
        <w:t>para algunos delitos (principalmente de terrorismo), pero no se introducirá la pena capital</w:t>
      </w:r>
      <w:r>
        <w:rPr>
          <w:bCs/>
          <w:iCs/>
          <w:szCs w:val="28"/>
        </w:rPr>
        <w:t xml:space="preserve">.  </w:t>
      </w:r>
      <w:r w:rsidRPr="00E86C37">
        <w:rPr>
          <w:bCs/>
          <w:iCs/>
          <w:szCs w:val="28"/>
        </w:rPr>
        <w:t>Por otra parte, se propone que las penas de cadena perpetua sean revisadas después de 20 años de privación de libertad.</w:t>
      </w:r>
    </w:p>
    <w:p w:rsidR="006F5694" w:rsidRPr="003006BA" w:rsidRDefault="006F5694" w:rsidP="006F5694">
      <w:pPr>
        <w:spacing w:after="240"/>
        <w:ind w:firstLine="567"/>
        <w:rPr>
          <w:b/>
          <w:bCs/>
          <w:szCs w:val="28"/>
        </w:rPr>
      </w:pPr>
      <w:r w:rsidRPr="003006BA">
        <w:rPr>
          <w:b/>
          <w:bCs/>
          <w:szCs w:val="28"/>
        </w:rPr>
        <w:t>Utilización de armas de fuego por la policía</w:t>
      </w:r>
    </w:p>
    <w:p w:rsidR="006F5694" w:rsidRPr="00E86C37" w:rsidRDefault="006F5694" w:rsidP="006F5694">
      <w:pPr>
        <w:spacing w:after="240"/>
        <w:rPr>
          <w:szCs w:val="28"/>
        </w:rPr>
      </w:pPr>
      <w:r w:rsidRPr="00E86C37">
        <w:rPr>
          <w:szCs w:val="28"/>
        </w:rPr>
        <w:t>21.</w:t>
      </w:r>
      <w:r w:rsidRPr="00E86C37">
        <w:rPr>
          <w:szCs w:val="28"/>
        </w:rPr>
        <w:tab/>
        <w:t xml:space="preserve">En la </w:t>
      </w:r>
      <w:r>
        <w:rPr>
          <w:szCs w:val="28"/>
        </w:rPr>
        <w:t>O</w:t>
      </w:r>
      <w:r w:rsidRPr="00E86C37">
        <w:rPr>
          <w:szCs w:val="28"/>
        </w:rPr>
        <w:t xml:space="preserve">bservación general </w:t>
      </w:r>
      <w:proofErr w:type="spellStart"/>
      <w:r w:rsidRPr="00E86C37">
        <w:rPr>
          <w:szCs w:val="28"/>
        </w:rPr>
        <w:t>Nº</w:t>
      </w:r>
      <w:proofErr w:type="spellEnd"/>
      <w:r>
        <w:rPr>
          <w:szCs w:val="28"/>
        </w:rPr>
        <w:t xml:space="preserve"> </w:t>
      </w:r>
      <w:r w:rsidRPr="00E86C37">
        <w:rPr>
          <w:szCs w:val="28"/>
        </w:rPr>
        <w:t xml:space="preserve">6 sobre el artículo 6 (derecho a la vida) se establece, en su punto 3, que los Estados Partes en el Pacto deben </w:t>
      </w:r>
      <w:r>
        <w:rPr>
          <w:szCs w:val="28"/>
        </w:rPr>
        <w:t xml:space="preserve">evitar </w:t>
      </w:r>
      <w:r w:rsidRPr="00E86C37">
        <w:rPr>
          <w:szCs w:val="28"/>
        </w:rPr>
        <w:t>que sus propias fuerzas de seguridad den muerte a los ciudadanos de forma arbitraria</w:t>
      </w:r>
      <w:r>
        <w:rPr>
          <w:szCs w:val="28"/>
        </w:rPr>
        <w:t xml:space="preserve">.  </w:t>
      </w:r>
      <w:r w:rsidRPr="00E86C37">
        <w:rPr>
          <w:szCs w:val="28"/>
        </w:rPr>
        <w:t xml:space="preserve">Además, cada Estado debe </w:t>
      </w:r>
      <w:r>
        <w:rPr>
          <w:szCs w:val="28"/>
        </w:rPr>
        <w:t xml:space="preserve">establecer </w:t>
      </w:r>
      <w:r w:rsidRPr="00E86C37">
        <w:rPr>
          <w:szCs w:val="28"/>
        </w:rPr>
        <w:t>reglas para controlar y limitar las circunstancias en que la policía puede dar muerte a una persona.</w:t>
      </w:r>
    </w:p>
    <w:p w:rsidR="006F5694" w:rsidRDefault="006F5694" w:rsidP="006F5694">
      <w:pPr>
        <w:spacing w:after="240"/>
        <w:rPr>
          <w:szCs w:val="28"/>
        </w:rPr>
      </w:pPr>
      <w:r w:rsidRPr="00E86C37">
        <w:rPr>
          <w:szCs w:val="28"/>
        </w:rPr>
        <w:t>22.</w:t>
      </w:r>
      <w:r w:rsidRPr="00E86C37">
        <w:rPr>
          <w:szCs w:val="28"/>
        </w:rPr>
        <w:tab/>
        <w:t xml:space="preserve">A este respecto, </w:t>
      </w:r>
      <w:r>
        <w:rPr>
          <w:szCs w:val="28"/>
        </w:rPr>
        <w:t xml:space="preserve">véanse </w:t>
      </w:r>
      <w:r w:rsidRPr="00E86C37">
        <w:rPr>
          <w:szCs w:val="28"/>
        </w:rPr>
        <w:t xml:space="preserve">a las disposiciones del artículo 3 1) de la Ordenanza </w:t>
      </w:r>
      <w:r>
        <w:rPr>
          <w:szCs w:val="28"/>
        </w:rPr>
        <w:t>n</w:t>
      </w:r>
      <w:r w:rsidRPr="00E86C37">
        <w:rPr>
          <w:szCs w:val="28"/>
        </w:rPr>
        <w:t xml:space="preserve">acional de </w:t>
      </w:r>
      <w:r>
        <w:rPr>
          <w:szCs w:val="28"/>
        </w:rPr>
        <w:t>p</w:t>
      </w:r>
      <w:r w:rsidRPr="00E86C37">
        <w:rPr>
          <w:szCs w:val="28"/>
        </w:rPr>
        <w:t>olicía (promulgada en 1988):</w:t>
      </w:r>
    </w:p>
    <w:p w:rsidR="006F5694" w:rsidRDefault="006F5694" w:rsidP="006F5694">
      <w:pPr>
        <w:spacing w:after="240"/>
        <w:ind w:left="567" w:firstLine="567"/>
        <w:rPr>
          <w:iCs/>
          <w:szCs w:val="28"/>
        </w:rPr>
      </w:pPr>
      <w:r w:rsidRPr="00E86C37">
        <w:rPr>
          <w:iCs/>
          <w:szCs w:val="28"/>
        </w:rPr>
        <w:t>Los agentes de policía y también los agentes de unidades especiales que estén cumpliendo una misión de policía, podrán hacer uso de la fuerza contra las personas y la propiedad en el ejercicio lícito de sus funciones, tomando en consideración los riesgos de este recurso a la fuerza, si los fines lo justifican y no pueden llevar a cabo su misión de otra forma.</w:t>
      </w:r>
    </w:p>
    <w:p w:rsidR="006F5694" w:rsidRDefault="006F5694" w:rsidP="006F5694">
      <w:pPr>
        <w:spacing w:after="240"/>
        <w:rPr>
          <w:iCs/>
          <w:szCs w:val="28"/>
        </w:rPr>
      </w:pPr>
      <w:r w:rsidRPr="00E86C37">
        <w:rPr>
          <w:szCs w:val="28"/>
        </w:rPr>
        <w:t>23.</w:t>
      </w:r>
      <w:r w:rsidRPr="00E86C37">
        <w:rPr>
          <w:szCs w:val="28"/>
        </w:rPr>
        <w:tab/>
      </w:r>
      <w:r>
        <w:rPr>
          <w:szCs w:val="28"/>
        </w:rPr>
        <w:t>Según e</w:t>
      </w:r>
      <w:r w:rsidRPr="00E86C37">
        <w:rPr>
          <w:szCs w:val="28"/>
        </w:rPr>
        <w:t xml:space="preserve">sta disposición la policía sólo puede </w:t>
      </w:r>
      <w:r w:rsidRPr="00E86C37">
        <w:rPr>
          <w:iCs/>
          <w:szCs w:val="28"/>
        </w:rPr>
        <w:t>hacer uso de la fuerza contra las personas en el ejercicio lícito de sus funciones</w:t>
      </w:r>
      <w:r>
        <w:rPr>
          <w:iCs/>
          <w:szCs w:val="28"/>
        </w:rPr>
        <w:t xml:space="preserve">.  </w:t>
      </w:r>
      <w:r w:rsidRPr="00E86C37">
        <w:rPr>
          <w:iCs/>
          <w:szCs w:val="28"/>
        </w:rPr>
        <w:t xml:space="preserve">Dicho de otra forma, la policía está sometida a una obligación de observancia de las leyes </w:t>
      </w:r>
      <w:r>
        <w:rPr>
          <w:iCs/>
          <w:szCs w:val="28"/>
        </w:rPr>
        <w:t xml:space="preserve">antes de recurrir </w:t>
      </w:r>
      <w:r w:rsidRPr="00E86C37">
        <w:rPr>
          <w:iCs/>
          <w:szCs w:val="28"/>
        </w:rPr>
        <w:t>a la fuerza</w:t>
      </w:r>
      <w:r>
        <w:rPr>
          <w:iCs/>
          <w:szCs w:val="28"/>
        </w:rPr>
        <w:t xml:space="preserve">.  </w:t>
      </w:r>
      <w:r w:rsidRPr="00E86C37">
        <w:rPr>
          <w:iCs/>
          <w:szCs w:val="28"/>
        </w:rPr>
        <w:t>Por otra parte, esta disposición subraya que sólo se podrá recurrir a la fuerza cuando los fines lo justifiquen, cuando no sea posible conseguirlos de otra forma</w:t>
      </w:r>
      <w:r>
        <w:rPr>
          <w:iCs/>
          <w:szCs w:val="28"/>
        </w:rPr>
        <w:t xml:space="preserve">.  </w:t>
      </w:r>
      <w:r w:rsidRPr="00E86C37">
        <w:rPr>
          <w:iCs/>
          <w:szCs w:val="28"/>
        </w:rPr>
        <w:t>Así pues, los funcionarios de policía deben considerar expresamente todas las posibilidades antes de recurrir a la fuerza contra las personas</w:t>
      </w:r>
      <w:r>
        <w:rPr>
          <w:iCs/>
          <w:szCs w:val="28"/>
        </w:rPr>
        <w:t xml:space="preserve">.  </w:t>
      </w:r>
      <w:r w:rsidRPr="00E86C37">
        <w:rPr>
          <w:iCs/>
          <w:szCs w:val="28"/>
        </w:rPr>
        <w:t xml:space="preserve">Como se indica en el memorando explicativo de esta </w:t>
      </w:r>
      <w:r>
        <w:rPr>
          <w:iCs/>
          <w:szCs w:val="28"/>
        </w:rPr>
        <w:t>o</w:t>
      </w:r>
      <w:r w:rsidRPr="00E86C37">
        <w:rPr>
          <w:iCs/>
          <w:szCs w:val="28"/>
        </w:rPr>
        <w:t>rdenanza nacional, la policía sólo recurrirá a la fuerza contra las personas en última instancia.</w:t>
      </w:r>
    </w:p>
    <w:p w:rsidR="006F5694" w:rsidRDefault="006F5694" w:rsidP="006F5694">
      <w:pPr>
        <w:spacing w:after="240"/>
        <w:rPr>
          <w:szCs w:val="28"/>
        </w:rPr>
      </w:pPr>
      <w:r w:rsidRPr="00E86C37">
        <w:rPr>
          <w:szCs w:val="28"/>
        </w:rPr>
        <w:t>24.</w:t>
      </w:r>
      <w:r w:rsidRPr="00E86C37">
        <w:rPr>
          <w:szCs w:val="28"/>
        </w:rPr>
        <w:tab/>
        <w:t xml:space="preserve">Además de esta </w:t>
      </w:r>
      <w:r>
        <w:rPr>
          <w:szCs w:val="28"/>
        </w:rPr>
        <w:t>o</w:t>
      </w:r>
      <w:r w:rsidRPr="00E86C37">
        <w:rPr>
          <w:iCs/>
          <w:szCs w:val="28"/>
        </w:rPr>
        <w:t xml:space="preserve">rdenanza nacional, en </w:t>
      </w:r>
      <w:r w:rsidRPr="00E86C37">
        <w:rPr>
          <w:szCs w:val="28"/>
        </w:rPr>
        <w:t xml:space="preserve">1988 se aprobó un </w:t>
      </w:r>
      <w:r>
        <w:rPr>
          <w:szCs w:val="28"/>
        </w:rPr>
        <w:t>D</w:t>
      </w:r>
      <w:r w:rsidRPr="00E86C37">
        <w:rPr>
          <w:szCs w:val="28"/>
        </w:rPr>
        <w:t>ecreto nacional sobre la utilización de la fuerza y los registros policiales por razones de seguridad (</w:t>
      </w:r>
      <w:r>
        <w:rPr>
          <w:szCs w:val="28"/>
        </w:rPr>
        <w:t xml:space="preserve">enmendado </w:t>
      </w:r>
      <w:r w:rsidRPr="00E86C37">
        <w:rPr>
          <w:szCs w:val="28"/>
        </w:rPr>
        <w:t>después en 1990) que determina los casos en que pueden emplearse armas de fuego y armas automáticas</w:t>
      </w:r>
      <w:r>
        <w:rPr>
          <w:szCs w:val="28"/>
        </w:rPr>
        <w:t xml:space="preserve">.  </w:t>
      </w:r>
      <w:r w:rsidRPr="00E86C37">
        <w:rPr>
          <w:szCs w:val="28"/>
        </w:rPr>
        <w:t xml:space="preserve">Los artículos 7, 8 y 11 de este </w:t>
      </w:r>
      <w:r>
        <w:rPr>
          <w:szCs w:val="28"/>
        </w:rPr>
        <w:t>d</w:t>
      </w:r>
      <w:r w:rsidRPr="00E86C37">
        <w:rPr>
          <w:szCs w:val="28"/>
        </w:rPr>
        <w:t xml:space="preserve">ecreto nacional están dedicados a </w:t>
      </w:r>
      <w:r>
        <w:rPr>
          <w:szCs w:val="28"/>
        </w:rPr>
        <w:t>e</w:t>
      </w:r>
      <w:r w:rsidRPr="00E86C37">
        <w:rPr>
          <w:szCs w:val="28"/>
        </w:rPr>
        <w:t>stos y otros temas</w:t>
      </w:r>
      <w:r>
        <w:rPr>
          <w:szCs w:val="28"/>
        </w:rPr>
        <w:t>.  La </w:t>
      </w:r>
      <w:r w:rsidRPr="00E86C37">
        <w:rPr>
          <w:szCs w:val="28"/>
        </w:rPr>
        <w:t xml:space="preserve">utilización de armas de fuego automáticas no </w:t>
      </w:r>
      <w:r>
        <w:rPr>
          <w:szCs w:val="28"/>
        </w:rPr>
        <w:t xml:space="preserve">se contempla </w:t>
      </w:r>
      <w:r w:rsidRPr="00E86C37">
        <w:rPr>
          <w:szCs w:val="28"/>
        </w:rPr>
        <w:t>porque la dotación normal de la policía no incluye este tipo de armas, reservadas a funcionarios de policía especialmente entrenados.</w:t>
      </w:r>
    </w:p>
    <w:p w:rsidR="006F5694" w:rsidRPr="003006BA" w:rsidRDefault="006F5694" w:rsidP="006F5694">
      <w:pPr>
        <w:spacing w:after="240"/>
        <w:rPr>
          <w:b/>
          <w:bCs/>
          <w:szCs w:val="28"/>
        </w:rPr>
      </w:pPr>
      <w:r w:rsidRPr="003006BA">
        <w:rPr>
          <w:b/>
          <w:bCs/>
          <w:szCs w:val="28"/>
        </w:rPr>
        <w:t xml:space="preserve">Artículo 7 del </w:t>
      </w:r>
      <w:r w:rsidRPr="003006BA">
        <w:rPr>
          <w:b/>
          <w:szCs w:val="28"/>
        </w:rPr>
        <w:t xml:space="preserve">Decreto nacional sobre la utilización de la fuerza y los registros policiales por razones de seguridad </w:t>
      </w:r>
    </w:p>
    <w:p w:rsidR="006F5694" w:rsidRPr="00E86C37" w:rsidRDefault="006F5694" w:rsidP="006F5694">
      <w:pPr>
        <w:spacing w:after="240"/>
        <w:rPr>
          <w:iCs/>
          <w:szCs w:val="28"/>
        </w:rPr>
      </w:pPr>
      <w:r w:rsidRPr="00E86C37">
        <w:rPr>
          <w:iCs/>
          <w:szCs w:val="28"/>
        </w:rPr>
        <w:t>25.</w:t>
      </w:r>
      <w:r w:rsidRPr="00E86C37">
        <w:rPr>
          <w:iCs/>
          <w:szCs w:val="28"/>
        </w:rPr>
        <w:tab/>
      </w:r>
      <w:r w:rsidRPr="003006BA">
        <w:rPr>
          <w:b/>
          <w:iCs/>
          <w:szCs w:val="28"/>
        </w:rPr>
        <w:t>Párrafo 1</w:t>
      </w:r>
      <w:r>
        <w:rPr>
          <w:iCs/>
          <w:szCs w:val="28"/>
        </w:rPr>
        <w:t xml:space="preserve">. </w:t>
      </w:r>
      <w:r w:rsidRPr="00E86C37">
        <w:rPr>
          <w:iCs/>
          <w:szCs w:val="28"/>
        </w:rPr>
        <w:t xml:space="preserve"> Exceptuando las condiciones que permiten invocar el artículo 43 del Código Penal de Aruba, la utilización de armas de fuego no automáticas contra personas y vehículos en los que viajen personas sólo está permitida con los siguientes fines:</w:t>
      </w:r>
    </w:p>
    <w:p w:rsidR="006F5694" w:rsidRPr="00E86C37" w:rsidRDefault="006F5694" w:rsidP="006F5694">
      <w:pPr>
        <w:spacing w:after="240"/>
        <w:ind w:left="1134" w:hanging="567"/>
        <w:rPr>
          <w:iCs/>
          <w:szCs w:val="28"/>
        </w:rPr>
      </w:pPr>
      <w:r>
        <w:rPr>
          <w:iCs/>
          <w:szCs w:val="28"/>
        </w:rPr>
        <w:t>a)</w:t>
      </w:r>
      <w:r>
        <w:rPr>
          <w:iCs/>
          <w:szCs w:val="28"/>
        </w:rPr>
        <w:tab/>
      </w:r>
      <w:r w:rsidRPr="00E86C37">
        <w:rPr>
          <w:iCs/>
          <w:szCs w:val="28"/>
        </w:rPr>
        <w:t xml:space="preserve">Para </w:t>
      </w:r>
      <w:r>
        <w:rPr>
          <w:iCs/>
          <w:szCs w:val="28"/>
        </w:rPr>
        <w:t xml:space="preserve">detener </w:t>
      </w:r>
      <w:r w:rsidRPr="00E86C37">
        <w:rPr>
          <w:iCs/>
          <w:szCs w:val="28"/>
        </w:rPr>
        <w:t xml:space="preserve">a una persona si razonablemente </w:t>
      </w:r>
      <w:r>
        <w:rPr>
          <w:iCs/>
          <w:szCs w:val="28"/>
        </w:rPr>
        <w:t xml:space="preserve">cabe suponer </w:t>
      </w:r>
      <w:r w:rsidRPr="00E86C37">
        <w:rPr>
          <w:iCs/>
          <w:szCs w:val="28"/>
        </w:rPr>
        <w:t xml:space="preserve">que lleva un arma de fuego u otra clase de arma </w:t>
      </w:r>
      <w:r>
        <w:rPr>
          <w:iCs/>
          <w:szCs w:val="28"/>
        </w:rPr>
        <w:t xml:space="preserve">de </w:t>
      </w:r>
      <w:r w:rsidRPr="00E86C37">
        <w:rPr>
          <w:iCs/>
          <w:szCs w:val="28"/>
        </w:rPr>
        <w:t>utilización a distancia, si puede utilizarla inmediatamente y amenaza con ella a otras personas;</w:t>
      </w:r>
    </w:p>
    <w:p w:rsidR="006F5694" w:rsidRDefault="006F5694" w:rsidP="006F5694">
      <w:pPr>
        <w:spacing w:after="240"/>
        <w:ind w:left="1134" w:hanging="567"/>
        <w:rPr>
          <w:iCs/>
          <w:szCs w:val="28"/>
        </w:rPr>
      </w:pPr>
      <w:r>
        <w:rPr>
          <w:iCs/>
          <w:szCs w:val="28"/>
        </w:rPr>
        <w:t>b)</w:t>
      </w:r>
      <w:r>
        <w:rPr>
          <w:iCs/>
          <w:szCs w:val="28"/>
        </w:rPr>
        <w:tab/>
      </w:r>
      <w:r w:rsidRPr="00E86C37">
        <w:rPr>
          <w:iCs/>
          <w:szCs w:val="28"/>
        </w:rPr>
        <w:t xml:space="preserve">Para </w:t>
      </w:r>
      <w:r>
        <w:rPr>
          <w:iCs/>
          <w:szCs w:val="28"/>
        </w:rPr>
        <w:t xml:space="preserve">detener </w:t>
      </w:r>
      <w:r w:rsidRPr="00E86C37">
        <w:rPr>
          <w:iCs/>
          <w:szCs w:val="28"/>
        </w:rPr>
        <w:t>al culpable o presunto culpable d</w:t>
      </w:r>
      <w:r>
        <w:rPr>
          <w:iCs/>
          <w:szCs w:val="28"/>
        </w:rPr>
        <w:t>e un delito grave que constituya</w:t>
      </w:r>
      <w:r w:rsidRPr="00E86C37">
        <w:rPr>
          <w:iCs/>
          <w:szCs w:val="28"/>
        </w:rPr>
        <w:t xml:space="preserve"> una violación inaceptable del orden público, </w:t>
      </w:r>
      <w:r>
        <w:rPr>
          <w:iCs/>
          <w:szCs w:val="28"/>
        </w:rPr>
        <w:t xml:space="preserve">si </w:t>
      </w:r>
      <w:r w:rsidRPr="00E86C37">
        <w:rPr>
          <w:iCs/>
          <w:szCs w:val="28"/>
        </w:rPr>
        <w:t xml:space="preserve">intenta escapar o se ha sustraído </w:t>
      </w:r>
      <w:r>
        <w:rPr>
          <w:iCs/>
          <w:szCs w:val="28"/>
        </w:rPr>
        <w:t>a la detención</w:t>
      </w:r>
      <w:r w:rsidRPr="00E86C37">
        <w:rPr>
          <w:iCs/>
          <w:szCs w:val="28"/>
        </w:rPr>
        <w:t>, la comparecencia ante el ministerio público u otra forma lícita de privación de libertad</w:t>
      </w:r>
      <w:r>
        <w:rPr>
          <w:iCs/>
          <w:szCs w:val="28"/>
        </w:rPr>
        <w:t xml:space="preserve">.  </w:t>
      </w:r>
    </w:p>
    <w:p w:rsidR="006F5694" w:rsidRDefault="006F5694" w:rsidP="006F5694">
      <w:pPr>
        <w:spacing w:after="240"/>
        <w:ind w:firstLine="567"/>
        <w:rPr>
          <w:iCs/>
          <w:szCs w:val="28"/>
        </w:rPr>
      </w:pPr>
      <w:r w:rsidRPr="00460320">
        <w:rPr>
          <w:b/>
          <w:iCs/>
          <w:szCs w:val="28"/>
        </w:rPr>
        <w:t>Párrafo 2</w:t>
      </w:r>
      <w:r>
        <w:rPr>
          <w:iCs/>
          <w:szCs w:val="28"/>
        </w:rPr>
        <w:t xml:space="preserve">. </w:t>
      </w:r>
      <w:r w:rsidRPr="00E86C37">
        <w:rPr>
          <w:iCs/>
          <w:szCs w:val="28"/>
        </w:rPr>
        <w:t xml:space="preserve"> (…)</w:t>
      </w:r>
    </w:p>
    <w:p w:rsidR="006F5694" w:rsidRDefault="006F5694" w:rsidP="006F5694">
      <w:pPr>
        <w:spacing w:after="240"/>
        <w:ind w:firstLine="567"/>
        <w:rPr>
          <w:iCs/>
          <w:szCs w:val="28"/>
        </w:rPr>
      </w:pPr>
      <w:r w:rsidRPr="00460320">
        <w:rPr>
          <w:b/>
          <w:iCs/>
          <w:szCs w:val="28"/>
        </w:rPr>
        <w:t>Párrafo 3</w:t>
      </w:r>
      <w:r>
        <w:rPr>
          <w:iCs/>
          <w:szCs w:val="28"/>
        </w:rPr>
        <w:t xml:space="preserve">. </w:t>
      </w:r>
      <w:r w:rsidRPr="00E86C37">
        <w:rPr>
          <w:iCs/>
          <w:szCs w:val="28"/>
        </w:rPr>
        <w:t xml:space="preserve"> No se podrá hacer uso de armas de fuego si se conoce la identidad de la persona </w:t>
      </w:r>
      <w:r>
        <w:rPr>
          <w:iCs/>
          <w:szCs w:val="28"/>
        </w:rPr>
        <w:t xml:space="preserve">a la </w:t>
      </w:r>
      <w:r w:rsidRPr="00E86C37">
        <w:rPr>
          <w:iCs/>
          <w:szCs w:val="28"/>
        </w:rPr>
        <w:t xml:space="preserve">que se va </w:t>
      </w:r>
      <w:r>
        <w:rPr>
          <w:iCs/>
          <w:szCs w:val="28"/>
        </w:rPr>
        <w:t xml:space="preserve">a detener y cabe </w:t>
      </w:r>
      <w:r w:rsidRPr="00E86C37">
        <w:rPr>
          <w:iCs/>
          <w:szCs w:val="28"/>
        </w:rPr>
        <w:t xml:space="preserve">razonablemente </w:t>
      </w:r>
      <w:r>
        <w:rPr>
          <w:iCs/>
          <w:szCs w:val="28"/>
        </w:rPr>
        <w:t xml:space="preserve">suponer </w:t>
      </w:r>
      <w:r w:rsidRPr="00E86C37">
        <w:rPr>
          <w:iCs/>
          <w:szCs w:val="28"/>
        </w:rPr>
        <w:t xml:space="preserve">que no se atenta contra el orden público si no se consigue </w:t>
      </w:r>
      <w:r>
        <w:rPr>
          <w:iCs/>
          <w:szCs w:val="28"/>
        </w:rPr>
        <w:t xml:space="preserve">la inmediata detención de esa </w:t>
      </w:r>
      <w:r w:rsidRPr="00E86C37">
        <w:rPr>
          <w:iCs/>
          <w:szCs w:val="28"/>
        </w:rPr>
        <w:t>persona.</w:t>
      </w:r>
    </w:p>
    <w:p w:rsidR="006F5694" w:rsidRDefault="006F5694" w:rsidP="006F5694">
      <w:pPr>
        <w:spacing w:after="240"/>
        <w:rPr>
          <w:szCs w:val="28"/>
        </w:rPr>
      </w:pPr>
      <w:r w:rsidRPr="00E86C37">
        <w:rPr>
          <w:szCs w:val="28"/>
        </w:rPr>
        <w:t>26.</w:t>
      </w:r>
      <w:r w:rsidRPr="00E86C37">
        <w:rPr>
          <w:szCs w:val="28"/>
        </w:rPr>
        <w:tab/>
      </w:r>
      <w:r>
        <w:rPr>
          <w:szCs w:val="28"/>
        </w:rPr>
        <w:t>De e</w:t>
      </w:r>
      <w:r w:rsidRPr="00E86C37">
        <w:rPr>
          <w:szCs w:val="28"/>
        </w:rPr>
        <w:t xml:space="preserve">sta disposición </w:t>
      </w:r>
      <w:r>
        <w:rPr>
          <w:szCs w:val="28"/>
        </w:rPr>
        <w:t xml:space="preserve">se deduce </w:t>
      </w:r>
      <w:r w:rsidRPr="00E86C37">
        <w:rPr>
          <w:szCs w:val="28"/>
        </w:rPr>
        <w:t>que los funcionarios de policía sólo pueden utilizar sus armas de servicio en dos situaciones</w:t>
      </w:r>
      <w:r>
        <w:rPr>
          <w:szCs w:val="28"/>
        </w:rPr>
        <w:t xml:space="preserve">.  </w:t>
      </w:r>
      <w:r w:rsidRPr="00E86C37">
        <w:rPr>
          <w:szCs w:val="28"/>
        </w:rPr>
        <w:t xml:space="preserve">El </w:t>
      </w:r>
      <w:r>
        <w:rPr>
          <w:szCs w:val="28"/>
        </w:rPr>
        <w:t>d</w:t>
      </w:r>
      <w:r w:rsidRPr="00E86C37">
        <w:rPr>
          <w:szCs w:val="28"/>
        </w:rPr>
        <w:t>ecreto nacional menciona una tercera situación que está definida en el artículo 43 del Código Penal en estos términos:</w:t>
      </w:r>
    </w:p>
    <w:p w:rsidR="006F5694" w:rsidRPr="00E86C37" w:rsidRDefault="006F5694" w:rsidP="006F5694">
      <w:pPr>
        <w:spacing w:after="240"/>
        <w:ind w:left="600" w:hanging="33"/>
        <w:rPr>
          <w:iCs/>
          <w:szCs w:val="28"/>
        </w:rPr>
      </w:pPr>
      <w:r>
        <w:rPr>
          <w:iCs/>
          <w:szCs w:val="28"/>
        </w:rPr>
        <w:tab/>
      </w:r>
      <w:r>
        <w:rPr>
          <w:iCs/>
          <w:szCs w:val="28"/>
        </w:rPr>
        <w:tab/>
      </w:r>
      <w:r w:rsidRPr="00E86C37">
        <w:rPr>
          <w:iCs/>
          <w:szCs w:val="28"/>
        </w:rPr>
        <w:t>1</w:t>
      </w:r>
      <w:r>
        <w:rPr>
          <w:iCs/>
          <w:szCs w:val="28"/>
        </w:rPr>
        <w:t>)</w:t>
      </w:r>
      <w:r>
        <w:rPr>
          <w:iCs/>
          <w:szCs w:val="28"/>
        </w:rPr>
        <w:tab/>
      </w:r>
      <w:r w:rsidRPr="00E86C37">
        <w:rPr>
          <w:iCs/>
          <w:szCs w:val="28"/>
        </w:rPr>
        <w:t xml:space="preserve">No incurre en responsabilidad penal la persona que se vea obligada a cometer un delito para defenderse o defender a otras personas, defender su integridad y propiedad o la integridad y propiedad de otras personas, contra </w:t>
      </w:r>
      <w:r>
        <w:rPr>
          <w:iCs/>
          <w:szCs w:val="28"/>
        </w:rPr>
        <w:t>una agresión ilegítima inmediata</w:t>
      </w:r>
      <w:r w:rsidRPr="00E86C37">
        <w:rPr>
          <w:iCs/>
          <w:szCs w:val="28"/>
        </w:rPr>
        <w:t>.</w:t>
      </w:r>
    </w:p>
    <w:p w:rsidR="006F5694" w:rsidRDefault="006F5694" w:rsidP="006F5694">
      <w:pPr>
        <w:spacing w:after="240"/>
        <w:ind w:left="600" w:hanging="33"/>
        <w:rPr>
          <w:iCs/>
          <w:szCs w:val="28"/>
        </w:rPr>
      </w:pPr>
      <w:r>
        <w:rPr>
          <w:iCs/>
          <w:szCs w:val="28"/>
        </w:rPr>
        <w:tab/>
      </w:r>
      <w:r>
        <w:rPr>
          <w:iCs/>
          <w:szCs w:val="28"/>
        </w:rPr>
        <w:tab/>
      </w:r>
      <w:r w:rsidRPr="00E86C37">
        <w:rPr>
          <w:iCs/>
          <w:szCs w:val="28"/>
        </w:rPr>
        <w:t>2</w:t>
      </w:r>
      <w:r>
        <w:rPr>
          <w:iCs/>
          <w:szCs w:val="28"/>
        </w:rPr>
        <w:t>)</w:t>
      </w:r>
      <w:r>
        <w:rPr>
          <w:iCs/>
          <w:szCs w:val="28"/>
        </w:rPr>
        <w:tab/>
      </w:r>
      <w:r w:rsidRPr="00E86C37">
        <w:rPr>
          <w:iCs/>
          <w:szCs w:val="28"/>
        </w:rPr>
        <w:t xml:space="preserve">La persona que rebasa los límites de la defensa necesaria no incurre en responsabilidad penal si el exceso de fuerza es el resultado directo de una fuerte emoción causada por </w:t>
      </w:r>
      <w:r>
        <w:rPr>
          <w:iCs/>
          <w:szCs w:val="28"/>
        </w:rPr>
        <w:t>la agresión</w:t>
      </w:r>
      <w:r w:rsidRPr="00E86C37">
        <w:rPr>
          <w:iCs/>
          <w:szCs w:val="28"/>
        </w:rPr>
        <w:t>.</w:t>
      </w:r>
    </w:p>
    <w:p w:rsidR="006F5694" w:rsidRDefault="006F5694" w:rsidP="006F5694">
      <w:pPr>
        <w:spacing w:after="240"/>
        <w:rPr>
          <w:szCs w:val="28"/>
        </w:rPr>
      </w:pPr>
      <w:r w:rsidRPr="00E86C37">
        <w:rPr>
          <w:szCs w:val="28"/>
        </w:rPr>
        <w:t>27.</w:t>
      </w:r>
      <w:r w:rsidRPr="00E86C37">
        <w:rPr>
          <w:szCs w:val="28"/>
        </w:rPr>
        <w:tab/>
        <w:t xml:space="preserve">Por consiguiente, un funcionario de policía también podrá utilizar su arma en defensa propia o en defensa de </w:t>
      </w:r>
      <w:r>
        <w:rPr>
          <w:szCs w:val="28"/>
        </w:rPr>
        <w:t>terceros</w:t>
      </w:r>
      <w:r w:rsidRPr="00E86C37">
        <w:rPr>
          <w:szCs w:val="28"/>
        </w:rPr>
        <w:t>, en situaciones de emergencia o cuando esté en peligro la vida.</w:t>
      </w:r>
    </w:p>
    <w:p w:rsidR="006F5694" w:rsidRPr="00460320" w:rsidRDefault="006F5694" w:rsidP="006F5694">
      <w:pPr>
        <w:spacing w:after="240"/>
        <w:rPr>
          <w:b/>
          <w:bCs/>
          <w:szCs w:val="28"/>
        </w:rPr>
      </w:pPr>
      <w:r w:rsidRPr="00460320">
        <w:rPr>
          <w:b/>
          <w:bCs/>
          <w:szCs w:val="28"/>
        </w:rPr>
        <w:t xml:space="preserve">Artículo 8 del </w:t>
      </w:r>
      <w:r w:rsidRPr="00460320">
        <w:rPr>
          <w:b/>
          <w:szCs w:val="28"/>
        </w:rPr>
        <w:t xml:space="preserve">Decreto nacional sobre la utilización de la fuerza y los registros policiales por razones de seguridad </w:t>
      </w:r>
    </w:p>
    <w:p w:rsidR="006F5694" w:rsidRDefault="006F5694" w:rsidP="006F5694">
      <w:pPr>
        <w:spacing w:after="240"/>
        <w:rPr>
          <w:iCs/>
          <w:szCs w:val="28"/>
        </w:rPr>
      </w:pPr>
      <w:r w:rsidRPr="00E86C37">
        <w:rPr>
          <w:iCs/>
          <w:szCs w:val="28"/>
        </w:rPr>
        <w:t>28.</w:t>
      </w:r>
      <w:r w:rsidRPr="00E86C37">
        <w:rPr>
          <w:iCs/>
          <w:szCs w:val="28"/>
        </w:rPr>
        <w:tab/>
      </w:r>
      <w:r w:rsidRPr="00460320">
        <w:rPr>
          <w:b/>
          <w:iCs/>
          <w:szCs w:val="28"/>
        </w:rPr>
        <w:t>Párrafo 1</w:t>
      </w:r>
      <w:r>
        <w:rPr>
          <w:iCs/>
          <w:szCs w:val="28"/>
        </w:rPr>
        <w:t xml:space="preserve">. </w:t>
      </w:r>
      <w:r w:rsidRPr="00E86C37">
        <w:rPr>
          <w:iCs/>
          <w:szCs w:val="28"/>
        </w:rPr>
        <w:t xml:space="preserve"> Se podrán utilizar armas de fuego no automáticas para sofocar disturbios únicamente en operaciones policiales y con una orden del Ministro de Asuntos Internos o de su representante autorizado</w:t>
      </w:r>
      <w:r>
        <w:rPr>
          <w:iCs/>
          <w:szCs w:val="28"/>
        </w:rPr>
        <w:t xml:space="preserve">.  </w:t>
      </w:r>
    </w:p>
    <w:p w:rsidR="006F5694" w:rsidRDefault="006F5694" w:rsidP="006F5694">
      <w:pPr>
        <w:spacing w:after="240"/>
        <w:ind w:firstLine="567"/>
        <w:rPr>
          <w:iCs/>
          <w:szCs w:val="28"/>
        </w:rPr>
      </w:pPr>
      <w:r w:rsidRPr="00460320">
        <w:rPr>
          <w:b/>
          <w:iCs/>
          <w:szCs w:val="28"/>
        </w:rPr>
        <w:t>Párrafo 2</w:t>
      </w:r>
      <w:r>
        <w:rPr>
          <w:iCs/>
          <w:szCs w:val="28"/>
        </w:rPr>
        <w:t xml:space="preserve">. </w:t>
      </w:r>
      <w:r w:rsidRPr="00E86C37">
        <w:rPr>
          <w:iCs/>
          <w:szCs w:val="28"/>
        </w:rPr>
        <w:t xml:space="preserve"> A los efectos del párrafo 1, se entiende que hay una situación de disturbio únicamente cuando se interviene contra uno o varios grupos de personas que </w:t>
      </w:r>
      <w:r>
        <w:rPr>
          <w:iCs/>
          <w:szCs w:val="28"/>
        </w:rPr>
        <w:t>plantean una amenaza</w:t>
      </w:r>
      <w:r w:rsidRPr="00E86C37">
        <w:rPr>
          <w:iCs/>
          <w:szCs w:val="28"/>
        </w:rPr>
        <w:t xml:space="preserve"> </w:t>
      </w:r>
      <w:r>
        <w:rPr>
          <w:iCs/>
          <w:szCs w:val="28"/>
        </w:rPr>
        <w:t xml:space="preserve">grave </w:t>
      </w:r>
      <w:r w:rsidRPr="00E86C37">
        <w:rPr>
          <w:iCs/>
          <w:szCs w:val="28"/>
        </w:rPr>
        <w:t xml:space="preserve">e inmediata a otras personas o </w:t>
      </w:r>
      <w:r>
        <w:rPr>
          <w:iCs/>
          <w:szCs w:val="28"/>
        </w:rPr>
        <w:t xml:space="preserve">a sus </w:t>
      </w:r>
      <w:r w:rsidRPr="00E86C37">
        <w:rPr>
          <w:iCs/>
          <w:szCs w:val="28"/>
        </w:rPr>
        <w:t>propiedad</w:t>
      </w:r>
      <w:r>
        <w:rPr>
          <w:iCs/>
          <w:szCs w:val="28"/>
        </w:rPr>
        <w:t>es</w:t>
      </w:r>
      <w:r w:rsidRPr="00E86C37">
        <w:rPr>
          <w:iCs/>
          <w:szCs w:val="28"/>
        </w:rPr>
        <w:t xml:space="preserve"> o </w:t>
      </w:r>
      <w:r>
        <w:rPr>
          <w:iCs/>
          <w:szCs w:val="28"/>
        </w:rPr>
        <w:t>a</w:t>
      </w:r>
      <w:r w:rsidRPr="00E86C37">
        <w:rPr>
          <w:iCs/>
          <w:szCs w:val="28"/>
        </w:rPr>
        <w:t>l orden público.</w:t>
      </w:r>
    </w:p>
    <w:p w:rsidR="006F5694" w:rsidRDefault="006F5694" w:rsidP="006F5694">
      <w:pPr>
        <w:spacing w:after="240"/>
        <w:rPr>
          <w:szCs w:val="28"/>
        </w:rPr>
      </w:pPr>
      <w:r w:rsidRPr="00E86C37">
        <w:rPr>
          <w:szCs w:val="28"/>
        </w:rPr>
        <w:t>29.</w:t>
      </w:r>
      <w:r w:rsidRPr="00E86C37">
        <w:rPr>
          <w:szCs w:val="28"/>
        </w:rPr>
        <w:tab/>
        <w:t xml:space="preserve">Obsérvese que </w:t>
      </w:r>
      <w:r>
        <w:rPr>
          <w:szCs w:val="28"/>
        </w:rPr>
        <w:t xml:space="preserve">la exigencia </w:t>
      </w:r>
      <w:r w:rsidRPr="00E86C37">
        <w:rPr>
          <w:szCs w:val="28"/>
        </w:rPr>
        <w:t xml:space="preserve">de una orden del </w:t>
      </w:r>
      <w:r w:rsidRPr="00E86C37">
        <w:rPr>
          <w:iCs/>
          <w:szCs w:val="28"/>
        </w:rPr>
        <w:t>Ministro de Asuntos Internos para que la policía pueda hacer uso de armas de fu</w:t>
      </w:r>
      <w:r>
        <w:rPr>
          <w:iCs/>
          <w:szCs w:val="28"/>
        </w:rPr>
        <w:t>ego en disturbios es en sí misma</w:t>
      </w:r>
      <w:r w:rsidRPr="00E86C37">
        <w:rPr>
          <w:iCs/>
          <w:szCs w:val="28"/>
        </w:rPr>
        <w:t xml:space="preserve"> una garantía contra la utilización arbitraria de armas contra los ciudadanos</w:t>
      </w:r>
      <w:r w:rsidRPr="00E86C37">
        <w:rPr>
          <w:szCs w:val="28"/>
        </w:rPr>
        <w:t>.</w:t>
      </w:r>
    </w:p>
    <w:p w:rsidR="006F5694" w:rsidRDefault="006F5694" w:rsidP="006F5694">
      <w:pPr>
        <w:spacing w:after="240"/>
        <w:rPr>
          <w:szCs w:val="28"/>
        </w:rPr>
      </w:pPr>
      <w:r w:rsidRPr="00E86C37">
        <w:rPr>
          <w:szCs w:val="28"/>
        </w:rPr>
        <w:t>30.</w:t>
      </w:r>
      <w:r w:rsidRPr="00E86C37">
        <w:rPr>
          <w:szCs w:val="28"/>
        </w:rPr>
        <w:tab/>
        <w:t xml:space="preserve">El párrafo 2 del artículo 11 del </w:t>
      </w:r>
      <w:r>
        <w:rPr>
          <w:szCs w:val="28"/>
        </w:rPr>
        <w:t>d</w:t>
      </w:r>
      <w:r w:rsidRPr="00E86C37">
        <w:rPr>
          <w:szCs w:val="28"/>
        </w:rPr>
        <w:t xml:space="preserve">ecreto nacional estipula </w:t>
      </w:r>
      <w:r>
        <w:rPr>
          <w:szCs w:val="28"/>
        </w:rPr>
        <w:t xml:space="preserve">las responsabilidades en que incurren los agentes </w:t>
      </w:r>
      <w:r w:rsidRPr="00E86C37">
        <w:rPr>
          <w:szCs w:val="28"/>
        </w:rPr>
        <w:t xml:space="preserve">de policía que han recurrido a la fuerza, además de su obligación de presentar inmediatamente un informe a su superior o al </w:t>
      </w:r>
      <w:r>
        <w:rPr>
          <w:szCs w:val="28"/>
        </w:rPr>
        <w:t>jefe de la operación</w:t>
      </w:r>
      <w:r w:rsidRPr="00E86C37">
        <w:rPr>
          <w:szCs w:val="28"/>
        </w:rPr>
        <w:t>, de conformidad con el párrafo 1.</w:t>
      </w:r>
    </w:p>
    <w:p w:rsidR="006F5694" w:rsidRPr="00460320" w:rsidRDefault="006F5694" w:rsidP="006F5694">
      <w:pPr>
        <w:spacing w:after="240"/>
        <w:rPr>
          <w:b/>
          <w:bCs/>
          <w:szCs w:val="28"/>
        </w:rPr>
      </w:pPr>
      <w:r w:rsidRPr="00460320">
        <w:rPr>
          <w:b/>
          <w:bCs/>
          <w:szCs w:val="28"/>
        </w:rPr>
        <w:t xml:space="preserve">Artículo 11 del </w:t>
      </w:r>
      <w:r w:rsidRPr="00460320">
        <w:rPr>
          <w:b/>
          <w:szCs w:val="28"/>
        </w:rPr>
        <w:t xml:space="preserve">Decreto nacional sobre la utilización de la fuerza y los registros policiales por razones de seguridad </w:t>
      </w:r>
    </w:p>
    <w:p w:rsidR="006F5694" w:rsidRDefault="006F5694" w:rsidP="006F5694">
      <w:pPr>
        <w:spacing w:after="240"/>
        <w:rPr>
          <w:iCs/>
          <w:szCs w:val="28"/>
        </w:rPr>
      </w:pPr>
      <w:r w:rsidRPr="00E86C37">
        <w:rPr>
          <w:iCs/>
          <w:szCs w:val="28"/>
        </w:rPr>
        <w:t>31.</w:t>
      </w:r>
      <w:r w:rsidRPr="00E86C37">
        <w:rPr>
          <w:iCs/>
          <w:szCs w:val="28"/>
        </w:rPr>
        <w:tab/>
      </w:r>
      <w:r w:rsidRPr="00460320">
        <w:rPr>
          <w:b/>
          <w:iCs/>
          <w:szCs w:val="28"/>
        </w:rPr>
        <w:t>Párrafo 2</w:t>
      </w:r>
      <w:r>
        <w:rPr>
          <w:iCs/>
          <w:szCs w:val="28"/>
        </w:rPr>
        <w:t xml:space="preserve">. </w:t>
      </w:r>
      <w:r w:rsidRPr="00E86C37">
        <w:rPr>
          <w:iCs/>
          <w:szCs w:val="28"/>
        </w:rPr>
        <w:t xml:space="preserve"> Siempre que se recurra a la fuerza </w:t>
      </w:r>
      <w:r>
        <w:rPr>
          <w:iCs/>
          <w:szCs w:val="28"/>
        </w:rPr>
        <w:t xml:space="preserve">con resultado de </w:t>
      </w:r>
      <w:r w:rsidRPr="00E86C37">
        <w:rPr>
          <w:iCs/>
          <w:szCs w:val="28"/>
        </w:rPr>
        <w:t xml:space="preserve">lesiones o muerte de una persona, el informe que se menciona </w:t>
      </w:r>
      <w:r>
        <w:rPr>
          <w:iCs/>
          <w:szCs w:val="28"/>
        </w:rPr>
        <w:t xml:space="preserve">en </w:t>
      </w:r>
      <w:r w:rsidRPr="00E86C37">
        <w:rPr>
          <w:iCs/>
          <w:szCs w:val="28"/>
        </w:rPr>
        <w:t>el párrafo 1 deberá present</w:t>
      </w:r>
      <w:r>
        <w:rPr>
          <w:iCs/>
          <w:szCs w:val="28"/>
        </w:rPr>
        <w:t>arse por escrito en un plazo de </w:t>
      </w:r>
      <w:r w:rsidRPr="00E86C37">
        <w:rPr>
          <w:iCs/>
          <w:szCs w:val="28"/>
        </w:rPr>
        <w:t>24 horas.</w:t>
      </w:r>
    </w:p>
    <w:p w:rsidR="006F5694" w:rsidRPr="00460320" w:rsidRDefault="006F5694" w:rsidP="006F5694">
      <w:pPr>
        <w:keepNext/>
        <w:spacing w:after="240"/>
        <w:ind w:firstLine="567"/>
        <w:rPr>
          <w:b/>
          <w:bCs/>
          <w:szCs w:val="28"/>
        </w:rPr>
      </w:pPr>
      <w:r w:rsidRPr="00460320">
        <w:rPr>
          <w:b/>
          <w:bCs/>
          <w:szCs w:val="28"/>
        </w:rPr>
        <w:t>El orden y la seguridad internacionales</w:t>
      </w:r>
    </w:p>
    <w:p w:rsidR="006F5694" w:rsidRDefault="006F5694" w:rsidP="006F5694">
      <w:pPr>
        <w:spacing w:after="240"/>
        <w:rPr>
          <w:szCs w:val="28"/>
        </w:rPr>
      </w:pPr>
      <w:r w:rsidRPr="00E86C37">
        <w:rPr>
          <w:szCs w:val="28"/>
        </w:rPr>
        <w:t>32.</w:t>
      </w:r>
      <w:r w:rsidRPr="00E86C37">
        <w:rPr>
          <w:szCs w:val="28"/>
        </w:rPr>
        <w:tab/>
        <w:t xml:space="preserve">Para contribuir al orden y la seguridad internacionales, Aruba es </w:t>
      </w:r>
      <w:r>
        <w:rPr>
          <w:szCs w:val="28"/>
        </w:rPr>
        <w:t>P</w:t>
      </w:r>
      <w:r w:rsidRPr="00E86C37">
        <w:rPr>
          <w:szCs w:val="28"/>
        </w:rPr>
        <w:t xml:space="preserve">arte en muchos convenios de lucha contra el terrorismo, entre ellos el Convenio </w:t>
      </w:r>
      <w:r>
        <w:rPr>
          <w:szCs w:val="28"/>
        </w:rPr>
        <w:t>i</w:t>
      </w:r>
      <w:r w:rsidRPr="00E86C37">
        <w:rPr>
          <w:szCs w:val="28"/>
        </w:rPr>
        <w:t xml:space="preserve">nternacional para la represión de los atentados terroristas cometidos con bombas, adoptado en Nueva York el 15 de diciembre de 1997, el Convenio </w:t>
      </w:r>
      <w:r>
        <w:rPr>
          <w:szCs w:val="28"/>
        </w:rPr>
        <w:t>i</w:t>
      </w:r>
      <w:r w:rsidRPr="00E86C37">
        <w:rPr>
          <w:szCs w:val="28"/>
        </w:rPr>
        <w:t>nternacional para la represión de la financiación del terrorismo, adoptado en Nueva York el 9 de diciembre de 1999, el Convenio para la represión de actos ilícitos contra la seguridad de la navegación marítima, adoptado en Roma el 10 de marzo de1988 y la Convención sobre la protección física de los materiales nucleares, adoptada en Viena el 3 de marzo de 1980</w:t>
      </w:r>
      <w:r>
        <w:rPr>
          <w:szCs w:val="28"/>
        </w:rPr>
        <w:t xml:space="preserve">.  </w:t>
      </w:r>
    </w:p>
    <w:p w:rsidR="006F5694" w:rsidRPr="00584109" w:rsidRDefault="006F5694" w:rsidP="006F5694">
      <w:pPr>
        <w:spacing w:after="240"/>
        <w:ind w:firstLine="567"/>
        <w:rPr>
          <w:b/>
          <w:bCs/>
          <w:szCs w:val="28"/>
        </w:rPr>
      </w:pPr>
      <w:r w:rsidRPr="00584109">
        <w:rPr>
          <w:b/>
          <w:bCs/>
          <w:szCs w:val="28"/>
        </w:rPr>
        <w:t>Creación del Centro de Ayuda a las Víctimas</w:t>
      </w:r>
    </w:p>
    <w:p w:rsidR="006F5694" w:rsidRDefault="006F5694" w:rsidP="006F5694">
      <w:pPr>
        <w:spacing w:after="240"/>
        <w:rPr>
          <w:szCs w:val="28"/>
        </w:rPr>
      </w:pPr>
      <w:r w:rsidRPr="00E86C37">
        <w:rPr>
          <w:szCs w:val="28"/>
        </w:rPr>
        <w:t>33.</w:t>
      </w:r>
      <w:r w:rsidRPr="00E86C37">
        <w:rPr>
          <w:szCs w:val="28"/>
        </w:rPr>
        <w:tab/>
        <w:t>Como se indicó en los informes anteriores, el nuevo Código de Procedimiento Penal que entró en vigor el 1º de octubre de 1997 ofrece mayores garantías a las víctimas</w:t>
      </w:r>
      <w:r>
        <w:rPr>
          <w:szCs w:val="28"/>
        </w:rPr>
        <w:t xml:space="preserve">.  </w:t>
      </w:r>
      <w:r w:rsidRPr="00E86C37">
        <w:rPr>
          <w:szCs w:val="28"/>
        </w:rPr>
        <w:t xml:space="preserve">La parte perjudicada puede presentar una demanda penal en primera instancia, con algunas condiciones (la demanda no puede ser superior a 50.000 florines </w:t>
      </w:r>
      <w:r>
        <w:rPr>
          <w:szCs w:val="28"/>
        </w:rPr>
        <w:t>de Aruba -</w:t>
      </w:r>
      <w:proofErr w:type="spellStart"/>
      <w:r w:rsidRPr="00E86C37">
        <w:rPr>
          <w:szCs w:val="28"/>
        </w:rPr>
        <w:t>AWG</w:t>
      </w:r>
      <w:proofErr w:type="spellEnd"/>
      <w:r w:rsidRPr="00E86C37">
        <w:rPr>
          <w:szCs w:val="28"/>
        </w:rPr>
        <w:t xml:space="preserve">- y no </w:t>
      </w:r>
      <w:r>
        <w:rPr>
          <w:szCs w:val="28"/>
        </w:rPr>
        <w:t xml:space="preserve">ha sido </w:t>
      </w:r>
      <w:r w:rsidRPr="00E86C37">
        <w:rPr>
          <w:szCs w:val="28"/>
        </w:rPr>
        <w:t xml:space="preserve">presentada anteriormente ante </w:t>
      </w:r>
      <w:r>
        <w:rPr>
          <w:szCs w:val="28"/>
        </w:rPr>
        <w:t xml:space="preserve">la jurisdicción </w:t>
      </w:r>
      <w:r w:rsidRPr="00E86C37">
        <w:rPr>
          <w:szCs w:val="28"/>
        </w:rPr>
        <w:t>civil)</w:t>
      </w:r>
      <w:r>
        <w:rPr>
          <w:szCs w:val="28"/>
        </w:rPr>
        <w:t xml:space="preserve">.  </w:t>
      </w:r>
      <w:r w:rsidRPr="00E86C37">
        <w:rPr>
          <w:szCs w:val="28"/>
        </w:rPr>
        <w:t xml:space="preserve">Las víctimas pueden </w:t>
      </w:r>
      <w:r>
        <w:rPr>
          <w:szCs w:val="28"/>
        </w:rPr>
        <w:t xml:space="preserve">personarse </w:t>
      </w:r>
      <w:r w:rsidRPr="00E86C37">
        <w:rPr>
          <w:szCs w:val="28"/>
        </w:rPr>
        <w:t>como partes perjudicadas, incluso durante la fase preliminar de una acción</w:t>
      </w:r>
      <w:r>
        <w:rPr>
          <w:szCs w:val="28"/>
        </w:rPr>
        <w:t xml:space="preserve">.  </w:t>
      </w:r>
      <w:r w:rsidRPr="00E86C37">
        <w:rPr>
          <w:szCs w:val="28"/>
        </w:rPr>
        <w:t xml:space="preserve">Si la parte perjudicada señala que va a reclamar una indemnización o desea estar informada del avance de las actuaciones, el informe oficial deberá </w:t>
      </w:r>
      <w:r>
        <w:rPr>
          <w:szCs w:val="28"/>
        </w:rPr>
        <w:t xml:space="preserve">dejar constancia de ello.  </w:t>
      </w:r>
      <w:r w:rsidRPr="00E86C37">
        <w:rPr>
          <w:szCs w:val="28"/>
        </w:rPr>
        <w:t>La parte perjudicada que necesite ayuda y apoyo recibirá la asistencia necesaria</w:t>
      </w:r>
      <w:r>
        <w:rPr>
          <w:szCs w:val="28"/>
        </w:rPr>
        <w:t xml:space="preserve">.  </w:t>
      </w:r>
      <w:r w:rsidRPr="00E86C37">
        <w:rPr>
          <w:szCs w:val="28"/>
        </w:rPr>
        <w:t xml:space="preserve">La policía y el </w:t>
      </w:r>
      <w:r>
        <w:rPr>
          <w:szCs w:val="28"/>
        </w:rPr>
        <w:t>m</w:t>
      </w:r>
      <w:r w:rsidRPr="00E86C37">
        <w:rPr>
          <w:szCs w:val="28"/>
        </w:rPr>
        <w:t xml:space="preserve">inisterio </w:t>
      </w:r>
      <w:r>
        <w:rPr>
          <w:szCs w:val="28"/>
        </w:rPr>
        <w:t>p</w:t>
      </w:r>
      <w:r w:rsidRPr="00E86C37">
        <w:rPr>
          <w:szCs w:val="28"/>
        </w:rPr>
        <w:t>úblico tienen la obligación de facilitar toda forma de ayuda y asistencia que pudieran necesitar las víctimas.</w:t>
      </w:r>
    </w:p>
    <w:p w:rsidR="006F5694" w:rsidRDefault="006F5694" w:rsidP="006F5694">
      <w:pPr>
        <w:spacing w:after="240"/>
        <w:rPr>
          <w:szCs w:val="28"/>
        </w:rPr>
      </w:pPr>
      <w:r w:rsidRPr="00E86C37">
        <w:rPr>
          <w:szCs w:val="28"/>
        </w:rPr>
        <w:t>34.</w:t>
      </w:r>
      <w:r w:rsidRPr="00E86C37">
        <w:rPr>
          <w:szCs w:val="28"/>
        </w:rPr>
        <w:tab/>
        <w:t xml:space="preserve">Con este fin se creó </w:t>
      </w:r>
      <w:r>
        <w:rPr>
          <w:szCs w:val="28"/>
        </w:rPr>
        <w:t xml:space="preserve">en agosto de 2005 </w:t>
      </w:r>
      <w:r w:rsidRPr="00E86C37">
        <w:rPr>
          <w:szCs w:val="28"/>
        </w:rPr>
        <w:t>el Ce</w:t>
      </w:r>
      <w:r>
        <w:rPr>
          <w:szCs w:val="28"/>
        </w:rPr>
        <w:t>ntro de Ayuda a las Víctimas</w:t>
      </w:r>
      <w:r w:rsidRPr="00E86C37">
        <w:rPr>
          <w:szCs w:val="28"/>
        </w:rPr>
        <w:t>, especialmente a las víctimas de delitos y accidentes de la circulación que hayan señalado los hechos a la policía y se hayan declarado parte perjudicada</w:t>
      </w:r>
      <w:r>
        <w:rPr>
          <w:szCs w:val="28"/>
        </w:rPr>
        <w:t xml:space="preserve">.  </w:t>
      </w:r>
      <w:r w:rsidRPr="00E86C37">
        <w:rPr>
          <w:szCs w:val="28"/>
        </w:rPr>
        <w:t>Se ofrece igualmente asistencia a las víctimas indirectas, esto es, los familiares, los testigos y las personas a cargo supervivientes, con apoyo práctico, jurídico y psicológico</w:t>
      </w:r>
      <w:r>
        <w:rPr>
          <w:szCs w:val="28"/>
        </w:rPr>
        <w:t xml:space="preserve">.  </w:t>
      </w:r>
      <w:r w:rsidRPr="00E86C37">
        <w:rPr>
          <w:szCs w:val="28"/>
        </w:rPr>
        <w:t xml:space="preserve">El Centro utiliza la información de la policía con un enfoque proactivo y contrató a una trabajadora social especialmente </w:t>
      </w:r>
      <w:r>
        <w:rPr>
          <w:szCs w:val="28"/>
        </w:rPr>
        <w:t xml:space="preserve">para </w:t>
      </w:r>
      <w:r w:rsidRPr="00E86C37">
        <w:rPr>
          <w:szCs w:val="28"/>
        </w:rPr>
        <w:t>prestar asistencia a las mujeres víctimas.</w:t>
      </w:r>
    </w:p>
    <w:p w:rsidR="006F5694" w:rsidRDefault="006F5694" w:rsidP="006F5694">
      <w:pPr>
        <w:spacing w:after="240"/>
        <w:rPr>
          <w:szCs w:val="28"/>
        </w:rPr>
      </w:pPr>
      <w:r w:rsidRPr="00E86C37">
        <w:rPr>
          <w:szCs w:val="28"/>
        </w:rPr>
        <w:t>35.</w:t>
      </w:r>
      <w:r w:rsidRPr="00E86C37">
        <w:rPr>
          <w:szCs w:val="28"/>
        </w:rPr>
        <w:tab/>
      </w:r>
      <w:r>
        <w:rPr>
          <w:szCs w:val="28"/>
        </w:rPr>
        <w:t>Los índice</w:t>
      </w:r>
      <w:r w:rsidR="001B17E2">
        <w:rPr>
          <w:szCs w:val="28"/>
        </w:rPr>
        <w:t>s</w:t>
      </w:r>
      <w:r>
        <w:rPr>
          <w:szCs w:val="28"/>
        </w:rPr>
        <w:t xml:space="preserve"> de natalidad y mortalidad </w:t>
      </w:r>
      <w:r w:rsidRPr="00E86C37">
        <w:rPr>
          <w:szCs w:val="28"/>
        </w:rPr>
        <w:t>y las cifras de esperanza de vida y aumento de población pueden verse en el anexo I</w:t>
      </w:r>
      <w:r>
        <w:rPr>
          <w:szCs w:val="28"/>
        </w:rPr>
        <w:t xml:space="preserve">.  </w:t>
      </w:r>
    </w:p>
    <w:p w:rsidR="006F5694" w:rsidRPr="00BD6AD1" w:rsidRDefault="006F5694" w:rsidP="006F5694">
      <w:pPr>
        <w:spacing w:after="240"/>
        <w:rPr>
          <w:b/>
          <w:bCs/>
          <w:iCs/>
          <w:szCs w:val="28"/>
        </w:rPr>
      </w:pPr>
      <w:r w:rsidRPr="00BD6AD1">
        <w:rPr>
          <w:b/>
          <w:bCs/>
          <w:iCs/>
          <w:szCs w:val="28"/>
        </w:rPr>
        <w:t xml:space="preserve">Artículo 7.  Prohibición de la </w:t>
      </w:r>
      <w:r>
        <w:rPr>
          <w:b/>
          <w:bCs/>
          <w:iCs/>
          <w:szCs w:val="28"/>
        </w:rPr>
        <w:t>t</w:t>
      </w:r>
      <w:r w:rsidRPr="00BD6AD1">
        <w:rPr>
          <w:b/>
          <w:szCs w:val="28"/>
        </w:rPr>
        <w:t xml:space="preserve">ortura y </w:t>
      </w:r>
      <w:r>
        <w:rPr>
          <w:b/>
          <w:szCs w:val="28"/>
        </w:rPr>
        <w:t>o</w:t>
      </w:r>
      <w:r w:rsidRPr="00BD6AD1">
        <w:rPr>
          <w:b/>
          <w:szCs w:val="28"/>
        </w:rPr>
        <w:t xml:space="preserve">tros </w:t>
      </w:r>
      <w:r>
        <w:rPr>
          <w:b/>
          <w:szCs w:val="28"/>
        </w:rPr>
        <w:t>t</w:t>
      </w:r>
      <w:r w:rsidRPr="00BD6AD1">
        <w:rPr>
          <w:b/>
          <w:szCs w:val="28"/>
        </w:rPr>
        <w:t xml:space="preserve">ratos o </w:t>
      </w:r>
      <w:r>
        <w:rPr>
          <w:b/>
          <w:szCs w:val="28"/>
        </w:rPr>
        <w:t>p</w:t>
      </w:r>
      <w:r w:rsidRPr="00BD6AD1">
        <w:rPr>
          <w:b/>
          <w:szCs w:val="28"/>
        </w:rPr>
        <w:t xml:space="preserve">enas </w:t>
      </w:r>
      <w:r>
        <w:rPr>
          <w:b/>
          <w:szCs w:val="28"/>
        </w:rPr>
        <w:t>c</w:t>
      </w:r>
      <w:r w:rsidRPr="00BD6AD1">
        <w:rPr>
          <w:b/>
          <w:szCs w:val="28"/>
        </w:rPr>
        <w:t xml:space="preserve">rueles, </w:t>
      </w:r>
      <w:r>
        <w:rPr>
          <w:b/>
          <w:szCs w:val="28"/>
        </w:rPr>
        <w:t>i</w:t>
      </w:r>
      <w:r w:rsidRPr="00BD6AD1">
        <w:rPr>
          <w:b/>
          <w:szCs w:val="28"/>
        </w:rPr>
        <w:t xml:space="preserve">nhumanos o </w:t>
      </w:r>
      <w:r>
        <w:rPr>
          <w:b/>
          <w:szCs w:val="28"/>
        </w:rPr>
        <w:t>d</w:t>
      </w:r>
      <w:r w:rsidRPr="00BD6AD1">
        <w:rPr>
          <w:b/>
          <w:szCs w:val="28"/>
        </w:rPr>
        <w:t>egradantes</w:t>
      </w:r>
    </w:p>
    <w:p w:rsidR="006F5694" w:rsidRPr="00BD6AD1" w:rsidRDefault="006F5694" w:rsidP="006F5694">
      <w:pPr>
        <w:spacing w:after="240"/>
        <w:ind w:left="567"/>
        <w:rPr>
          <w:b/>
          <w:bCs/>
          <w:szCs w:val="28"/>
        </w:rPr>
      </w:pPr>
      <w:r w:rsidRPr="00BD6AD1">
        <w:rPr>
          <w:b/>
          <w:bCs/>
          <w:szCs w:val="28"/>
        </w:rPr>
        <w:t xml:space="preserve">Formación y capacitación del personal </w:t>
      </w:r>
      <w:r>
        <w:rPr>
          <w:b/>
          <w:bCs/>
          <w:szCs w:val="28"/>
        </w:rPr>
        <w:t xml:space="preserve">de vigilancia </w:t>
      </w:r>
      <w:r w:rsidRPr="00BD6AD1">
        <w:rPr>
          <w:b/>
          <w:bCs/>
          <w:szCs w:val="28"/>
        </w:rPr>
        <w:t>de la</w:t>
      </w:r>
      <w:r>
        <w:rPr>
          <w:b/>
          <w:bCs/>
          <w:szCs w:val="28"/>
        </w:rPr>
        <w:t>s personas privadas de libertad</w:t>
      </w:r>
    </w:p>
    <w:p w:rsidR="006F5694" w:rsidRDefault="006F5694" w:rsidP="006F5694">
      <w:pPr>
        <w:spacing w:after="240"/>
        <w:rPr>
          <w:szCs w:val="28"/>
        </w:rPr>
      </w:pPr>
      <w:r w:rsidRPr="00E86C37">
        <w:rPr>
          <w:szCs w:val="28"/>
        </w:rPr>
        <w:t>36.</w:t>
      </w:r>
      <w:r w:rsidRPr="00E86C37">
        <w:rPr>
          <w:szCs w:val="28"/>
        </w:rPr>
        <w:tab/>
        <w:t xml:space="preserve">La información de este apartado tiene relación con las explicaciones adicionales de la </w:t>
      </w:r>
      <w:r>
        <w:rPr>
          <w:szCs w:val="28"/>
        </w:rPr>
        <w:t xml:space="preserve">Observación general </w:t>
      </w:r>
      <w:proofErr w:type="spellStart"/>
      <w:r>
        <w:rPr>
          <w:szCs w:val="28"/>
        </w:rPr>
        <w:t>Nº</w:t>
      </w:r>
      <w:proofErr w:type="spellEnd"/>
      <w:r>
        <w:rPr>
          <w:szCs w:val="28"/>
        </w:rPr>
        <w:t xml:space="preserve"> </w:t>
      </w:r>
      <w:r w:rsidRPr="00E86C37">
        <w:rPr>
          <w:szCs w:val="28"/>
        </w:rPr>
        <w:t>20 sobre el artículo 7 del Pacto en lo referente a la tortura</w:t>
      </w:r>
      <w:r>
        <w:rPr>
          <w:szCs w:val="28"/>
        </w:rPr>
        <w:t>.  En el punto </w:t>
      </w:r>
      <w:r w:rsidRPr="00E86C37">
        <w:rPr>
          <w:szCs w:val="28"/>
        </w:rPr>
        <w:t xml:space="preserve">10 de esta </w:t>
      </w:r>
      <w:r>
        <w:rPr>
          <w:szCs w:val="28"/>
        </w:rPr>
        <w:t>o</w:t>
      </w:r>
      <w:r w:rsidRPr="00E86C37">
        <w:rPr>
          <w:szCs w:val="28"/>
        </w:rPr>
        <w:t>bservación se indica, entre otras cosas, que los Estados Partes en el Pacto deberán informar al Comité de la instrucción y formación impartidas a los funcionarios de policía encargados de personas privadas de libertad.</w:t>
      </w:r>
    </w:p>
    <w:p w:rsidR="006F5694" w:rsidRPr="00E86C37" w:rsidRDefault="006F5694" w:rsidP="006F5694">
      <w:pPr>
        <w:spacing w:after="240"/>
        <w:rPr>
          <w:szCs w:val="28"/>
        </w:rPr>
      </w:pPr>
      <w:r w:rsidRPr="00E86C37">
        <w:rPr>
          <w:szCs w:val="28"/>
        </w:rPr>
        <w:t>37.</w:t>
      </w:r>
      <w:r w:rsidRPr="00E86C37">
        <w:rPr>
          <w:szCs w:val="28"/>
        </w:rPr>
        <w:tab/>
        <w:t xml:space="preserve">La </w:t>
      </w:r>
      <w:r>
        <w:rPr>
          <w:szCs w:val="28"/>
        </w:rPr>
        <w:t>p</w:t>
      </w:r>
      <w:r w:rsidRPr="00E86C37">
        <w:rPr>
          <w:szCs w:val="28"/>
        </w:rPr>
        <w:t xml:space="preserve">olicía de Aruba adoptó un reglamento interno en su Orden de </w:t>
      </w:r>
      <w:r>
        <w:rPr>
          <w:szCs w:val="28"/>
        </w:rPr>
        <w:t>p</w:t>
      </w:r>
      <w:r w:rsidRPr="00E86C37">
        <w:rPr>
          <w:szCs w:val="28"/>
        </w:rPr>
        <w:t xml:space="preserve">olicía </w:t>
      </w:r>
      <w:proofErr w:type="spellStart"/>
      <w:r w:rsidRPr="00E86C37">
        <w:rPr>
          <w:szCs w:val="28"/>
        </w:rPr>
        <w:t>Nº</w:t>
      </w:r>
      <w:proofErr w:type="spellEnd"/>
      <w:r>
        <w:rPr>
          <w:szCs w:val="28"/>
        </w:rPr>
        <w:t xml:space="preserve"> </w:t>
      </w:r>
      <w:r w:rsidRPr="00E86C37">
        <w:rPr>
          <w:szCs w:val="28"/>
        </w:rPr>
        <w:t xml:space="preserve">10, que determina precisamente cómo debe tratar a las personas </w:t>
      </w:r>
      <w:r>
        <w:rPr>
          <w:szCs w:val="28"/>
        </w:rPr>
        <w:t xml:space="preserve">en detención policial.  </w:t>
      </w:r>
      <w:r w:rsidRPr="00E86C37">
        <w:rPr>
          <w:szCs w:val="28"/>
        </w:rPr>
        <w:t>En este reglamento se incluyen los siguientes aspectos:</w:t>
      </w:r>
    </w:p>
    <w:p w:rsidR="006F5694" w:rsidRPr="00E86C37" w:rsidRDefault="006F5694" w:rsidP="006F5694">
      <w:pPr>
        <w:spacing w:after="240"/>
        <w:ind w:left="924" w:hanging="357"/>
        <w:rPr>
          <w:szCs w:val="28"/>
        </w:rPr>
      </w:pPr>
      <w:r w:rsidRPr="00E86C37">
        <w:rPr>
          <w:szCs w:val="28"/>
        </w:rPr>
        <w:t>-</w:t>
      </w:r>
      <w:r w:rsidRPr="00E86C37">
        <w:rPr>
          <w:szCs w:val="28"/>
        </w:rPr>
        <w:tab/>
        <w:t xml:space="preserve">Inscripción de las personas </w:t>
      </w:r>
      <w:r>
        <w:rPr>
          <w:szCs w:val="28"/>
        </w:rPr>
        <w:t>en detención policial;</w:t>
      </w:r>
    </w:p>
    <w:p w:rsidR="006F5694" w:rsidRPr="00E86C37" w:rsidRDefault="006F5694" w:rsidP="006F5694">
      <w:pPr>
        <w:spacing w:after="240"/>
        <w:ind w:left="924" w:hanging="357"/>
        <w:rPr>
          <w:szCs w:val="28"/>
        </w:rPr>
      </w:pPr>
      <w:r w:rsidRPr="00E86C37">
        <w:rPr>
          <w:szCs w:val="28"/>
        </w:rPr>
        <w:t>-</w:t>
      </w:r>
      <w:r w:rsidRPr="00E86C37">
        <w:rPr>
          <w:szCs w:val="28"/>
        </w:rPr>
        <w:tab/>
        <w:t xml:space="preserve">Cacheo de personas </w:t>
      </w:r>
      <w:r>
        <w:rPr>
          <w:szCs w:val="28"/>
        </w:rPr>
        <w:t>en detención policial;</w:t>
      </w:r>
    </w:p>
    <w:p w:rsidR="006F5694" w:rsidRPr="00E86C37" w:rsidRDefault="006F5694" w:rsidP="006F5694">
      <w:pPr>
        <w:spacing w:after="240"/>
        <w:ind w:left="924" w:hanging="357"/>
        <w:rPr>
          <w:szCs w:val="28"/>
        </w:rPr>
      </w:pPr>
      <w:r w:rsidRPr="00E86C37">
        <w:rPr>
          <w:szCs w:val="28"/>
        </w:rPr>
        <w:t>-</w:t>
      </w:r>
      <w:r w:rsidRPr="00E86C37">
        <w:rPr>
          <w:szCs w:val="28"/>
        </w:rPr>
        <w:tab/>
        <w:t>Reclusión en celdas</w:t>
      </w:r>
      <w:r>
        <w:rPr>
          <w:szCs w:val="28"/>
        </w:rPr>
        <w:t>;</w:t>
      </w:r>
    </w:p>
    <w:p w:rsidR="006F5694" w:rsidRPr="00E86C37" w:rsidRDefault="006F5694" w:rsidP="006F5694">
      <w:pPr>
        <w:spacing w:after="240"/>
        <w:ind w:left="924" w:hanging="357"/>
        <w:rPr>
          <w:szCs w:val="28"/>
        </w:rPr>
      </w:pPr>
      <w:r w:rsidRPr="00E86C37">
        <w:rPr>
          <w:szCs w:val="28"/>
        </w:rPr>
        <w:t>-</w:t>
      </w:r>
      <w:r w:rsidRPr="00E86C37">
        <w:rPr>
          <w:szCs w:val="28"/>
        </w:rPr>
        <w:tab/>
        <w:t xml:space="preserve">Vigilancia de personas </w:t>
      </w:r>
      <w:r>
        <w:rPr>
          <w:szCs w:val="28"/>
        </w:rPr>
        <w:t>en detención policial;</w:t>
      </w:r>
    </w:p>
    <w:p w:rsidR="006F5694" w:rsidRPr="00E86C37" w:rsidRDefault="006F5694" w:rsidP="006F5694">
      <w:pPr>
        <w:spacing w:after="240"/>
        <w:ind w:left="924" w:hanging="357"/>
        <w:rPr>
          <w:szCs w:val="28"/>
        </w:rPr>
      </w:pPr>
      <w:r w:rsidRPr="00E86C37">
        <w:rPr>
          <w:szCs w:val="28"/>
        </w:rPr>
        <w:t>-</w:t>
      </w:r>
      <w:r w:rsidRPr="00E86C37">
        <w:rPr>
          <w:szCs w:val="28"/>
        </w:rPr>
        <w:tab/>
        <w:t xml:space="preserve">Desplazamiento de </w:t>
      </w:r>
      <w:r>
        <w:rPr>
          <w:szCs w:val="28"/>
        </w:rPr>
        <w:t xml:space="preserve">las </w:t>
      </w:r>
      <w:r w:rsidRPr="00E86C37">
        <w:rPr>
          <w:szCs w:val="28"/>
        </w:rPr>
        <w:t xml:space="preserve">personas </w:t>
      </w:r>
      <w:r>
        <w:rPr>
          <w:szCs w:val="28"/>
        </w:rPr>
        <w:t>en detención policial;</w:t>
      </w:r>
    </w:p>
    <w:p w:rsidR="006F5694" w:rsidRPr="00E86C37" w:rsidRDefault="006F5694" w:rsidP="006F5694">
      <w:pPr>
        <w:spacing w:after="240"/>
        <w:ind w:left="924" w:hanging="357"/>
        <w:rPr>
          <w:szCs w:val="28"/>
        </w:rPr>
      </w:pPr>
      <w:r w:rsidRPr="00E86C37">
        <w:rPr>
          <w:szCs w:val="28"/>
        </w:rPr>
        <w:t>-</w:t>
      </w:r>
      <w:r w:rsidRPr="00E86C37">
        <w:rPr>
          <w:szCs w:val="28"/>
        </w:rPr>
        <w:tab/>
      </w:r>
      <w:r>
        <w:rPr>
          <w:szCs w:val="28"/>
        </w:rPr>
        <w:t>Tarjeta de registro de las señas particulares de las personas en detención policial;</w:t>
      </w:r>
    </w:p>
    <w:p w:rsidR="006F5694" w:rsidRPr="00E86C37" w:rsidRDefault="006F5694" w:rsidP="006F5694">
      <w:pPr>
        <w:spacing w:after="240"/>
        <w:ind w:left="924" w:hanging="357"/>
        <w:rPr>
          <w:szCs w:val="28"/>
        </w:rPr>
      </w:pPr>
      <w:r w:rsidRPr="00E86C37">
        <w:rPr>
          <w:szCs w:val="28"/>
        </w:rPr>
        <w:t>-</w:t>
      </w:r>
      <w:r w:rsidRPr="00E86C37">
        <w:rPr>
          <w:szCs w:val="28"/>
        </w:rPr>
        <w:tab/>
        <w:t>Atención médica</w:t>
      </w:r>
      <w:r>
        <w:rPr>
          <w:szCs w:val="28"/>
        </w:rPr>
        <w:t>;</w:t>
      </w:r>
    </w:p>
    <w:p w:rsidR="006F5694" w:rsidRPr="00E86C37" w:rsidRDefault="006F5694" w:rsidP="006F5694">
      <w:pPr>
        <w:spacing w:after="240"/>
        <w:ind w:left="924" w:hanging="357"/>
        <w:rPr>
          <w:szCs w:val="28"/>
        </w:rPr>
      </w:pPr>
      <w:r w:rsidRPr="00E86C37">
        <w:rPr>
          <w:szCs w:val="28"/>
        </w:rPr>
        <w:t>-</w:t>
      </w:r>
      <w:r w:rsidRPr="00E86C37">
        <w:rPr>
          <w:szCs w:val="28"/>
        </w:rPr>
        <w:tab/>
        <w:t>Suicidio</w:t>
      </w:r>
      <w:r>
        <w:rPr>
          <w:szCs w:val="28"/>
        </w:rPr>
        <w:t>;</w:t>
      </w:r>
    </w:p>
    <w:p w:rsidR="006F5694" w:rsidRPr="00E86C37" w:rsidRDefault="006F5694" w:rsidP="006F5694">
      <w:pPr>
        <w:spacing w:after="240"/>
        <w:ind w:left="924" w:hanging="357"/>
        <w:rPr>
          <w:szCs w:val="28"/>
        </w:rPr>
      </w:pPr>
      <w:r w:rsidRPr="00E86C37">
        <w:rPr>
          <w:szCs w:val="28"/>
        </w:rPr>
        <w:t>-</w:t>
      </w:r>
      <w:r w:rsidRPr="00E86C37">
        <w:rPr>
          <w:szCs w:val="28"/>
        </w:rPr>
        <w:tab/>
        <w:t>Entrega de efectos personales</w:t>
      </w:r>
      <w:r>
        <w:rPr>
          <w:szCs w:val="28"/>
        </w:rPr>
        <w:t>;</w:t>
      </w:r>
    </w:p>
    <w:p w:rsidR="006F5694" w:rsidRPr="00E86C37" w:rsidRDefault="006F5694" w:rsidP="006F5694">
      <w:pPr>
        <w:spacing w:after="240"/>
        <w:ind w:left="924" w:hanging="357"/>
        <w:rPr>
          <w:szCs w:val="28"/>
        </w:rPr>
      </w:pPr>
      <w:r w:rsidRPr="00E86C37">
        <w:rPr>
          <w:szCs w:val="28"/>
        </w:rPr>
        <w:t>-</w:t>
      </w:r>
      <w:r w:rsidRPr="00E86C37">
        <w:rPr>
          <w:szCs w:val="28"/>
        </w:rPr>
        <w:tab/>
        <w:t>Alimentación</w:t>
      </w:r>
      <w:r>
        <w:rPr>
          <w:szCs w:val="28"/>
        </w:rPr>
        <w:t>;</w:t>
      </w:r>
    </w:p>
    <w:p w:rsidR="006F5694" w:rsidRPr="00E86C37" w:rsidRDefault="006F5694" w:rsidP="006F5694">
      <w:pPr>
        <w:spacing w:after="240"/>
        <w:ind w:left="924" w:hanging="357"/>
        <w:rPr>
          <w:szCs w:val="28"/>
        </w:rPr>
      </w:pPr>
      <w:r w:rsidRPr="00E86C37">
        <w:rPr>
          <w:szCs w:val="28"/>
        </w:rPr>
        <w:t>-</w:t>
      </w:r>
      <w:r w:rsidRPr="00E86C37">
        <w:rPr>
          <w:szCs w:val="28"/>
        </w:rPr>
        <w:tab/>
        <w:t>Higiene personal</w:t>
      </w:r>
      <w:r>
        <w:rPr>
          <w:szCs w:val="28"/>
        </w:rPr>
        <w:t>;</w:t>
      </w:r>
    </w:p>
    <w:p w:rsidR="006F5694" w:rsidRPr="00E86C37" w:rsidRDefault="006F5694" w:rsidP="006F5694">
      <w:pPr>
        <w:spacing w:after="240"/>
        <w:ind w:left="924" w:hanging="357"/>
        <w:rPr>
          <w:szCs w:val="28"/>
        </w:rPr>
      </w:pPr>
      <w:r>
        <w:rPr>
          <w:szCs w:val="28"/>
        </w:rPr>
        <w:t>-</w:t>
      </w:r>
      <w:r>
        <w:rPr>
          <w:szCs w:val="28"/>
        </w:rPr>
        <w:tab/>
        <w:t>Fuga;</w:t>
      </w:r>
    </w:p>
    <w:p w:rsidR="006F5694" w:rsidRDefault="006F5694" w:rsidP="006F5694">
      <w:pPr>
        <w:spacing w:after="240"/>
        <w:ind w:left="924" w:hanging="357"/>
        <w:rPr>
          <w:szCs w:val="28"/>
        </w:rPr>
      </w:pPr>
      <w:r w:rsidRPr="00E86C37">
        <w:rPr>
          <w:szCs w:val="28"/>
        </w:rPr>
        <w:t>-</w:t>
      </w:r>
      <w:r w:rsidRPr="00E86C37">
        <w:rPr>
          <w:szCs w:val="28"/>
        </w:rPr>
        <w:tab/>
      </w:r>
      <w:r>
        <w:rPr>
          <w:szCs w:val="28"/>
        </w:rPr>
        <w:t>Puesta en libertad.</w:t>
      </w:r>
    </w:p>
    <w:p w:rsidR="006F5694" w:rsidRDefault="006F5694" w:rsidP="006F5694">
      <w:pPr>
        <w:spacing w:after="240"/>
        <w:rPr>
          <w:szCs w:val="28"/>
        </w:rPr>
      </w:pPr>
      <w:r w:rsidRPr="00E86C37">
        <w:rPr>
          <w:szCs w:val="28"/>
        </w:rPr>
        <w:t>38.</w:t>
      </w:r>
      <w:r w:rsidRPr="00E86C37">
        <w:rPr>
          <w:szCs w:val="28"/>
        </w:rPr>
        <w:tab/>
        <w:t xml:space="preserve">Esta </w:t>
      </w:r>
      <w:r>
        <w:rPr>
          <w:szCs w:val="28"/>
        </w:rPr>
        <w:t>o</w:t>
      </w:r>
      <w:r w:rsidRPr="00E86C37">
        <w:rPr>
          <w:szCs w:val="28"/>
        </w:rPr>
        <w:t xml:space="preserve">rden de </w:t>
      </w:r>
      <w:r>
        <w:rPr>
          <w:szCs w:val="28"/>
        </w:rPr>
        <w:t>p</w:t>
      </w:r>
      <w:r w:rsidRPr="00E86C37">
        <w:rPr>
          <w:szCs w:val="28"/>
        </w:rPr>
        <w:t xml:space="preserve">olicía determina las obligaciones de los funcionarios de policía en lo referente a los derechos de las personas </w:t>
      </w:r>
      <w:r>
        <w:rPr>
          <w:szCs w:val="28"/>
        </w:rPr>
        <w:t>en detención policial</w:t>
      </w:r>
      <w:r w:rsidRPr="00E86C37">
        <w:rPr>
          <w:szCs w:val="28"/>
        </w:rPr>
        <w:t>, en particular las visitas de abogados, agentes de libertad condicional, funcionarios consulares y otras personas</w:t>
      </w:r>
      <w:r>
        <w:rPr>
          <w:szCs w:val="28"/>
        </w:rPr>
        <w:t xml:space="preserve">.  </w:t>
      </w:r>
      <w:r w:rsidRPr="00E86C37">
        <w:rPr>
          <w:szCs w:val="28"/>
        </w:rPr>
        <w:t xml:space="preserve">Todos los funcionarios de policía de Aruba deben aplicar el reglamento interno de las </w:t>
      </w:r>
      <w:r>
        <w:rPr>
          <w:szCs w:val="28"/>
        </w:rPr>
        <w:t>ó</w:t>
      </w:r>
      <w:r w:rsidRPr="00E86C37">
        <w:rPr>
          <w:szCs w:val="28"/>
        </w:rPr>
        <w:t xml:space="preserve">rdenes de </w:t>
      </w:r>
      <w:r>
        <w:rPr>
          <w:szCs w:val="28"/>
        </w:rPr>
        <w:t>p</w:t>
      </w:r>
      <w:r w:rsidRPr="00E86C37">
        <w:rPr>
          <w:szCs w:val="28"/>
        </w:rPr>
        <w:t>olicía</w:t>
      </w:r>
      <w:r>
        <w:rPr>
          <w:szCs w:val="28"/>
        </w:rPr>
        <w:t xml:space="preserve">.  </w:t>
      </w:r>
      <w:r w:rsidRPr="00E86C37">
        <w:rPr>
          <w:szCs w:val="28"/>
        </w:rPr>
        <w:t xml:space="preserve">Como </w:t>
      </w:r>
      <w:r>
        <w:rPr>
          <w:szCs w:val="28"/>
        </w:rPr>
        <w:t xml:space="preserve">queda </w:t>
      </w:r>
      <w:r w:rsidRPr="00E86C37">
        <w:rPr>
          <w:szCs w:val="28"/>
        </w:rPr>
        <w:t xml:space="preserve">dicho, las </w:t>
      </w:r>
      <w:r>
        <w:rPr>
          <w:szCs w:val="28"/>
        </w:rPr>
        <w:t>ó</w:t>
      </w:r>
      <w:r w:rsidRPr="00E86C37">
        <w:rPr>
          <w:szCs w:val="28"/>
        </w:rPr>
        <w:t xml:space="preserve">rdenes de </w:t>
      </w:r>
      <w:r>
        <w:rPr>
          <w:szCs w:val="28"/>
        </w:rPr>
        <w:t>p</w:t>
      </w:r>
      <w:r w:rsidRPr="00E86C37">
        <w:rPr>
          <w:szCs w:val="28"/>
        </w:rPr>
        <w:t>olicía tienen carácter de reglamento permanente y determinan precisamente las obligaciones de los agentes en el trato y la atención de las personas que se encuentren bajo su responsabilidad.</w:t>
      </w:r>
    </w:p>
    <w:p w:rsidR="006F5694" w:rsidRPr="009B5375" w:rsidRDefault="006F5694" w:rsidP="006F5694">
      <w:pPr>
        <w:spacing w:after="240"/>
        <w:rPr>
          <w:b/>
          <w:bCs/>
          <w:iCs/>
          <w:szCs w:val="28"/>
        </w:rPr>
      </w:pPr>
      <w:r w:rsidRPr="009B5375">
        <w:rPr>
          <w:b/>
          <w:bCs/>
          <w:iCs/>
          <w:szCs w:val="28"/>
        </w:rPr>
        <w:t>Artículo 8.  Prohibición de la esclavitud</w:t>
      </w:r>
    </w:p>
    <w:p w:rsidR="006F5694" w:rsidRPr="00E86C37" w:rsidRDefault="006F5694" w:rsidP="006F5694">
      <w:pPr>
        <w:spacing w:after="240"/>
        <w:rPr>
          <w:szCs w:val="28"/>
        </w:rPr>
      </w:pPr>
      <w:r w:rsidRPr="00E86C37">
        <w:rPr>
          <w:szCs w:val="28"/>
        </w:rPr>
        <w:t>39.</w:t>
      </w:r>
      <w:r w:rsidRPr="00E86C37">
        <w:rPr>
          <w:szCs w:val="28"/>
        </w:rPr>
        <w:tab/>
      </w:r>
      <w:r>
        <w:rPr>
          <w:szCs w:val="28"/>
        </w:rPr>
        <w:t xml:space="preserve">Véase </w:t>
      </w:r>
      <w:r w:rsidRPr="00E86C37">
        <w:rPr>
          <w:szCs w:val="28"/>
        </w:rPr>
        <w:t xml:space="preserve">información sobre la prostitución y la trata de mujeres </w:t>
      </w:r>
      <w:r>
        <w:rPr>
          <w:szCs w:val="28"/>
        </w:rPr>
        <w:t xml:space="preserve">en el </w:t>
      </w:r>
      <w:r w:rsidRPr="00E86C37">
        <w:rPr>
          <w:szCs w:val="28"/>
        </w:rPr>
        <w:t>apartado dedicado al artículo 6 en el cuarto informe periódico de Aruba al Comité para la Eliminación de la Discriminación contra la Mujer (véase el párrafo 11).</w:t>
      </w:r>
    </w:p>
    <w:p w:rsidR="006F5694" w:rsidRPr="009B5375" w:rsidRDefault="006F5694" w:rsidP="006F5694">
      <w:pPr>
        <w:spacing w:after="240"/>
        <w:rPr>
          <w:b/>
          <w:iCs/>
          <w:szCs w:val="28"/>
        </w:rPr>
      </w:pPr>
      <w:r w:rsidRPr="009B5375">
        <w:rPr>
          <w:b/>
          <w:iCs/>
          <w:szCs w:val="28"/>
        </w:rPr>
        <w:t xml:space="preserve">Artículo 9.  </w:t>
      </w:r>
      <w:r w:rsidRPr="009B5375">
        <w:rPr>
          <w:b/>
          <w:szCs w:val="28"/>
        </w:rPr>
        <w:t xml:space="preserve">El derecho a la libertad y a la seguridad personales </w:t>
      </w:r>
    </w:p>
    <w:p w:rsidR="006F5694" w:rsidRDefault="006F5694" w:rsidP="006F5694">
      <w:pPr>
        <w:spacing w:after="240"/>
        <w:rPr>
          <w:szCs w:val="28"/>
        </w:rPr>
      </w:pPr>
      <w:r w:rsidRPr="00E86C37">
        <w:rPr>
          <w:szCs w:val="28"/>
        </w:rPr>
        <w:t>40.</w:t>
      </w:r>
      <w:r w:rsidRPr="00E86C37">
        <w:rPr>
          <w:szCs w:val="28"/>
        </w:rPr>
        <w:tab/>
      </w:r>
      <w:r>
        <w:rPr>
          <w:szCs w:val="28"/>
        </w:rPr>
        <w:t xml:space="preserve">Véanse </w:t>
      </w:r>
      <w:r w:rsidRPr="00E86C37">
        <w:rPr>
          <w:szCs w:val="28"/>
        </w:rPr>
        <w:t>los informes anteriores</w:t>
      </w:r>
      <w:r>
        <w:rPr>
          <w:szCs w:val="28"/>
        </w:rPr>
        <w:t xml:space="preserve">.  </w:t>
      </w:r>
    </w:p>
    <w:p w:rsidR="001B17E2" w:rsidRPr="006270CB" w:rsidRDefault="001B17E2" w:rsidP="001B17E2">
      <w:pPr>
        <w:keepNext/>
        <w:spacing w:after="240"/>
        <w:rPr>
          <w:b/>
        </w:rPr>
      </w:pPr>
      <w:r w:rsidRPr="006270CB">
        <w:rPr>
          <w:b/>
        </w:rPr>
        <w:t>Artículo 10</w:t>
      </w:r>
      <w:r>
        <w:rPr>
          <w:b/>
        </w:rPr>
        <w:t xml:space="preserve">.  </w:t>
      </w:r>
      <w:r w:rsidRPr="006270CB">
        <w:rPr>
          <w:b/>
        </w:rPr>
        <w:t xml:space="preserve">Trato </w:t>
      </w:r>
      <w:r>
        <w:rPr>
          <w:b/>
        </w:rPr>
        <w:t>de</w:t>
      </w:r>
      <w:r w:rsidRPr="006270CB">
        <w:rPr>
          <w:b/>
        </w:rPr>
        <w:t xml:space="preserve"> las personas privadas de libertad</w:t>
      </w:r>
    </w:p>
    <w:p w:rsidR="001B17E2" w:rsidRPr="006270CB" w:rsidRDefault="001B17E2" w:rsidP="001B17E2">
      <w:pPr>
        <w:spacing w:after="240"/>
        <w:ind w:firstLine="567"/>
      </w:pPr>
      <w:r>
        <w:rPr>
          <w:b/>
        </w:rPr>
        <w:t>Trato del</w:t>
      </w:r>
      <w:r w:rsidRPr="006270CB">
        <w:rPr>
          <w:b/>
        </w:rPr>
        <w:t xml:space="preserve"> los reclusos del Instituto Correccional de Aruba</w:t>
      </w:r>
    </w:p>
    <w:p w:rsidR="001B17E2" w:rsidRPr="006270CB" w:rsidRDefault="001B17E2" w:rsidP="001B17E2">
      <w:pPr>
        <w:spacing w:after="240"/>
      </w:pPr>
      <w:r w:rsidRPr="006270CB">
        <w:t>41.</w:t>
      </w:r>
      <w:r w:rsidRPr="006270CB">
        <w:tab/>
        <w:t xml:space="preserve">Como </w:t>
      </w:r>
      <w:r>
        <w:t xml:space="preserve">complemento </w:t>
      </w:r>
      <w:r w:rsidRPr="006270CB">
        <w:t xml:space="preserve">del informe anterior, cabe señalar que toda persona sospechosa o </w:t>
      </w:r>
      <w:r>
        <w:t xml:space="preserve">convicta </w:t>
      </w:r>
      <w:r w:rsidRPr="006270CB">
        <w:t xml:space="preserve">que se halle en detención policial o en el Instituto Correccional de Aruba (KIA) </w:t>
      </w:r>
      <w:r>
        <w:t xml:space="preserve">recibe todos </w:t>
      </w:r>
      <w:r w:rsidRPr="006270CB">
        <w:t>los medicamentos que pueda necesitar</w:t>
      </w:r>
      <w:r>
        <w:t xml:space="preserve">.  </w:t>
      </w:r>
      <w:r w:rsidRPr="006270CB">
        <w:t xml:space="preserve">El KIA </w:t>
      </w:r>
      <w:r>
        <w:t xml:space="preserve">dispone de </w:t>
      </w:r>
      <w:r w:rsidRPr="006270CB">
        <w:t xml:space="preserve">un asistente social que defiende los intereses de los reclusos y atiende sus demandas y </w:t>
      </w:r>
      <w:r>
        <w:t xml:space="preserve">de su propio médico.  </w:t>
      </w:r>
      <w:r w:rsidRPr="006270CB">
        <w:t>Los abogados pueden entrevistarse con sus clientes en todo momento y presentar denuncias al fiscal, al juez instructor o al juez sentenciador</w:t>
      </w:r>
      <w:r>
        <w:t xml:space="preserve">.  </w:t>
      </w:r>
      <w:r w:rsidRPr="006270CB">
        <w:t>Existe una Junta de Supervisión del KIA</w:t>
      </w:r>
      <w:r>
        <w:t xml:space="preserve"> que es independiente del I</w:t>
      </w:r>
      <w:r w:rsidRPr="006270CB">
        <w:t>nstituto y cuya principal función es velar por que los internos reciban un trato justo y equitativo</w:t>
      </w:r>
      <w:r>
        <w:t xml:space="preserve">.  </w:t>
      </w:r>
      <w:r w:rsidRPr="006270CB">
        <w:t xml:space="preserve">La Junta tramita e investiga </w:t>
      </w:r>
      <w:r>
        <w:t xml:space="preserve">las </w:t>
      </w:r>
      <w:r w:rsidRPr="006270CB">
        <w:t>denuncias de los reclusos y formula recomendaciones</w:t>
      </w:r>
      <w:r>
        <w:t xml:space="preserve">.  </w:t>
      </w:r>
      <w:r w:rsidRPr="006270CB">
        <w:t>El KIA también colabora estrechamente con la Fundación para la Protección del Niño y la Libertad Condicional (</w:t>
      </w:r>
      <w:proofErr w:type="spellStart"/>
      <w:r w:rsidRPr="006270CB">
        <w:rPr>
          <w:i/>
        </w:rPr>
        <w:t>Stichting</w:t>
      </w:r>
      <w:proofErr w:type="spellEnd"/>
      <w:r w:rsidRPr="006270CB">
        <w:rPr>
          <w:i/>
        </w:rPr>
        <w:t xml:space="preserve"> </w:t>
      </w:r>
      <w:proofErr w:type="spellStart"/>
      <w:r w:rsidRPr="006270CB">
        <w:rPr>
          <w:i/>
        </w:rPr>
        <w:t>Reclassering</w:t>
      </w:r>
      <w:proofErr w:type="spellEnd"/>
      <w:r w:rsidRPr="006270CB">
        <w:rPr>
          <w:i/>
        </w:rPr>
        <w:t xml:space="preserve"> en </w:t>
      </w:r>
      <w:proofErr w:type="spellStart"/>
      <w:r w:rsidRPr="006270CB">
        <w:rPr>
          <w:i/>
        </w:rPr>
        <w:t>Kinderbescherming</w:t>
      </w:r>
      <w:proofErr w:type="spellEnd"/>
      <w:r w:rsidRPr="006270CB">
        <w:t>) en el examen judicial preliminar, por ejemplo en los casos de delitos sexuales o cuando el sospechoso es menor de edad</w:t>
      </w:r>
      <w:r>
        <w:t xml:space="preserve">.  </w:t>
      </w:r>
      <w:r w:rsidRPr="006270CB">
        <w:t xml:space="preserve">El servicio de libertad condicional prepara un informe antes de que se </w:t>
      </w:r>
      <w:r>
        <w:t xml:space="preserve">vea la causa </w:t>
      </w:r>
      <w:r w:rsidRPr="006270CB">
        <w:t>penal</w:t>
      </w:r>
      <w:r>
        <w:t xml:space="preserve">.  </w:t>
      </w:r>
      <w:r w:rsidRPr="006270CB">
        <w:t>Desempeña una función importante en los procesos de rehabilitación y de reinserción social de los sospechosos y los delincuentes</w:t>
      </w:r>
      <w:r>
        <w:t xml:space="preserve">.  </w:t>
      </w:r>
      <w:r w:rsidRPr="006270CB">
        <w:t>Asimismo son importantes las salvaguardias contenidas en el Conve</w:t>
      </w:r>
      <w:r>
        <w:t>nio Europeo de Derechos Humanos</w:t>
      </w:r>
      <w:r w:rsidRPr="006270CB">
        <w:t>.</w:t>
      </w:r>
    </w:p>
    <w:p w:rsidR="001B17E2" w:rsidRPr="006270CB" w:rsidRDefault="001B17E2" w:rsidP="001B17E2">
      <w:pPr>
        <w:spacing w:after="240"/>
      </w:pPr>
      <w:r w:rsidRPr="006270CB">
        <w:t>42.</w:t>
      </w:r>
      <w:r w:rsidRPr="006270CB">
        <w:tab/>
        <w:t>Cuando el juez instructor dicta orden de detención provisional el sospechoso es internado en el KIA</w:t>
      </w:r>
      <w:r>
        <w:t xml:space="preserve">.  </w:t>
      </w:r>
      <w:r w:rsidRPr="006270CB">
        <w:t xml:space="preserve">Por lo tanto, después de la detención policial (es decir, </w:t>
      </w:r>
      <w:r>
        <w:t xml:space="preserve">la comisaría </w:t>
      </w:r>
      <w:r w:rsidRPr="006270CB">
        <w:t>de policía), el sospechoso es trasladado al KIA al inicio de la detención preventiva</w:t>
      </w:r>
      <w:r>
        <w:t xml:space="preserve">.  </w:t>
      </w:r>
      <w:r w:rsidRPr="006270CB">
        <w:t xml:space="preserve">En el KIA están internados </w:t>
      </w:r>
      <w:r>
        <w:t xml:space="preserve">tantos los ya </w:t>
      </w:r>
      <w:r w:rsidRPr="006270CB">
        <w:t xml:space="preserve">condenados </w:t>
      </w:r>
      <w:r>
        <w:t>como</w:t>
      </w:r>
      <w:r w:rsidRPr="006270CB">
        <w:t xml:space="preserve"> </w:t>
      </w:r>
      <w:r>
        <w:t xml:space="preserve">los </w:t>
      </w:r>
      <w:r w:rsidRPr="006270CB">
        <w:t>sospechosos en detención preventiva.</w:t>
      </w:r>
    </w:p>
    <w:p w:rsidR="001B17E2" w:rsidRPr="006270CB" w:rsidRDefault="001B17E2" w:rsidP="001B17E2">
      <w:pPr>
        <w:spacing w:after="240"/>
      </w:pPr>
      <w:r w:rsidRPr="006270CB">
        <w:t>43.</w:t>
      </w:r>
      <w:r w:rsidRPr="006270CB">
        <w:tab/>
        <w:t>En el pabellón de detención del KIA se interna a quienes cumplen condenas y períodos de detención breves impuestos por el impago de una multa</w:t>
      </w:r>
      <w:r>
        <w:t xml:space="preserve">.  </w:t>
      </w:r>
      <w:r w:rsidRPr="006270CB">
        <w:t xml:space="preserve">En el pabellón de detención provisional se interna a quienes están detenidos en espera de juicio y a quienes han sido condenados a </w:t>
      </w:r>
      <w:r>
        <w:t>penas de prisión de breve duración (menos de nueve</w:t>
      </w:r>
      <w:r w:rsidRPr="006270CB">
        <w:t xml:space="preserve"> meses)</w:t>
      </w:r>
      <w:r>
        <w:t xml:space="preserve">.  </w:t>
      </w:r>
      <w:r w:rsidRPr="006270CB">
        <w:t>Por último, en el pabellón de reclusión se interna a delincuentes condenados a penas de reclusión que van desde los nueve meses hasta la cadena perpetua</w:t>
      </w:r>
      <w:r>
        <w:t xml:space="preserve">.  </w:t>
      </w:r>
      <w:r w:rsidRPr="006270CB">
        <w:t xml:space="preserve">Se da el mismo trato a los sospechosos que a los </w:t>
      </w:r>
      <w:r>
        <w:t>convictos</w:t>
      </w:r>
      <w:r w:rsidRPr="006270CB">
        <w:t>.</w:t>
      </w:r>
    </w:p>
    <w:p w:rsidR="001B17E2" w:rsidRPr="006270CB" w:rsidRDefault="001B17E2" w:rsidP="001B17E2">
      <w:pPr>
        <w:spacing w:after="240"/>
      </w:pPr>
      <w:r w:rsidRPr="006270CB">
        <w:t>44.</w:t>
      </w:r>
      <w:r w:rsidRPr="006270CB">
        <w:tab/>
        <w:t>También hay un pabellón de menores, en el que se interna a menores en detención provisional y a jóvenes delincuentes</w:t>
      </w:r>
      <w:r>
        <w:t xml:space="preserve">.  </w:t>
      </w:r>
      <w:r w:rsidRPr="006270CB">
        <w:t xml:space="preserve">Como se señaló en el quinto informe periódico, en 1998 se propuso </w:t>
      </w:r>
      <w:r>
        <w:t xml:space="preserve">la construcción </w:t>
      </w:r>
      <w:r w:rsidRPr="006270CB">
        <w:t xml:space="preserve">en el KIA </w:t>
      </w:r>
      <w:r>
        <w:t xml:space="preserve">de </w:t>
      </w:r>
      <w:r w:rsidRPr="006270CB">
        <w:t>un pabellón separado para jóvenes delincuentes</w:t>
      </w:r>
      <w:r>
        <w:t xml:space="preserve">.  </w:t>
      </w:r>
      <w:r w:rsidRPr="006270CB">
        <w:t>La obra mayor de la construcción de ese pabellón finalizó en 2005</w:t>
      </w:r>
      <w:r>
        <w:t xml:space="preserve">.  </w:t>
      </w:r>
      <w:r w:rsidRPr="006270CB">
        <w:t xml:space="preserve">En la actualidad se realizan los trabajos de </w:t>
      </w:r>
      <w:r>
        <w:t xml:space="preserve">acabado.  </w:t>
      </w:r>
      <w:r w:rsidRPr="006270CB">
        <w:t>El pabellón de menores tiene capacidad para 36 personas y cuenta con</w:t>
      </w:r>
      <w:r>
        <w:t> 2 </w:t>
      </w:r>
      <w:r w:rsidRPr="006270CB">
        <w:t>celdas de aislamiento.</w:t>
      </w:r>
    </w:p>
    <w:p w:rsidR="001B17E2" w:rsidRPr="006270CB" w:rsidRDefault="001B17E2" w:rsidP="001B17E2">
      <w:pPr>
        <w:spacing w:after="240"/>
        <w:rPr>
          <w:szCs w:val="22"/>
        </w:rPr>
      </w:pPr>
      <w:r w:rsidRPr="006270CB">
        <w:t>45.</w:t>
      </w:r>
      <w:r w:rsidRPr="006270CB">
        <w:tab/>
        <w:t xml:space="preserve">Los reclusos pueden </w:t>
      </w:r>
      <w:r>
        <w:t xml:space="preserve">seguir </w:t>
      </w:r>
      <w:r w:rsidRPr="006270CB">
        <w:t xml:space="preserve">cursos concebidos para promover su reinserción, por ejemplo pintura con aerógrafo, trabajos artesanales, carpintería, mecánica de automóviles y el programa denominado </w:t>
      </w:r>
      <w:r w:rsidRPr="006270CB">
        <w:rPr>
          <w:szCs w:val="22"/>
        </w:rPr>
        <w:t>Oportunidad para los jóvenes</w:t>
      </w:r>
      <w:r>
        <w:rPr>
          <w:szCs w:val="22"/>
        </w:rPr>
        <w:t xml:space="preserve">.  </w:t>
      </w:r>
      <w:r w:rsidRPr="006270CB">
        <w:rPr>
          <w:szCs w:val="22"/>
        </w:rPr>
        <w:t>Esos cursos están exclusivamente dirigidos a reclusos condenados.</w:t>
      </w:r>
    </w:p>
    <w:p w:rsidR="001B17E2" w:rsidRPr="006270CB" w:rsidRDefault="001B17E2" w:rsidP="001B17E2">
      <w:pPr>
        <w:keepNext/>
        <w:spacing w:after="240"/>
        <w:ind w:firstLine="567"/>
      </w:pPr>
      <w:r w:rsidRPr="00B368F9">
        <w:rPr>
          <w:b/>
        </w:rPr>
        <w:t>Reforma</w:t>
      </w:r>
      <w:r w:rsidRPr="006270CB">
        <w:t xml:space="preserve"> </w:t>
      </w:r>
      <w:r w:rsidRPr="00B368F9">
        <w:rPr>
          <w:b/>
        </w:rPr>
        <w:t>de la legislación penal de menores</w:t>
      </w:r>
    </w:p>
    <w:p w:rsidR="001B17E2" w:rsidRPr="006270CB" w:rsidRDefault="001B17E2" w:rsidP="001B17E2">
      <w:pPr>
        <w:spacing w:after="240"/>
      </w:pPr>
      <w:r w:rsidRPr="006270CB">
        <w:t>46.</w:t>
      </w:r>
      <w:r w:rsidRPr="006270CB">
        <w:tab/>
        <w:t>Cabe señalar que todavía no se han introducido las nuevas disposiciones penales para menores delincuentes</w:t>
      </w:r>
      <w:r>
        <w:t xml:space="preserve">.  </w:t>
      </w:r>
      <w:r w:rsidRPr="006270CB">
        <w:t>No obstante, el Comité de Reforma del Código Penal ha preparado un proyecto de ordenanza nacional</w:t>
      </w:r>
      <w:r>
        <w:t>.</w:t>
      </w:r>
    </w:p>
    <w:p w:rsidR="001B17E2" w:rsidRPr="006270CB" w:rsidRDefault="001B17E2" w:rsidP="001B17E2">
      <w:pPr>
        <w:spacing w:after="240"/>
      </w:pPr>
      <w:r w:rsidRPr="006270CB">
        <w:t>47.</w:t>
      </w:r>
      <w:r w:rsidRPr="006270CB">
        <w:tab/>
        <w:t>En la actualidad el número de menores condenados a penas de cárcel por la comisión de delitos graves es muy bajo</w:t>
      </w:r>
      <w:r>
        <w:t xml:space="preserve">.  </w:t>
      </w:r>
      <w:r w:rsidRPr="006270CB">
        <w:t>La mayoría de ellos tienen entre 16 y 18 años de edad y han sido condenados en el marco de la legislación penal aplicable a los adultos</w:t>
      </w:r>
      <w:r>
        <w:t xml:space="preserve">.  </w:t>
      </w:r>
      <w:r w:rsidRPr="006270CB">
        <w:t>Los menores de 16 años que cometan delitos menos graves no pueden ser condenados, en principio, a penas de prisión</w:t>
      </w:r>
      <w:r>
        <w:t xml:space="preserve">.  </w:t>
      </w:r>
      <w:r w:rsidRPr="006270CB">
        <w:t>Generalmente son condenados a realizar trabajos en beneficio de la comunidad o a otro tipo de sanciones impuestas por el ministerio fiscal o a pagar una multa de 90 florines de Aruba.</w:t>
      </w:r>
    </w:p>
    <w:p w:rsidR="001B17E2" w:rsidRPr="006270CB" w:rsidRDefault="001B17E2" w:rsidP="001B17E2">
      <w:pPr>
        <w:spacing w:after="240"/>
        <w:ind w:firstLine="567"/>
        <w:rPr>
          <w:b/>
          <w:bCs/>
        </w:rPr>
      </w:pPr>
      <w:r>
        <w:rPr>
          <w:b/>
          <w:bCs/>
        </w:rPr>
        <w:t>Ordenanza n</w:t>
      </w:r>
      <w:r w:rsidRPr="006270CB">
        <w:rPr>
          <w:b/>
          <w:bCs/>
        </w:rPr>
        <w:t>acional sobre instituciones penitenciarias</w:t>
      </w:r>
    </w:p>
    <w:p w:rsidR="001B17E2" w:rsidRPr="006270CB" w:rsidRDefault="001B17E2" w:rsidP="001B17E2">
      <w:pPr>
        <w:pStyle w:val="Header"/>
        <w:tabs>
          <w:tab w:val="clear" w:pos="4252"/>
        </w:tabs>
        <w:spacing w:after="240"/>
      </w:pPr>
      <w:r w:rsidRPr="006270CB">
        <w:t>48.</w:t>
      </w:r>
      <w:r w:rsidRPr="006270CB">
        <w:tab/>
        <w:t>El Parlamento aprobó en 2005 la Ordenanza nacional sobre instituciones penitenciarias, que todavía no ha entrado en vigor</w:t>
      </w:r>
      <w:r>
        <w:t xml:space="preserve">.  </w:t>
      </w:r>
      <w:r w:rsidRPr="006270CB">
        <w:t>La ordenanza contiene muchas dispo</w:t>
      </w:r>
      <w:r>
        <w:t>siciones nuevas sobre el trato de</w:t>
      </w:r>
      <w:r w:rsidRPr="006270CB">
        <w:t xml:space="preserve"> los detenidos, como el derecho a presentar denuncias y la diferenciación entre los internos.</w:t>
      </w:r>
    </w:p>
    <w:p w:rsidR="001B17E2" w:rsidRPr="006270CB" w:rsidRDefault="001B17E2" w:rsidP="001B17E2">
      <w:pPr>
        <w:pStyle w:val="Header"/>
        <w:tabs>
          <w:tab w:val="clear" w:pos="4252"/>
        </w:tabs>
        <w:spacing w:after="240"/>
        <w:rPr>
          <w:b/>
          <w:bCs/>
        </w:rPr>
      </w:pPr>
      <w:r w:rsidRPr="006270CB">
        <w:rPr>
          <w:b/>
          <w:bCs/>
        </w:rPr>
        <w:t>Artículo 11</w:t>
      </w:r>
      <w:r>
        <w:rPr>
          <w:b/>
          <w:bCs/>
        </w:rPr>
        <w:t xml:space="preserve">.  </w:t>
      </w:r>
      <w:r w:rsidRPr="006270CB">
        <w:rPr>
          <w:b/>
          <w:bCs/>
        </w:rPr>
        <w:t xml:space="preserve">Prohibición de la detención por incumplimiento de </w:t>
      </w:r>
      <w:r>
        <w:rPr>
          <w:b/>
          <w:bCs/>
        </w:rPr>
        <w:t>contrato</w:t>
      </w:r>
    </w:p>
    <w:p w:rsidR="001B17E2" w:rsidRPr="006270CB" w:rsidRDefault="001B17E2" w:rsidP="001B17E2">
      <w:pPr>
        <w:pStyle w:val="Header"/>
        <w:tabs>
          <w:tab w:val="clear" w:pos="4252"/>
        </w:tabs>
        <w:spacing w:after="240"/>
      </w:pPr>
      <w:r w:rsidRPr="006270CB">
        <w:t>49.</w:t>
      </w:r>
      <w:r w:rsidRPr="006270CB">
        <w:tab/>
        <w:t>Véanse los informes anteriores.</w:t>
      </w:r>
    </w:p>
    <w:p w:rsidR="001B17E2" w:rsidRPr="006270CB" w:rsidRDefault="001B17E2" w:rsidP="001B17E2">
      <w:pPr>
        <w:pStyle w:val="Header"/>
        <w:tabs>
          <w:tab w:val="clear" w:pos="4252"/>
        </w:tabs>
        <w:spacing w:after="240"/>
        <w:rPr>
          <w:b/>
          <w:bCs/>
        </w:rPr>
      </w:pPr>
      <w:r w:rsidRPr="006270CB">
        <w:rPr>
          <w:b/>
          <w:bCs/>
        </w:rPr>
        <w:t>Artículo 12</w:t>
      </w:r>
      <w:r>
        <w:rPr>
          <w:b/>
          <w:bCs/>
        </w:rPr>
        <w:t xml:space="preserve">.  </w:t>
      </w:r>
      <w:r w:rsidRPr="006270CB">
        <w:rPr>
          <w:b/>
          <w:bCs/>
        </w:rPr>
        <w:t>Derecho a salir del país</w:t>
      </w:r>
    </w:p>
    <w:p w:rsidR="001B17E2" w:rsidRPr="006270CB" w:rsidRDefault="001B17E2" w:rsidP="001B17E2">
      <w:pPr>
        <w:pStyle w:val="Header"/>
        <w:tabs>
          <w:tab w:val="clear" w:pos="4252"/>
        </w:tabs>
        <w:spacing w:after="240"/>
      </w:pPr>
      <w:r w:rsidRPr="006270CB">
        <w:t>50.</w:t>
      </w:r>
      <w:r w:rsidRPr="006270CB">
        <w:tab/>
        <w:t>Desde el 24 de junio de 2002 el período máximo de residencia que se concede a los extranjeros es de tres años, tras los cuales deben abandonar Aruba</w:t>
      </w:r>
      <w:r>
        <w:t xml:space="preserve">.  </w:t>
      </w:r>
      <w:r w:rsidRPr="006270CB">
        <w:t>Transcurridos otros tres años fuera del país se podrá conceder un nuevo permiso de residencia no superior a tres años</w:t>
      </w:r>
      <w:r>
        <w:t xml:space="preserve">.  </w:t>
      </w:r>
      <w:r w:rsidRPr="006270CB">
        <w:t xml:space="preserve">Este programa de admisión </w:t>
      </w:r>
      <w:r>
        <w:t>forma parte de</w:t>
      </w:r>
      <w:r w:rsidRPr="006270CB">
        <w:t xml:space="preserve"> la política de inmigración publicada por el Ministerio de Justicia el 24 de junio de 2002.</w:t>
      </w:r>
    </w:p>
    <w:p w:rsidR="001B17E2" w:rsidRPr="006270CB" w:rsidRDefault="001B17E2" w:rsidP="001B17E2">
      <w:pPr>
        <w:spacing w:after="240"/>
        <w:ind w:firstLine="567"/>
        <w:rPr>
          <w:bCs/>
        </w:rPr>
      </w:pPr>
      <w:r w:rsidRPr="006270CB">
        <w:rPr>
          <w:b/>
          <w:bCs/>
        </w:rPr>
        <w:t>Criterios para la admisión de extranjeros</w:t>
      </w:r>
    </w:p>
    <w:p w:rsidR="001B17E2" w:rsidRPr="006270CB" w:rsidRDefault="001B17E2" w:rsidP="001B17E2">
      <w:pPr>
        <w:pStyle w:val="Header"/>
        <w:tabs>
          <w:tab w:val="clear" w:pos="4252"/>
        </w:tabs>
        <w:spacing w:after="240"/>
      </w:pPr>
      <w:r w:rsidRPr="006270CB">
        <w:t>51.</w:t>
      </w:r>
      <w:r w:rsidRPr="006270CB">
        <w:tab/>
        <w:t>Los requisitos para solicitar un permiso de trabajo o de residencia no han cambiado, aunque se ha modificado el procedimiento de solicitud del permiso de trabajo</w:t>
      </w:r>
      <w:r>
        <w:t xml:space="preserve">.  </w:t>
      </w:r>
      <w:r w:rsidRPr="006270CB">
        <w:t>Hasta el 1</w:t>
      </w:r>
      <w:r>
        <w:t>º</w:t>
      </w:r>
      <w:r w:rsidRPr="006270CB">
        <w:t xml:space="preserve"> de julio de 2002 las solicitudes se presentaban al Departamento de Trabajo</w:t>
      </w:r>
      <w:r>
        <w:t xml:space="preserve">.  </w:t>
      </w:r>
      <w:r w:rsidRPr="006270CB">
        <w:t>Después de que ese departamento formulara su recomendación, la solicitud se</w:t>
      </w:r>
      <w:r>
        <w:t xml:space="preserve"> transmitía para que se adoptara</w:t>
      </w:r>
      <w:r w:rsidRPr="006270CB">
        <w:t xml:space="preserve"> una decisión de acuerdo con la recomendación.</w:t>
      </w:r>
    </w:p>
    <w:p w:rsidR="001B17E2" w:rsidRPr="006270CB" w:rsidRDefault="001B17E2" w:rsidP="001B17E2">
      <w:pPr>
        <w:pStyle w:val="Header"/>
        <w:tabs>
          <w:tab w:val="clear" w:pos="4252"/>
        </w:tabs>
        <w:spacing w:after="240"/>
      </w:pPr>
      <w:r w:rsidRPr="006270CB">
        <w:t>52.</w:t>
      </w:r>
      <w:r w:rsidRPr="006270CB">
        <w:tab/>
        <w:t xml:space="preserve">Desde el 1º de julio de 2002, todas las solicitudes se presentan al departamento gubernamental competente, </w:t>
      </w:r>
      <w:r>
        <w:t>es decir</w:t>
      </w:r>
      <w:r w:rsidRPr="006270CB">
        <w:t>, el Departamento de Inmigración y Naturalización (DINA)</w:t>
      </w:r>
      <w:r>
        <w:t xml:space="preserve">.  </w:t>
      </w:r>
      <w:r w:rsidRPr="006270CB">
        <w:t>El DINA envía copias de las solicitudes al Departamento de Trabajo, que transmite una recomendación al DINA para que éste adopte una decisión</w:t>
      </w:r>
      <w:r>
        <w:t xml:space="preserve">.  </w:t>
      </w:r>
      <w:r w:rsidRPr="006270CB">
        <w:t xml:space="preserve">La solicitud </w:t>
      </w:r>
      <w:r>
        <w:t xml:space="preserve">del </w:t>
      </w:r>
      <w:r w:rsidRPr="006270CB">
        <w:t>primer permiso de trabajo o de residencia debe presentarse antes de que el extranjero haya entrado en el país</w:t>
      </w:r>
      <w:r>
        <w:t>.  El </w:t>
      </w:r>
      <w:r w:rsidRPr="006270CB">
        <w:t>futuro empleador u otro garante del extranjero que solicita el permiso de trabajo o de residencia en Aruba debe responder de él.</w:t>
      </w:r>
    </w:p>
    <w:p w:rsidR="001B17E2" w:rsidRPr="006270CB" w:rsidRDefault="001B17E2" w:rsidP="001B17E2">
      <w:pPr>
        <w:pStyle w:val="Header"/>
        <w:tabs>
          <w:tab w:val="clear" w:pos="4252"/>
        </w:tabs>
        <w:spacing w:after="240"/>
      </w:pPr>
      <w:r w:rsidRPr="006270CB">
        <w:t>53.</w:t>
      </w:r>
      <w:r w:rsidRPr="006270CB">
        <w:tab/>
        <w:t xml:space="preserve">Los extranjeros que quieran </w:t>
      </w:r>
      <w:r>
        <w:t xml:space="preserve">desempeñar </w:t>
      </w:r>
      <w:r w:rsidRPr="006270CB">
        <w:t>un empleo asalariado en Aruba deberán presentar la siguiente documentación:</w:t>
      </w:r>
    </w:p>
    <w:p w:rsidR="001B17E2" w:rsidRPr="006270CB" w:rsidRDefault="001B17E2" w:rsidP="001B17E2">
      <w:pPr>
        <w:pStyle w:val="Header"/>
        <w:tabs>
          <w:tab w:val="clear" w:pos="4252"/>
        </w:tabs>
        <w:spacing w:after="240"/>
        <w:ind w:left="924" w:hanging="357"/>
      </w:pPr>
      <w:r>
        <w:t>-</w:t>
      </w:r>
      <w:r>
        <w:tab/>
      </w:r>
      <w:r w:rsidRPr="006270CB">
        <w:t>Copia del pasaporte;</w:t>
      </w:r>
    </w:p>
    <w:p w:rsidR="001B17E2" w:rsidRPr="006270CB" w:rsidRDefault="001B17E2" w:rsidP="001B17E2">
      <w:pPr>
        <w:pStyle w:val="Header"/>
        <w:tabs>
          <w:tab w:val="clear" w:pos="4252"/>
        </w:tabs>
        <w:spacing w:after="240"/>
        <w:ind w:left="924" w:hanging="357"/>
      </w:pPr>
      <w:r w:rsidRPr="006270CB">
        <w:t>-</w:t>
      </w:r>
      <w:r>
        <w:tab/>
        <w:t xml:space="preserve">Partida </w:t>
      </w:r>
      <w:r w:rsidRPr="006270CB">
        <w:t xml:space="preserve">de nacimiento </w:t>
      </w:r>
      <w:r>
        <w:t>debidamente legalizada</w:t>
      </w:r>
      <w:r w:rsidRPr="006270CB">
        <w:t>;</w:t>
      </w:r>
    </w:p>
    <w:p w:rsidR="001B17E2" w:rsidRPr="006270CB" w:rsidRDefault="001B17E2" w:rsidP="001B17E2">
      <w:pPr>
        <w:pStyle w:val="Header"/>
        <w:tabs>
          <w:tab w:val="clear" w:pos="4252"/>
        </w:tabs>
        <w:spacing w:after="240"/>
        <w:ind w:left="924" w:hanging="357"/>
      </w:pPr>
      <w:r>
        <w:t>-</w:t>
      </w:r>
      <w:r>
        <w:tab/>
      </w:r>
      <w:r w:rsidRPr="006270CB">
        <w:t xml:space="preserve">Certificado de buena conducta </w:t>
      </w:r>
      <w:r>
        <w:t>debidamente</w:t>
      </w:r>
      <w:r w:rsidRPr="006270CB">
        <w:t xml:space="preserve"> legalizado;</w:t>
      </w:r>
    </w:p>
    <w:p w:rsidR="001B17E2" w:rsidRPr="006270CB" w:rsidRDefault="001B17E2" w:rsidP="001B17E2">
      <w:pPr>
        <w:pStyle w:val="Header"/>
        <w:tabs>
          <w:tab w:val="clear" w:pos="4252"/>
        </w:tabs>
        <w:spacing w:after="240"/>
        <w:ind w:left="924" w:hanging="357"/>
      </w:pPr>
      <w:r w:rsidRPr="006270CB">
        <w:t>-</w:t>
      </w:r>
      <w:r>
        <w:tab/>
        <w:t xml:space="preserve">Acreditación de </w:t>
      </w:r>
      <w:r w:rsidRPr="006270CB">
        <w:t xml:space="preserve">experiencia en el </w:t>
      </w:r>
      <w:r>
        <w:t>empleo previsto</w:t>
      </w:r>
      <w:r w:rsidRPr="006270CB">
        <w:t>; copias de los certificados y diplomas de enseñanza;</w:t>
      </w:r>
    </w:p>
    <w:p w:rsidR="001B17E2" w:rsidRPr="006270CB" w:rsidRDefault="001B17E2" w:rsidP="001B17E2">
      <w:pPr>
        <w:pStyle w:val="Header"/>
        <w:tabs>
          <w:tab w:val="clear" w:pos="4252"/>
        </w:tabs>
        <w:spacing w:after="240"/>
        <w:ind w:left="924" w:hanging="357"/>
      </w:pPr>
      <w:r w:rsidRPr="006270CB">
        <w:t>-</w:t>
      </w:r>
      <w:r>
        <w:tab/>
      </w:r>
      <w:r w:rsidRPr="006270CB">
        <w:t xml:space="preserve">Copia del contrato de </w:t>
      </w:r>
      <w:r>
        <w:t xml:space="preserve">trabajo </w:t>
      </w:r>
      <w:r w:rsidRPr="006270CB">
        <w:t>en un idioma que el trabajador extranjero comprenda o hable;</w:t>
      </w:r>
    </w:p>
    <w:p w:rsidR="001B17E2" w:rsidRPr="006270CB" w:rsidRDefault="001B17E2" w:rsidP="001B17E2">
      <w:pPr>
        <w:pStyle w:val="Header"/>
        <w:tabs>
          <w:tab w:val="clear" w:pos="4252"/>
        </w:tabs>
        <w:spacing w:after="240"/>
        <w:ind w:left="924" w:hanging="357"/>
      </w:pPr>
      <w:r w:rsidRPr="006270CB">
        <w:t>-</w:t>
      </w:r>
      <w:r>
        <w:tab/>
      </w:r>
      <w:r w:rsidRPr="006270CB">
        <w:t xml:space="preserve">Copia del certificado de registro en la Cámara de Comercio e Industria de Aruba de la empresa </w:t>
      </w:r>
      <w:r>
        <w:t>empleadora</w:t>
      </w:r>
      <w:r w:rsidRPr="006270CB">
        <w:t xml:space="preserve">; copia de la licencia de la empresa y, si el director de la empresa no </w:t>
      </w:r>
      <w:r>
        <w:t xml:space="preserve">nació </w:t>
      </w:r>
      <w:r w:rsidRPr="006270CB">
        <w:t>en Aruba, copia de la licencia del director;</w:t>
      </w:r>
    </w:p>
    <w:p w:rsidR="001B17E2" w:rsidRPr="006270CB" w:rsidRDefault="001B17E2" w:rsidP="001B17E2">
      <w:pPr>
        <w:pStyle w:val="Header"/>
        <w:tabs>
          <w:tab w:val="clear" w:pos="4252"/>
        </w:tabs>
        <w:spacing w:after="240"/>
        <w:ind w:left="924" w:hanging="357"/>
      </w:pPr>
      <w:r w:rsidRPr="006270CB">
        <w:t>-</w:t>
      </w:r>
      <w:r>
        <w:tab/>
      </w:r>
      <w:r w:rsidRPr="006270CB">
        <w:t>Copia del documento de identidad del empleador;</w:t>
      </w:r>
    </w:p>
    <w:p w:rsidR="001B17E2" w:rsidRPr="006270CB" w:rsidRDefault="001B17E2" w:rsidP="001B17E2">
      <w:pPr>
        <w:pStyle w:val="Header"/>
        <w:tabs>
          <w:tab w:val="clear" w:pos="4252"/>
        </w:tabs>
        <w:spacing w:after="240"/>
        <w:ind w:left="924" w:hanging="357"/>
      </w:pPr>
      <w:r w:rsidRPr="006270CB">
        <w:t>-</w:t>
      </w:r>
      <w:r>
        <w:tab/>
      </w:r>
      <w:r w:rsidRPr="006270CB">
        <w:t xml:space="preserve">Confirmación de la oficina de empleo del Departamento de Trabajo de que se le ha </w:t>
      </w:r>
      <w:r>
        <w:t xml:space="preserve">dado aviso de vacante de </w:t>
      </w:r>
      <w:r w:rsidRPr="006270CB">
        <w:t>ese puesto de trabajo</w:t>
      </w:r>
      <w:r>
        <w:t>,</w:t>
      </w:r>
      <w:r w:rsidRPr="006270CB">
        <w:t xml:space="preserve"> a fin de dar preferencia a los trabajadores locales </w:t>
      </w:r>
      <w:r>
        <w:t xml:space="preserve">inscritos </w:t>
      </w:r>
      <w:r w:rsidRPr="006270CB">
        <w:t>en la oficina y calificados para ese empleo;</w:t>
      </w:r>
    </w:p>
    <w:p w:rsidR="001B17E2" w:rsidRPr="006270CB" w:rsidRDefault="001B17E2" w:rsidP="001B17E2">
      <w:pPr>
        <w:pStyle w:val="Header"/>
        <w:tabs>
          <w:tab w:val="clear" w:pos="4252"/>
        </w:tabs>
        <w:spacing w:after="240"/>
        <w:ind w:left="924" w:hanging="357"/>
      </w:pPr>
      <w:r w:rsidRPr="006270CB">
        <w:t>-</w:t>
      </w:r>
      <w:r>
        <w:tab/>
        <w:t xml:space="preserve">Prueba de que </w:t>
      </w:r>
      <w:r w:rsidRPr="006270CB">
        <w:t>l</w:t>
      </w:r>
      <w:r>
        <w:t>a</w:t>
      </w:r>
      <w:r w:rsidRPr="006270CB">
        <w:t xml:space="preserve"> </w:t>
      </w:r>
      <w:r>
        <w:t xml:space="preserve">vacante del </w:t>
      </w:r>
      <w:r w:rsidRPr="006270CB">
        <w:t xml:space="preserve">empleo que va a ocupar el extranjero ha sido </w:t>
      </w:r>
      <w:r>
        <w:t xml:space="preserve">anunciada </w:t>
      </w:r>
      <w:r w:rsidRPr="006270CB">
        <w:t>en un periódico a fin de que los trabajadores locales puedan solicitarlo en primer lugar; el</w:t>
      </w:r>
      <w:r>
        <w:t> </w:t>
      </w:r>
      <w:r w:rsidRPr="006270CB">
        <w:t>empleo debe ser anunciado dos veces en un periódico (con un intervalo de siete días) dos semanas después de que se haya comunicado la vacante a la oficina de empleo;</w:t>
      </w:r>
    </w:p>
    <w:p w:rsidR="001B17E2" w:rsidRPr="006270CB" w:rsidRDefault="001B17E2" w:rsidP="001B17E2">
      <w:pPr>
        <w:pStyle w:val="Header"/>
        <w:tabs>
          <w:tab w:val="clear" w:pos="4252"/>
        </w:tabs>
        <w:spacing w:after="240"/>
        <w:ind w:left="924" w:hanging="357"/>
      </w:pPr>
      <w:r w:rsidRPr="006270CB">
        <w:t>-</w:t>
      </w:r>
      <w:r>
        <w:tab/>
      </w:r>
      <w:r w:rsidRPr="006270CB">
        <w:t>Plan del personal de la empresa en la que va trabajar el extranjero, en el que se informe del número de empleados que necesita.</w:t>
      </w:r>
    </w:p>
    <w:p w:rsidR="001B17E2" w:rsidRPr="006270CB" w:rsidRDefault="001B17E2" w:rsidP="001B17E2">
      <w:pPr>
        <w:pStyle w:val="Header"/>
        <w:tabs>
          <w:tab w:val="clear" w:pos="4252"/>
        </w:tabs>
        <w:spacing w:after="240"/>
      </w:pPr>
      <w:r w:rsidRPr="006270CB">
        <w:t>54.</w:t>
      </w:r>
      <w:r w:rsidRPr="006270CB">
        <w:tab/>
        <w:t xml:space="preserve">Los extranjeros que quieran residir en Aruba sin </w:t>
      </w:r>
      <w:r>
        <w:t xml:space="preserve">ejercer </w:t>
      </w:r>
      <w:r w:rsidRPr="006270CB">
        <w:t>un empleo asalariado deben presentar la siguiente documentación:</w:t>
      </w:r>
    </w:p>
    <w:p w:rsidR="001B17E2" w:rsidRPr="006270CB" w:rsidRDefault="001B17E2" w:rsidP="001B17E2">
      <w:pPr>
        <w:pStyle w:val="Header"/>
        <w:tabs>
          <w:tab w:val="clear" w:pos="4252"/>
        </w:tabs>
        <w:spacing w:after="240"/>
        <w:ind w:left="924" w:hanging="357"/>
      </w:pPr>
      <w:r w:rsidRPr="006270CB">
        <w:t>-</w:t>
      </w:r>
      <w:r>
        <w:tab/>
      </w:r>
      <w:r w:rsidRPr="006270CB">
        <w:t>Copia del pasaporte;</w:t>
      </w:r>
    </w:p>
    <w:p w:rsidR="001B17E2" w:rsidRPr="006270CB" w:rsidRDefault="001B17E2" w:rsidP="001B17E2">
      <w:pPr>
        <w:pStyle w:val="Header"/>
        <w:tabs>
          <w:tab w:val="clear" w:pos="4252"/>
        </w:tabs>
        <w:spacing w:after="240"/>
        <w:ind w:left="924" w:hanging="357"/>
      </w:pPr>
      <w:r w:rsidRPr="006270CB">
        <w:t>-</w:t>
      </w:r>
      <w:r>
        <w:tab/>
        <w:t xml:space="preserve">Partida </w:t>
      </w:r>
      <w:r w:rsidRPr="006270CB">
        <w:t xml:space="preserve">de nacimiento </w:t>
      </w:r>
      <w:r>
        <w:t xml:space="preserve">debidamente </w:t>
      </w:r>
      <w:r w:rsidRPr="006270CB">
        <w:t>legalizad</w:t>
      </w:r>
      <w:r>
        <w:t>a</w:t>
      </w:r>
      <w:r w:rsidRPr="006270CB">
        <w:t>;</w:t>
      </w:r>
    </w:p>
    <w:p w:rsidR="001B17E2" w:rsidRPr="006270CB" w:rsidRDefault="001B17E2" w:rsidP="001B17E2">
      <w:pPr>
        <w:pStyle w:val="Header"/>
        <w:tabs>
          <w:tab w:val="clear" w:pos="4252"/>
        </w:tabs>
        <w:spacing w:after="240"/>
        <w:ind w:left="924" w:hanging="357"/>
      </w:pPr>
      <w:r w:rsidRPr="006270CB">
        <w:t>-</w:t>
      </w:r>
      <w:r>
        <w:tab/>
      </w:r>
      <w:r w:rsidRPr="006270CB">
        <w:t xml:space="preserve">Certificado de buena conducta </w:t>
      </w:r>
      <w:r>
        <w:t xml:space="preserve">debidamente </w:t>
      </w:r>
      <w:r w:rsidRPr="006270CB">
        <w:t>legalizad</w:t>
      </w:r>
      <w:r>
        <w:t>o</w:t>
      </w:r>
      <w:r w:rsidRPr="006270CB">
        <w:t>;</w:t>
      </w:r>
    </w:p>
    <w:p w:rsidR="001B17E2" w:rsidRPr="006270CB" w:rsidRDefault="001B17E2" w:rsidP="001B17E2">
      <w:pPr>
        <w:pStyle w:val="Header"/>
        <w:tabs>
          <w:tab w:val="clear" w:pos="4252"/>
        </w:tabs>
        <w:spacing w:after="240"/>
        <w:ind w:left="924" w:hanging="357"/>
      </w:pPr>
      <w:r w:rsidRPr="006270CB">
        <w:t>-</w:t>
      </w:r>
      <w:r>
        <w:tab/>
      </w:r>
      <w:r w:rsidRPr="006270CB">
        <w:t>Copia del documento de identidad de la persona en cuyo domicilio va residir el extranjero.</w:t>
      </w:r>
    </w:p>
    <w:p w:rsidR="001B17E2" w:rsidRPr="006270CB" w:rsidRDefault="001B17E2" w:rsidP="001B17E2">
      <w:pPr>
        <w:spacing w:after="240"/>
        <w:ind w:firstLine="567"/>
        <w:rPr>
          <w:bCs/>
        </w:rPr>
      </w:pPr>
      <w:r w:rsidRPr="006270CB">
        <w:rPr>
          <w:b/>
          <w:bCs/>
        </w:rPr>
        <w:t>Libertad de circulación</w:t>
      </w:r>
    </w:p>
    <w:p w:rsidR="001B17E2" w:rsidRPr="006270CB" w:rsidRDefault="001B17E2" w:rsidP="001B17E2">
      <w:pPr>
        <w:pStyle w:val="Header"/>
        <w:tabs>
          <w:tab w:val="clear" w:pos="4252"/>
        </w:tabs>
        <w:spacing w:after="240"/>
      </w:pPr>
      <w:r w:rsidRPr="006270CB">
        <w:t>55.</w:t>
      </w:r>
      <w:r w:rsidRPr="006270CB">
        <w:tab/>
        <w:t>Los extranjeros pueden solicitar un certificado en el que figure la fecha o las condiciones en que puede</w:t>
      </w:r>
      <w:r>
        <w:t>n</w:t>
      </w:r>
      <w:r w:rsidRPr="006270CB">
        <w:t xml:space="preserve"> </w:t>
      </w:r>
      <w:r>
        <w:t xml:space="preserve">retornar </w:t>
      </w:r>
      <w:r w:rsidRPr="006270CB">
        <w:t>a Aruba</w:t>
      </w:r>
      <w:r>
        <w:t xml:space="preserve">.  </w:t>
      </w:r>
      <w:r w:rsidRPr="006270CB">
        <w:t xml:space="preserve">Ese certificado de derecho de </w:t>
      </w:r>
      <w:r>
        <w:t xml:space="preserve">retorno </w:t>
      </w:r>
      <w:r w:rsidRPr="006270CB">
        <w:t>se expide a efectos del transporte de pasajeros</w:t>
      </w:r>
      <w:r>
        <w:t xml:space="preserve">.  </w:t>
      </w:r>
      <w:r w:rsidRPr="006270CB">
        <w:t xml:space="preserve">Si el permiso del extranjero ha caducado y se ha presentado a la autoridad competente una solicitud de renovación o modificación, se </w:t>
      </w:r>
      <w:r>
        <w:t xml:space="preserve">emitirá </w:t>
      </w:r>
      <w:r w:rsidRPr="006270CB">
        <w:t xml:space="preserve">un certificado de derecho de </w:t>
      </w:r>
      <w:r>
        <w:t xml:space="preserve">retorno </w:t>
      </w:r>
      <w:r w:rsidRPr="006270CB">
        <w:t>una vez aprobada la concesión del permiso</w:t>
      </w:r>
      <w:r>
        <w:t xml:space="preserve">.  </w:t>
      </w:r>
      <w:r w:rsidRPr="006270CB">
        <w:t xml:space="preserve">No se expedirá certificado de derecho de </w:t>
      </w:r>
      <w:r>
        <w:t xml:space="preserve">retorno </w:t>
      </w:r>
      <w:r w:rsidRPr="006270CB">
        <w:t xml:space="preserve">si el permiso ha caducado y no se ha solicitado </w:t>
      </w:r>
      <w:r>
        <w:t xml:space="preserve">la renovación o modificación, </w:t>
      </w:r>
      <w:r w:rsidRPr="006270CB">
        <w:t>pero no se podrá impedir que el extranjero salga del país.</w:t>
      </w:r>
    </w:p>
    <w:p w:rsidR="001B17E2" w:rsidRPr="006270CB" w:rsidRDefault="001B17E2" w:rsidP="001B17E2">
      <w:pPr>
        <w:spacing w:after="240"/>
        <w:ind w:firstLine="567"/>
        <w:rPr>
          <w:b/>
          <w:bCs/>
        </w:rPr>
      </w:pPr>
      <w:r w:rsidRPr="006270CB">
        <w:rPr>
          <w:b/>
          <w:bCs/>
        </w:rPr>
        <w:t>Libertad para escoger libremente el lugar de residencia</w:t>
      </w:r>
    </w:p>
    <w:p w:rsidR="001B17E2" w:rsidRDefault="001B17E2" w:rsidP="001B17E2">
      <w:pPr>
        <w:pStyle w:val="Header"/>
        <w:tabs>
          <w:tab w:val="clear" w:pos="4252"/>
        </w:tabs>
        <w:spacing w:after="240"/>
      </w:pPr>
      <w:r w:rsidRPr="006270CB">
        <w:t>56.</w:t>
      </w:r>
      <w:r w:rsidRPr="006270CB">
        <w:tab/>
        <w:t xml:space="preserve">De conformidad con los párrafos 1 y 2 d) del artículo 21 de la Ordenanza </w:t>
      </w:r>
      <w:r>
        <w:t>n</w:t>
      </w:r>
      <w:r w:rsidRPr="006270CB">
        <w:t>acional sobre entrada y expulsión de personas, sólo se podrá impedir la salida de personas a las que se haya concedido un permiso de residencia permanente o temporal de conformidad con la ordenanza en los casos en que no haya</w:t>
      </w:r>
      <w:r>
        <w:t>n</w:t>
      </w:r>
      <w:r w:rsidRPr="006270CB">
        <w:t xml:space="preserve"> cumplido sus obligaciones financieras con las autoridades</w:t>
      </w:r>
      <w:r>
        <w:t>.  Los </w:t>
      </w:r>
      <w:r w:rsidRPr="006270CB">
        <w:t>extranjero</w:t>
      </w:r>
      <w:r>
        <w:t>s</w:t>
      </w:r>
      <w:r w:rsidRPr="006270CB">
        <w:t xml:space="preserve"> </w:t>
      </w:r>
      <w:r>
        <w:t>que quieran abandonar el país para establecerse en otra parte podrán recuperar la fianza depositada</w:t>
      </w:r>
      <w:r w:rsidRPr="006270CB">
        <w:t>.</w:t>
      </w:r>
    </w:p>
    <w:p w:rsidR="001B17E2" w:rsidRPr="006270CB" w:rsidRDefault="001B17E2" w:rsidP="001B17E2">
      <w:pPr>
        <w:pStyle w:val="Header"/>
        <w:tabs>
          <w:tab w:val="clear" w:pos="4252"/>
        </w:tabs>
        <w:spacing w:after="240"/>
      </w:pPr>
      <w:r w:rsidRPr="006270CB">
        <w:rPr>
          <w:b/>
          <w:bCs/>
        </w:rPr>
        <w:t>Artículo 13</w:t>
      </w:r>
      <w:r>
        <w:rPr>
          <w:b/>
          <w:bCs/>
        </w:rPr>
        <w:t xml:space="preserve">.  </w:t>
      </w:r>
      <w:r w:rsidRPr="006270CB">
        <w:rPr>
          <w:b/>
          <w:bCs/>
        </w:rPr>
        <w:t>Prohibición de expulsión sin garantías legales</w:t>
      </w:r>
    </w:p>
    <w:p w:rsidR="001B17E2" w:rsidRPr="006270CB" w:rsidRDefault="001B17E2" w:rsidP="001B17E2">
      <w:pPr>
        <w:spacing w:after="240"/>
        <w:ind w:firstLine="567"/>
        <w:rPr>
          <w:bCs/>
        </w:rPr>
      </w:pPr>
      <w:r w:rsidRPr="006270CB">
        <w:rPr>
          <w:b/>
          <w:bCs/>
        </w:rPr>
        <w:t>Expulsión de extranjeros</w:t>
      </w:r>
    </w:p>
    <w:p w:rsidR="001B17E2" w:rsidRPr="006270CB" w:rsidRDefault="001B17E2" w:rsidP="001B17E2">
      <w:pPr>
        <w:pStyle w:val="Header"/>
        <w:tabs>
          <w:tab w:val="clear" w:pos="4252"/>
        </w:tabs>
        <w:spacing w:after="240"/>
      </w:pPr>
      <w:r w:rsidRPr="006270CB">
        <w:t>57.</w:t>
      </w:r>
      <w:r w:rsidRPr="006270CB">
        <w:tab/>
        <w:t>Los extranjeros a quienes se haya concedido la entrada y cuya residencia en el país no se considere deseable por motivos de moral, política, orden o seguridad públicos podrán ser expulsados</w:t>
      </w:r>
      <w:r>
        <w:t xml:space="preserve">.  </w:t>
      </w:r>
      <w:r w:rsidRPr="006270CB">
        <w:t xml:space="preserve">Los extranjeros cuyo derecho de entrada haya </w:t>
      </w:r>
      <w:r>
        <w:t xml:space="preserve">perdido validez legal </w:t>
      </w:r>
      <w:r w:rsidRPr="006270CB">
        <w:t xml:space="preserve">o cuyo permiso de residencia haya sido cancelado podrán ser expulsados si no </w:t>
      </w:r>
      <w:r>
        <w:t xml:space="preserve">abandonan </w:t>
      </w:r>
      <w:r w:rsidRPr="006270CB">
        <w:t>el país en un plazo determinado.</w:t>
      </w:r>
    </w:p>
    <w:p w:rsidR="001B17E2" w:rsidRPr="006270CB" w:rsidRDefault="001B17E2" w:rsidP="001B17E2">
      <w:pPr>
        <w:pStyle w:val="Header"/>
        <w:tabs>
          <w:tab w:val="clear" w:pos="4252"/>
        </w:tabs>
        <w:spacing w:after="240"/>
      </w:pPr>
      <w:r w:rsidRPr="006270CB">
        <w:t>58.</w:t>
      </w:r>
      <w:r w:rsidRPr="006270CB">
        <w:tab/>
        <w:t>Se procede</w:t>
      </w:r>
      <w:r>
        <w:t>rá</w:t>
      </w:r>
      <w:r w:rsidRPr="006270CB">
        <w:t xml:space="preserve"> a la expulsión </w:t>
      </w:r>
      <w:r>
        <w:t xml:space="preserve">por </w:t>
      </w:r>
      <w:r w:rsidRPr="006270CB">
        <w:t xml:space="preserve">orden motivada dictada por el Fiscal General en la que </w:t>
      </w:r>
      <w:r>
        <w:t xml:space="preserve">se indique </w:t>
      </w:r>
      <w:r w:rsidRPr="006270CB">
        <w:t xml:space="preserve">el plazo en el que el extranjero </w:t>
      </w:r>
      <w:r>
        <w:t xml:space="preserve">ha de </w:t>
      </w:r>
      <w:r w:rsidRPr="006270CB">
        <w:t xml:space="preserve">abandonar el territorio, así como la prohibición de </w:t>
      </w:r>
      <w:r>
        <w:t xml:space="preserve">retorno.  En caso </w:t>
      </w:r>
      <w:r w:rsidRPr="006270CB">
        <w:t>necesario, se concederá al extranjero tiempo suficiente para recoger sus pertenencias antes de la expulsión.</w:t>
      </w:r>
    </w:p>
    <w:p w:rsidR="001B17E2" w:rsidRPr="006270CB" w:rsidRDefault="001B17E2" w:rsidP="001B17E2">
      <w:pPr>
        <w:pStyle w:val="Header"/>
        <w:tabs>
          <w:tab w:val="clear" w:pos="4252"/>
        </w:tabs>
        <w:spacing w:after="240"/>
      </w:pPr>
      <w:r w:rsidRPr="006270CB">
        <w:t>59.</w:t>
      </w:r>
      <w:r w:rsidRPr="006270CB">
        <w:tab/>
      </w:r>
      <w:r>
        <w:t xml:space="preserve">Cuando </w:t>
      </w:r>
      <w:r w:rsidRPr="006270CB">
        <w:t xml:space="preserve">un extranjero </w:t>
      </w:r>
      <w:r>
        <w:t xml:space="preserve">sometido a una orden de expulsión </w:t>
      </w:r>
      <w:r w:rsidRPr="006270CB">
        <w:t xml:space="preserve">suponga una amenaza para la política, el orden, la seguridad o la moral públicos, o </w:t>
      </w:r>
      <w:r>
        <w:t xml:space="preserve">haya </w:t>
      </w:r>
      <w:r w:rsidRPr="006270CB">
        <w:t xml:space="preserve">razones fundadas para considerar que tratará de eludir la expulsión, el Fiscal General </w:t>
      </w:r>
      <w:r>
        <w:t>podrá</w:t>
      </w:r>
      <w:r w:rsidRPr="006270CB">
        <w:t xml:space="preserve"> ordenar su detención.</w:t>
      </w:r>
    </w:p>
    <w:p w:rsidR="001B17E2" w:rsidRPr="006270CB" w:rsidRDefault="001B17E2" w:rsidP="001B17E2">
      <w:pPr>
        <w:spacing w:after="240"/>
        <w:ind w:firstLine="567"/>
        <w:rPr>
          <w:b/>
          <w:bCs/>
        </w:rPr>
      </w:pPr>
      <w:r w:rsidRPr="006270CB">
        <w:rPr>
          <w:b/>
          <w:bCs/>
        </w:rPr>
        <w:t>Expulsión</w:t>
      </w:r>
    </w:p>
    <w:p w:rsidR="001B17E2" w:rsidRPr="006270CB" w:rsidRDefault="001B17E2" w:rsidP="001B17E2">
      <w:pPr>
        <w:pStyle w:val="Header"/>
        <w:tabs>
          <w:tab w:val="clear" w:pos="4252"/>
        </w:tabs>
        <w:spacing w:after="240"/>
      </w:pPr>
      <w:r w:rsidRPr="006270CB">
        <w:t>60.</w:t>
      </w:r>
      <w:r w:rsidRPr="006270CB">
        <w:tab/>
        <w:t>Los extranjeros que entren en Aruba infringiendo las</w:t>
      </w:r>
      <w:r>
        <w:t xml:space="preserve"> disposiciones de la Ordenanza n</w:t>
      </w:r>
      <w:r w:rsidRPr="006270CB">
        <w:t xml:space="preserve">acional sobre entrada y expulsión de personas podrán ser </w:t>
      </w:r>
      <w:r>
        <w:t xml:space="preserve">expulsados </w:t>
      </w:r>
      <w:r w:rsidRPr="006270CB">
        <w:t>por orden del Ministro de Justicia</w:t>
      </w:r>
      <w:r>
        <w:t xml:space="preserve">.  </w:t>
      </w:r>
      <w:r w:rsidRPr="006270CB">
        <w:t xml:space="preserve">Asimismo, </w:t>
      </w:r>
      <w:r>
        <w:t xml:space="preserve">los titulares de un permiso de residencia </w:t>
      </w:r>
      <w:r w:rsidRPr="006270CB">
        <w:t xml:space="preserve">temporal en Aruba podrán ser expulsados una vez que el permiso haya caducado o haya </w:t>
      </w:r>
      <w:r>
        <w:t xml:space="preserve">perdido validez </w:t>
      </w:r>
      <w:r w:rsidRPr="006270CB">
        <w:t>por cualquier otro motivo.</w:t>
      </w:r>
    </w:p>
    <w:p w:rsidR="001B17E2" w:rsidRPr="006270CB" w:rsidRDefault="001B17E2" w:rsidP="001B17E2">
      <w:pPr>
        <w:pStyle w:val="Header"/>
        <w:tabs>
          <w:tab w:val="clear" w:pos="4252"/>
        </w:tabs>
        <w:spacing w:after="240"/>
      </w:pPr>
      <w:r w:rsidRPr="006270CB">
        <w:t>61.</w:t>
      </w:r>
      <w:r w:rsidRPr="006270CB">
        <w:tab/>
        <w:t xml:space="preserve">El Ministro de Justicia y Obras Públicas podrá ordenar la detención policial hasta la </w:t>
      </w:r>
      <w:r>
        <w:t xml:space="preserve">expulsión </w:t>
      </w:r>
      <w:r w:rsidRPr="006270CB">
        <w:t xml:space="preserve">de un extranjero </w:t>
      </w:r>
      <w:r>
        <w:t xml:space="preserve">cuando </w:t>
      </w:r>
      <w:r w:rsidRPr="006270CB">
        <w:t xml:space="preserve">se considere que supone una amenaza para la política, el orden, la seguridad o la moral públicos, o </w:t>
      </w:r>
      <w:r>
        <w:t xml:space="preserve">cuando haya </w:t>
      </w:r>
      <w:r w:rsidRPr="006270CB">
        <w:t xml:space="preserve">motivos fundados para considerar que tratará de eludir la </w:t>
      </w:r>
      <w:r>
        <w:t>expulsión</w:t>
      </w:r>
      <w:r w:rsidRPr="006270CB">
        <w:t>.</w:t>
      </w:r>
    </w:p>
    <w:p w:rsidR="001B17E2" w:rsidRPr="006270CB" w:rsidRDefault="001B17E2" w:rsidP="001B17E2">
      <w:pPr>
        <w:pStyle w:val="Header"/>
        <w:tabs>
          <w:tab w:val="clear" w:pos="4252"/>
        </w:tabs>
        <w:spacing w:after="240"/>
      </w:pPr>
      <w:r w:rsidRPr="006270CB">
        <w:t>62.</w:t>
      </w:r>
      <w:r w:rsidRPr="006270CB">
        <w:tab/>
        <w:t>Se procede</w:t>
      </w:r>
      <w:r>
        <w:t>rá</w:t>
      </w:r>
      <w:r w:rsidRPr="006270CB">
        <w:t xml:space="preserve"> a la </w:t>
      </w:r>
      <w:r>
        <w:t xml:space="preserve">expulsión </w:t>
      </w:r>
      <w:r w:rsidRPr="006270CB">
        <w:t xml:space="preserve">y la detención policial </w:t>
      </w:r>
      <w:r>
        <w:t xml:space="preserve">por </w:t>
      </w:r>
      <w:r w:rsidRPr="006270CB">
        <w:t>orden motivada al respecto dirigida contra el extranjero</w:t>
      </w:r>
      <w:r>
        <w:t xml:space="preserve">.  </w:t>
      </w:r>
      <w:r w:rsidRPr="006270CB">
        <w:t>El Ministro de Justicia y Obras Públicas p</w:t>
      </w:r>
      <w:r>
        <w:t xml:space="preserve">odrá </w:t>
      </w:r>
      <w:r w:rsidRPr="006270CB">
        <w:t xml:space="preserve">autorizar al director de la policía o al director adjunto </w:t>
      </w:r>
      <w:r>
        <w:t xml:space="preserve">a </w:t>
      </w:r>
      <w:r w:rsidRPr="006270CB">
        <w:t>que expulsen o detengan a un extranjero.</w:t>
      </w:r>
    </w:p>
    <w:p w:rsidR="001B17E2" w:rsidRPr="006270CB" w:rsidRDefault="001B17E2" w:rsidP="001B17E2">
      <w:pPr>
        <w:pStyle w:val="Header"/>
        <w:tabs>
          <w:tab w:val="clear" w:pos="4252"/>
        </w:tabs>
        <w:spacing w:after="240"/>
      </w:pPr>
      <w:r w:rsidRPr="006270CB">
        <w:t>63.</w:t>
      </w:r>
      <w:r w:rsidRPr="006270CB">
        <w:tab/>
        <w:t xml:space="preserve">Se está preparando </w:t>
      </w:r>
      <w:r>
        <w:t>un nuevo proyecto de Ordenanza n</w:t>
      </w:r>
      <w:r w:rsidRPr="006270CB">
        <w:t xml:space="preserve">acional sobre entrada y expulsión de personas, que </w:t>
      </w:r>
      <w:r>
        <w:t xml:space="preserve">entrará </w:t>
      </w:r>
      <w:r w:rsidRPr="006270CB">
        <w:t>en vigor en 2006.</w:t>
      </w:r>
    </w:p>
    <w:p w:rsidR="001B17E2" w:rsidRPr="006270CB" w:rsidRDefault="001B17E2" w:rsidP="001B17E2">
      <w:pPr>
        <w:pStyle w:val="Header"/>
        <w:tabs>
          <w:tab w:val="clear" w:pos="4252"/>
        </w:tabs>
        <w:spacing w:after="240"/>
        <w:rPr>
          <w:bCs/>
        </w:rPr>
      </w:pPr>
      <w:r w:rsidRPr="006270CB">
        <w:rPr>
          <w:b/>
          <w:bCs/>
        </w:rPr>
        <w:t>Artículo 14</w:t>
      </w:r>
      <w:r>
        <w:rPr>
          <w:b/>
          <w:bCs/>
        </w:rPr>
        <w:t xml:space="preserve">.  </w:t>
      </w:r>
      <w:r w:rsidRPr="006270CB">
        <w:rPr>
          <w:b/>
          <w:bCs/>
        </w:rPr>
        <w:t>Derecho a una audiencia pública con las debidas garantías</w:t>
      </w:r>
    </w:p>
    <w:p w:rsidR="001B17E2" w:rsidRPr="006270CB" w:rsidRDefault="001B17E2" w:rsidP="001B17E2">
      <w:pPr>
        <w:pStyle w:val="Header"/>
        <w:tabs>
          <w:tab w:val="clear" w:pos="4252"/>
        </w:tabs>
        <w:spacing w:after="240"/>
      </w:pPr>
      <w:r w:rsidRPr="006270CB">
        <w:t>64.</w:t>
      </w:r>
      <w:r w:rsidRPr="006270CB">
        <w:tab/>
        <w:t>Véanse los informes anteriores.</w:t>
      </w:r>
    </w:p>
    <w:p w:rsidR="001B17E2" w:rsidRPr="006270CB" w:rsidRDefault="001B17E2" w:rsidP="001B17E2">
      <w:pPr>
        <w:pStyle w:val="Header"/>
        <w:tabs>
          <w:tab w:val="clear" w:pos="4252"/>
        </w:tabs>
        <w:spacing w:after="240"/>
        <w:rPr>
          <w:b/>
          <w:bCs/>
        </w:rPr>
      </w:pPr>
      <w:r w:rsidRPr="006270CB">
        <w:rPr>
          <w:b/>
          <w:bCs/>
        </w:rPr>
        <w:t>Artículo 15</w:t>
      </w:r>
      <w:r>
        <w:rPr>
          <w:b/>
          <w:bCs/>
        </w:rPr>
        <w:t xml:space="preserve">.  </w:t>
      </w:r>
      <w:r w:rsidRPr="006270CB">
        <w:rPr>
          <w:b/>
          <w:bCs/>
        </w:rPr>
        <w:t xml:space="preserve">Principio de </w:t>
      </w:r>
      <w:proofErr w:type="spellStart"/>
      <w:r w:rsidRPr="001B17E2">
        <w:rPr>
          <w:b/>
          <w:bCs/>
          <w:i/>
        </w:rPr>
        <w:t>nulla</w:t>
      </w:r>
      <w:proofErr w:type="spellEnd"/>
      <w:r w:rsidRPr="001B17E2">
        <w:rPr>
          <w:b/>
          <w:bCs/>
          <w:i/>
        </w:rPr>
        <w:t xml:space="preserve"> </w:t>
      </w:r>
      <w:proofErr w:type="spellStart"/>
      <w:r w:rsidRPr="001B17E2">
        <w:rPr>
          <w:b/>
          <w:bCs/>
          <w:i/>
        </w:rPr>
        <w:t>poena</w:t>
      </w:r>
      <w:proofErr w:type="spellEnd"/>
      <w:r w:rsidRPr="001B17E2">
        <w:rPr>
          <w:b/>
          <w:bCs/>
          <w:i/>
        </w:rPr>
        <w:t xml:space="preserve"> sine </w:t>
      </w:r>
      <w:proofErr w:type="spellStart"/>
      <w:r w:rsidRPr="001B17E2">
        <w:rPr>
          <w:b/>
          <w:bCs/>
          <w:i/>
        </w:rPr>
        <w:t>praevia</w:t>
      </w:r>
      <w:proofErr w:type="spellEnd"/>
      <w:r w:rsidRPr="001B17E2">
        <w:rPr>
          <w:b/>
          <w:bCs/>
          <w:i/>
        </w:rPr>
        <w:t xml:space="preserve"> </w:t>
      </w:r>
      <w:proofErr w:type="spellStart"/>
      <w:r w:rsidRPr="001B17E2">
        <w:rPr>
          <w:b/>
          <w:bCs/>
          <w:i/>
        </w:rPr>
        <w:t>lege</w:t>
      </w:r>
      <w:proofErr w:type="spellEnd"/>
      <w:r w:rsidRPr="001B17E2">
        <w:rPr>
          <w:b/>
          <w:bCs/>
          <w:i/>
        </w:rPr>
        <w:t xml:space="preserve"> </w:t>
      </w:r>
      <w:proofErr w:type="spellStart"/>
      <w:r w:rsidRPr="001B17E2">
        <w:rPr>
          <w:b/>
          <w:bCs/>
          <w:i/>
        </w:rPr>
        <w:t>poenali</w:t>
      </w:r>
      <w:proofErr w:type="spellEnd"/>
    </w:p>
    <w:p w:rsidR="001B17E2" w:rsidRPr="006270CB" w:rsidRDefault="001B17E2" w:rsidP="001B17E2">
      <w:pPr>
        <w:pStyle w:val="Header"/>
        <w:tabs>
          <w:tab w:val="clear" w:pos="4252"/>
        </w:tabs>
        <w:spacing w:after="240"/>
      </w:pPr>
      <w:r w:rsidRPr="006270CB">
        <w:t>65.</w:t>
      </w:r>
      <w:r w:rsidRPr="006270CB">
        <w:tab/>
        <w:t>Véanse los informes anteriores.</w:t>
      </w:r>
    </w:p>
    <w:p w:rsidR="001B17E2" w:rsidRPr="006270CB" w:rsidRDefault="001B17E2" w:rsidP="001B17E2">
      <w:pPr>
        <w:pStyle w:val="Header"/>
        <w:tabs>
          <w:tab w:val="clear" w:pos="4252"/>
        </w:tabs>
        <w:spacing w:after="240"/>
        <w:rPr>
          <w:b/>
          <w:bCs/>
        </w:rPr>
      </w:pPr>
      <w:r w:rsidRPr="006270CB">
        <w:rPr>
          <w:b/>
          <w:bCs/>
        </w:rPr>
        <w:t>Artículo 16</w:t>
      </w:r>
      <w:r>
        <w:rPr>
          <w:b/>
          <w:bCs/>
        </w:rPr>
        <w:t xml:space="preserve">.  </w:t>
      </w:r>
      <w:r w:rsidRPr="006270CB">
        <w:rPr>
          <w:b/>
          <w:bCs/>
        </w:rPr>
        <w:t>Derecho al reconocimiento de la personalidad jurídica</w:t>
      </w:r>
    </w:p>
    <w:p w:rsidR="001B17E2" w:rsidRPr="006270CB" w:rsidRDefault="001B17E2" w:rsidP="001B17E2">
      <w:pPr>
        <w:pStyle w:val="Header"/>
        <w:tabs>
          <w:tab w:val="clear" w:pos="4252"/>
        </w:tabs>
        <w:spacing w:after="240"/>
      </w:pPr>
      <w:r w:rsidRPr="006270CB">
        <w:t>66.</w:t>
      </w:r>
      <w:r w:rsidRPr="006270CB">
        <w:tab/>
        <w:t>Véanse los informes anteriores.</w:t>
      </w:r>
    </w:p>
    <w:p w:rsidR="001B17E2" w:rsidRPr="006270CB" w:rsidRDefault="001B17E2" w:rsidP="001B17E2">
      <w:pPr>
        <w:pStyle w:val="Header"/>
        <w:tabs>
          <w:tab w:val="clear" w:pos="4252"/>
        </w:tabs>
        <w:spacing w:after="240"/>
        <w:rPr>
          <w:bCs/>
        </w:rPr>
      </w:pPr>
      <w:r w:rsidRPr="006270CB">
        <w:rPr>
          <w:b/>
          <w:bCs/>
        </w:rPr>
        <w:t>Artículo 17</w:t>
      </w:r>
      <w:r>
        <w:rPr>
          <w:b/>
          <w:bCs/>
        </w:rPr>
        <w:t xml:space="preserve">.  </w:t>
      </w:r>
      <w:r w:rsidRPr="006270CB">
        <w:rPr>
          <w:b/>
          <w:bCs/>
        </w:rPr>
        <w:t>Derecho a la vida privada</w:t>
      </w:r>
    </w:p>
    <w:p w:rsidR="001B17E2" w:rsidRPr="006270CB" w:rsidRDefault="001B17E2" w:rsidP="001B17E2">
      <w:pPr>
        <w:pStyle w:val="Header"/>
        <w:tabs>
          <w:tab w:val="clear" w:pos="4252"/>
        </w:tabs>
        <w:spacing w:after="240"/>
      </w:pPr>
      <w:r w:rsidRPr="006270CB">
        <w:t>67.</w:t>
      </w:r>
      <w:r w:rsidRPr="006270CB">
        <w:tab/>
        <w:t xml:space="preserve">Como </w:t>
      </w:r>
      <w:r>
        <w:t xml:space="preserve">complemento </w:t>
      </w:r>
      <w:r w:rsidRPr="006270CB">
        <w:t>del informe anterior, cabe señalar que el acoso (injerencia en la vida privada de una persona) está tipificado como delito en el Código Penal desde agosto de 2003.</w:t>
      </w:r>
    </w:p>
    <w:p w:rsidR="001B17E2" w:rsidRPr="006270CB" w:rsidRDefault="001B17E2" w:rsidP="001B17E2">
      <w:pPr>
        <w:pStyle w:val="Header"/>
        <w:tabs>
          <w:tab w:val="clear" w:pos="4252"/>
        </w:tabs>
        <w:spacing w:after="240"/>
        <w:rPr>
          <w:b/>
          <w:bCs/>
        </w:rPr>
      </w:pPr>
      <w:r w:rsidRPr="006270CB">
        <w:rPr>
          <w:b/>
          <w:bCs/>
        </w:rPr>
        <w:t>Artículo 18</w:t>
      </w:r>
      <w:r>
        <w:rPr>
          <w:b/>
          <w:bCs/>
        </w:rPr>
        <w:t xml:space="preserve">.  </w:t>
      </w:r>
      <w:r w:rsidRPr="006270CB">
        <w:rPr>
          <w:b/>
          <w:bCs/>
        </w:rPr>
        <w:t>Libertad de religión y de creencias</w:t>
      </w:r>
    </w:p>
    <w:p w:rsidR="001B17E2" w:rsidRPr="006270CB" w:rsidRDefault="001B17E2" w:rsidP="001B17E2">
      <w:pPr>
        <w:pStyle w:val="Header"/>
        <w:tabs>
          <w:tab w:val="clear" w:pos="4252"/>
        </w:tabs>
        <w:spacing w:after="240"/>
      </w:pPr>
      <w:r w:rsidRPr="006270CB">
        <w:t>68.</w:t>
      </w:r>
      <w:r w:rsidRPr="006270CB">
        <w:tab/>
        <w:t>Véanse los informes anteriores.</w:t>
      </w:r>
    </w:p>
    <w:p w:rsidR="001B17E2" w:rsidRPr="006270CB" w:rsidRDefault="001B17E2" w:rsidP="001B17E2">
      <w:pPr>
        <w:pStyle w:val="Header"/>
        <w:tabs>
          <w:tab w:val="clear" w:pos="4252"/>
        </w:tabs>
        <w:spacing w:after="240"/>
        <w:rPr>
          <w:b/>
          <w:bCs/>
        </w:rPr>
      </w:pPr>
      <w:r w:rsidRPr="006270CB">
        <w:rPr>
          <w:b/>
          <w:bCs/>
        </w:rPr>
        <w:t>Artículo 19</w:t>
      </w:r>
      <w:r>
        <w:rPr>
          <w:b/>
          <w:bCs/>
        </w:rPr>
        <w:t xml:space="preserve">.  </w:t>
      </w:r>
      <w:r w:rsidRPr="006270CB">
        <w:rPr>
          <w:b/>
          <w:bCs/>
        </w:rPr>
        <w:t>Libertad de expresión</w:t>
      </w:r>
    </w:p>
    <w:p w:rsidR="001B17E2" w:rsidRPr="006270CB" w:rsidRDefault="001B17E2" w:rsidP="001B17E2">
      <w:pPr>
        <w:pStyle w:val="Header"/>
        <w:tabs>
          <w:tab w:val="clear" w:pos="4252"/>
        </w:tabs>
        <w:spacing w:after="240"/>
      </w:pPr>
      <w:r w:rsidRPr="006270CB">
        <w:t>69.</w:t>
      </w:r>
      <w:r w:rsidRPr="006270CB">
        <w:tab/>
        <w:t>Véanse los informes anteriores.</w:t>
      </w:r>
    </w:p>
    <w:p w:rsidR="001B17E2" w:rsidRPr="006270CB" w:rsidRDefault="001B17E2" w:rsidP="001B17E2">
      <w:pPr>
        <w:pStyle w:val="Header"/>
        <w:tabs>
          <w:tab w:val="clear" w:pos="4252"/>
        </w:tabs>
        <w:spacing w:after="240"/>
        <w:rPr>
          <w:b/>
          <w:bCs/>
        </w:rPr>
      </w:pPr>
      <w:r w:rsidRPr="006270CB">
        <w:rPr>
          <w:b/>
          <w:bCs/>
        </w:rPr>
        <w:t>Artículo 20</w:t>
      </w:r>
      <w:r>
        <w:rPr>
          <w:b/>
          <w:bCs/>
        </w:rPr>
        <w:t xml:space="preserve">.  </w:t>
      </w:r>
      <w:r w:rsidRPr="006270CB">
        <w:rPr>
          <w:b/>
          <w:bCs/>
        </w:rPr>
        <w:t>Prohibición de propaganda de guerra</w:t>
      </w:r>
    </w:p>
    <w:p w:rsidR="001B17E2" w:rsidRPr="006270CB" w:rsidRDefault="001B17E2" w:rsidP="001B17E2">
      <w:pPr>
        <w:pStyle w:val="Header"/>
        <w:tabs>
          <w:tab w:val="clear" w:pos="4252"/>
        </w:tabs>
        <w:spacing w:after="240"/>
      </w:pPr>
      <w:r w:rsidRPr="006270CB">
        <w:t>70.</w:t>
      </w:r>
      <w:r w:rsidRPr="006270CB">
        <w:tab/>
        <w:t>Véanse los informes anteriores.</w:t>
      </w:r>
    </w:p>
    <w:p w:rsidR="001B17E2" w:rsidRPr="006270CB" w:rsidRDefault="001B17E2" w:rsidP="001B17E2">
      <w:pPr>
        <w:pStyle w:val="Header"/>
        <w:tabs>
          <w:tab w:val="clear" w:pos="4252"/>
        </w:tabs>
        <w:spacing w:after="240"/>
        <w:rPr>
          <w:b/>
          <w:bCs/>
        </w:rPr>
      </w:pPr>
      <w:r w:rsidRPr="006270CB">
        <w:rPr>
          <w:b/>
          <w:bCs/>
        </w:rPr>
        <w:t>Artículo 21</w:t>
      </w:r>
      <w:r>
        <w:rPr>
          <w:b/>
          <w:bCs/>
        </w:rPr>
        <w:t xml:space="preserve">.  </w:t>
      </w:r>
      <w:r w:rsidRPr="006270CB">
        <w:rPr>
          <w:b/>
          <w:bCs/>
        </w:rPr>
        <w:t>Derecho de reunión</w:t>
      </w:r>
    </w:p>
    <w:p w:rsidR="001B17E2" w:rsidRPr="006270CB" w:rsidRDefault="001B17E2" w:rsidP="001B17E2">
      <w:pPr>
        <w:pStyle w:val="Header"/>
        <w:tabs>
          <w:tab w:val="clear" w:pos="4252"/>
        </w:tabs>
        <w:spacing w:after="240"/>
      </w:pPr>
      <w:r w:rsidRPr="006270CB">
        <w:t>71.</w:t>
      </w:r>
      <w:r w:rsidRPr="006270CB">
        <w:tab/>
        <w:t>Véanse los informes anteriores.</w:t>
      </w:r>
    </w:p>
    <w:p w:rsidR="001B17E2" w:rsidRPr="006270CB" w:rsidRDefault="001B17E2" w:rsidP="001B17E2">
      <w:pPr>
        <w:pStyle w:val="Header"/>
        <w:tabs>
          <w:tab w:val="clear" w:pos="4252"/>
        </w:tabs>
        <w:spacing w:after="240"/>
        <w:rPr>
          <w:b/>
          <w:bCs/>
        </w:rPr>
      </w:pPr>
      <w:r w:rsidRPr="006270CB">
        <w:rPr>
          <w:b/>
          <w:bCs/>
        </w:rPr>
        <w:t>Artículo 22</w:t>
      </w:r>
      <w:r>
        <w:rPr>
          <w:b/>
          <w:bCs/>
        </w:rPr>
        <w:t xml:space="preserve">.  </w:t>
      </w:r>
      <w:r w:rsidRPr="006270CB">
        <w:rPr>
          <w:b/>
          <w:bCs/>
        </w:rPr>
        <w:t>Libertad de asociación</w:t>
      </w:r>
    </w:p>
    <w:p w:rsidR="001B17E2" w:rsidRPr="006270CB" w:rsidRDefault="001B17E2" w:rsidP="001B17E2">
      <w:pPr>
        <w:pStyle w:val="Header"/>
        <w:tabs>
          <w:tab w:val="clear" w:pos="4252"/>
        </w:tabs>
        <w:spacing w:after="240"/>
      </w:pPr>
      <w:r w:rsidRPr="006270CB">
        <w:t>72.</w:t>
      </w:r>
      <w:r w:rsidRPr="006270CB">
        <w:tab/>
        <w:t>Véanse los informes anteriores.</w:t>
      </w:r>
    </w:p>
    <w:p w:rsidR="001B17E2" w:rsidRPr="006270CB" w:rsidRDefault="001B17E2" w:rsidP="001B17E2">
      <w:pPr>
        <w:pStyle w:val="Header"/>
        <w:tabs>
          <w:tab w:val="clear" w:pos="4252"/>
        </w:tabs>
        <w:spacing w:after="240"/>
        <w:rPr>
          <w:b/>
          <w:bCs/>
        </w:rPr>
      </w:pPr>
      <w:r w:rsidRPr="006270CB">
        <w:rPr>
          <w:b/>
          <w:bCs/>
        </w:rPr>
        <w:t>Artículo 23</w:t>
      </w:r>
      <w:r>
        <w:rPr>
          <w:b/>
          <w:bCs/>
        </w:rPr>
        <w:t xml:space="preserve">.  </w:t>
      </w:r>
      <w:r w:rsidRPr="006270CB">
        <w:rPr>
          <w:b/>
          <w:bCs/>
        </w:rPr>
        <w:t>Protección de la familia</w:t>
      </w:r>
    </w:p>
    <w:p w:rsidR="001B17E2" w:rsidRPr="006270CB" w:rsidRDefault="001B17E2" w:rsidP="001B17E2">
      <w:pPr>
        <w:pStyle w:val="Header"/>
        <w:tabs>
          <w:tab w:val="clear" w:pos="4252"/>
        </w:tabs>
        <w:spacing w:after="240"/>
      </w:pPr>
      <w:r w:rsidRPr="006270CB">
        <w:t>73.</w:t>
      </w:r>
      <w:r w:rsidRPr="006270CB">
        <w:tab/>
        <w:t xml:space="preserve">Véase el capítulo </w:t>
      </w:r>
      <w:proofErr w:type="spellStart"/>
      <w:r w:rsidRPr="006270CB">
        <w:t>II</w:t>
      </w:r>
      <w:proofErr w:type="spellEnd"/>
      <w:r w:rsidRPr="006270CB">
        <w:t xml:space="preserve"> del informe inicial de Aruba (CRC/C/5</w:t>
      </w:r>
      <w:r>
        <w:t>1/</w:t>
      </w:r>
      <w:proofErr w:type="spellStart"/>
      <w:r>
        <w:t>Add</w:t>
      </w:r>
      <w:proofErr w:type="spellEnd"/>
      <w:r>
        <w:t>.1) sobre la aplicación de </w:t>
      </w:r>
      <w:r w:rsidRPr="006270CB">
        <w:t>la Convención sobre los Derechos del Niño</w:t>
      </w:r>
      <w:r>
        <w:t xml:space="preserve">.  </w:t>
      </w:r>
      <w:r w:rsidRPr="006270CB">
        <w:t>Véase también la</w:t>
      </w:r>
      <w:r>
        <w:t xml:space="preserve"> sección sobre los artículos 15 </w:t>
      </w:r>
      <w:r w:rsidRPr="006270CB">
        <w:t>y 16 del cuarto informe periódico presentado al C</w:t>
      </w:r>
      <w:r>
        <w:t>omité para la Eliminación de la </w:t>
      </w:r>
      <w:r w:rsidRPr="006270CB">
        <w:t>Discriminación contra la Mujer (véase el párrafo 11 del presente documento).</w:t>
      </w:r>
    </w:p>
    <w:p w:rsidR="001B17E2" w:rsidRPr="006270CB" w:rsidRDefault="001B17E2" w:rsidP="000E498A">
      <w:pPr>
        <w:spacing w:after="220"/>
        <w:ind w:firstLine="567"/>
        <w:rPr>
          <w:b/>
          <w:bCs/>
        </w:rPr>
      </w:pPr>
      <w:r w:rsidRPr="006270CB">
        <w:rPr>
          <w:b/>
          <w:bCs/>
        </w:rPr>
        <w:t>Código Civil de Aruba</w:t>
      </w:r>
    </w:p>
    <w:p w:rsidR="001B17E2" w:rsidRPr="006270CB" w:rsidRDefault="001B17E2" w:rsidP="000E498A">
      <w:pPr>
        <w:pStyle w:val="Header"/>
        <w:tabs>
          <w:tab w:val="clear" w:pos="4252"/>
        </w:tabs>
        <w:spacing w:after="220"/>
      </w:pPr>
      <w:r w:rsidRPr="006270CB">
        <w:t>74.</w:t>
      </w:r>
      <w:r w:rsidRPr="006270CB">
        <w:tab/>
        <w:t xml:space="preserve">Debe señalarse también que el artículo 78 del antiguo Código Civil de Aruba ha sido sustituido por el artículo 31, </w:t>
      </w:r>
      <w:r>
        <w:t>l</w:t>
      </w:r>
      <w:r w:rsidRPr="006270CB">
        <w:t>ibro 1, del nuevo Código Civil de Aruba.</w:t>
      </w:r>
    </w:p>
    <w:p w:rsidR="001B17E2" w:rsidRPr="006270CB" w:rsidRDefault="001B17E2" w:rsidP="000E498A">
      <w:pPr>
        <w:pStyle w:val="Header"/>
        <w:tabs>
          <w:tab w:val="clear" w:pos="4252"/>
        </w:tabs>
        <w:spacing w:after="220"/>
      </w:pPr>
      <w:r w:rsidRPr="006270CB">
        <w:t>75.</w:t>
      </w:r>
      <w:r w:rsidRPr="006270CB">
        <w:tab/>
        <w:t xml:space="preserve">De conformidad con el párrafo 1 del artículo 31, </w:t>
      </w:r>
      <w:r>
        <w:t>l</w:t>
      </w:r>
      <w:r w:rsidRPr="006270CB">
        <w:t>ibro 1, del Código Civil, la edad legal para contraer matrimonio es de 18 años, tanto para hombres como para mujeres</w:t>
      </w:r>
      <w:r>
        <w:t xml:space="preserve">.  </w:t>
      </w:r>
      <w:r w:rsidRPr="006270CB">
        <w:t>No obstante, se prevén algunas excepciones</w:t>
      </w:r>
      <w:r>
        <w:t xml:space="preserve">.  </w:t>
      </w:r>
      <w:r w:rsidRPr="006270CB">
        <w:t xml:space="preserve">Por ejemplo, cuando un hombre y una mujer mayores de 16 años quieren contraer matrimonio y la mujer presenta un certificado médico que confirme que está embarazada o que ya ha dado a luz (párrafo 2 del artículo 31, </w:t>
      </w:r>
      <w:r>
        <w:t>l</w:t>
      </w:r>
      <w:r w:rsidRPr="006270CB">
        <w:t>ibro 1, del Código Civil)</w:t>
      </w:r>
      <w:r>
        <w:t xml:space="preserve">.  </w:t>
      </w:r>
      <w:r w:rsidRPr="006270CB">
        <w:t xml:space="preserve">Otra excepción se produce cuando el Ministro de Justicia exime por razones importantes del cumplimiento de la disposición sobre la edad legal para contraer matrimonio (párrafo 3 del artículo 31, </w:t>
      </w:r>
      <w:r>
        <w:t>l</w:t>
      </w:r>
      <w:r w:rsidRPr="006270CB">
        <w:t>ibro 1, del Código Civil).</w:t>
      </w:r>
    </w:p>
    <w:p w:rsidR="001B17E2" w:rsidRPr="006270CB" w:rsidRDefault="001B17E2" w:rsidP="000E498A">
      <w:pPr>
        <w:pStyle w:val="Header"/>
        <w:tabs>
          <w:tab w:val="clear" w:pos="4252"/>
        </w:tabs>
        <w:spacing w:after="220"/>
        <w:rPr>
          <w:b/>
          <w:bCs/>
        </w:rPr>
      </w:pPr>
      <w:r w:rsidRPr="006270CB">
        <w:rPr>
          <w:b/>
          <w:bCs/>
        </w:rPr>
        <w:t>Artículo 24</w:t>
      </w:r>
      <w:r>
        <w:rPr>
          <w:b/>
          <w:bCs/>
        </w:rPr>
        <w:t xml:space="preserve">.  </w:t>
      </w:r>
      <w:r w:rsidRPr="006270CB">
        <w:rPr>
          <w:b/>
          <w:bCs/>
        </w:rPr>
        <w:t>Protección del niño</w:t>
      </w:r>
    </w:p>
    <w:p w:rsidR="001B17E2" w:rsidRPr="006270CB" w:rsidRDefault="001B17E2" w:rsidP="000E498A">
      <w:pPr>
        <w:spacing w:after="220"/>
        <w:ind w:firstLine="567"/>
        <w:rPr>
          <w:bCs/>
        </w:rPr>
      </w:pPr>
      <w:r w:rsidRPr="006270CB">
        <w:rPr>
          <w:b/>
          <w:bCs/>
        </w:rPr>
        <w:t>Proyecto de ordenanza sobre la enseñanza obligatoria</w:t>
      </w:r>
    </w:p>
    <w:p w:rsidR="001B17E2" w:rsidRPr="006270CB" w:rsidRDefault="001B17E2" w:rsidP="000E498A">
      <w:pPr>
        <w:pStyle w:val="Header"/>
        <w:tabs>
          <w:tab w:val="clear" w:pos="4252"/>
        </w:tabs>
        <w:spacing w:after="220"/>
      </w:pPr>
      <w:r w:rsidRPr="006270CB">
        <w:t>76.</w:t>
      </w:r>
      <w:r w:rsidRPr="006270CB">
        <w:tab/>
        <w:t xml:space="preserve">De conformidad con el Pacto Internacional de Derechos Económicos, Sociales y Culturales y </w:t>
      </w:r>
      <w:r>
        <w:t>l</w:t>
      </w:r>
      <w:r w:rsidRPr="006270CB">
        <w:t xml:space="preserve">a Convención sobre los Derechos del Niño, ambos instrumentos ratificados por Aruba, los Estados deben </w:t>
      </w:r>
      <w:r>
        <w:t xml:space="preserve">dar carácter obligatorio a </w:t>
      </w:r>
      <w:r w:rsidRPr="006270CB">
        <w:t>la enseñanza primaria</w:t>
      </w:r>
      <w:r>
        <w:t xml:space="preserve">.  </w:t>
      </w:r>
      <w:r w:rsidRPr="006270CB">
        <w:t>El proyecto de ordenanza sobre la enseñanza obligatoria impone a los padres la obligación de que sus hijos se matriculen y asistan a la escuela hasta los 16 años de edad</w:t>
      </w:r>
      <w:r>
        <w:t xml:space="preserve">.  </w:t>
      </w:r>
      <w:r w:rsidRPr="006270CB">
        <w:t>Esta obligación se aplica a todos los niños de Aruba</w:t>
      </w:r>
      <w:r>
        <w:t xml:space="preserve">.  </w:t>
      </w:r>
      <w:r w:rsidRPr="006270CB">
        <w:t>En algunos casos puede haber excepciones, por ejemplo si el niño no puede asistir a la escuela o finalizar un curso por razones físicas o mentales</w:t>
      </w:r>
      <w:r>
        <w:t xml:space="preserve">.  </w:t>
      </w:r>
      <w:r w:rsidRPr="006270CB">
        <w:t>La ordenanza todavía no ha entrado en vigor.</w:t>
      </w:r>
    </w:p>
    <w:p w:rsidR="001B17E2" w:rsidRPr="006270CB" w:rsidRDefault="001B17E2" w:rsidP="000E498A">
      <w:pPr>
        <w:spacing w:after="220"/>
        <w:ind w:firstLine="567"/>
        <w:rPr>
          <w:b/>
          <w:bCs/>
        </w:rPr>
      </w:pPr>
      <w:r w:rsidRPr="006270CB">
        <w:rPr>
          <w:b/>
          <w:bCs/>
        </w:rPr>
        <w:t xml:space="preserve">Programa de </w:t>
      </w:r>
      <w:r>
        <w:rPr>
          <w:b/>
          <w:bCs/>
        </w:rPr>
        <w:t xml:space="preserve">recuperación </w:t>
      </w:r>
      <w:r w:rsidRPr="006270CB">
        <w:rPr>
          <w:b/>
          <w:bCs/>
        </w:rPr>
        <w:t>para niños que no asisten a la escuela</w:t>
      </w:r>
    </w:p>
    <w:p w:rsidR="001B17E2" w:rsidRPr="006270CB" w:rsidRDefault="001B17E2" w:rsidP="000E498A">
      <w:pPr>
        <w:pStyle w:val="Header"/>
        <w:tabs>
          <w:tab w:val="clear" w:pos="4252"/>
        </w:tabs>
        <w:spacing w:after="220"/>
      </w:pPr>
      <w:r w:rsidRPr="006270CB">
        <w:t>77.</w:t>
      </w:r>
      <w:r w:rsidRPr="006270CB">
        <w:tab/>
        <w:t>A raíz de un estudio realizado en el año 2000, en el año escolar 2001</w:t>
      </w:r>
      <w:r>
        <w:t>/</w:t>
      </w:r>
      <w:r w:rsidRPr="006270CB">
        <w:t xml:space="preserve">02 se creó un programa de </w:t>
      </w:r>
      <w:r>
        <w:t xml:space="preserve">recuperación </w:t>
      </w:r>
      <w:r w:rsidRPr="006270CB">
        <w:t>para niños en edad escolar que no asisten a la escuela</w:t>
      </w:r>
      <w:r>
        <w:t>.  En el año </w:t>
      </w:r>
      <w:r w:rsidRPr="006270CB">
        <w:t>2000, el número de niños y jóvenes que no asistían a la escuela ascendía a 556 (515 en el grupo de edad de 4 a 16 años y 41 en el grupo de edad de 17 a 18 años).</w:t>
      </w:r>
    </w:p>
    <w:p w:rsidR="001B17E2" w:rsidRPr="006270CB" w:rsidRDefault="001B17E2" w:rsidP="000E498A">
      <w:pPr>
        <w:pStyle w:val="Header"/>
        <w:tabs>
          <w:tab w:val="clear" w:pos="4252"/>
        </w:tabs>
        <w:spacing w:after="220"/>
      </w:pPr>
      <w:r w:rsidRPr="006270CB">
        <w:t>78.</w:t>
      </w:r>
      <w:r w:rsidRPr="006270CB">
        <w:tab/>
        <w:t>En tres informes realizados sobre niños de los grupos de edad de 4 a 12 años, 14 a 16 años y 17 a 18 años se examinaron propuestas para resolver el problema de los niños que no asisten a</w:t>
      </w:r>
      <w:r>
        <w:t xml:space="preserve"> </w:t>
      </w:r>
      <w:r w:rsidRPr="006270CB">
        <w:t>l</w:t>
      </w:r>
      <w:r>
        <w:t>a</w:t>
      </w:r>
      <w:r w:rsidRPr="006270CB">
        <w:t xml:space="preserve"> escuela</w:t>
      </w:r>
      <w:r>
        <w:t xml:space="preserve">.  </w:t>
      </w:r>
      <w:r w:rsidRPr="006270CB">
        <w:t>Los informes han sido aprobados por el Gobierno</w:t>
      </w:r>
      <w:r>
        <w:t xml:space="preserve">.  </w:t>
      </w:r>
      <w:r w:rsidRPr="006270CB">
        <w:t>Se concede prioridad al grupo de edad de 4 a 12 años.</w:t>
      </w:r>
    </w:p>
    <w:p w:rsidR="001B17E2" w:rsidRPr="006270CB" w:rsidRDefault="001B17E2" w:rsidP="000E498A">
      <w:pPr>
        <w:pStyle w:val="Header"/>
        <w:tabs>
          <w:tab w:val="clear" w:pos="4252"/>
        </w:tabs>
        <w:spacing w:after="220"/>
      </w:pPr>
      <w:r w:rsidRPr="006270CB">
        <w:t>79.</w:t>
      </w:r>
      <w:r w:rsidRPr="006270CB">
        <w:tab/>
        <w:t xml:space="preserve">Los niños </w:t>
      </w:r>
      <w:r>
        <w:t>de 8 a</w:t>
      </w:r>
      <w:r w:rsidRPr="006270CB">
        <w:t xml:space="preserve"> 13 años cuyo primer idioma no sea el neerlandés pueden </w:t>
      </w:r>
      <w:r>
        <w:t xml:space="preserve">seguir </w:t>
      </w:r>
      <w:r w:rsidRPr="006270CB">
        <w:t xml:space="preserve">un programa de </w:t>
      </w:r>
      <w:r>
        <w:t xml:space="preserve">recuperación </w:t>
      </w:r>
      <w:r w:rsidRPr="006270CB">
        <w:t>(método PRISMA) durante un año escolar</w:t>
      </w:r>
      <w:r>
        <w:t xml:space="preserve">.  </w:t>
      </w:r>
      <w:r w:rsidRPr="006270CB">
        <w:t>Los cursos se imparten en departamentos especiales asociados a las escuelas normales de enseñanza primaria a fin de que en el próximo año escolar los niños puedan integrarse en cursos normales de acuerdo con su edad y capacidades</w:t>
      </w:r>
      <w:r>
        <w:t xml:space="preserve">.  </w:t>
      </w:r>
      <w:r w:rsidRPr="006270CB">
        <w:t>Para participar en este programa, al menos uno de los progenitores o tutores del niño debe tener un permiso de residencia válido y el niño debe haber residido en Aruba al menos desde el 1º de diciembre de 2000.</w:t>
      </w:r>
    </w:p>
    <w:p w:rsidR="001B17E2" w:rsidRPr="006270CB" w:rsidRDefault="001B17E2" w:rsidP="000E498A">
      <w:pPr>
        <w:pStyle w:val="Header"/>
        <w:tabs>
          <w:tab w:val="clear" w:pos="4252"/>
        </w:tabs>
        <w:spacing w:after="220"/>
      </w:pPr>
      <w:r w:rsidRPr="006270CB">
        <w:t>80.</w:t>
      </w:r>
      <w:r w:rsidRPr="006270CB">
        <w:tab/>
        <w:t xml:space="preserve">El programa de </w:t>
      </w:r>
      <w:r>
        <w:t xml:space="preserve">recuperación </w:t>
      </w:r>
      <w:r w:rsidRPr="006270CB">
        <w:t xml:space="preserve">para niños </w:t>
      </w:r>
      <w:r>
        <w:t xml:space="preserve">de </w:t>
      </w:r>
      <w:r w:rsidRPr="006270CB">
        <w:t xml:space="preserve">14 </w:t>
      </w:r>
      <w:r>
        <w:t>a</w:t>
      </w:r>
      <w:r w:rsidRPr="006270CB">
        <w:t xml:space="preserve"> 18 años</w:t>
      </w:r>
      <w:r>
        <w:t xml:space="preserve"> comenzó en el año escolar 2002/</w:t>
      </w:r>
      <w:r w:rsidRPr="006270CB">
        <w:t>03</w:t>
      </w:r>
      <w:r>
        <w:t xml:space="preserve">.  </w:t>
      </w:r>
      <w:r w:rsidRPr="006270CB">
        <w:t>Incluye cursos de neerlandés, papiamento, aritmética/matemáticas, orientación social y, más recientemente, educación personal y tutoría</w:t>
      </w:r>
      <w:r>
        <w:t xml:space="preserve">.  </w:t>
      </w:r>
      <w:r w:rsidRPr="006270CB">
        <w:t>En el primer año escolar se matricularon 15 estudiantes, y 105 en el año escolar 2003</w:t>
      </w:r>
      <w:r>
        <w:t>/</w:t>
      </w:r>
      <w:r w:rsidRPr="006270CB">
        <w:t>04</w:t>
      </w:r>
      <w:r>
        <w:t>.  Al finalizar el año escolar, </w:t>
      </w:r>
      <w:r w:rsidRPr="006270CB">
        <w:t>25 estudiantes se matricularon en el primer ciclo de fo</w:t>
      </w:r>
      <w:r>
        <w:t>rmación profesional secundaria, </w:t>
      </w:r>
      <w:r w:rsidRPr="006270CB">
        <w:t>15 en el primer ciclo de enseñanza secundaria general (</w:t>
      </w:r>
      <w:proofErr w:type="spellStart"/>
      <w:r w:rsidRPr="006270CB">
        <w:t>MAVO</w:t>
      </w:r>
      <w:proofErr w:type="spellEnd"/>
      <w:r w:rsidRPr="006270CB">
        <w:t xml:space="preserve">) y 38 en cursos nocturnos (técnicos o de </w:t>
      </w:r>
      <w:proofErr w:type="spellStart"/>
      <w:r w:rsidRPr="006270CB">
        <w:t>MAVO</w:t>
      </w:r>
      <w:proofErr w:type="spellEnd"/>
      <w:r w:rsidRPr="006270CB">
        <w:t>).</w:t>
      </w:r>
    </w:p>
    <w:p w:rsidR="001B17E2" w:rsidRPr="006270CB" w:rsidRDefault="001B17E2" w:rsidP="000E498A">
      <w:pPr>
        <w:pStyle w:val="Header"/>
        <w:tabs>
          <w:tab w:val="clear" w:pos="4252"/>
        </w:tabs>
        <w:spacing w:after="220"/>
        <w:rPr>
          <w:b/>
          <w:bCs/>
        </w:rPr>
      </w:pPr>
      <w:r w:rsidRPr="006270CB">
        <w:rPr>
          <w:b/>
          <w:bCs/>
        </w:rPr>
        <w:t>Artículo 25</w:t>
      </w:r>
      <w:r>
        <w:rPr>
          <w:b/>
          <w:bCs/>
        </w:rPr>
        <w:t xml:space="preserve">.  </w:t>
      </w:r>
      <w:r w:rsidRPr="006270CB">
        <w:rPr>
          <w:b/>
          <w:bCs/>
        </w:rPr>
        <w:t>Derecho a participar en los asuntos públicos</w:t>
      </w:r>
    </w:p>
    <w:p w:rsidR="001B17E2" w:rsidRPr="006270CB" w:rsidRDefault="001B17E2" w:rsidP="000E498A">
      <w:pPr>
        <w:pStyle w:val="Header"/>
        <w:tabs>
          <w:tab w:val="clear" w:pos="4252"/>
        </w:tabs>
        <w:spacing w:after="220"/>
      </w:pPr>
      <w:r w:rsidRPr="006270CB">
        <w:t>81.</w:t>
      </w:r>
      <w:r w:rsidRPr="006270CB">
        <w:tab/>
        <w:t>Véanse los informes anteriores.</w:t>
      </w:r>
    </w:p>
    <w:p w:rsidR="001B17E2" w:rsidRPr="006270CB" w:rsidRDefault="001B17E2" w:rsidP="000E498A">
      <w:pPr>
        <w:pStyle w:val="Header"/>
        <w:tabs>
          <w:tab w:val="clear" w:pos="4252"/>
        </w:tabs>
        <w:spacing w:after="220"/>
        <w:rPr>
          <w:b/>
          <w:bCs/>
        </w:rPr>
      </w:pPr>
      <w:r w:rsidRPr="006270CB">
        <w:rPr>
          <w:b/>
          <w:bCs/>
        </w:rPr>
        <w:t>Artículo 26</w:t>
      </w:r>
      <w:r>
        <w:rPr>
          <w:b/>
          <w:bCs/>
        </w:rPr>
        <w:t xml:space="preserve">.  </w:t>
      </w:r>
      <w:r w:rsidRPr="006270CB">
        <w:rPr>
          <w:b/>
          <w:bCs/>
        </w:rPr>
        <w:t>Prohibición de la discriminación</w:t>
      </w:r>
    </w:p>
    <w:p w:rsidR="001B17E2" w:rsidRPr="006270CB" w:rsidRDefault="001B17E2" w:rsidP="000E498A">
      <w:pPr>
        <w:pStyle w:val="Header"/>
        <w:tabs>
          <w:tab w:val="clear" w:pos="4252"/>
        </w:tabs>
        <w:spacing w:after="220"/>
      </w:pPr>
      <w:r w:rsidRPr="006270CB">
        <w:t>82.</w:t>
      </w:r>
      <w:r w:rsidRPr="006270CB">
        <w:tab/>
        <w:t>Véanse los artículos 15 y 16 del cuarto informe periódico presentado al Comité para la Eliminación de la Discriminación contra la Mujer (véase el párrafo 11 del presente documento).</w:t>
      </w:r>
    </w:p>
    <w:p w:rsidR="001B17E2" w:rsidRPr="006270CB" w:rsidRDefault="001B17E2" w:rsidP="000E498A">
      <w:pPr>
        <w:pStyle w:val="Header"/>
        <w:tabs>
          <w:tab w:val="clear" w:pos="4252"/>
        </w:tabs>
        <w:spacing w:after="220"/>
      </w:pPr>
      <w:r w:rsidRPr="006270CB">
        <w:t>83.</w:t>
      </w:r>
      <w:r w:rsidRPr="006270CB">
        <w:tab/>
        <w:t>Como complemento del informe presentado al Comité para la Eliminación de la Discriminación contra la Mujer, cabe señalar que la cuantía de la prestación por enfermedad se modificó el 1º de julio de 2005</w:t>
      </w:r>
      <w:r>
        <w:t xml:space="preserve">.  </w:t>
      </w:r>
      <w:r w:rsidRPr="006270CB">
        <w:t>Todos los empleados reciben en la actualidad una prestación equivalente al 80% de su salario diario, incluso durante la espera para ser internados en un hospital</w:t>
      </w:r>
      <w:r>
        <w:t xml:space="preserve">.  </w:t>
      </w:r>
      <w:r w:rsidRPr="006270CB">
        <w:t>Se ha eliminado la distinción que se hacía anteriormente entre solicitantes que eran cabeza de familia y los que no lo eran o entre solicitantes casados o solteros.</w:t>
      </w:r>
    </w:p>
    <w:p w:rsidR="001B17E2" w:rsidRPr="006270CB" w:rsidRDefault="001B17E2" w:rsidP="000E498A">
      <w:pPr>
        <w:pStyle w:val="Header"/>
        <w:tabs>
          <w:tab w:val="clear" w:pos="4252"/>
        </w:tabs>
        <w:spacing w:after="220"/>
      </w:pPr>
      <w:r w:rsidRPr="006270CB">
        <w:t>84.</w:t>
      </w:r>
      <w:r w:rsidRPr="006270CB">
        <w:tab/>
        <w:t xml:space="preserve">La duración de la </w:t>
      </w:r>
      <w:r>
        <w:t xml:space="preserve">licencia </w:t>
      </w:r>
      <w:r w:rsidRPr="006270CB">
        <w:t>por maternidad en el secto</w:t>
      </w:r>
      <w:r>
        <w:t>r privado se modificó también a </w:t>
      </w:r>
      <w:r w:rsidRPr="006270CB">
        <w:t>partir del 1º de julio de 2005</w:t>
      </w:r>
      <w:r>
        <w:t xml:space="preserve">.  </w:t>
      </w:r>
      <w:r w:rsidRPr="006270CB">
        <w:t>En la actualidad, es la misma que en</w:t>
      </w:r>
      <w:r>
        <w:t xml:space="preserve"> el sector público:  12 </w:t>
      </w:r>
      <w:r w:rsidRPr="006270CB">
        <w:t>semanas</w:t>
      </w:r>
      <w:r>
        <w:t xml:space="preserve">.  </w:t>
      </w:r>
      <w:r w:rsidRPr="006270CB">
        <w:t xml:space="preserve">Durante la </w:t>
      </w:r>
      <w:r>
        <w:t xml:space="preserve">licencia </w:t>
      </w:r>
      <w:r w:rsidRPr="006270CB">
        <w:t>las mujeres reciben el 100% de su salario diario.</w:t>
      </w:r>
    </w:p>
    <w:p w:rsidR="001B17E2" w:rsidRPr="006270CB" w:rsidRDefault="001B17E2" w:rsidP="000E498A">
      <w:pPr>
        <w:pStyle w:val="Header"/>
        <w:tabs>
          <w:tab w:val="clear" w:pos="4252"/>
        </w:tabs>
        <w:spacing w:after="220"/>
      </w:pPr>
      <w:r w:rsidRPr="006270CB">
        <w:t>85.</w:t>
      </w:r>
      <w:r w:rsidRPr="006270CB">
        <w:tab/>
        <w:t>El Banco de</w:t>
      </w:r>
      <w:r>
        <w:t xml:space="preserve"> </w:t>
      </w:r>
      <w:r w:rsidRPr="006270CB">
        <w:t>l</w:t>
      </w:r>
      <w:r>
        <w:t>a</w:t>
      </w:r>
      <w:r w:rsidRPr="006270CB">
        <w:t xml:space="preserve"> Segur</w:t>
      </w:r>
      <w:r>
        <w:t>idad</w:t>
      </w:r>
      <w:r w:rsidRPr="006270CB">
        <w:t xml:space="preserve"> Social adoptó estas modificaciones en previsión de las reformas legislativas propuestas.</w:t>
      </w:r>
    </w:p>
    <w:p w:rsidR="001B17E2" w:rsidRPr="006270CB" w:rsidRDefault="001B17E2" w:rsidP="000E498A">
      <w:pPr>
        <w:pStyle w:val="Header"/>
        <w:tabs>
          <w:tab w:val="clear" w:pos="4252"/>
        </w:tabs>
        <w:spacing w:after="220"/>
        <w:rPr>
          <w:b/>
          <w:bCs/>
        </w:rPr>
      </w:pPr>
      <w:r w:rsidRPr="006270CB">
        <w:rPr>
          <w:b/>
          <w:bCs/>
        </w:rPr>
        <w:t>Artículo 27</w:t>
      </w:r>
      <w:r>
        <w:rPr>
          <w:b/>
          <w:bCs/>
        </w:rPr>
        <w:t xml:space="preserve">.  </w:t>
      </w:r>
      <w:r w:rsidRPr="006270CB">
        <w:rPr>
          <w:b/>
          <w:bCs/>
        </w:rPr>
        <w:t>Derechos de las minorías</w:t>
      </w:r>
    </w:p>
    <w:p w:rsidR="001B17E2" w:rsidRPr="006270CB" w:rsidRDefault="001B17E2" w:rsidP="000E498A">
      <w:pPr>
        <w:pStyle w:val="Header"/>
        <w:tabs>
          <w:tab w:val="clear" w:pos="4252"/>
        </w:tabs>
        <w:spacing w:after="220"/>
      </w:pPr>
      <w:r w:rsidRPr="006270CB">
        <w:t>86.</w:t>
      </w:r>
      <w:r w:rsidRPr="006270CB">
        <w:tab/>
        <w:t>Véanse los informes anteriores.</w:t>
      </w:r>
    </w:p>
    <w:p w:rsidR="001B17E2" w:rsidRPr="006270CB" w:rsidRDefault="001B17E2" w:rsidP="000E498A">
      <w:pPr>
        <w:spacing w:after="220"/>
        <w:ind w:firstLine="567"/>
        <w:rPr>
          <w:b/>
          <w:bCs/>
        </w:rPr>
      </w:pPr>
      <w:r w:rsidRPr="006270CB">
        <w:rPr>
          <w:b/>
          <w:bCs/>
        </w:rPr>
        <w:t>Información y recomendaciones del Comité de Derechos Humanos</w:t>
      </w:r>
    </w:p>
    <w:p w:rsidR="001B17E2" w:rsidRPr="003930C0" w:rsidRDefault="001B17E2" w:rsidP="000E498A">
      <w:pPr>
        <w:pStyle w:val="Header"/>
        <w:tabs>
          <w:tab w:val="clear" w:pos="4252"/>
        </w:tabs>
        <w:spacing w:after="220"/>
        <w:rPr>
          <w:b/>
          <w:bCs/>
          <w:i/>
        </w:rPr>
      </w:pPr>
      <w:r>
        <w:rPr>
          <w:b/>
          <w:bCs/>
        </w:rPr>
        <w:tab/>
      </w:r>
      <w:r>
        <w:rPr>
          <w:b/>
          <w:bCs/>
          <w:i/>
        </w:rPr>
        <w:t xml:space="preserve">Recomendación </w:t>
      </w:r>
      <w:proofErr w:type="spellStart"/>
      <w:r>
        <w:rPr>
          <w:b/>
          <w:bCs/>
          <w:i/>
        </w:rPr>
        <w:t>Nº</w:t>
      </w:r>
      <w:proofErr w:type="spellEnd"/>
      <w:r w:rsidRPr="003930C0">
        <w:rPr>
          <w:b/>
          <w:bCs/>
          <w:i/>
        </w:rPr>
        <w:t xml:space="preserve"> 23</w:t>
      </w:r>
    </w:p>
    <w:p w:rsidR="001B17E2" w:rsidRPr="006270CB" w:rsidRDefault="001B17E2" w:rsidP="000E498A">
      <w:pPr>
        <w:spacing w:after="220"/>
        <w:rPr>
          <w:lang w:val="es-ES_tradnl"/>
        </w:rPr>
      </w:pPr>
      <w:r w:rsidRPr="006270CB">
        <w:t>87.</w:t>
      </w:r>
      <w:r w:rsidRPr="006270CB">
        <w:tab/>
      </w:r>
      <w:r>
        <w:rPr>
          <w:lang w:val="es-ES_tradnl"/>
        </w:rPr>
        <w:t xml:space="preserve">El Comité tiene interés en que </w:t>
      </w:r>
      <w:r w:rsidRPr="006270CB">
        <w:rPr>
          <w:lang w:val="es-ES_tradnl"/>
        </w:rPr>
        <w:t xml:space="preserve">los trabajadores domésticos, que suelen ser particularmente vulnerables a la explotación por no ser ciudadanos de Aruba, </w:t>
      </w:r>
      <w:r>
        <w:rPr>
          <w:lang w:val="es-ES_tradnl"/>
        </w:rPr>
        <w:t xml:space="preserve">disfruten de mayor protección según </w:t>
      </w:r>
      <w:r w:rsidRPr="006270CB">
        <w:rPr>
          <w:lang w:val="es-ES_tradnl"/>
        </w:rPr>
        <w:t xml:space="preserve">la legislación laboral de Aruba a fin de </w:t>
      </w:r>
      <w:r>
        <w:rPr>
          <w:lang w:val="es-ES_tradnl"/>
        </w:rPr>
        <w:t xml:space="preserve">que el Estado Parte cumpla </w:t>
      </w:r>
      <w:r w:rsidRPr="006270CB">
        <w:rPr>
          <w:lang w:val="es-ES_tradnl"/>
        </w:rPr>
        <w:t>las disposiciones del artículo 26 del Pacto</w:t>
      </w:r>
      <w:r>
        <w:rPr>
          <w:lang w:val="es-ES_tradnl"/>
        </w:rPr>
        <w:t xml:space="preserve">.  </w:t>
      </w:r>
      <w:r w:rsidRPr="006270CB">
        <w:rPr>
          <w:lang w:val="es-ES_tradnl"/>
        </w:rPr>
        <w:t>Es probable que el mero derecho de entablar un proceso por</w:t>
      </w:r>
      <w:r>
        <w:rPr>
          <w:lang w:val="es-ES_tradnl"/>
        </w:rPr>
        <w:t xml:space="preserve"> </w:t>
      </w:r>
      <w:r w:rsidRPr="006270CB">
        <w:rPr>
          <w:lang w:val="es-ES_tradnl"/>
        </w:rPr>
        <w:t>incumplimiento de contrato sea insuficiente en las circunstancias concretas de una relación entre empleador y empleado.</w:t>
      </w:r>
    </w:p>
    <w:p w:rsidR="001B17E2" w:rsidRPr="006270CB" w:rsidRDefault="001B17E2" w:rsidP="000E498A">
      <w:pPr>
        <w:spacing w:after="220"/>
        <w:rPr>
          <w:lang w:val="es-ES_tradnl"/>
        </w:rPr>
      </w:pPr>
      <w:r w:rsidRPr="006270CB">
        <w:rPr>
          <w:lang w:val="es-ES_tradnl"/>
        </w:rPr>
        <w:t>88.</w:t>
      </w:r>
      <w:r w:rsidRPr="006270CB">
        <w:rPr>
          <w:lang w:val="es-ES_tradnl"/>
        </w:rPr>
        <w:tab/>
        <w:t>El Estado Parte debe</w:t>
      </w:r>
      <w:r>
        <w:rPr>
          <w:lang w:val="es-ES_tradnl"/>
        </w:rPr>
        <w:t>ría</w:t>
      </w:r>
      <w:r w:rsidRPr="006270CB">
        <w:rPr>
          <w:lang w:val="es-ES_tradnl"/>
        </w:rPr>
        <w:t xml:space="preserve"> estudiar la forma más adecuada de garantizar una protección suficiente </w:t>
      </w:r>
      <w:r w:rsidRPr="006270CB">
        <w:t>para</w:t>
      </w:r>
      <w:r w:rsidRPr="006270CB">
        <w:rPr>
          <w:lang w:val="es-ES_tradnl"/>
        </w:rPr>
        <w:t xml:space="preserve"> los trabajadores domésticos; por ejemplo, haciendo extensivas las disposiciones de la Ordenanza laboral a este grupo de trabajadores.</w:t>
      </w:r>
    </w:p>
    <w:p w:rsidR="001B17E2" w:rsidRPr="006270CB" w:rsidRDefault="001B17E2" w:rsidP="000E498A">
      <w:pPr>
        <w:spacing w:after="220"/>
      </w:pPr>
      <w:r w:rsidRPr="006270CB">
        <w:t>89.</w:t>
      </w:r>
      <w:r w:rsidRPr="006270CB">
        <w:tab/>
      </w:r>
      <w:r>
        <w:t>Por O</w:t>
      </w:r>
      <w:r w:rsidRPr="006270CB">
        <w:t>rden ministerial de julio de 2004 se creó el Comité tripartito para la actualización de la legislación laboral</w:t>
      </w:r>
      <w:r>
        <w:t xml:space="preserve">.  </w:t>
      </w:r>
      <w:r w:rsidRPr="006270CB">
        <w:t>La función de este Comité es examinar y evaluar la legislación de Aruba</w:t>
      </w:r>
      <w:r>
        <w:t xml:space="preserve">.  </w:t>
      </w:r>
      <w:r w:rsidRPr="006270CB">
        <w:t>En el programa del Comité se incluye también la situación jurídica de los trabajadores domésticos y se espera que formule en breve recomendaciones al respecto.</w:t>
      </w:r>
    </w:p>
    <w:p w:rsidR="001B17E2" w:rsidRPr="003930C0" w:rsidRDefault="001B17E2" w:rsidP="000E498A">
      <w:pPr>
        <w:spacing w:after="220"/>
        <w:rPr>
          <w:b/>
          <w:bCs/>
          <w:i/>
        </w:rPr>
      </w:pPr>
      <w:r>
        <w:rPr>
          <w:b/>
          <w:bCs/>
          <w:i/>
        </w:rPr>
        <w:tab/>
      </w:r>
      <w:r w:rsidRPr="003930C0">
        <w:rPr>
          <w:b/>
          <w:bCs/>
          <w:i/>
        </w:rPr>
        <w:t xml:space="preserve">Recomendación </w:t>
      </w:r>
      <w:proofErr w:type="spellStart"/>
      <w:r>
        <w:rPr>
          <w:b/>
          <w:bCs/>
          <w:i/>
        </w:rPr>
        <w:t>N</w:t>
      </w:r>
      <w:r w:rsidRPr="003930C0">
        <w:rPr>
          <w:b/>
          <w:bCs/>
          <w:i/>
        </w:rPr>
        <w:t>º</w:t>
      </w:r>
      <w:proofErr w:type="spellEnd"/>
      <w:r w:rsidRPr="003930C0">
        <w:rPr>
          <w:b/>
          <w:bCs/>
          <w:i/>
        </w:rPr>
        <w:t xml:space="preserve"> 24</w:t>
      </w:r>
    </w:p>
    <w:p w:rsidR="001B17E2" w:rsidRPr="006270CB" w:rsidRDefault="001B17E2" w:rsidP="000E498A">
      <w:pPr>
        <w:spacing w:after="220"/>
        <w:rPr>
          <w:lang w:val="es-ES_tradnl"/>
        </w:rPr>
      </w:pPr>
      <w:r w:rsidRPr="006270CB">
        <w:t>90.</w:t>
      </w:r>
      <w:r w:rsidRPr="006270CB">
        <w:tab/>
      </w:r>
      <w:r>
        <w:t>P</w:t>
      </w:r>
      <w:r w:rsidRPr="006270CB">
        <w:rPr>
          <w:lang w:val="es-ES_tradnl"/>
        </w:rPr>
        <w:t xml:space="preserve">reocupa </w:t>
      </w:r>
      <w:r>
        <w:rPr>
          <w:lang w:val="es-ES_tradnl"/>
        </w:rPr>
        <w:t>a</w:t>
      </w:r>
      <w:r w:rsidRPr="006270CB">
        <w:rPr>
          <w:lang w:val="es-ES_tradnl"/>
        </w:rPr>
        <w:t>l Comité que el Estado Parte aún no haya establecido en Aruba el correspondiente organismo de examen de las denuncias contra la policía, tras haber reconocido que el sistema establecido con arreglo al decreto sobre denuncias contra la policía "no funcionó adecuadamente en la práctica"</w:t>
      </w:r>
      <w:r>
        <w:rPr>
          <w:lang w:val="es-ES_tradnl"/>
        </w:rPr>
        <w:t>.</w:t>
      </w:r>
    </w:p>
    <w:p w:rsidR="001B17E2" w:rsidRPr="006270CB" w:rsidRDefault="001B17E2" w:rsidP="000E498A">
      <w:pPr>
        <w:spacing w:after="220"/>
        <w:rPr>
          <w:lang w:val="es-ES_tradnl"/>
        </w:rPr>
      </w:pPr>
      <w:r w:rsidRPr="006270CB">
        <w:rPr>
          <w:lang w:val="es-ES_tradnl"/>
        </w:rPr>
        <w:t>91.</w:t>
      </w:r>
      <w:r w:rsidRPr="006270CB">
        <w:rPr>
          <w:lang w:val="es-ES_tradnl"/>
        </w:rPr>
        <w:tab/>
        <w:t>El Estado Parte debería adoptar las medidas necesarias para modificar el decreto y disponer su entrada en vigor.</w:t>
      </w:r>
    </w:p>
    <w:p w:rsidR="001B17E2" w:rsidRPr="006270CB" w:rsidRDefault="001B17E2" w:rsidP="000E498A">
      <w:pPr>
        <w:spacing w:after="220"/>
        <w:rPr>
          <w:lang w:val="es-ES_tradnl"/>
        </w:rPr>
      </w:pPr>
      <w:r w:rsidRPr="006270CB">
        <w:rPr>
          <w:lang w:val="es-ES_tradnl"/>
        </w:rPr>
        <w:t>92.</w:t>
      </w:r>
      <w:r w:rsidRPr="006270CB">
        <w:rPr>
          <w:lang w:val="es-ES_tradnl"/>
        </w:rPr>
        <w:tab/>
        <w:t>Se ha alcanzado un acuerdo oficial sobre el contenido del nuevo proyecto de sistema de denuncias contra la policía</w:t>
      </w:r>
      <w:r>
        <w:rPr>
          <w:lang w:val="es-ES_tradnl"/>
        </w:rPr>
        <w:t xml:space="preserve">.  </w:t>
      </w:r>
      <w:r w:rsidRPr="006270CB">
        <w:rPr>
          <w:lang w:val="es-ES_tradnl"/>
        </w:rPr>
        <w:t>El proyecto se enviará en breve al Ministro de Justicia para su aprobación y remisión al Consejo Consultivo.</w:t>
      </w:r>
    </w:p>
    <w:p w:rsidR="001B17E2" w:rsidRPr="003930C0" w:rsidRDefault="001B17E2" w:rsidP="000E498A">
      <w:pPr>
        <w:spacing w:after="220"/>
        <w:ind w:firstLine="567"/>
        <w:rPr>
          <w:b/>
          <w:bCs/>
          <w:i/>
          <w:lang w:val="es-ES_tradnl"/>
        </w:rPr>
      </w:pPr>
      <w:r w:rsidRPr="003930C0">
        <w:rPr>
          <w:b/>
          <w:bCs/>
          <w:i/>
          <w:lang w:val="es-ES_tradnl"/>
        </w:rPr>
        <w:t xml:space="preserve">Recomendación </w:t>
      </w:r>
      <w:proofErr w:type="spellStart"/>
      <w:r>
        <w:rPr>
          <w:b/>
          <w:bCs/>
          <w:i/>
          <w:lang w:val="es-ES_tradnl"/>
        </w:rPr>
        <w:t>N</w:t>
      </w:r>
      <w:r w:rsidRPr="003930C0">
        <w:rPr>
          <w:b/>
          <w:bCs/>
          <w:i/>
          <w:lang w:val="es-ES_tradnl"/>
        </w:rPr>
        <w:t>º</w:t>
      </w:r>
      <w:proofErr w:type="spellEnd"/>
      <w:r w:rsidRPr="003930C0">
        <w:rPr>
          <w:b/>
          <w:bCs/>
          <w:i/>
          <w:lang w:val="es-ES_tradnl"/>
        </w:rPr>
        <w:t xml:space="preserve"> 25</w:t>
      </w:r>
    </w:p>
    <w:p w:rsidR="001B17E2" w:rsidRPr="006270CB" w:rsidRDefault="001B17E2" w:rsidP="000E498A">
      <w:pPr>
        <w:spacing w:after="220"/>
        <w:rPr>
          <w:lang w:val="es-ES_tradnl"/>
        </w:rPr>
      </w:pPr>
      <w:r w:rsidRPr="006270CB">
        <w:rPr>
          <w:lang w:val="es-ES_tradnl"/>
        </w:rPr>
        <w:t>93.</w:t>
      </w:r>
      <w:r w:rsidRPr="006270CB">
        <w:rPr>
          <w:lang w:val="es-ES_tradnl"/>
        </w:rPr>
        <w:tab/>
        <w:t>Preocupa al Comité que, pese a la cláusula de igualdad de protección de la Const</w:t>
      </w:r>
      <w:r>
        <w:rPr>
          <w:lang w:val="es-ES_tradnl"/>
        </w:rPr>
        <w:t>itución de Aruba, la Ordenanza n</w:t>
      </w:r>
      <w:r w:rsidRPr="006270CB">
        <w:rPr>
          <w:lang w:val="es-ES_tradnl"/>
        </w:rPr>
        <w:t xml:space="preserve">acional sobre entrada y expulsión de personas siga distinguiendo legalmente entre la familia legítima de un hombre </w:t>
      </w:r>
      <w:r>
        <w:rPr>
          <w:lang w:val="es-ES_tradnl"/>
        </w:rPr>
        <w:t xml:space="preserve">de </w:t>
      </w:r>
      <w:r w:rsidRPr="006270CB">
        <w:rPr>
          <w:lang w:val="es-ES_tradnl"/>
        </w:rPr>
        <w:t xml:space="preserve">nacionalidad neerlandesa nacido en Aruba y la familia legítima de una mujer </w:t>
      </w:r>
      <w:r>
        <w:rPr>
          <w:lang w:val="es-ES_tradnl"/>
        </w:rPr>
        <w:t xml:space="preserve">de </w:t>
      </w:r>
      <w:r w:rsidRPr="006270CB">
        <w:rPr>
          <w:lang w:val="es-ES_tradnl"/>
        </w:rPr>
        <w:t>nacionalidad neerlandesa</w:t>
      </w:r>
      <w:r>
        <w:rPr>
          <w:lang w:val="es-ES_tradnl"/>
        </w:rPr>
        <w:t xml:space="preserve"> nacida en Aruba</w:t>
      </w:r>
      <w:r w:rsidRPr="006270CB">
        <w:rPr>
          <w:lang w:val="es-ES_tradnl"/>
        </w:rPr>
        <w:t>.</w:t>
      </w:r>
    </w:p>
    <w:p w:rsidR="001B17E2" w:rsidRPr="006270CB" w:rsidRDefault="001B17E2" w:rsidP="000E498A">
      <w:pPr>
        <w:spacing w:after="220"/>
        <w:rPr>
          <w:lang w:val="es-ES_tradnl"/>
        </w:rPr>
      </w:pPr>
      <w:r w:rsidRPr="006270CB">
        <w:rPr>
          <w:lang w:val="es-ES_tradnl"/>
        </w:rPr>
        <w:t>94.</w:t>
      </w:r>
      <w:r w:rsidRPr="006270CB">
        <w:rPr>
          <w:lang w:val="es-ES_tradnl"/>
        </w:rPr>
        <w:tab/>
        <w:t>Aunque se afirma que la disposición no se aplica en la práctica, el Estado Parte debería eliminar esta diferencia que infringe el artículo 26 del Pacto.</w:t>
      </w:r>
    </w:p>
    <w:p w:rsidR="001B17E2" w:rsidRDefault="001B17E2" w:rsidP="000E498A">
      <w:pPr>
        <w:spacing w:after="220"/>
        <w:rPr>
          <w:lang w:val="es-ES_tradnl"/>
        </w:rPr>
      </w:pPr>
      <w:r w:rsidRPr="006270CB">
        <w:rPr>
          <w:lang w:val="es-ES_tradnl"/>
        </w:rPr>
        <w:t>95.</w:t>
      </w:r>
      <w:r w:rsidRPr="006270CB">
        <w:rPr>
          <w:lang w:val="es-ES_tradnl"/>
        </w:rPr>
        <w:tab/>
        <w:t xml:space="preserve">En vista de la práctica existente, la jurisprudencia y las obligaciones que emanan de los tratados internacionales en los que Aruba es Parte, en el nuevo proyecto de Ordenanza </w:t>
      </w:r>
      <w:r>
        <w:rPr>
          <w:lang w:val="es-ES_tradnl"/>
        </w:rPr>
        <w:t>n</w:t>
      </w:r>
      <w:r w:rsidRPr="006270CB">
        <w:rPr>
          <w:lang w:val="es-ES_tradnl"/>
        </w:rPr>
        <w:t>acional sobre entrada y expulsión de personas se ha eliminado el apartado d) del párrafo 1 del artículo 1</w:t>
      </w:r>
      <w:r>
        <w:rPr>
          <w:lang w:val="es-ES_tradnl"/>
        </w:rPr>
        <w:t xml:space="preserve">.  </w:t>
      </w:r>
      <w:r w:rsidRPr="006270CB">
        <w:rPr>
          <w:lang w:val="es-ES_tradnl"/>
        </w:rPr>
        <w:t xml:space="preserve">Ese artículo distinguía entre la familia legítima de un hombre </w:t>
      </w:r>
      <w:r>
        <w:rPr>
          <w:lang w:val="es-ES_tradnl"/>
        </w:rPr>
        <w:t xml:space="preserve">de nacionalidad neerlandesa </w:t>
      </w:r>
      <w:r w:rsidRPr="006270CB">
        <w:rPr>
          <w:lang w:val="es-ES_tradnl"/>
        </w:rPr>
        <w:t xml:space="preserve">nacido en Aruba y la familia legítima de una mujer </w:t>
      </w:r>
      <w:r>
        <w:rPr>
          <w:lang w:val="es-ES_tradnl"/>
        </w:rPr>
        <w:t xml:space="preserve">de nacionalidad neerlandesa </w:t>
      </w:r>
      <w:r w:rsidRPr="006270CB">
        <w:rPr>
          <w:lang w:val="es-ES_tradnl"/>
        </w:rPr>
        <w:t>naci</w:t>
      </w:r>
      <w:r>
        <w:rPr>
          <w:lang w:val="es-ES_tradnl"/>
        </w:rPr>
        <w:t>da en Aruba.</w:t>
      </w:r>
    </w:p>
    <w:p w:rsidR="001B17E2" w:rsidRPr="006270CB" w:rsidRDefault="001B17E2" w:rsidP="000E498A">
      <w:pPr>
        <w:spacing w:after="220"/>
        <w:rPr>
          <w:lang w:val="es-ES_tradnl"/>
        </w:rPr>
      </w:pPr>
      <w:r w:rsidRPr="006270CB">
        <w:rPr>
          <w:lang w:val="es-ES_tradnl"/>
        </w:rPr>
        <w:t>96.</w:t>
      </w:r>
      <w:r w:rsidRPr="006270CB">
        <w:rPr>
          <w:lang w:val="es-ES_tradnl"/>
        </w:rPr>
        <w:tab/>
        <w:t xml:space="preserve">Una vez que entre en vigor la nueva Ordenanza </w:t>
      </w:r>
      <w:r>
        <w:rPr>
          <w:lang w:val="es-ES_tradnl"/>
        </w:rPr>
        <w:t>n</w:t>
      </w:r>
      <w:r w:rsidRPr="006270CB">
        <w:rPr>
          <w:lang w:val="es-ES_tradnl"/>
        </w:rPr>
        <w:t xml:space="preserve">acional sobre entrada y expulsión de personas, se exigirá que la familia legítima de una persona </w:t>
      </w:r>
      <w:r>
        <w:rPr>
          <w:lang w:val="es-ES_tradnl"/>
        </w:rPr>
        <w:t>de</w:t>
      </w:r>
      <w:r w:rsidRPr="006270CB">
        <w:rPr>
          <w:lang w:val="es-ES_tradnl"/>
        </w:rPr>
        <w:t xml:space="preserve"> nacionalidad neerlandesa</w:t>
      </w:r>
      <w:r>
        <w:rPr>
          <w:lang w:val="es-ES_tradnl"/>
        </w:rPr>
        <w:t xml:space="preserve"> nacida en Aruba</w:t>
      </w:r>
      <w:r w:rsidRPr="006270CB">
        <w:rPr>
          <w:lang w:val="es-ES_tradnl"/>
        </w:rPr>
        <w:t>, ya sea hombre o mujer, esté en posesión del correspondiente permiso</w:t>
      </w:r>
      <w:r>
        <w:rPr>
          <w:lang w:val="es-ES_tradnl"/>
        </w:rPr>
        <w:t xml:space="preserve">.  </w:t>
      </w:r>
      <w:r w:rsidRPr="006270CB">
        <w:rPr>
          <w:lang w:val="es-ES_tradnl"/>
        </w:rPr>
        <w:t>Está previsto que la nueva ordenanza entre en vigor en 2006.</w:t>
      </w:r>
    </w:p>
    <w:p w:rsidR="001B17E2" w:rsidRPr="00371833" w:rsidRDefault="001B17E2" w:rsidP="000E498A">
      <w:pPr>
        <w:spacing w:after="220"/>
        <w:ind w:firstLine="567"/>
        <w:rPr>
          <w:b/>
          <w:bCs/>
          <w:i/>
          <w:lang w:val="es-ES_tradnl"/>
        </w:rPr>
      </w:pPr>
      <w:r>
        <w:rPr>
          <w:b/>
          <w:bCs/>
          <w:i/>
          <w:lang w:val="es-ES_tradnl"/>
        </w:rPr>
        <w:t xml:space="preserve">Recomendación </w:t>
      </w:r>
      <w:proofErr w:type="spellStart"/>
      <w:r>
        <w:rPr>
          <w:b/>
          <w:bCs/>
          <w:i/>
          <w:lang w:val="es-ES_tradnl"/>
        </w:rPr>
        <w:t>N</w:t>
      </w:r>
      <w:r w:rsidRPr="00371833">
        <w:rPr>
          <w:b/>
          <w:bCs/>
          <w:i/>
          <w:lang w:val="es-ES_tradnl"/>
        </w:rPr>
        <w:t>º</w:t>
      </w:r>
      <w:proofErr w:type="spellEnd"/>
      <w:r w:rsidRPr="00371833">
        <w:rPr>
          <w:b/>
          <w:bCs/>
          <w:i/>
          <w:lang w:val="es-ES_tradnl"/>
        </w:rPr>
        <w:t xml:space="preserve"> 26</w:t>
      </w:r>
    </w:p>
    <w:p w:rsidR="001B17E2" w:rsidRPr="006270CB" w:rsidRDefault="001B17E2" w:rsidP="000E498A">
      <w:pPr>
        <w:spacing w:after="220"/>
        <w:rPr>
          <w:lang w:val="es-ES_tradnl"/>
        </w:rPr>
      </w:pPr>
      <w:r w:rsidRPr="006270CB">
        <w:rPr>
          <w:lang w:val="es-ES_tradnl"/>
        </w:rPr>
        <w:t>97.</w:t>
      </w:r>
      <w:r w:rsidRPr="006270CB">
        <w:rPr>
          <w:lang w:val="es-ES_tradnl"/>
        </w:rPr>
        <w:tab/>
        <w:t>El Estado Parte debería dar amplia difusión al texto de su tercer informe periódico, a las respuestas escritas a la lista de cuestiones preparada por el Comité y, en particular, a las observaciones finales.</w:t>
      </w:r>
    </w:p>
    <w:p w:rsidR="001B17E2" w:rsidRDefault="001B17E2" w:rsidP="000E498A">
      <w:pPr>
        <w:rPr>
          <w:lang w:val="es-ES_tradnl"/>
        </w:rPr>
      </w:pPr>
      <w:r w:rsidRPr="006270CB">
        <w:rPr>
          <w:lang w:val="es-ES_tradnl"/>
        </w:rPr>
        <w:t>98.</w:t>
      </w:r>
      <w:r w:rsidRPr="006270CB">
        <w:rPr>
          <w:lang w:val="es-ES_tradnl"/>
        </w:rPr>
        <w:tab/>
        <w:t>Las observaciones finales han sido ampliamente debatidas en el Comité Intergubernamental de Derechos Humanos de Aruba</w:t>
      </w:r>
      <w:r>
        <w:rPr>
          <w:lang w:val="es-ES_tradnl"/>
        </w:rPr>
        <w:t xml:space="preserve">.  </w:t>
      </w:r>
      <w:r w:rsidRPr="006270CB">
        <w:rPr>
          <w:lang w:val="es-ES_tradnl"/>
        </w:rPr>
        <w:t>Esas recomendaciones se han presentado también en la Biblioteca Pública y en la Universidad de Aruba</w:t>
      </w:r>
      <w:r>
        <w:rPr>
          <w:lang w:val="es-ES_tradnl"/>
        </w:rPr>
        <w:t xml:space="preserve">.  </w:t>
      </w:r>
      <w:r w:rsidRPr="006270CB">
        <w:rPr>
          <w:lang w:val="es-ES_tradnl"/>
        </w:rPr>
        <w:t xml:space="preserve">El Departamento de Relaciones Exteriores dará mayor difusión a los instrumentos de derechos humanos en un sitio </w:t>
      </w:r>
      <w:proofErr w:type="spellStart"/>
      <w:r w:rsidRPr="006270CB">
        <w:rPr>
          <w:lang w:val="es-ES_tradnl"/>
        </w:rPr>
        <w:t>web</w:t>
      </w:r>
      <w:proofErr w:type="spellEnd"/>
      <w:r w:rsidRPr="006270CB">
        <w:rPr>
          <w:lang w:val="es-ES_tradnl"/>
        </w:rPr>
        <w:t xml:space="preserve"> que todavía no se ha puesto en marcha.</w:t>
      </w:r>
    </w:p>
    <w:p w:rsidR="001B17E2" w:rsidRDefault="000E498A" w:rsidP="001B17E2">
      <w:pPr>
        <w:spacing w:after="240"/>
        <w:jc w:val="center"/>
        <w:rPr>
          <w:lang w:val="es-ES_tradnl"/>
        </w:rPr>
      </w:pPr>
      <w:r>
        <w:rPr>
          <w:b/>
          <w:bCs/>
          <w:lang w:val="es-ES_tradnl"/>
        </w:rPr>
        <w:br w:type="page"/>
      </w:r>
      <w:r w:rsidR="001B17E2" w:rsidRPr="006270CB">
        <w:rPr>
          <w:b/>
          <w:bCs/>
          <w:lang w:val="es-ES_tradnl"/>
        </w:rPr>
        <w:t>Anexo I</w:t>
      </w:r>
    </w:p>
    <w:p w:rsidR="001B17E2" w:rsidRPr="00CB7224" w:rsidRDefault="001B17E2" w:rsidP="001B17E2">
      <w:pPr>
        <w:tabs>
          <w:tab w:val="left" w:pos="360"/>
        </w:tabs>
        <w:spacing w:after="220"/>
        <w:jc w:val="center"/>
        <w:rPr>
          <w:sz w:val="22"/>
          <w:szCs w:val="22"/>
          <w:lang w:val="es-ES_tradnl"/>
        </w:rPr>
      </w:pPr>
      <w:r w:rsidRPr="00CB7224">
        <w:rPr>
          <w:b/>
          <w:bCs/>
          <w:sz w:val="22"/>
          <w:szCs w:val="22"/>
          <w:lang w:val="es-ES_tradnl"/>
        </w:rPr>
        <w:t>INDICADORES DEMOGRÁFICOS FUNDAMENTALES</w:t>
      </w:r>
    </w:p>
    <w:tbl>
      <w:tblPr>
        <w:tblStyle w:val="TableGrid"/>
        <w:tblW w:w="9496" w:type="dxa"/>
        <w:tblLayout w:type="fixed"/>
        <w:tblLook w:val="01E0" w:firstRow="1" w:lastRow="1" w:firstColumn="1" w:lastColumn="1" w:noHBand="0" w:noVBand="0"/>
      </w:tblPr>
      <w:tblGrid>
        <w:gridCol w:w="3308"/>
        <w:gridCol w:w="890"/>
        <w:gridCol w:w="867"/>
        <w:gridCol w:w="896"/>
        <w:gridCol w:w="882"/>
        <w:gridCol w:w="896"/>
        <w:gridCol w:w="877"/>
        <w:gridCol w:w="880"/>
      </w:tblGrid>
      <w:tr w:rsidR="001B17E2" w:rsidRPr="007F7587" w:rsidTr="000E498A">
        <w:tc>
          <w:tcPr>
            <w:tcW w:w="3308" w:type="dxa"/>
          </w:tcPr>
          <w:p w:rsidR="001B17E2" w:rsidRPr="007F7587" w:rsidRDefault="001B17E2" w:rsidP="004F4422">
            <w:pPr>
              <w:adjustRightInd w:val="0"/>
              <w:snapToGrid w:val="0"/>
              <w:rPr>
                <w:snapToGrid w:val="0"/>
                <w:sz w:val="22"/>
                <w:szCs w:val="22"/>
              </w:rPr>
            </w:pPr>
          </w:p>
        </w:tc>
        <w:tc>
          <w:tcPr>
            <w:tcW w:w="890" w:type="dxa"/>
            <w:vAlign w:val="center"/>
          </w:tcPr>
          <w:p w:rsidR="001B17E2" w:rsidRPr="007F7587" w:rsidRDefault="001B17E2" w:rsidP="004F4422">
            <w:pPr>
              <w:jc w:val="center"/>
              <w:rPr>
                <w:b/>
                <w:bCs/>
                <w:sz w:val="22"/>
                <w:szCs w:val="22"/>
              </w:rPr>
            </w:pPr>
            <w:r w:rsidRPr="007F7587">
              <w:rPr>
                <w:b/>
                <w:bCs/>
                <w:sz w:val="22"/>
                <w:szCs w:val="22"/>
              </w:rPr>
              <w:t>Unidad</w:t>
            </w:r>
          </w:p>
        </w:tc>
        <w:tc>
          <w:tcPr>
            <w:tcW w:w="867" w:type="dxa"/>
            <w:vAlign w:val="center"/>
          </w:tcPr>
          <w:p w:rsidR="001B17E2" w:rsidRPr="007F7587" w:rsidRDefault="001B17E2" w:rsidP="004F4422">
            <w:pPr>
              <w:jc w:val="center"/>
              <w:rPr>
                <w:b/>
                <w:bCs/>
                <w:sz w:val="22"/>
                <w:szCs w:val="22"/>
              </w:rPr>
            </w:pPr>
            <w:r w:rsidRPr="007F7587">
              <w:rPr>
                <w:b/>
                <w:bCs/>
                <w:sz w:val="22"/>
                <w:szCs w:val="22"/>
              </w:rPr>
              <w:t>2000</w:t>
            </w:r>
          </w:p>
        </w:tc>
        <w:tc>
          <w:tcPr>
            <w:tcW w:w="896" w:type="dxa"/>
            <w:vAlign w:val="center"/>
          </w:tcPr>
          <w:p w:rsidR="001B17E2" w:rsidRPr="007F7587" w:rsidRDefault="001B17E2" w:rsidP="004F4422">
            <w:pPr>
              <w:jc w:val="center"/>
              <w:rPr>
                <w:b/>
                <w:bCs/>
                <w:sz w:val="22"/>
                <w:szCs w:val="22"/>
              </w:rPr>
            </w:pPr>
            <w:r w:rsidRPr="007F7587">
              <w:rPr>
                <w:b/>
                <w:bCs/>
                <w:sz w:val="22"/>
                <w:szCs w:val="22"/>
              </w:rPr>
              <w:t>2001</w:t>
            </w:r>
          </w:p>
        </w:tc>
        <w:tc>
          <w:tcPr>
            <w:tcW w:w="882" w:type="dxa"/>
            <w:vAlign w:val="center"/>
          </w:tcPr>
          <w:p w:rsidR="001B17E2" w:rsidRPr="007F7587" w:rsidRDefault="001B17E2" w:rsidP="004F4422">
            <w:pPr>
              <w:jc w:val="center"/>
              <w:rPr>
                <w:b/>
                <w:bCs/>
                <w:sz w:val="22"/>
                <w:szCs w:val="22"/>
              </w:rPr>
            </w:pPr>
            <w:r w:rsidRPr="007F7587">
              <w:rPr>
                <w:b/>
                <w:bCs/>
                <w:sz w:val="22"/>
                <w:szCs w:val="22"/>
              </w:rPr>
              <w:t>2002</w:t>
            </w:r>
          </w:p>
        </w:tc>
        <w:tc>
          <w:tcPr>
            <w:tcW w:w="896" w:type="dxa"/>
            <w:vAlign w:val="center"/>
          </w:tcPr>
          <w:p w:rsidR="001B17E2" w:rsidRPr="007F7587" w:rsidRDefault="001B17E2" w:rsidP="004F4422">
            <w:pPr>
              <w:jc w:val="center"/>
              <w:rPr>
                <w:b/>
                <w:bCs/>
                <w:sz w:val="22"/>
                <w:szCs w:val="22"/>
              </w:rPr>
            </w:pPr>
            <w:r w:rsidRPr="007F7587">
              <w:rPr>
                <w:b/>
                <w:bCs/>
                <w:sz w:val="22"/>
                <w:szCs w:val="22"/>
              </w:rPr>
              <w:t>2003</w:t>
            </w:r>
          </w:p>
        </w:tc>
        <w:tc>
          <w:tcPr>
            <w:tcW w:w="877" w:type="dxa"/>
            <w:vAlign w:val="center"/>
          </w:tcPr>
          <w:p w:rsidR="001B17E2" w:rsidRPr="007F7587" w:rsidRDefault="001B17E2" w:rsidP="004F4422">
            <w:pPr>
              <w:jc w:val="center"/>
              <w:rPr>
                <w:b/>
                <w:bCs/>
                <w:sz w:val="22"/>
                <w:szCs w:val="22"/>
              </w:rPr>
            </w:pPr>
            <w:r w:rsidRPr="007F7587">
              <w:rPr>
                <w:b/>
                <w:bCs/>
                <w:sz w:val="22"/>
                <w:szCs w:val="22"/>
              </w:rPr>
              <w:t>2004</w:t>
            </w:r>
          </w:p>
        </w:tc>
        <w:tc>
          <w:tcPr>
            <w:tcW w:w="880" w:type="dxa"/>
            <w:vAlign w:val="center"/>
          </w:tcPr>
          <w:p w:rsidR="001B17E2" w:rsidRPr="007F7587" w:rsidRDefault="001B17E2" w:rsidP="004F4422">
            <w:pPr>
              <w:jc w:val="center"/>
              <w:rPr>
                <w:b/>
                <w:bCs/>
                <w:sz w:val="22"/>
                <w:szCs w:val="22"/>
              </w:rPr>
            </w:pPr>
            <w:r w:rsidRPr="007F7587">
              <w:rPr>
                <w:b/>
                <w:bCs/>
                <w:sz w:val="22"/>
                <w:szCs w:val="22"/>
              </w:rPr>
              <w:t>2005</w:t>
            </w:r>
          </w:p>
        </w:tc>
      </w:tr>
      <w:tr w:rsidR="001B17E2" w:rsidRPr="007F7587" w:rsidTr="000E498A">
        <w:tc>
          <w:tcPr>
            <w:tcW w:w="3308" w:type="dxa"/>
          </w:tcPr>
          <w:p w:rsidR="001B17E2" w:rsidRPr="007F7587" w:rsidRDefault="001B17E2" w:rsidP="004F4422">
            <w:pPr>
              <w:tabs>
                <w:tab w:val="left" w:pos="360"/>
              </w:tabs>
              <w:rPr>
                <w:snapToGrid w:val="0"/>
                <w:sz w:val="22"/>
                <w:szCs w:val="22"/>
              </w:rPr>
            </w:pPr>
            <w:r w:rsidRPr="007F7587">
              <w:rPr>
                <w:sz w:val="22"/>
                <w:szCs w:val="22"/>
                <w:lang w:val="es-ES_tradnl"/>
              </w:rPr>
              <w:t>Esperanza de vida (censo de 2000)</w:t>
            </w:r>
          </w:p>
        </w:tc>
        <w:tc>
          <w:tcPr>
            <w:tcW w:w="890" w:type="dxa"/>
          </w:tcPr>
          <w:p w:rsidR="001B17E2" w:rsidRPr="007F7587" w:rsidRDefault="001B17E2" w:rsidP="004F4422">
            <w:pPr>
              <w:adjustRightInd w:val="0"/>
              <w:snapToGrid w:val="0"/>
              <w:rPr>
                <w:snapToGrid w:val="0"/>
                <w:sz w:val="22"/>
                <w:szCs w:val="22"/>
              </w:rPr>
            </w:pPr>
          </w:p>
        </w:tc>
        <w:tc>
          <w:tcPr>
            <w:tcW w:w="867" w:type="dxa"/>
          </w:tcPr>
          <w:p w:rsidR="001B17E2" w:rsidRPr="007F7587" w:rsidRDefault="001B17E2" w:rsidP="004F4422">
            <w:pPr>
              <w:adjustRightInd w:val="0"/>
              <w:snapToGrid w:val="0"/>
              <w:rPr>
                <w:snapToGrid w:val="0"/>
                <w:sz w:val="22"/>
                <w:szCs w:val="22"/>
              </w:rPr>
            </w:pPr>
          </w:p>
        </w:tc>
        <w:tc>
          <w:tcPr>
            <w:tcW w:w="896" w:type="dxa"/>
          </w:tcPr>
          <w:p w:rsidR="001B17E2" w:rsidRPr="007F7587" w:rsidRDefault="001B17E2" w:rsidP="004F4422">
            <w:pPr>
              <w:adjustRightInd w:val="0"/>
              <w:snapToGrid w:val="0"/>
              <w:rPr>
                <w:snapToGrid w:val="0"/>
                <w:sz w:val="22"/>
                <w:szCs w:val="22"/>
              </w:rPr>
            </w:pPr>
          </w:p>
        </w:tc>
        <w:tc>
          <w:tcPr>
            <w:tcW w:w="882" w:type="dxa"/>
          </w:tcPr>
          <w:p w:rsidR="001B17E2" w:rsidRPr="007F7587" w:rsidRDefault="001B17E2" w:rsidP="004F4422">
            <w:pPr>
              <w:adjustRightInd w:val="0"/>
              <w:snapToGrid w:val="0"/>
              <w:rPr>
                <w:snapToGrid w:val="0"/>
                <w:sz w:val="22"/>
                <w:szCs w:val="22"/>
              </w:rPr>
            </w:pPr>
          </w:p>
        </w:tc>
        <w:tc>
          <w:tcPr>
            <w:tcW w:w="896" w:type="dxa"/>
          </w:tcPr>
          <w:p w:rsidR="001B17E2" w:rsidRPr="007F7587" w:rsidRDefault="001B17E2" w:rsidP="004F4422">
            <w:pPr>
              <w:adjustRightInd w:val="0"/>
              <w:snapToGrid w:val="0"/>
              <w:rPr>
                <w:snapToGrid w:val="0"/>
                <w:sz w:val="22"/>
                <w:szCs w:val="22"/>
              </w:rPr>
            </w:pPr>
          </w:p>
        </w:tc>
        <w:tc>
          <w:tcPr>
            <w:tcW w:w="877" w:type="dxa"/>
          </w:tcPr>
          <w:p w:rsidR="001B17E2" w:rsidRPr="007F7587" w:rsidRDefault="001B17E2" w:rsidP="004F4422">
            <w:pPr>
              <w:adjustRightInd w:val="0"/>
              <w:snapToGrid w:val="0"/>
              <w:rPr>
                <w:snapToGrid w:val="0"/>
                <w:sz w:val="22"/>
                <w:szCs w:val="22"/>
              </w:rPr>
            </w:pPr>
          </w:p>
        </w:tc>
        <w:tc>
          <w:tcPr>
            <w:tcW w:w="880" w:type="dxa"/>
          </w:tcPr>
          <w:p w:rsidR="001B17E2" w:rsidRPr="007F7587" w:rsidRDefault="001B17E2" w:rsidP="004F4422">
            <w:pPr>
              <w:adjustRightInd w:val="0"/>
              <w:snapToGrid w:val="0"/>
              <w:rPr>
                <w:snapToGrid w:val="0"/>
                <w:sz w:val="22"/>
                <w:szCs w:val="22"/>
              </w:rPr>
            </w:pPr>
          </w:p>
        </w:tc>
      </w:tr>
      <w:tr w:rsidR="001B17E2" w:rsidRPr="007F7587" w:rsidTr="000E498A">
        <w:tc>
          <w:tcPr>
            <w:tcW w:w="3308" w:type="dxa"/>
            <w:vAlign w:val="bottom"/>
          </w:tcPr>
          <w:p w:rsidR="001B17E2" w:rsidRPr="007F7587" w:rsidRDefault="001B17E2" w:rsidP="004F4422">
            <w:pPr>
              <w:tabs>
                <w:tab w:val="left" w:pos="360"/>
              </w:tabs>
              <w:rPr>
                <w:sz w:val="22"/>
                <w:szCs w:val="22"/>
                <w:lang w:val="en-GB"/>
              </w:rPr>
            </w:pPr>
            <w:r w:rsidRPr="007F7587">
              <w:rPr>
                <w:sz w:val="22"/>
                <w:szCs w:val="22"/>
                <w:lang w:val="es-ES_tradnl"/>
              </w:rPr>
              <w:tab/>
              <w:t>Hombres</w:t>
            </w:r>
          </w:p>
        </w:tc>
        <w:tc>
          <w:tcPr>
            <w:tcW w:w="890" w:type="dxa"/>
            <w:vAlign w:val="bottom"/>
          </w:tcPr>
          <w:p w:rsidR="001B17E2" w:rsidRPr="007F7587" w:rsidRDefault="001B17E2" w:rsidP="004F4422">
            <w:pPr>
              <w:jc w:val="center"/>
              <w:rPr>
                <w:sz w:val="22"/>
                <w:szCs w:val="22"/>
              </w:rPr>
            </w:pPr>
          </w:p>
        </w:tc>
        <w:tc>
          <w:tcPr>
            <w:tcW w:w="867" w:type="dxa"/>
            <w:vAlign w:val="bottom"/>
          </w:tcPr>
          <w:p w:rsidR="001B17E2" w:rsidRPr="007F7587" w:rsidRDefault="001B17E2" w:rsidP="004F4422">
            <w:pPr>
              <w:tabs>
                <w:tab w:val="decimal" w:pos="254"/>
              </w:tabs>
              <w:jc w:val="center"/>
              <w:rPr>
                <w:sz w:val="22"/>
                <w:szCs w:val="22"/>
              </w:rPr>
            </w:pPr>
            <w:r w:rsidRPr="007F7587">
              <w:rPr>
                <w:sz w:val="22"/>
                <w:szCs w:val="22"/>
              </w:rPr>
              <w:t>70,01</w:t>
            </w:r>
          </w:p>
        </w:tc>
        <w:tc>
          <w:tcPr>
            <w:tcW w:w="896" w:type="dxa"/>
          </w:tcPr>
          <w:p w:rsidR="001B17E2" w:rsidRPr="007F7587" w:rsidRDefault="001B17E2" w:rsidP="004F4422">
            <w:pPr>
              <w:adjustRightInd w:val="0"/>
              <w:snapToGrid w:val="0"/>
              <w:rPr>
                <w:snapToGrid w:val="0"/>
                <w:sz w:val="22"/>
                <w:szCs w:val="22"/>
              </w:rPr>
            </w:pPr>
          </w:p>
        </w:tc>
        <w:tc>
          <w:tcPr>
            <w:tcW w:w="882" w:type="dxa"/>
          </w:tcPr>
          <w:p w:rsidR="001B17E2" w:rsidRPr="007F7587" w:rsidRDefault="001B17E2" w:rsidP="004F4422">
            <w:pPr>
              <w:adjustRightInd w:val="0"/>
              <w:snapToGrid w:val="0"/>
              <w:rPr>
                <w:snapToGrid w:val="0"/>
                <w:sz w:val="22"/>
                <w:szCs w:val="22"/>
              </w:rPr>
            </w:pPr>
          </w:p>
        </w:tc>
        <w:tc>
          <w:tcPr>
            <w:tcW w:w="896" w:type="dxa"/>
          </w:tcPr>
          <w:p w:rsidR="001B17E2" w:rsidRPr="007F7587" w:rsidRDefault="001B17E2" w:rsidP="004F4422">
            <w:pPr>
              <w:adjustRightInd w:val="0"/>
              <w:snapToGrid w:val="0"/>
              <w:rPr>
                <w:snapToGrid w:val="0"/>
                <w:sz w:val="22"/>
                <w:szCs w:val="22"/>
              </w:rPr>
            </w:pPr>
          </w:p>
        </w:tc>
        <w:tc>
          <w:tcPr>
            <w:tcW w:w="877" w:type="dxa"/>
          </w:tcPr>
          <w:p w:rsidR="001B17E2" w:rsidRPr="007F7587" w:rsidRDefault="001B17E2" w:rsidP="004F4422">
            <w:pPr>
              <w:adjustRightInd w:val="0"/>
              <w:snapToGrid w:val="0"/>
              <w:rPr>
                <w:snapToGrid w:val="0"/>
                <w:sz w:val="22"/>
                <w:szCs w:val="22"/>
              </w:rPr>
            </w:pPr>
          </w:p>
        </w:tc>
        <w:tc>
          <w:tcPr>
            <w:tcW w:w="880" w:type="dxa"/>
          </w:tcPr>
          <w:p w:rsidR="001B17E2" w:rsidRPr="007F7587" w:rsidRDefault="001B17E2" w:rsidP="004F4422">
            <w:pPr>
              <w:adjustRightInd w:val="0"/>
              <w:snapToGrid w:val="0"/>
              <w:rPr>
                <w:snapToGrid w:val="0"/>
                <w:sz w:val="22"/>
                <w:szCs w:val="22"/>
              </w:rPr>
            </w:pPr>
          </w:p>
        </w:tc>
      </w:tr>
      <w:tr w:rsidR="001B17E2" w:rsidRPr="007F7587" w:rsidTr="000E498A">
        <w:tc>
          <w:tcPr>
            <w:tcW w:w="3308" w:type="dxa"/>
            <w:vAlign w:val="bottom"/>
          </w:tcPr>
          <w:p w:rsidR="001B17E2" w:rsidRPr="007F7587" w:rsidRDefault="001B17E2" w:rsidP="004F4422">
            <w:pPr>
              <w:tabs>
                <w:tab w:val="left" w:pos="360"/>
              </w:tabs>
              <w:ind w:left="350" w:hanging="350"/>
              <w:rPr>
                <w:sz w:val="22"/>
                <w:szCs w:val="22"/>
                <w:lang w:val="en-GB"/>
              </w:rPr>
            </w:pPr>
            <w:r w:rsidRPr="007F7587">
              <w:rPr>
                <w:sz w:val="22"/>
                <w:szCs w:val="22"/>
                <w:lang w:val="es-ES_tradnl"/>
              </w:rPr>
              <w:tab/>
              <w:t>Mujeres</w:t>
            </w:r>
          </w:p>
        </w:tc>
        <w:tc>
          <w:tcPr>
            <w:tcW w:w="890" w:type="dxa"/>
            <w:vAlign w:val="bottom"/>
          </w:tcPr>
          <w:p w:rsidR="001B17E2" w:rsidRPr="007F7587" w:rsidRDefault="001B17E2" w:rsidP="004F4422">
            <w:pPr>
              <w:jc w:val="center"/>
              <w:rPr>
                <w:sz w:val="22"/>
                <w:szCs w:val="22"/>
              </w:rPr>
            </w:pPr>
          </w:p>
        </w:tc>
        <w:tc>
          <w:tcPr>
            <w:tcW w:w="867" w:type="dxa"/>
            <w:vAlign w:val="bottom"/>
          </w:tcPr>
          <w:p w:rsidR="001B17E2" w:rsidRPr="007F7587" w:rsidRDefault="001B17E2" w:rsidP="004F4422">
            <w:pPr>
              <w:tabs>
                <w:tab w:val="decimal" w:pos="268"/>
              </w:tabs>
              <w:jc w:val="center"/>
              <w:rPr>
                <w:sz w:val="22"/>
                <w:szCs w:val="22"/>
              </w:rPr>
            </w:pPr>
            <w:r w:rsidRPr="007F7587">
              <w:rPr>
                <w:sz w:val="22"/>
                <w:szCs w:val="22"/>
              </w:rPr>
              <w:t>76,02</w:t>
            </w:r>
          </w:p>
        </w:tc>
        <w:tc>
          <w:tcPr>
            <w:tcW w:w="896" w:type="dxa"/>
          </w:tcPr>
          <w:p w:rsidR="001B17E2" w:rsidRPr="007F7587" w:rsidRDefault="001B17E2" w:rsidP="004F4422">
            <w:pPr>
              <w:adjustRightInd w:val="0"/>
              <w:snapToGrid w:val="0"/>
              <w:rPr>
                <w:snapToGrid w:val="0"/>
                <w:sz w:val="22"/>
                <w:szCs w:val="22"/>
              </w:rPr>
            </w:pPr>
          </w:p>
        </w:tc>
        <w:tc>
          <w:tcPr>
            <w:tcW w:w="882" w:type="dxa"/>
          </w:tcPr>
          <w:p w:rsidR="001B17E2" w:rsidRPr="007F7587" w:rsidRDefault="001B17E2" w:rsidP="004F4422">
            <w:pPr>
              <w:adjustRightInd w:val="0"/>
              <w:snapToGrid w:val="0"/>
              <w:rPr>
                <w:snapToGrid w:val="0"/>
                <w:sz w:val="22"/>
                <w:szCs w:val="22"/>
              </w:rPr>
            </w:pPr>
          </w:p>
        </w:tc>
        <w:tc>
          <w:tcPr>
            <w:tcW w:w="896" w:type="dxa"/>
          </w:tcPr>
          <w:p w:rsidR="001B17E2" w:rsidRPr="007F7587" w:rsidRDefault="001B17E2" w:rsidP="004F4422">
            <w:pPr>
              <w:adjustRightInd w:val="0"/>
              <w:snapToGrid w:val="0"/>
              <w:rPr>
                <w:snapToGrid w:val="0"/>
                <w:sz w:val="22"/>
                <w:szCs w:val="22"/>
              </w:rPr>
            </w:pPr>
          </w:p>
        </w:tc>
        <w:tc>
          <w:tcPr>
            <w:tcW w:w="877" w:type="dxa"/>
          </w:tcPr>
          <w:p w:rsidR="001B17E2" w:rsidRPr="007F7587" w:rsidRDefault="001B17E2" w:rsidP="004F4422">
            <w:pPr>
              <w:adjustRightInd w:val="0"/>
              <w:snapToGrid w:val="0"/>
              <w:rPr>
                <w:snapToGrid w:val="0"/>
                <w:sz w:val="22"/>
                <w:szCs w:val="22"/>
              </w:rPr>
            </w:pPr>
          </w:p>
        </w:tc>
        <w:tc>
          <w:tcPr>
            <w:tcW w:w="880" w:type="dxa"/>
          </w:tcPr>
          <w:p w:rsidR="001B17E2" w:rsidRPr="007F7587" w:rsidRDefault="001B17E2" w:rsidP="004F4422">
            <w:pPr>
              <w:adjustRightInd w:val="0"/>
              <w:snapToGrid w:val="0"/>
              <w:rPr>
                <w:snapToGrid w:val="0"/>
                <w:sz w:val="22"/>
                <w:szCs w:val="22"/>
              </w:rPr>
            </w:pPr>
          </w:p>
        </w:tc>
      </w:tr>
      <w:tr w:rsidR="001B17E2" w:rsidRPr="007F7587" w:rsidTr="000E498A">
        <w:tc>
          <w:tcPr>
            <w:tcW w:w="3308" w:type="dxa"/>
            <w:vAlign w:val="bottom"/>
          </w:tcPr>
          <w:p w:rsidR="001B17E2" w:rsidRPr="007F7587" w:rsidRDefault="001B17E2" w:rsidP="004F4422">
            <w:pPr>
              <w:tabs>
                <w:tab w:val="left" w:pos="686"/>
              </w:tabs>
              <w:ind w:left="350" w:hanging="350"/>
              <w:rPr>
                <w:b/>
                <w:sz w:val="22"/>
                <w:szCs w:val="22"/>
                <w:lang w:val="en-GB"/>
              </w:rPr>
            </w:pPr>
            <w:r w:rsidRPr="007F7587">
              <w:rPr>
                <w:sz w:val="22"/>
                <w:szCs w:val="22"/>
                <w:lang w:val="es-ES_tradnl"/>
              </w:rPr>
              <w:tab/>
            </w:r>
            <w:r w:rsidRPr="007F7587">
              <w:rPr>
                <w:sz w:val="22"/>
                <w:szCs w:val="22"/>
                <w:lang w:val="es-ES_tradnl"/>
              </w:rPr>
              <w:tab/>
            </w:r>
            <w:r w:rsidRPr="007F7587">
              <w:rPr>
                <w:b/>
                <w:sz w:val="22"/>
                <w:szCs w:val="22"/>
                <w:lang w:val="es-ES_tradnl"/>
              </w:rPr>
              <w:t>Total</w:t>
            </w:r>
          </w:p>
        </w:tc>
        <w:tc>
          <w:tcPr>
            <w:tcW w:w="890" w:type="dxa"/>
            <w:vAlign w:val="bottom"/>
          </w:tcPr>
          <w:p w:rsidR="001B17E2" w:rsidRPr="007F7587" w:rsidRDefault="001B17E2" w:rsidP="004F4422">
            <w:pPr>
              <w:jc w:val="center"/>
              <w:rPr>
                <w:b/>
                <w:sz w:val="22"/>
                <w:szCs w:val="22"/>
              </w:rPr>
            </w:pPr>
          </w:p>
        </w:tc>
        <w:tc>
          <w:tcPr>
            <w:tcW w:w="867" w:type="dxa"/>
            <w:vAlign w:val="bottom"/>
          </w:tcPr>
          <w:p w:rsidR="001B17E2" w:rsidRPr="007F7587" w:rsidRDefault="001B17E2" w:rsidP="004F4422">
            <w:pPr>
              <w:tabs>
                <w:tab w:val="decimal" w:pos="254"/>
              </w:tabs>
              <w:jc w:val="center"/>
              <w:rPr>
                <w:b/>
                <w:sz w:val="22"/>
                <w:szCs w:val="22"/>
              </w:rPr>
            </w:pPr>
            <w:r w:rsidRPr="007F7587">
              <w:rPr>
                <w:b/>
                <w:sz w:val="22"/>
                <w:szCs w:val="22"/>
              </w:rPr>
              <w:t>73,03</w:t>
            </w:r>
          </w:p>
        </w:tc>
        <w:tc>
          <w:tcPr>
            <w:tcW w:w="896" w:type="dxa"/>
          </w:tcPr>
          <w:p w:rsidR="001B17E2" w:rsidRPr="007F7587" w:rsidRDefault="001B17E2" w:rsidP="004F4422">
            <w:pPr>
              <w:adjustRightInd w:val="0"/>
              <w:snapToGrid w:val="0"/>
              <w:rPr>
                <w:snapToGrid w:val="0"/>
                <w:sz w:val="22"/>
                <w:szCs w:val="22"/>
              </w:rPr>
            </w:pPr>
          </w:p>
        </w:tc>
        <w:tc>
          <w:tcPr>
            <w:tcW w:w="882" w:type="dxa"/>
          </w:tcPr>
          <w:p w:rsidR="001B17E2" w:rsidRPr="007F7587" w:rsidRDefault="001B17E2" w:rsidP="004F4422">
            <w:pPr>
              <w:adjustRightInd w:val="0"/>
              <w:snapToGrid w:val="0"/>
              <w:rPr>
                <w:snapToGrid w:val="0"/>
                <w:sz w:val="22"/>
                <w:szCs w:val="22"/>
              </w:rPr>
            </w:pPr>
          </w:p>
        </w:tc>
        <w:tc>
          <w:tcPr>
            <w:tcW w:w="896" w:type="dxa"/>
          </w:tcPr>
          <w:p w:rsidR="001B17E2" w:rsidRPr="007F7587" w:rsidRDefault="001B17E2" w:rsidP="004F4422">
            <w:pPr>
              <w:adjustRightInd w:val="0"/>
              <w:snapToGrid w:val="0"/>
              <w:rPr>
                <w:snapToGrid w:val="0"/>
                <w:sz w:val="22"/>
                <w:szCs w:val="22"/>
              </w:rPr>
            </w:pPr>
          </w:p>
        </w:tc>
        <w:tc>
          <w:tcPr>
            <w:tcW w:w="877" w:type="dxa"/>
          </w:tcPr>
          <w:p w:rsidR="001B17E2" w:rsidRPr="007F7587" w:rsidRDefault="001B17E2" w:rsidP="004F4422">
            <w:pPr>
              <w:adjustRightInd w:val="0"/>
              <w:snapToGrid w:val="0"/>
              <w:rPr>
                <w:snapToGrid w:val="0"/>
                <w:sz w:val="22"/>
                <w:szCs w:val="22"/>
              </w:rPr>
            </w:pPr>
          </w:p>
        </w:tc>
        <w:tc>
          <w:tcPr>
            <w:tcW w:w="880" w:type="dxa"/>
          </w:tcPr>
          <w:p w:rsidR="001B17E2" w:rsidRPr="007F7587" w:rsidRDefault="001B17E2" w:rsidP="004F4422">
            <w:pPr>
              <w:adjustRightInd w:val="0"/>
              <w:snapToGrid w:val="0"/>
              <w:rPr>
                <w:snapToGrid w:val="0"/>
                <w:sz w:val="22"/>
                <w:szCs w:val="22"/>
              </w:rPr>
            </w:pPr>
          </w:p>
        </w:tc>
      </w:tr>
      <w:tr w:rsidR="001B17E2" w:rsidRPr="007F7587" w:rsidTr="000E498A">
        <w:tc>
          <w:tcPr>
            <w:tcW w:w="3308" w:type="dxa"/>
            <w:tcBorders>
              <w:bottom w:val="single" w:sz="4" w:space="0" w:color="auto"/>
            </w:tcBorders>
            <w:vAlign w:val="bottom"/>
          </w:tcPr>
          <w:p w:rsidR="001B17E2" w:rsidRPr="000E498A" w:rsidRDefault="001B17E2" w:rsidP="004F4422">
            <w:pPr>
              <w:tabs>
                <w:tab w:val="left" w:pos="360"/>
              </w:tabs>
              <w:rPr>
                <w:b/>
                <w:sz w:val="22"/>
                <w:szCs w:val="22"/>
                <w:lang w:val="es-ES_tradnl"/>
              </w:rPr>
            </w:pPr>
            <w:r w:rsidRPr="000E498A">
              <w:rPr>
                <w:b/>
                <w:sz w:val="22"/>
                <w:szCs w:val="22"/>
                <w:lang w:val="es-ES_tradnl"/>
              </w:rPr>
              <w:t>Población total (a finales de año)</w:t>
            </w:r>
          </w:p>
        </w:tc>
        <w:tc>
          <w:tcPr>
            <w:tcW w:w="890" w:type="dxa"/>
            <w:vAlign w:val="bottom"/>
          </w:tcPr>
          <w:p w:rsidR="001B17E2" w:rsidRPr="007F7587" w:rsidRDefault="001B17E2" w:rsidP="004F4422">
            <w:pPr>
              <w:jc w:val="center"/>
              <w:rPr>
                <w:sz w:val="22"/>
                <w:szCs w:val="22"/>
              </w:rPr>
            </w:pPr>
          </w:p>
        </w:tc>
        <w:tc>
          <w:tcPr>
            <w:tcW w:w="867" w:type="dxa"/>
          </w:tcPr>
          <w:p w:rsidR="001B17E2" w:rsidRPr="007F7587" w:rsidRDefault="001B17E2" w:rsidP="004F4422">
            <w:pPr>
              <w:adjustRightInd w:val="0"/>
              <w:snapToGrid w:val="0"/>
              <w:jc w:val="center"/>
              <w:rPr>
                <w:snapToGrid w:val="0"/>
                <w:sz w:val="22"/>
                <w:szCs w:val="22"/>
              </w:rPr>
            </w:pPr>
            <w:r w:rsidRPr="007F7587">
              <w:rPr>
                <w:sz w:val="22"/>
                <w:szCs w:val="22"/>
              </w:rPr>
              <w:t>91.064</w:t>
            </w:r>
          </w:p>
        </w:tc>
        <w:tc>
          <w:tcPr>
            <w:tcW w:w="896" w:type="dxa"/>
          </w:tcPr>
          <w:p w:rsidR="001B17E2" w:rsidRPr="007F7587" w:rsidRDefault="001B17E2" w:rsidP="004F4422">
            <w:pPr>
              <w:adjustRightInd w:val="0"/>
              <w:snapToGrid w:val="0"/>
              <w:jc w:val="center"/>
              <w:rPr>
                <w:snapToGrid w:val="0"/>
                <w:sz w:val="22"/>
                <w:szCs w:val="22"/>
              </w:rPr>
            </w:pPr>
            <w:r w:rsidRPr="007F7587">
              <w:rPr>
                <w:sz w:val="22"/>
                <w:szCs w:val="22"/>
              </w:rPr>
              <w:t>92.676</w:t>
            </w:r>
          </w:p>
        </w:tc>
        <w:tc>
          <w:tcPr>
            <w:tcW w:w="882" w:type="dxa"/>
          </w:tcPr>
          <w:p w:rsidR="001B17E2" w:rsidRPr="007F7587" w:rsidRDefault="001B17E2" w:rsidP="004F4422">
            <w:pPr>
              <w:tabs>
                <w:tab w:val="decimal" w:pos="590"/>
              </w:tabs>
              <w:jc w:val="center"/>
              <w:rPr>
                <w:snapToGrid w:val="0"/>
                <w:sz w:val="22"/>
                <w:szCs w:val="22"/>
              </w:rPr>
            </w:pPr>
            <w:r w:rsidRPr="007F7587">
              <w:rPr>
                <w:sz w:val="22"/>
                <w:szCs w:val="22"/>
              </w:rPr>
              <w:t>93.945</w:t>
            </w:r>
          </w:p>
        </w:tc>
        <w:tc>
          <w:tcPr>
            <w:tcW w:w="896" w:type="dxa"/>
            <w:vAlign w:val="bottom"/>
          </w:tcPr>
          <w:p w:rsidR="001B17E2" w:rsidRPr="007F7587" w:rsidRDefault="001B17E2" w:rsidP="004F4422">
            <w:pPr>
              <w:tabs>
                <w:tab w:val="decimal" w:pos="590"/>
              </w:tabs>
              <w:jc w:val="center"/>
              <w:rPr>
                <w:sz w:val="22"/>
                <w:szCs w:val="22"/>
              </w:rPr>
            </w:pPr>
            <w:r w:rsidRPr="007F7587">
              <w:rPr>
                <w:sz w:val="22"/>
                <w:szCs w:val="22"/>
              </w:rPr>
              <w:t>96.207</w:t>
            </w:r>
          </w:p>
        </w:tc>
        <w:tc>
          <w:tcPr>
            <w:tcW w:w="877" w:type="dxa"/>
            <w:vAlign w:val="bottom"/>
          </w:tcPr>
          <w:p w:rsidR="001B17E2" w:rsidRPr="007F7587" w:rsidRDefault="001B17E2" w:rsidP="004F4422">
            <w:pPr>
              <w:tabs>
                <w:tab w:val="decimal" w:pos="590"/>
              </w:tabs>
              <w:jc w:val="center"/>
              <w:rPr>
                <w:sz w:val="22"/>
                <w:szCs w:val="22"/>
              </w:rPr>
            </w:pPr>
            <w:r w:rsidRPr="007F7587">
              <w:rPr>
                <w:sz w:val="22"/>
                <w:szCs w:val="22"/>
              </w:rPr>
              <w:t>99.109</w:t>
            </w:r>
          </w:p>
        </w:tc>
        <w:tc>
          <w:tcPr>
            <w:tcW w:w="880" w:type="dxa"/>
          </w:tcPr>
          <w:p w:rsidR="001B17E2" w:rsidRPr="007F7587" w:rsidRDefault="001B17E2" w:rsidP="004F4422">
            <w:pPr>
              <w:adjustRightInd w:val="0"/>
              <w:snapToGrid w:val="0"/>
              <w:rPr>
                <w:snapToGrid w:val="0"/>
                <w:sz w:val="22"/>
                <w:szCs w:val="22"/>
              </w:rPr>
            </w:pPr>
            <w:r w:rsidRPr="007F7587">
              <w:rPr>
                <w:sz w:val="22"/>
                <w:szCs w:val="22"/>
              </w:rPr>
              <w:t>102.149</w:t>
            </w:r>
          </w:p>
        </w:tc>
      </w:tr>
      <w:tr w:rsidR="001B17E2" w:rsidRPr="007F7587" w:rsidTr="000E498A">
        <w:trPr>
          <w:trHeight w:val="1277"/>
        </w:trPr>
        <w:tc>
          <w:tcPr>
            <w:tcW w:w="3308" w:type="dxa"/>
            <w:vAlign w:val="bottom"/>
          </w:tcPr>
          <w:p w:rsidR="001B17E2" w:rsidRPr="007F7587" w:rsidRDefault="001B17E2" w:rsidP="000E498A">
            <w:pPr>
              <w:tabs>
                <w:tab w:val="left" w:pos="360"/>
              </w:tabs>
              <w:spacing w:after="120"/>
              <w:rPr>
                <w:sz w:val="22"/>
                <w:szCs w:val="22"/>
                <w:lang w:val="es-ES_tradnl"/>
              </w:rPr>
            </w:pPr>
            <w:r>
              <w:rPr>
                <w:sz w:val="22"/>
                <w:szCs w:val="22"/>
                <w:lang w:val="es-ES_tradnl"/>
              </w:rPr>
              <w:t>Tasa bruta de natalidad</w:t>
            </w:r>
          </w:p>
          <w:p w:rsidR="001B17E2" w:rsidRPr="007F7587" w:rsidRDefault="001B17E2" w:rsidP="004F4422">
            <w:pPr>
              <w:adjustRightInd w:val="0"/>
              <w:snapToGrid w:val="0"/>
              <w:rPr>
                <w:sz w:val="22"/>
                <w:szCs w:val="22"/>
                <w:lang w:val="es-ES_tradnl"/>
              </w:rPr>
            </w:pPr>
            <w:r w:rsidRPr="007F7587">
              <w:rPr>
                <w:sz w:val="22"/>
                <w:szCs w:val="22"/>
                <w:lang w:val="es-ES_tradnl"/>
              </w:rPr>
              <w:t>Número total de nacidos vivos en un año determinado en relación con la población total a mediados de año (por 1.000)</w:t>
            </w:r>
          </w:p>
        </w:tc>
        <w:tc>
          <w:tcPr>
            <w:tcW w:w="890" w:type="dxa"/>
            <w:vAlign w:val="bottom"/>
          </w:tcPr>
          <w:p w:rsidR="001B17E2" w:rsidRPr="007F7587" w:rsidRDefault="001B17E2" w:rsidP="004F4422">
            <w:pPr>
              <w:tabs>
                <w:tab w:val="decimal" w:pos="590"/>
              </w:tabs>
              <w:jc w:val="center"/>
              <w:rPr>
                <w:sz w:val="22"/>
                <w:szCs w:val="22"/>
              </w:rPr>
            </w:pPr>
            <w:r w:rsidRPr="007F7587">
              <w:rPr>
                <w:sz w:val="22"/>
                <w:szCs w:val="22"/>
              </w:rPr>
              <w:t>p/1.000</w:t>
            </w:r>
          </w:p>
        </w:tc>
        <w:tc>
          <w:tcPr>
            <w:tcW w:w="867" w:type="dxa"/>
            <w:vAlign w:val="bottom"/>
          </w:tcPr>
          <w:p w:rsidR="001B17E2" w:rsidRPr="007F7587" w:rsidRDefault="001B17E2" w:rsidP="000E498A">
            <w:pPr>
              <w:tabs>
                <w:tab w:val="decimal" w:pos="362"/>
              </w:tabs>
              <w:rPr>
                <w:sz w:val="22"/>
                <w:szCs w:val="22"/>
              </w:rPr>
            </w:pPr>
            <w:r w:rsidRPr="007F7587">
              <w:rPr>
                <w:sz w:val="22"/>
                <w:szCs w:val="22"/>
              </w:rPr>
              <w:t>14,3</w:t>
            </w:r>
          </w:p>
        </w:tc>
        <w:tc>
          <w:tcPr>
            <w:tcW w:w="896" w:type="dxa"/>
            <w:vAlign w:val="bottom"/>
          </w:tcPr>
          <w:p w:rsidR="001B17E2" w:rsidRPr="007F7587" w:rsidRDefault="001B17E2" w:rsidP="000E498A">
            <w:pPr>
              <w:tabs>
                <w:tab w:val="decimal" w:pos="362"/>
              </w:tabs>
              <w:rPr>
                <w:sz w:val="22"/>
                <w:szCs w:val="22"/>
              </w:rPr>
            </w:pPr>
            <w:r w:rsidRPr="007F7587">
              <w:rPr>
                <w:sz w:val="22"/>
                <w:szCs w:val="22"/>
              </w:rPr>
              <w:t>13,8</w:t>
            </w:r>
          </w:p>
        </w:tc>
        <w:tc>
          <w:tcPr>
            <w:tcW w:w="882" w:type="dxa"/>
            <w:vAlign w:val="bottom"/>
          </w:tcPr>
          <w:p w:rsidR="001B17E2" w:rsidRPr="007F7587" w:rsidRDefault="001B17E2" w:rsidP="000E498A">
            <w:pPr>
              <w:tabs>
                <w:tab w:val="decimal" w:pos="362"/>
              </w:tabs>
              <w:rPr>
                <w:sz w:val="22"/>
                <w:szCs w:val="22"/>
              </w:rPr>
            </w:pPr>
            <w:r w:rsidRPr="007F7587">
              <w:rPr>
                <w:sz w:val="22"/>
                <w:szCs w:val="22"/>
              </w:rPr>
              <w:t>13,2</w:t>
            </w:r>
          </w:p>
        </w:tc>
        <w:tc>
          <w:tcPr>
            <w:tcW w:w="896" w:type="dxa"/>
            <w:vAlign w:val="bottom"/>
          </w:tcPr>
          <w:p w:rsidR="001B17E2" w:rsidRPr="007F7587" w:rsidRDefault="001B17E2" w:rsidP="000E498A">
            <w:pPr>
              <w:tabs>
                <w:tab w:val="decimal" w:pos="362"/>
              </w:tabs>
              <w:rPr>
                <w:sz w:val="22"/>
                <w:szCs w:val="22"/>
              </w:rPr>
            </w:pPr>
            <w:r w:rsidRPr="007F7587">
              <w:rPr>
                <w:sz w:val="22"/>
                <w:szCs w:val="22"/>
              </w:rPr>
              <w:t>13,1</w:t>
            </w:r>
          </w:p>
        </w:tc>
        <w:tc>
          <w:tcPr>
            <w:tcW w:w="877" w:type="dxa"/>
            <w:vAlign w:val="bottom"/>
          </w:tcPr>
          <w:p w:rsidR="001B17E2" w:rsidRPr="007F7587" w:rsidRDefault="001B17E2" w:rsidP="000E498A">
            <w:pPr>
              <w:tabs>
                <w:tab w:val="decimal" w:pos="362"/>
              </w:tabs>
              <w:rPr>
                <w:sz w:val="22"/>
                <w:szCs w:val="22"/>
              </w:rPr>
            </w:pPr>
            <w:r w:rsidRPr="007F7587">
              <w:rPr>
                <w:sz w:val="22"/>
                <w:szCs w:val="22"/>
              </w:rPr>
              <w:t>12,2</w:t>
            </w:r>
          </w:p>
        </w:tc>
        <w:tc>
          <w:tcPr>
            <w:tcW w:w="880" w:type="dxa"/>
            <w:vAlign w:val="bottom"/>
          </w:tcPr>
          <w:p w:rsidR="001B17E2" w:rsidRPr="007F7587" w:rsidRDefault="001B17E2" w:rsidP="000E498A">
            <w:pPr>
              <w:tabs>
                <w:tab w:val="decimal" w:pos="362"/>
              </w:tabs>
              <w:rPr>
                <w:sz w:val="22"/>
                <w:szCs w:val="22"/>
              </w:rPr>
            </w:pPr>
            <w:r w:rsidRPr="007F7587">
              <w:rPr>
                <w:sz w:val="22"/>
                <w:szCs w:val="22"/>
              </w:rPr>
              <w:t>12,3</w:t>
            </w:r>
          </w:p>
        </w:tc>
      </w:tr>
      <w:tr w:rsidR="001B17E2" w:rsidRPr="007F7587" w:rsidTr="000E498A">
        <w:trPr>
          <w:trHeight w:val="1266"/>
        </w:trPr>
        <w:tc>
          <w:tcPr>
            <w:tcW w:w="3308" w:type="dxa"/>
            <w:tcBorders>
              <w:top w:val="nil"/>
              <w:left w:val="single" w:sz="4" w:space="0" w:color="auto"/>
              <w:right w:val="single" w:sz="4" w:space="0" w:color="auto"/>
            </w:tcBorders>
            <w:vAlign w:val="bottom"/>
          </w:tcPr>
          <w:p w:rsidR="001B17E2" w:rsidRPr="007F7587" w:rsidRDefault="001B17E2" w:rsidP="000E498A">
            <w:pPr>
              <w:tabs>
                <w:tab w:val="left" w:pos="360"/>
              </w:tabs>
              <w:spacing w:after="120"/>
              <w:rPr>
                <w:sz w:val="22"/>
                <w:szCs w:val="22"/>
                <w:lang w:val="es-ES_tradnl"/>
              </w:rPr>
            </w:pPr>
            <w:r w:rsidRPr="007F7587">
              <w:rPr>
                <w:sz w:val="22"/>
                <w:szCs w:val="22"/>
                <w:lang w:val="es-ES_tradnl"/>
              </w:rPr>
              <w:t>Tasa bruta de mortalidad</w:t>
            </w:r>
          </w:p>
          <w:p w:rsidR="001B17E2" w:rsidRPr="007F7587" w:rsidRDefault="001B17E2" w:rsidP="004F4422">
            <w:pPr>
              <w:adjustRightInd w:val="0"/>
              <w:snapToGrid w:val="0"/>
              <w:rPr>
                <w:sz w:val="22"/>
                <w:szCs w:val="22"/>
                <w:lang w:val="es-ES_tradnl"/>
              </w:rPr>
            </w:pPr>
            <w:r w:rsidRPr="007F7587">
              <w:rPr>
                <w:iCs/>
                <w:sz w:val="22"/>
                <w:szCs w:val="22"/>
              </w:rPr>
              <w:t>Número total de fallecimientos en un año determinado en relación con la población total a mediados de año (por 1.000)</w:t>
            </w:r>
          </w:p>
        </w:tc>
        <w:tc>
          <w:tcPr>
            <w:tcW w:w="890" w:type="dxa"/>
            <w:tcBorders>
              <w:left w:val="single" w:sz="4" w:space="0" w:color="auto"/>
            </w:tcBorders>
            <w:vAlign w:val="bottom"/>
          </w:tcPr>
          <w:p w:rsidR="001B17E2" w:rsidRPr="007F7587" w:rsidRDefault="001B17E2" w:rsidP="004F4422">
            <w:pPr>
              <w:jc w:val="center"/>
              <w:rPr>
                <w:sz w:val="22"/>
                <w:szCs w:val="22"/>
              </w:rPr>
            </w:pPr>
            <w:r w:rsidRPr="007F7587">
              <w:rPr>
                <w:sz w:val="22"/>
                <w:szCs w:val="22"/>
              </w:rPr>
              <w:t>p/1.000</w:t>
            </w:r>
          </w:p>
        </w:tc>
        <w:tc>
          <w:tcPr>
            <w:tcW w:w="867" w:type="dxa"/>
            <w:vAlign w:val="bottom"/>
          </w:tcPr>
          <w:p w:rsidR="001B17E2" w:rsidRPr="007F7587" w:rsidRDefault="001B17E2" w:rsidP="000E498A">
            <w:pPr>
              <w:tabs>
                <w:tab w:val="decimal" w:pos="362"/>
              </w:tabs>
              <w:rPr>
                <w:sz w:val="22"/>
                <w:szCs w:val="22"/>
              </w:rPr>
            </w:pPr>
            <w:r w:rsidRPr="007F7587">
              <w:rPr>
                <w:sz w:val="22"/>
                <w:szCs w:val="22"/>
              </w:rPr>
              <w:t>5,9</w:t>
            </w:r>
          </w:p>
        </w:tc>
        <w:tc>
          <w:tcPr>
            <w:tcW w:w="896" w:type="dxa"/>
            <w:vAlign w:val="bottom"/>
          </w:tcPr>
          <w:p w:rsidR="001B17E2" w:rsidRPr="007F7587" w:rsidRDefault="001B17E2" w:rsidP="000E498A">
            <w:pPr>
              <w:tabs>
                <w:tab w:val="decimal" w:pos="362"/>
              </w:tabs>
              <w:rPr>
                <w:sz w:val="22"/>
                <w:szCs w:val="22"/>
              </w:rPr>
            </w:pPr>
            <w:r w:rsidRPr="007F7587">
              <w:rPr>
                <w:sz w:val="22"/>
                <w:szCs w:val="22"/>
              </w:rPr>
              <w:t>4,7</w:t>
            </w:r>
          </w:p>
        </w:tc>
        <w:tc>
          <w:tcPr>
            <w:tcW w:w="882" w:type="dxa"/>
            <w:vAlign w:val="bottom"/>
          </w:tcPr>
          <w:p w:rsidR="001B17E2" w:rsidRPr="007F7587" w:rsidRDefault="001B17E2" w:rsidP="000E498A">
            <w:pPr>
              <w:tabs>
                <w:tab w:val="decimal" w:pos="362"/>
              </w:tabs>
              <w:rPr>
                <w:sz w:val="22"/>
                <w:szCs w:val="22"/>
              </w:rPr>
            </w:pPr>
            <w:r w:rsidRPr="007F7587">
              <w:rPr>
                <w:sz w:val="22"/>
                <w:szCs w:val="22"/>
              </w:rPr>
              <w:t>5,3</w:t>
            </w:r>
          </w:p>
        </w:tc>
        <w:tc>
          <w:tcPr>
            <w:tcW w:w="896" w:type="dxa"/>
            <w:vAlign w:val="bottom"/>
          </w:tcPr>
          <w:p w:rsidR="001B17E2" w:rsidRPr="007F7587" w:rsidRDefault="001B17E2" w:rsidP="000E498A">
            <w:pPr>
              <w:tabs>
                <w:tab w:val="decimal" w:pos="362"/>
              </w:tabs>
              <w:rPr>
                <w:sz w:val="22"/>
                <w:szCs w:val="22"/>
              </w:rPr>
            </w:pPr>
            <w:r w:rsidRPr="007F7587">
              <w:rPr>
                <w:sz w:val="22"/>
                <w:szCs w:val="22"/>
              </w:rPr>
              <w:t>5,3</w:t>
            </w:r>
          </w:p>
        </w:tc>
        <w:tc>
          <w:tcPr>
            <w:tcW w:w="877" w:type="dxa"/>
            <w:vAlign w:val="bottom"/>
          </w:tcPr>
          <w:p w:rsidR="001B17E2" w:rsidRPr="007F7587" w:rsidRDefault="001B17E2" w:rsidP="000E498A">
            <w:pPr>
              <w:tabs>
                <w:tab w:val="decimal" w:pos="362"/>
              </w:tabs>
              <w:rPr>
                <w:sz w:val="22"/>
                <w:szCs w:val="22"/>
              </w:rPr>
            </w:pPr>
            <w:r w:rsidRPr="007F7587">
              <w:rPr>
                <w:sz w:val="22"/>
                <w:szCs w:val="22"/>
              </w:rPr>
              <w:t>5,1</w:t>
            </w:r>
          </w:p>
        </w:tc>
        <w:tc>
          <w:tcPr>
            <w:tcW w:w="880" w:type="dxa"/>
            <w:vAlign w:val="bottom"/>
          </w:tcPr>
          <w:p w:rsidR="001B17E2" w:rsidRPr="007F7587" w:rsidRDefault="001B17E2" w:rsidP="000E498A">
            <w:pPr>
              <w:tabs>
                <w:tab w:val="decimal" w:pos="362"/>
              </w:tabs>
              <w:rPr>
                <w:sz w:val="22"/>
                <w:szCs w:val="22"/>
              </w:rPr>
            </w:pPr>
            <w:r w:rsidRPr="007F7587">
              <w:rPr>
                <w:sz w:val="22"/>
                <w:szCs w:val="22"/>
              </w:rPr>
              <w:t>4,7</w:t>
            </w:r>
          </w:p>
        </w:tc>
      </w:tr>
      <w:tr w:rsidR="001B17E2" w:rsidRPr="007F7587" w:rsidTr="000E498A">
        <w:trPr>
          <w:trHeight w:val="1531"/>
        </w:trPr>
        <w:tc>
          <w:tcPr>
            <w:tcW w:w="3308" w:type="dxa"/>
            <w:tcBorders>
              <w:top w:val="nil"/>
              <w:left w:val="single" w:sz="4" w:space="0" w:color="auto"/>
              <w:right w:val="single" w:sz="4" w:space="0" w:color="auto"/>
            </w:tcBorders>
            <w:vAlign w:val="bottom"/>
          </w:tcPr>
          <w:p w:rsidR="001B17E2" w:rsidRPr="007F7587" w:rsidRDefault="001B17E2" w:rsidP="000E498A">
            <w:pPr>
              <w:spacing w:after="120"/>
              <w:rPr>
                <w:sz w:val="22"/>
                <w:szCs w:val="22"/>
              </w:rPr>
            </w:pPr>
            <w:r w:rsidRPr="007F7587">
              <w:rPr>
                <w:sz w:val="22"/>
                <w:szCs w:val="22"/>
              </w:rPr>
              <w:t xml:space="preserve">Tasa de </w:t>
            </w:r>
            <w:r w:rsidRPr="007F7587">
              <w:rPr>
                <w:sz w:val="22"/>
                <w:szCs w:val="22"/>
                <w:lang w:val="es-ES_tradnl"/>
              </w:rPr>
              <w:t>crecimiento</w:t>
            </w:r>
            <w:r w:rsidRPr="007F7587">
              <w:rPr>
                <w:sz w:val="22"/>
                <w:szCs w:val="22"/>
              </w:rPr>
              <w:t xml:space="preserve"> de la población</w:t>
            </w:r>
          </w:p>
          <w:p w:rsidR="001B17E2" w:rsidRPr="007F7587" w:rsidRDefault="001B17E2" w:rsidP="004F4422">
            <w:pPr>
              <w:adjustRightInd w:val="0"/>
              <w:snapToGrid w:val="0"/>
              <w:rPr>
                <w:sz w:val="22"/>
                <w:szCs w:val="22"/>
              </w:rPr>
            </w:pPr>
            <w:r w:rsidRPr="007F7587">
              <w:rPr>
                <w:iCs/>
                <w:sz w:val="22"/>
                <w:szCs w:val="22"/>
              </w:rPr>
              <w:t>Tasa de aumento o reducción de la población debido a aumentos naturales o a la migración neta, expresada como porcentaje de la población básica</w:t>
            </w:r>
          </w:p>
        </w:tc>
        <w:tc>
          <w:tcPr>
            <w:tcW w:w="890" w:type="dxa"/>
            <w:tcBorders>
              <w:left w:val="single" w:sz="4" w:space="0" w:color="auto"/>
            </w:tcBorders>
            <w:vAlign w:val="bottom"/>
          </w:tcPr>
          <w:p w:rsidR="001B17E2" w:rsidRPr="007F7587" w:rsidRDefault="001B17E2" w:rsidP="004F4422">
            <w:pPr>
              <w:adjustRightInd w:val="0"/>
              <w:snapToGrid w:val="0"/>
              <w:jc w:val="center"/>
              <w:rPr>
                <w:sz w:val="22"/>
                <w:szCs w:val="22"/>
              </w:rPr>
            </w:pPr>
            <w:r w:rsidRPr="007F7587">
              <w:rPr>
                <w:sz w:val="22"/>
                <w:szCs w:val="22"/>
                <w:lang w:val="en-GB"/>
              </w:rPr>
              <w:t>p/1.000</w:t>
            </w:r>
          </w:p>
        </w:tc>
        <w:tc>
          <w:tcPr>
            <w:tcW w:w="867" w:type="dxa"/>
            <w:vAlign w:val="bottom"/>
          </w:tcPr>
          <w:p w:rsidR="001B17E2" w:rsidRPr="007F7587" w:rsidRDefault="001B17E2" w:rsidP="000E498A">
            <w:pPr>
              <w:tabs>
                <w:tab w:val="decimal" w:pos="362"/>
              </w:tabs>
              <w:adjustRightInd w:val="0"/>
              <w:snapToGrid w:val="0"/>
              <w:rPr>
                <w:snapToGrid w:val="0"/>
                <w:sz w:val="22"/>
                <w:szCs w:val="22"/>
              </w:rPr>
            </w:pPr>
            <w:r w:rsidRPr="007F7587">
              <w:rPr>
                <w:snapToGrid w:val="0"/>
                <w:sz w:val="22"/>
                <w:szCs w:val="22"/>
              </w:rPr>
              <w:t>10,9</w:t>
            </w:r>
          </w:p>
        </w:tc>
        <w:tc>
          <w:tcPr>
            <w:tcW w:w="896" w:type="dxa"/>
            <w:vAlign w:val="bottom"/>
          </w:tcPr>
          <w:p w:rsidR="001B17E2" w:rsidRPr="007F7587" w:rsidRDefault="001B17E2" w:rsidP="000E498A">
            <w:pPr>
              <w:tabs>
                <w:tab w:val="decimal" w:pos="362"/>
              </w:tabs>
              <w:adjustRightInd w:val="0"/>
              <w:snapToGrid w:val="0"/>
              <w:rPr>
                <w:snapToGrid w:val="0"/>
                <w:sz w:val="22"/>
                <w:szCs w:val="22"/>
              </w:rPr>
            </w:pPr>
            <w:r w:rsidRPr="007F7587">
              <w:rPr>
                <w:snapToGrid w:val="0"/>
                <w:sz w:val="22"/>
                <w:szCs w:val="22"/>
              </w:rPr>
              <w:t>17,6</w:t>
            </w:r>
          </w:p>
        </w:tc>
        <w:tc>
          <w:tcPr>
            <w:tcW w:w="882" w:type="dxa"/>
            <w:vAlign w:val="bottom"/>
          </w:tcPr>
          <w:p w:rsidR="001B17E2" w:rsidRPr="007F7587" w:rsidRDefault="001B17E2" w:rsidP="000E498A">
            <w:pPr>
              <w:tabs>
                <w:tab w:val="decimal" w:pos="362"/>
              </w:tabs>
              <w:adjustRightInd w:val="0"/>
              <w:snapToGrid w:val="0"/>
              <w:rPr>
                <w:snapToGrid w:val="0"/>
                <w:sz w:val="22"/>
                <w:szCs w:val="22"/>
              </w:rPr>
            </w:pPr>
            <w:r w:rsidRPr="007F7587">
              <w:rPr>
                <w:snapToGrid w:val="0"/>
                <w:sz w:val="22"/>
                <w:szCs w:val="22"/>
              </w:rPr>
              <w:t>13,6</w:t>
            </w:r>
          </w:p>
        </w:tc>
        <w:tc>
          <w:tcPr>
            <w:tcW w:w="896" w:type="dxa"/>
            <w:vAlign w:val="bottom"/>
          </w:tcPr>
          <w:p w:rsidR="001B17E2" w:rsidRPr="007F7587" w:rsidRDefault="001B17E2" w:rsidP="000E498A">
            <w:pPr>
              <w:tabs>
                <w:tab w:val="decimal" w:pos="362"/>
              </w:tabs>
              <w:adjustRightInd w:val="0"/>
              <w:snapToGrid w:val="0"/>
              <w:rPr>
                <w:snapToGrid w:val="0"/>
                <w:sz w:val="22"/>
                <w:szCs w:val="22"/>
              </w:rPr>
            </w:pPr>
            <w:r w:rsidRPr="007F7587">
              <w:rPr>
                <w:snapToGrid w:val="0"/>
                <w:sz w:val="22"/>
                <w:szCs w:val="22"/>
              </w:rPr>
              <w:t>23,8</w:t>
            </w:r>
          </w:p>
        </w:tc>
        <w:tc>
          <w:tcPr>
            <w:tcW w:w="877" w:type="dxa"/>
            <w:vAlign w:val="bottom"/>
          </w:tcPr>
          <w:p w:rsidR="001B17E2" w:rsidRPr="007F7587" w:rsidRDefault="001B17E2" w:rsidP="000E498A">
            <w:pPr>
              <w:tabs>
                <w:tab w:val="decimal" w:pos="362"/>
              </w:tabs>
              <w:adjustRightInd w:val="0"/>
              <w:snapToGrid w:val="0"/>
              <w:rPr>
                <w:snapToGrid w:val="0"/>
                <w:sz w:val="22"/>
                <w:szCs w:val="22"/>
              </w:rPr>
            </w:pPr>
            <w:r w:rsidRPr="007F7587">
              <w:rPr>
                <w:snapToGrid w:val="0"/>
                <w:sz w:val="22"/>
                <w:szCs w:val="22"/>
              </w:rPr>
              <w:t>29,7</w:t>
            </w:r>
          </w:p>
        </w:tc>
        <w:tc>
          <w:tcPr>
            <w:tcW w:w="880" w:type="dxa"/>
            <w:vAlign w:val="bottom"/>
          </w:tcPr>
          <w:p w:rsidR="001B17E2" w:rsidRPr="007F7587" w:rsidRDefault="001B17E2" w:rsidP="000E498A">
            <w:pPr>
              <w:tabs>
                <w:tab w:val="decimal" w:pos="362"/>
              </w:tabs>
              <w:rPr>
                <w:snapToGrid w:val="0"/>
                <w:sz w:val="22"/>
                <w:szCs w:val="22"/>
              </w:rPr>
            </w:pPr>
            <w:r w:rsidRPr="007F7587">
              <w:rPr>
                <w:sz w:val="22"/>
                <w:szCs w:val="22"/>
              </w:rPr>
              <w:t>30</w:t>
            </w:r>
            <w:r w:rsidRPr="007F7587">
              <w:rPr>
                <w:snapToGrid w:val="0"/>
                <w:sz w:val="22"/>
                <w:szCs w:val="22"/>
              </w:rPr>
              <w:t>,2</w:t>
            </w:r>
          </w:p>
        </w:tc>
      </w:tr>
    </w:tbl>
    <w:p w:rsidR="001B17E2" w:rsidRPr="00CB7224" w:rsidRDefault="001B17E2" w:rsidP="001B17E2">
      <w:pPr>
        <w:adjustRightInd w:val="0"/>
        <w:snapToGrid w:val="0"/>
        <w:spacing w:before="220" w:after="220"/>
        <w:rPr>
          <w:snapToGrid w:val="0"/>
          <w:sz w:val="22"/>
          <w:szCs w:val="22"/>
        </w:rPr>
      </w:pPr>
      <w:r w:rsidRPr="00CB7224">
        <w:rPr>
          <w:i/>
          <w:snapToGrid w:val="0"/>
          <w:sz w:val="22"/>
          <w:szCs w:val="22"/>
        </w:rPr>
        <w:t>Fuente:</w:t>
      </w:r>
      <w:r w:rsidRPr="00CB7224">
        <w:rPr>
          <w:snapToGrid w:val="0"/>
          <w:sz w:val="22"/>
          <w:szCs w:val="22"/>
        </w:rPr>
        <w:t xml:space="preserve">  Oficina Central de Estadística.</w:t>
      </w:r>
    </w:p>
    <w:p w:rsidR="001B17E2" w:rsidRPr="006270CB" w:rsidRDefault="001B17E2" w:rsidP="001B17E2">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6F5694">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59" w:rsidRDefault="002B7759">
      <w:r>
        <w:separator/>
      </w:r>
    </w:p>
  </w:endnote>
  <w:endnote w:type="continuationSeparator" w:id="0">
    <w:p w:rsidR="002B7759" w:rsidRDefault="002B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59" w:rsidRDefault="002B7759">
      <w:r>
        <w:separator/>
      </w:r>
    </w:p>
  </w:footnote>
  <w:footnote w:type="continuationSeparator" w:id="0">
    <w:p w:rsidR="002B7759" w:rsidRDefault="002B7759">
      <w:r>
        <w:continuationSeparator/>
      </w:r>
    </w:p>
  </w:footnote>
  <w:footnote w:id="1">
    <w:p w:rsidR="002B7759" w:rsidRPr="00E86C37" w:rsidRDefault="002B7759" w:rsidP="006F5694">
      <w:pPr>
        <w:pStyle w:val="FootnoteText"/>
        <w:spacing w:line="240" w:lineRule="auto"/>
      </w:pPr>
      <w:r w:rsidRPr="00E86C37">
        <w:rPr>
          <w:rStyle w:val="FootnoteReference"/>
        </w:rPr>
        <w:t>*</w:t>
      </w:r>
      <w:r w:rsidRPr="00E86C37">
        <w:t xml:space="preserve"> </w:t>
      </w:r>
      <w:r w:rsidRPr="006261B5">
        <w:t>Con arreglo a la información transmitida a los Estados Partes acerca de la tramitación de sus informes, el presente documento no fue objeto de revisión editorial oficial antes de ser enviado a los servicios de traducción de las Naciones Unidas.</w:t>
      </w:r>
    </w:p>
  </w:footnote>
  <w:footnote w:id="2">
    <w:p w:rsidR="002B7759" w:rsidRDefault="002B7759" w:rsidP="006F5694">
      <w:pPr>
        <w:pStyle w:val="FootnoteText"/>
        <w:spacing w:line="240" w:lineRule="auto"/>
      </w:pPr>
      <w:r w:rsidRPr="00E86C37">
        <w:rPr>
          <w:rStyle w:val="FootnoteReference"/>
        </w:rPr>
        <w:t>**</w:t>
      </w:r>
      <w:r w:rsidRPr="00E86C37">
        <w:t xml:space="preserve"> </w:t>
      </w:r>
      <w:r w:rsidRPr="00014174">
        <w:t xml:space="preserve">El </w:t>
      </w:r>
      <w:r>
        <w:t>informe de Aruba</w:t>
      </w:r>
      <w:r w:rsidRPr="00014174">
        <w:t xml:space="preserve"> se titulaba "</w:t>
      </w:r>
      <w:r>
        <w:t>Sexto</w:t>
      </w:r>
      <w:r w:rsidRPr="00014174">
        <w:t xml:space="preserve"> informe complementario de Aruba".  Sin embargo, tras consultar con el Estado Parte, se convino en que se publicara como adición al </w:t>
      </w:r>
      <w:r>
        <w:t>cuarto informe periódico.</w:t>
      </w:r>
    </w:p>
    <w:p w:rsidR="002B7759" w:rsidRDefault="002B7759" w:rsidP="006F5694">
      <w:pPr>
        <w:pStyle w:val="FootnoteText"/>
        <w:spacing w:after="0" w:line="240" w:lineRule="auto"/>
      </w:pPr>
    </w:p>
    <w:p w:rsidR="002B7759" w:rsidRPr="00E86C37" w:rsidRDefault="002B7759" w:rsidP="006F5694">
      <w:pPr>
        <w:pStyle w:val="FootnoteText"/>
        <w:spacing w:after="0" w:line="240" w:lineRule="auto"/>
      </w:pPr>
      <w:r>
        <w:t>GE.08-40616  (S)    110308    310308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59" w:rsidRDefault="002B7759">
    <w:pPr>
      <w:pStyle w:val="Header"/>
    </w:pPr>
    <w:r>
      <w:t>CCPR/C/NET/4/Add.1</w:t>
    </w:r>
  </w:p>
  <w:p w:rsidR="002B7759" w:rsidRDefault="002B7759">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59" w:rsidRDefault="002B7759" w:rsidP="000E498A">
    <w:pPr>
      <w:tabs>
        <w:tab w:val="left" w:pos="7080"/>
      </w:tabs>
    </w:pPr>
    <w:r>
      <w:tab/>
      <w:t>CCPR/C/NET/4/Add.1</w:t>
    </w:r>
  </w:p>
  <w:p w:rsidR="002B7759" w:rsidRDefault="002B7759" w:rsidP="000E498A">
    <w:pPr>
      <w:tabs>
        <w:tab w:val="left" w:pos="7080"/>
      </w:tabs>
    </w:pPr>
    <w:r>
      <w:tab/>
      <w:t xml:space="preserve">página </w:t>
    </w:r>
    <w:r>
      <w:fldChar w:fldCharType="begin"/>
    </w:r>
    <w:r>
      <w:instrText xml:space="preserve"> PAGE  \* MERGEFORMAT </w:instrText>
    </w:r>
    <w:r>
      <w:fldChar w:fldCharType="separate"/>
    </w:r>
    <w:r w:rsidR="00362A1B">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4F2"/>
    <w:rsid w:val="000024F2"/>
    <w:rsid w:val="000E498A"/>
    <w:rsid w:val="000F18F3"/>
    <w:rsid w:val="001040FE"/>
    <w:rsid w:val="001B17E2"/>
    <w:rsid w:val="001B3EF3"/>
    <w:rsid w:val="001E79FD"/>
    <w:rsid w:val="001E7D80"/>
    <w:rsid w:val="002009CB"/>
    <w:rsid w:val="00213DE5"/>
    <w:rsid w:val="002426E2"/>
    <w:rsid w:val="00273020"/>
    <w:rsid w:val="002B7759"/>
    <w:rsid w:val="003332D2"/>
    <w:rsid w:val="00362A1B"/>
    <w:rsid w:val="00493B79"/>
    <w:rsid w:val="004F4422"/>
    <w:rsid w:val="006541BE"/>
    <w:rsid w:val="006C222A"/>
    <w:rsid w:val="006F5694"/>
    <w:rsid w:val="00716E4C"/>
    <w:rsid w:val="0077727F"/>
    <w:rsid w:val="007B0EB2"/>
    <w:rsid w:val="007E1504"/>
    <w:rsid w:val="007E7BD0"/>
    <w:rsid w:val="007F57B2"/>
    <w:rsid w:val="00835E02"/>
    <w:rsid w:val="008C2547"/>
    <w:rsid w:val="00941D4E"/>
    <w:rsid w:val="00A528E7"/>
    <w:rsid w:val="00AA0CDD"/>
    <w:rsid w:val="00AE1359"/>
    <w:rsid w:val="00AE40CB"/>
    <w:rsid w:val="00BE1186"/>
    <w:rsid w:val="00BF5BA7"/>
    <w:rsid w:val="00C3204B"/>
    <w:rsid w:val="00C820BE"/>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F5694"/>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6877</Words>
  <Characters>34868</Characters>
  <Application>Microsoft Office Word</Application>
  <DocSecurity>4</DocSecurity>
  <Lines>711</Lines>
  <Paragraphs>362</Paragraphs>
  <ScaleCrop>false</ScaleCrop>
  <HeadingPairs>
    <vt:vector size="2" baseType="variant">
      <vt:variant>
        <vt:lpstr>Título</vt:lpstr>
      </vt:variant>
      <vt:variant>
        <vt:i4>1</vt:i4>
      </vt:variant>
    </vt:vector>
  </HeadingPairs>
  <TitlesOfParts>
    <vt:vector size="1" baseType="lpstr">
      <vt:lpstr>CCPR/C/NET/4/Add.1</vt:lpstr>
    </vt:vector>
  </TitlesOfParts>
  <Company>CSD</Company>
  <LinksUpToDate>false</LinksUpToDate>
  <CharactersWithSpaces>41383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CCPR/C/NET/4/Add.1</dc:title>
  <dc:subject/>
  <dc:creator>Pedro Mitrópulos</dc:creator>
  <cp:keywords/>
  <dc:description/>
  <cp:lastModifiedBy>Pedro Mitrópulos</cp:lastModifiedBy>
  <cp:revision>2</cp:revision>
  <cp:lastPrinted>2008-03-31T09:44:00Z</cp:lastPrinted>
  <dcterms:created xsi:type="dcterms:W3CDTF">2008-03-31T09:46:00Z</dcterms:created>
  <dcterms:modified xsi:type="dcterms:W3CDTF">2008-03-31T09:46:00Z</dcterms:modified>
</cp:coreProperties>
</file>