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F3233CA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E3B83A" w14:textId="77777777" w:rsidR="002D5AAC" w:rsidRDefault="002D5AAC" w:rsidP="009C6C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1F6FF3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167FD0" w14:textId="5F49B145" w:rsidR="002D5AAC" w:rsidRDefault="009C6C1A" w:rsidP="009C6C1A">
            <w:pPr>
              <w:jc w:val="right"/>
            </w:pPr>
            <w:r w:rsidRPr="009C6C1A">
              <w:rPr>
                <w:sz w:val="40"/>
              </w:rPr>
              <w:t>CRC</w:t>
            </w:r>
            <w:r w:rsidRPr="009C6C1A">
              <w:t>/C/NLD/CO/5-6</w:t>
            </w:r>
          </w:p>
        </w:tc>
      </w:tr>
      <w:tr w:rsidR="002D5AAC" w:rsidRPr="00AE1C40" w14:paraId="4E689BE0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F9B56E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61C1C8" wp14:editId="1753F3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B23021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6B459B" w14:textId="77777777" w:rsidR="002D5AAC" w:rsidRDefault="009C6C1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248B7F" w14:textId="77777777" w:rsidR="009C6C1A" w:rsidRDefault="009C6C1A" w:rsidP="009C6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March 2022</w:t>
            </w:r>
          </w:p>
          <w:p w14:paraId="35DA3B06" w14:textId="77777777" w:rsidR="009C6C1A" w:rsidRDefault="009C6C1A" w:rsidP="009C6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ED1C6F" w14:textId="61C1C386" w:rsidR="009C6C1A" w:rsidRPr="00B937DF" w:rsidRDefault="009C6C1A" w:rsidP="009C6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01541B" w14:textId="77777777" w:rsidR="009C6C1A" w:rsidRPr="009C6C1A" w:rsidRDefault="009C6C1A" w:rsidP="009C6C1A">
      <w:pPr>
        <w:spacing w:before="120"/>
        <w:rPr>
          <w:b/>
          <w:sz w:val="24"/>
          <w:szCs w:val="24"/>
        </w:rPr>
      </w:pPr>
      <w:r w:rsidRPr="009C6C1A">
        <w:rPr>
          <w:b/>
          <w:bCs/>
          <w:sz w:val="24"/>
          <w:szCs w:val="24"/>
        </w:rPr>
        <w:t>Комитет по правам ребенка</w:t>
      </w:r>
    </w:p>
    <w:p w14:paraId="4E042ED4" w14:textId="2EF99447" w:rsidR="009C6C1A" w:rsidRPr="00444DD7" w:rsidRDefault="009C6C1A" w:rsidP="009C6C1A">
      <w:pPr>
        <w:pStyle w:val="HChG"/>
      </w:pPr>
      <w:r>
        <w:tab/>
      </w:r>
      <w:r>
        <w:tab/>
        <w:t>Заключительные замечания по объединенным пятому и</w:t>
      </w:r>
      <w:r>
        <w:rPr>
          <w:lang w:val="en-US"/>
        </w:rPr>
        <w:t> </w:t>
      </w:r>
      <w:r>
        <w:t>шестому периодическим докладам Королевства Нидерландов</w:t>
      </w:r>
      <w:r w:rsidRPr="009C6C1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C6C1A">
        <w:rPr>
          <w:sz w:val="20"/>
        </w:rPr>
        <w:t xml:space="preserve"> </w:t>
      </w:r>
      <w:r w:rsidRPr="009C6C1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9C6C1A">
        <w:rPr>
          <w:sz w:val="20"/>
        </w:rPr>
        <w:t xml:space="preserve"> </w:t>
      </w:r>
    </w:p>
    <w:p w14:paraId="11855C80" w14:textId="61EC5171" w:rsidR="009C6C1A" w:rsidRPr="00444DD7" w:rsidRDefault="009C6C1A" w:rsidP="009C6C1A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443A67E7" w14:textId="2A556F58" w:rsidR="009C6C1A" w:rsidRPr="00444DD7" w:rsidRDefault="009C6C1A" w:rsidP="009C6C1A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Королевства Нидерландов</w:t>
      </w:r>
      <w:r w:rsidRPr="0061098E">
        <w:rPr>
          <w:rStyle w:val="aa"/>
        </w:rPr>
        <w:footnoteReference w:id="3"/>
      </w:r>
      <w:r>
        <w:t xml:space="preserve"> на своих 2566-м и 2568-м заседаниях</w:t>
      </w:r>
      <w:r w:rsidRPr="0061098E">
        <w:rPr>
          <w:rStyle w:val="aa"/>
        </w:rPr>
        <w:footnoteReference w:id="4"/>
      </w:r>
      <w:r w:rsidR="00B97240">
        <w:t xml:space="preserve">, </w:t>
      </w:r>
      <w:r>
        <w:t xml:space="preserve">состоявшихся </w:t>
      </w:r>
      <w:r>
        <w:br/>
        <w:t>1 и 2 февраля 2022 года, и принял настоящие заключительные замечания на своем 2582-м заседании, состоявшемся 11 февраля 2022 года.</w:t>
      </w:r>
    </w:p>
    <w:p w14:paraId="0FB0D4C0" w14:textId="77777777" w:rsidR="009C6C1A" w:rsidRPr="00444DD7" w:rsidRDefault="009C6C1A" w:rsidP="009C6C1A">
      <w:pPr>
        <w:pStyle w:val="SingleTxtG"/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 в соответствии с упрощенной процедурой представления докладов, которое позволило лучше понять положение в области прав детей в государстве-участнике. Комитет выражает признательность за конструктивный диалог, состоявшийся в виртуальном режиме с высокопоставленной межведомственной делегацией государства-участника</w:t>
      </w:r>
      <w:r w:rsidRPr="0061098E">
        <w:rPr>
          <w:rStyle w:val="aa"/>
        </w:rPr>
        <w:footnoteReference w:id="5"/>
      </w:r>
      <w:r>
        <w:t xml:space="preserve">. </w:t>
      </w:r>
    </w:p>
    <w:p w14:paraId="0DDE7656" w14:textId="2EA6A859" w:rsidR="009C6C1A" w:rsidRPr="007540B6" w:rsidRDefault="009C6C1A" w:rsidP="009C6C1A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2A6E77A4" w14:textId="2A9D4CC6" w:rsidR="009C6C1A" w:rsidRPr="00324C35" w:rsidRDefault="009C6C1A" w:rsidP="009C6C1A">
      <w:pPr>
        <w:pStyle w:val="SingleTxtG"/>
      </w:pPr>
      <w:r>
        <w:t>3.</w:t>
      </w:r>
      <w:r>
        <w:tab/>
        <w:t>Комитет приветствует различные законодательные, институциональные и политические меры, принятые государством-участником для осуществления Конвенции, включая добавление сексуальной ориентации и инвалидности в список запрещенных оснований для дискриминации в соответствии со статьей</w:t>
      </w:r>
      <w:r>
        <w:rPr>
          <w:lang w:val="en-US"/>
        </w:rPr>
        <w:t> </w:t>
      </w:r>
      <w:r>
        <w:t xml:space="preserve">1 Конституции, принятие Закона о детском труде (обязанность проявлять должную заботу) и запрет на телесные наказания в семье на Арубе, </w:t>
      </w:r>
      <w:proofErr w:type="spellStart"/>
      <w:r>
        <w:t>Бонайре</w:t>
      </w:r>
      <w:proofErr w:type="spellEnd"/>
      <w:r>
        <w:t xml:space="preserve">, Сабе и </w:t>
      </w:r>
      <w:r w:rsidR="00B97240">
        <w:br/>
      </w:r>
      <w:r>
        <w:t>Синт-Эстатиусе. Комитет с удовлетворением отмечает ратификацию Конвенции о правах инвалидов.</w:t>
      </w:r>
    </w:p>
    <w:p w14:paraId="6AF0A378" w14:textId="3429462C" w:rsidR="009C6C1A" w:rsidRPr="00444DD7" w:rsidRDefault="009C6C1A" w:rsidP="009C6C1A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Основные проблемы, вызывающие обеспокоенность, и</w:t>
      </w:r>
      <w:r>
        <w:rPr>
          <w:bCs/>
          <w:lang w:val="en-US"/>
        </w:rPr>
        <w:t> </w:t>
      </w:r>
      <w:r>
        <w:rPr>
          <w:bCs/>
        </w:rPr>
        <w:t>рекомендации</w:t>
      </w:r>
    </w:p>
    <w:p w14:paraId="2CBC2B14" w14:textId="77777777" w:rsidR="009C6C1A" w:rsidRPr="007540B6" w:rsidRDefault="009C6C1A" w:rsidP="009C6C1A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по линии которых необходимо принять срочные меры: недискриминация (п. 15), насилие в отношении детей (п. 22), дети-инвалиды (п. 27), воздействие изменения климата на права ребенка (п. 32), дети </w:t>
      </w:r>
      <w:r>
        <w:rPr>
          <w:bCs/>
        </w:rPr>
        <w:t>из числа просителей убежища, беженцев и мигрантов</w:t>
      </w:r>
      <w:r>
        <w:t xml:space="preserve"> (п. 37) и отправление правосудия в отношении детей (п. 41).</w:t>
      </w:r>
    </w:p>
    <w:p w14:paraId="49CD7B1A" w14:textId="77777777" w:rsidR="009C6C1A" w:rsidRPr="00444DD7" w:rsidRDefault="009C6C1A" w:rsidP="009C6C1A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значимое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6AF8704E" w14:textId="2E75E406" w:rsidR="009C6C1A" w:rsidRPr="00444DD7" w:rsidRDefault="009C6C1A" w:rsidP="009C6C1A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(ст. 4, 42 и 44 (6))</w:t>
      </w:r>
    </w:p>
    <w:p w14:paraId="57F954B3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Оговорки и заявления</w:t>
      </w:r>
    </w:p>
    <w:p w14:paraId="13333451" w14:textId="77777777" w:rsidR="009C6C1A" w:rsidRPr="00444DD7" w:rsidRDefault="009C6C1A" w:rsidP="009C6C1A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повторяет свои предыдущие рекомендации от 1999, 2004, 2009 и 2015 годов</w:t>
      </w:r>
      <w:r w:rsidRPr="0061098E">
        <w:rPr>
          <w:rStyle w:val="aa"/>
          <w:bCs/>
        </w:rPr>
        <w:footnoteReference w:id="6"/>
      </w:r>
      <w:r>
        <w:rPr>
          <w:b/>
          <w:bCs/>
        </w:rPr>
        <w:t xml:space="preserve"> и настоятельно призывает государство-участник рассмотреть возможность снятия своих оговорок к статьям 26, 37 с) и 40 и заявлений о толковании к статьям 14, 22 и 38 Конвенции.</w:t>
      </w:r>
    </w:p>
    <w:p w14:paraId="2E6AC05F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5062D826" w14:textId="77777777" w:rsidR="009C6C1A" w:rsidRPr="00444DD7" w:rsidRDefault="009C6C1A" w:rsidP="009C6C1A">
      <w:pPr>
        <w:pStyle w:val="SingleTxtG"/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разработать процедуры оценки воздействия на права ребенка для национального и субнационального законодательства и политики, касающихся детей.</w:t>
      </w:r>
    </w:p>
    <w:p w14:paraId="7B0B0943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716F38E9" w14:textId="137BB9CD" w:rsidR="009C6C1A" w:rsidRPr="00444DD7" w:rsidRDefault="009C6C1A" w:rsidP="009C6C1A">
      <w:pPr>
        <w:pStyle w:val="SingleTxtG"/>
        <w:rPr>
          <w:bCs/>
        </w:rPr>
      </w:pPr>
      <w:r>
        <w:t>8.</w:t>
      </w:r>
      <w:r>
        <w:tab/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7"/>
      </w:r>
      <w:r w:rsidR="00B97240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</w:p>
    <w:p w14:paraId="52E7404C" w14:textId="7BB97795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предоставить межтерриториальной целевой группе по правам детей четкий мандат и достаточные полномочия для координации всей деятельности, связанной с выполнением Конвенции на национальном и муниципальном уровнях и между секторами, а также для реализации различных планов действий в области прав детей;</w:t>
      </w:r>
    </w:p>
    <w:p w14:paraId="0C9A94FB" w14:textId="152D7692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обеспечить, чтобы целевой группе были предоставлены людские, технические и финансовые ресурсы, необходимые для поддержки эффективного и равного осуществления Конвенции на всех входящих в состав государства-участника самоуправляющихся территориях, в том числе посредством общего набора целей и механизма мониторинга осуществления, и чтобы она предусматривала участие детей и гражданского общества.</w:t>
      </w:r>
    </w:p>
    <w:p w14:paraId="21520DD8" w14:textId="77777777" w:rsidR="009C6C1A" w:rsidRPr="00444DD7" w:rsidRDefault="009C6C1A" w:rsidP="009C6C1A">
      <w:pPr>
        <w:pStyle w:val="H23G"/>
      </w:pPr>
      <w:r>
        <w:lastRenderedPageBreak/>
        <w:tab/>
      </w:r>
      <w:r>
        <w:tab/>
      </w:r>
      <w:r>
        <w:rPr>
          <w:bCs/>
        </w:rPr>
        <w:t>Выделение ресурсов</w:t>
      </w:r>
    </w:p>
    <w:p w14:paraId="63E9D4D5" w14:textId="77777777" w:rsidR="009C6C1A" w:rsidRPr="00444DD7" w:rsidRDefault="009C6C1A" w:rsidP="009C6C1A">
      <w:pPr>
        <w:pStyle w:val="SingleTxtG"/>
        <w:rPr>
          <w:bCs/>
        </w:rPr>
      </w:pPr>
      <w:r>
        <w:t>9.</w:t>
      </w:r>
      <w:r>
        <w:tab/>
      </w:r>
      <w:r>
        <w:rPr>
          <w:b/>
          <w:bCs/>
        </w:rPr>
        <w:t>Со ссылкой на свое замечание общего порядка № 19 (2016) о государственных бюджетных ассигнованиях для осуществления прав детей Комитет рекомендует государству-участнику включить в процесс составления государственного бюджета подход, основанный на правах ребенка, и:</w:t>
      </w:r>
    </w:p>
    <w:p w14:paraId="1C96E684" w14:textId="5F04F152" w:rsidR="009C6C1A" w:rsidRPr="007540B6" w:rsidRDefault="009C6C1A" w:rsidP="009C6C1A">
      <w:pPr>
        <w:pStyle w:val="SingleTxtG"/>
        <w:rPr>
          <w:bCs/>
        </w:rPr>
      </w:pPr>
      <w:r>
        <w:tab/>
      </w:r>
      <w:r w:rsidRPr="009C6C1A">
        <w:rPr>
          <w:b/>
          <w:bCs/>
        </w:rPr>
        <w:t>a)</w:t>
      </w:r>
      <w:r w:rsidRPr="009C6C1A">
        <w:rPr>
          <w:b/>
          <w:bCs/>
        </w:rPr>
        <w:tab/>
      </w:r>
      <w:r>
        <w:rPr>
          <w:b/>
          <w:bCs/>
        </w:rPr>
        <w:t>внедрить систему отслеживания выделения, использования и мониторинга ресурсов для детей на всех входящих в состав государства-участника самоуправляющихся территориях с целью устранения неравенства и обеспечения справедливости, а также оценить, насколько инвестиции во всех секторах отвечают наилучшим интересам детей;</w:t>
      </w:r>
    </w:p>
    <w:p w14:paraId="64162873" w14:textId="5BAAB892" w:rsidR="009C6C1A" w:rsidRPr="007540B6" w:rsidRDefault="009C6C1A" w:rsidP="009C6C1A">
      <w:pPr>
        <w:pStyle w:val="SingleTxtG"/>
        <w:rPr>
          <w:bCs/>
        </w:rPr>
      </w:pPr>
      <w:r>
        <w:tab/>
      </w:r>
      <w:r w:rsidRPr="009C6C1A">
        <w:rPr>
          <w:b/>
          <w:bCs/>
        </w:rPr>
        <w:t>b)</w:t>
      </w:r>
      <w:r w:rsidRPr="009C6C1A">
        <w:rPr>
          <w:b/>
          <w:bCs/>
        </w:rPr>
        <w:tab/>
      </w:r>
      <w:r>
        <w:rPr>
          <w:b/>
          <w:bCs/>
        </w:rPr>
        <w:t>обеспечить транспарентные и основанные на широком участии процессы составления бюджета на центральном, региональном и местном уровнях, в которых могут эффективно участвовать гражданское общество, общественность и дети;</w:t>
      </w:r>
    </w:p>
    <w:p w14:paraId="411A9D18" w14:textId="3F779474" w:rsidR="009C6C1A" w:rsidRPr="00444DD7" w:rsidRDefault="009C6C1A" w:rsidP="009C6C1A">
      <w:pPr>
        <w:pStyle w:val="SingleTxtG"/>
        <w:rPr>
          <w:b/>
          <w:bCs/>
        </w:rPr>
      </w:pPr>
      <w:r>
        <w:tab/>
      </w:r>
      <w:r w:rsidRPr="009C6C1A">
        <w:rPr>
          <w:b/>
          <w:bCs/>
        </w:rPr>
        <w:t>c)</w:t>
      </w:r>
      <w:r w:rsidRPr="009C6C1A">
        <w:rPr>
          <w:b/>
          <w:bCs/>
        </w:rPr>
        <w:tab/>
      </w:r>
      <w:r>
        <w:rPr>
          <w:b/>
          <w:bCs/>
        </w:rPr>
        <w:t>проводить независимые и основанные на широком участии оценки воздействия своей налоговой и финансовой политики для обеспечения того, чтобы она не способствовала налоговым злоупотреблениям со стороны национальных компаний, работающих за пределами государства-участника, приводящим к негативному воздействию на наличие ресурсов для осуществления прав детей в странах, в которых работают эти компании.</w:t>
      </w:r>
    </w:p>
    <w:p w14:paraId="350968FA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450D0EB2" w14:textId="77777777" w:rsidR="009C6C1A" w:rsidRPr="007540B6" w:rsidRDefault="009C6C1A" w:rsidP="009C6C1A">
      <w:pPr>
        <w:pStyle w:val="SingleTxtG"/>
        <w:rPr>
          <w:bCs/>
        </w:rPr>
      </w:pPr>
      <w:r>
        <w:t>10.</w:t>
      </w:r>
      <w:r>
        <w:tab/>
      </w:r>
      <w:r>
        <w:rPr>
          <w:b/>
          <w:bCs/>
        </w:rPr>
        <w:t>Комитет отмечает существование национального механизма мониторинга положения молодежи и меры, принятые Статистическим управлением Нидерландов для улучшения системы сбора данных, но обеспокоен отсутствием комплексной и дезагрегированной системы сбора данных, которая охватывала бы все области Конвенции на всех входящих в состав государства-участника самоуправляющихся территориях.</w:t>
      </w:r>
      <w:r>
        <w:t xml:space="preserve"> </w:t>
      </w:r>
      <w:r>
        <w:rPr>
          <w:b/>
          <w:bCs/>
        </w:rPr>
        <w:t>Он рекомендует государству-участнику:</w:t>
      </w:r>
    </w:p>
    <w:p w14:paraId="20F98E45" w14:textId="0C93B854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обеспечить, чтобы его система сбора данных охватывала все области Конвенции и включала как качественные, так и количественные показатели;</w:t>
      </w:r>
      <w:r>
        <w:t xml:space="preserve"> </w:t>
      </w:r>
      <w:r>
        <w:rPr>
          <w:b/>
          <w:bCs/>
        </w:rPr>
        <w:t>чтобы данные были дезагрегированы по возрасту, полу, инвалидности, географическому положению, этническому происхождению, национальности и социально-экономическому статусу;</w:t>
      </w:r>
      <w:r>
        <w:t xml:space="preserve"> </w:t>
      </w:r>
      <w:r>
        <w:rPr>
          <w:b/>
          <w:bCs/>
        </w:rPr>
        <w:t>и чтобы собирались и анализировались данные от всех соответствующих образований и муниципалитетов независимо от различных используемых методологий;</w:t>
      </w:r>
    </w:p>
    <w:p w14:paraId="20D3AB1C" w14:textId="78CCAC3C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улучшить сбор и анализ данных о дискриминации в отношении детей, психическом здоровье, детях младшего возраста, детях в условиях альтернативного ухода, детской бедности, детях в системе правосудия, детях, гражданство которых неизвестно, детском труде и насилии над детьми, включая сексуальную эксплуатацию, жестокое обращение и торговлю людьми;</w:t>
      </w:r>
      <w:r>
        <w:t xml:space="preserve"> </w:t>
      </w:r>
    </w:p>
    <w:p w14:paraId="735813EE" w14:textId="5EF87640" w:rsidR="009C6C1A" w:rsidRPr="007540B6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обеспечить обмен данными между соответствующими министерствами, профессиональными группами и гражданским обществом, а также использовать их для оценки политики и проектов в области прав детей, включая уход за молодежью.</w:t>
      </w:r>
    </w:p>
    <w:p w14:paraId="15018B99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Независимый мониторинг</w:t>
      </w:r>
    </w:p>
    <w:p w14:paraId="7755230D" w14:textId="0C8B0C6A" w:rsidR="009C6C1A" w:rsidRPr="00444DD7" w:rsidRDefault="009C6C1A" w:rsidP="009C6C1A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Приветствуя ратификацию закона о создании института</w:t>
      </w:r>
      <w:r w:rsidR="0076440F">
        <w:rPr>
          <w:b/>
          <w:bCs/>
        </w:rPr>
        <w:t xml:space="preserve"> </w:t>
      </w:r>
      <w:r>
        <w:rPr>
          <w:b/>
          <w:bCs/>
        </w:rPr>
        <w:t xml:space="preserve">омбудсмена по делам детей на Кюрасао и учреждение национального комитета по правам ребенка на </w:t>
      </w:r>
      <w:proofErr w:type="spellStart"/>
      <w:r>
        <w:rPr>
          <w:b/>
          <w:bCs/>
        </w:rPr>
        <w:t>Синт</w:t>
      </w:r>
      <w:proofErr w:type="spellEnd"/>
      <w:r>
        <w:rPr>
          <w:b/>
          <w:bCs/>
        </w:rPr>
        <w:t>-Мартене, Комитет рекомендует государству-участнику оперативно создать независимый механизм мониторинга и поощрения прав детей на Арубе, а также обеспечить, чтобы такие механизмы на всех входящих в</w:t>
      </w:r>
      <w:r w:rsidR="0076440F">
        <w:rPr>
          <w:b/>
          <w:bCs/>
        </w:rPr>
        <w:t xml:space="preserve"> </w:t>
      </w:r>
      <w:r>
        <w:rPr>
          <w:b/>
          <w:bCs/>
        </w:rPr>
        <w:t xml:space="preserve">состав государства-участника самоуправляющихся территориях полностью соответствовали принципам, касающимся статуса национальных учреждений , занимающихся поощрением и защитой прав человека (Парижские принципы), </w:t>
      </w:r>
      <w:r>
        <w:rPr>
          <w:b/>
          <w:bCs/>
        </w:rPr>
        <w:lastRenderedPageBreak/>
        <w:t>и</w:t>
      </w:r>
      <w:r>
        <w:rPr>
          <w:b/>
          <w:bCs/>
          <w:lang w:val="en-US"/>
        </w:rPr>
        <w:t> </w:t>
      </w:r>
      <w:r>
        <w:rPr>
          <w:b/>
          <w:bCs/>
        </w:rPr>
        <w:t>могли получать, расследовать и компетентно разрешать жалобы детей в дружественной для ребенка манере.</w:t>
      </w:r>
    </w:p>
    <w:p w14:paraId="182EABF3" w14:textId="77777777" w:rsidR="009C6C1A" w:rsidRPr="007540B6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5187576D" w14:textId="77777777" w:rsidR="009C6C1A" w:rsidRPr="00444DD7" w:rsidRDefault="009C6C1A" w:rsidP="009C6C1A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обеспокоен низким уровнем знаний о Конвенции среди детей и рекомендует государству-участнику:</w:t>
      </w:r>
    </w:p>
    <w:p w14:paraId="5031DBBF" w14:textId="75C60A43" w:rsidR="009C6C1A" w:rsidRPr="007540B6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поощрять активное вовлечение детей в информационно-просветительскую деятельность и продолжать работу по повышению осведомленности общественности о правах детей, в том числе путем распространения педагогических материалов, дружественных к детям, на различных языках государства-участника;</w:t>
      </w:r>
    </w:p>
    <w:p w14:paraId="23C7FE7D" w14:textId="4984A9D8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обеспечить систематическое обучение по вопросам прав детей, Конвенции, Факультативного протокола, касающегося участия детей в вооруженных конфликтах, и Факультативного протокола, касающегося торговли детьми, детской проституции и детской порнографии, для всех специалистов, работающих с детьми и в интересах детей.</w:t>
      </w:r>
    </w:p>
    <w:p w14:paraId="4A7ABB8E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Права детей и предпринимательский сектор</w:t>
      </w:r>
    </w:p>
    <w:p w14:paraId="617A0EA0" w14:textId="3E82F536" w:rsidR="009C6C1A" w:rsidRPr="00444DD7" w:rsidRDefault="009C6C1A" w:rsidP="009C6C1A">
      <w:pPr>
        <w:pStyle w:val="SingleTxtG"/>
        <w:rPr>
          <w:bCs/>
        </w:rPr>
      </w:pPr>
      <w:r>
        <w:t>13.</w:t>
      </w:r>
      <w:r>
        <w:tab/>
      </w:r>
      <w:r>
        <w:rPr>
          <w:b/>
          <w:bCs/>
        </w:rPr>
        <w:t>Комитет отмечает введение законодательства, требующего от предприятий проявлять должную осмотрительность, и усилия по пересмотру национального плана действий по вопросам предпринимательской деятельности и прав человека.</w:t>
      </w:r>
      <w:r>
        <w:t xml:space="preserve"> </w:t>
      </w:r>
      <w:r>
        <w:rPr>
          <w:b/>
          <w:bCs/>
        </w:rPr>
        <w:t>Однако он обеспокоен сообщениями о негативном влиянии предпринимательского сектора, в том числе в сфере добычи нефти и производства сои, на права детей и окружающую среду, а также отсутствием юридической ответственности для предприятий, нарушивших права детей.</w:t>
      </w:r>
      <w:r>
        <w:t xml:space="preserve"> </w:t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8"/>
      </w:r>
      <w:r w:rsidR="00B97240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государству-участнику:</w:t>
      </w:r>
    </w:p>
    <w:p w14:paraId="228FFA60" w14:textId="0174A6E7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продолжать анализировать и адаптировать свою законодательную базу (гражданскую, уголовную и административную) для обеспечения юридической ответственности коммерческих предприятий и их дочерних компаний, действующих на территории государства-участника или управляемых с его территории, включая компании, занимающиеся добычей нефти или торговлей пальмовым маслом или соей, в отношении международных и национальных стандартов в области прав человека, трудовых, экологических и других норм;</w:t>
      </w:r>
      <w:r>
        <w:t xml:space="preserve"> </w:t>
      </w:r>
    </w:p>
    <w:p w14:paraId="0884FE15" w14:textId="7333A0D1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создать механизмы мониторинга для проведения расследований в связи с нарушениями прав детей и предоставления соответствующего возмещения в целях повышения ответственности и транспарентности;</w:t>
      </w:r>
    </w:p>
    <w:p w14:paraId="711430DC" w14:textId="7A9F2BB5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укреплять международное сотрудничество в борьбе с эксплуатацией детей на основе многосторонних, региональных и двусторонних соглашений о ее предупреждении и ликвидации.</w:t>
      </w:r>
    </w:p>
    <w:p w14:paraId="2EA361D5" w14:textId="475CC061" w:rsidR="009C6C1A" w:rsidRPr="00444DD7" w:rsidRDefault="009C6C1A" w:rsidP="009C6C1A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Общие принципы (ст. 2–3, 6 и 12)</w:t>
      </w:r>
    </w:p>
    <w:p w14:paraId="4CECF03C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38C90F0E" w14:textId="77777777" w:rsidR="009C6C1A" w:rsidRPr="00444DD7" w:rsidRDefault="009C6C1A" w:rsidP="009C6C1A">
      <w:pPr>
        <w:pStyle w:val="SingleTxtG"/>
      </w:pPr>
      <w:r>
        <w:t>14.</w:t>
      </w:r>
      <w:r>
        <w:tab/>
        <w:t xml:space="preserve">Комитет приветствует учреждение должности национального координатора по борьбе с дискриминацией и расизмом и меры, принятые для разработки национального плана по борьбе со всеми формами дискриминации, но по-прежнему обеспокоен тем, что не во всех муниципалитетах имеются антидискриминационные службы в соответствии с Законом о муниципальных антидискриминационных службах и что региональные различия и фактическая дискриминация </w:t>
      </w:r>
      <w:r>
        <w:lastRenderedPageBreak/>
        <w:t xml:space="preserve">непропорционально затрагивают детей, находящихся в неблагоприятном положении, в том числе в сфере образования, ухода за молодежью и в системе правосудия. </w:t>
      </w:r>
    </w:p>
    <w:p w14:paraId="14535D16" w14:textId="77777777" w:rsidR="009C6C1A" w:rsidRPr="00444DD7" w:rsidRDefault="009C6C1A" w:rsidP="009C6C1A">
      <w:pPr>
        <w:pStyle w:val="SingleTxtG"/>
        <w:rPr>
          <w:bCs/>
        </w:rPr>
      </w:pPr>
      <w:r>
        <w:t>15.</w:t>
      </w:r>
      <w:r>
        <w:tab/>
      </w:r>
      <w:r>
        <w:rPr>
          <w:b/>
          <w:bCs/>
        </w:rPr>
        <w:t>Ссылаясь на задачу 10.3 Целей в области устойчивого развития, Комитет рекомендует государству-участнику:</w:t>
      </w:r>
    </w:p>
    <w:p w14:paraId="5D26D607" w14:textId="4C4D2C5E" w:rsidR="009C6C1A" w:rsidRPr="007540B6" w:rsidRDefault="009C6C1A" w:rsidP="009C6C1A">
      <w:pPr>
        <w:pStyle w:val="SingleTxtG"/>
        <w:rPr>
          <w:rFonts w:eastAsia="Malgun Gothic"/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 xml:space="preserve">устранить различия между входящими в состав государства-участника самоуправляющимися территориями и всеми муниципалитетами, включая </w:t>
      </w:r>
      <w:proofErr w:type="spellStart"/>
      <w:r>
        <w:rPr>
          <w:b/>
          <w:bCs/>
        </w:rPr>
        <w:t>Бонайре</w:t>
      </w:r>
      <w:proofErr w:type="spellEnd"/>
      <w:r>
        <w:rPr>
          <w:b/>
          <w:bCs/>
        </w:rPr>
        <w:t>, Сабу и Синт-Эстатиус, в отношении доступа детей к услугам для молодежи, медицинским услугам, образованию, социальной помощи и поддержке в ответ на жестокое обращение с детьми и отсутствие заботы о них;</w:t>
      </w:r>
    </w:p>
    <w:p w14:paraId="35EDBDDC" w14:textId="47ABF7E7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обеспечить наличие во всех муниципалитетах антидискриминационной службы, дружественной к детям, куда дети могут легко сообщить о случаях дискриминации, и механизмов эффективного реагирования с учетом интересов детей;</w:t>
      </w:r>
    </w:p>
    <w:p w14:paraId="7C99694D" w14:textId="2B522605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обеспечить расследование случаев дискриминации в отношении детей, в том числе с помощью специализированных подразделений или следователей;</w:t>
      </w:r>
    </w:p>
    <w:p w14:paraId="24699AA6" w14:textId="09896423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d)</w:t>
      </w:r>
      <w:r w:rsidRPr="009C6C1A">
        <w:rPr>
          <w:b/>
          <w:bCs/>
        </w:rPr>
        <w:tab/>
      </w:r>
      <w:r>
        <w:rPr>
          <w:b/>
          <w:bCs/>
        </w:rPr>
        <w:t>оценить, при участии детей и субъектов гражданского общества, существующие меры, направленные на борьбу с дискриминацией в отношении детей, находящихся в неблагоприятном положении, чтобы определить их воздействие и соответствующим образом пересмотреть эти меры;</w:t>
      </w:r>
    </w:p>
    <w:p w14:paraId="025E8689" w14:textId="76D34FC7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e)</w:t>
      </w:r>
      <w:r w:rsidRPr="009C6C1A">
        <w:rPr>
          <w:b/>
          <w:bCs/>
        </w:rPr>
        <w:tab/>
      </w:r>
      <w:r>
        <w:rPr>
          <w:b/>
          <w:bCs/>
        </w:rPr>
        <w:t>обеспечить, чтобы дети с инвалидностью, дети, ищущие убежище, дети-мигранты и дети без постоянного места жительства имели доступ к инклюзивному и качественному образованию, включая образование в раннем детстве, без дискриминации;</w:t>
      </w:r>
    </w:p>
    <w:p w14:paraId="7F5BDA08" w14:textId="23A886EC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f)</w:t>
      </w:r>
      <w:r w:rsidRPr="009C6C1A">
        <w:rPr>
          <w:b/>
          <w:bCs/>
        </w:rPr>
        <w:tab/>
      </w:r>
      <w:r>
        <w:rPr>
          <w:b/>
          <w:bCs/>
        </w:rPr>
        <w:t xml:space="preserve">решить проблему </w:t>
      </w:r>
      <w:proofErr w:type="spellStart"/>
      <w:r>
        <w:rPr>
          <w:b/>
          <w:bCs/>
        </w:rPr>
        <w:t>перепредставленности</w:t>
      </w:r>
      <w:proofErr w:type="spellEnd"/>
      <w:r>
        <w:rPr>
          <w:b/>
          <w:bCs/>
        </w:rPr>
        <w:t xml:space="preserve"> детей-мигрантов в специальных школах и системе правосудия, в том числе путем обязательного обучения по вопросам недискриминации для сотрудников судебных органов, правоохранительных органов и учителей;</w:t>
      </w:r>
    </w:p>
    <w:p w14:paraId="01C861D1" w14:textId="03B4BC42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g)</w:t>
      </w:r>
      <w:r w:rsidRPr="009C6C1A">
        <w:rPr>
          <w:b/>
          <w:bCs/>
        </w:rPr>
        <w:tab/>
      </w:r>
      <w:r>
        <w:rPr>
          <w:b/>
          <w:bCs/>
        </w:rPr>
        <w:t>разработать политику и меры по повышению осведомленности, направленные на устранение коренных причин фактической дискриминации, с целью ликвидации стереотипов, предрассудков и дискриминации в отношении, в частности, детей, принадлежащих к группам этнических и религиозных меньшинств (включая мусульман, евреев и детей африканского происхождения), детей из числа беженцев, просителей убежища, мигрантов и детей без документов, детей с инвалидностью, лесбиянок, геев, бисексуалов, трансгендеров и интерсексов, а также детей, живущих в бедности.</w:t>
      </w:r>
    </w:p>
    <w:p w14:paraId="7F5D5189" w14:textId="77777777" w:rsidR="009C6C1A" w:rsidRPr="00444DD7" w:rsidRDefault="009C6C1A" w:rsidP="009C6C1A">
      <w:pPr>
        <w:pStyle w:val="H23G"/>
        <w:rPr>
          <w:rFonts w:eastAsia="Malgun Gothic"/>
          <w:bCs/>
        </w:rPr>
      </w:pPr>
      <w:r>
        <w:tab/>
      </w:r>
      <w:r>
        <w:tab/>
      </w:r>
      <w:r>
        <w:rPr>
          <w:bCs/>
        </w:rPr>
        <w:t>Наилучшие интересы ребенка</w:t>
      </w:r>
    </w:p>
    <w:p w14:paraId="3A0DE0F8" w14:textId="77777777" w:rsidR="009C6C1A" w:rsidRPr="00444DD7" w:rsidRDefault="009C6C1A" w:rsidP="009C6C1A">
      <w:pPr>
        <w:pStyle w:val="SingleTxtG"/>
        <w:rPr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17C5FBD" w14:textId="3AD5494D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обеспечить последовательное применение принципа наилучшего обеспечения интересов ребенка в программах и законодательных, административных и судебных процедурах, в том числе в отношении поддержки молодежи, передачи на попечение или в приемные семьи, родительской опеки, образования, а также в рамках процедур в области миграции и предоставления убежища, на всех входящих в состав государства-участника самоуправляющихся территориях;</w:t>
      </w:r>
    </w:p>
    <w:p w14:paraId="5B71A0BD" w14:textId="3068CCFF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укрепить меры, которыми руководствовались бы все соответствующие уполномоченные лица при определении наилучших интересов ребенка в любой сфере и при уделении должного внимания обеспечению этих интересов в качестве первоочередного фактора.</w:t>
      </w:r>
    </w:p>
    <w:p w14:paraId="31304CA6" w14:textId="77777777" w:rsidR="009C6C1A" w:rsidRPr="00444DD7" w:rsidRDefault="009C6C1A" w:rsidP="009C6C1A">
      <w:pPr>
        <w:pStyle w:val="H23G"/>
      </w:pPr>
      <w:r>
        <w:lastRenderedPageBreak/>
        <w:tab/>
      </w:r>
      <w:r>
        <w:tab/>
      </w:r>
      <w:r>
        <w:rPr>
          <w:bCs/>
        </w:rPr>
        <w:t>Уважение взглядов ребенка</w:t>
      </w:r>
    </w:p>
    <w:p w14:paraId="24F95BEA" w14:textId="2AA282E8" w:rsidR="009C6C1A" w:rsidRPr="00444DD7" w:rsidRDefault="009C6C1A" w:rsidP="009C6C1A">
      <w:pPr>
        <w:pStyle w:val="SingleTxtG"/>
        <w:rPr>
          <w:bCs/>
        </w:rPr>
      </w:pPr>
      <w:r>
        <w:t>17.</w:t>
      </w:r>
      <w:r>
        <w:tab/>
      </w:r>
      <w:r>
        <w:rPr>
          <w:b/>
          <w:bCs/>
        </w:rPr>
        <w:t>Комитет приветствует усилия по поощрению участия детей в разработке программ, затрагивающих детей, в том числе в борьбе с бедностью, но сожалеет, что минимальный возраст для участия детей во многих процессах принятия решений по-прежнему составляет 12 лет.</w:t>
      </w:r>
      <w:r>
        <w:t xml:space="preserve"> </w:t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9"/>
      </w:r>
      <w:r w:rsidR="0076440F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государству-участнику:</w:t>
      </w:r>
    </w:p>
    <w:p w14:paraId="0D47F129" w14:textId="1E16EC29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отменить любые возрастные ограничения для права детей выражать свое мнение по всем касающимся их вопросам и обеспечить, чтобы все дети, включая детей в возрасте до 12 лет, могли выражать свое мнение и быть услышанными при принятии всех затрагивающих их решений, в том числе в судах и</w:t>
      </w:r>
      <w:r w:rsidR="0076440F">
        <w:rPr>
          <w:b/>
          <w:bCs/>
        </w:rPr>
        <w:t xml:space="preserve"> </w:t>
      </w:r>
      <w:r>
        <w:rPr>
          <w:b/>
          <w:bCs/>
        </w:rPr>
        <w:t>в сфере гражданского производства;</w:t>
      </w:r>
    </w:p>
    <w:p w14:paraId="1BFB5A82" w14:textId="3784C7C9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продолжать укреплять меры по содействию конструктивному и полномочному участию всех детей, включая детей, находящихся в неблагоприятном положении, в жизни семьи, общины, школы и в процессе формирования политики на муниципальном и национальном уровнях, например путем разработки инструментария для проведения консультаций с детьми по вопросам национальной политики и обеспечения систематического учета результатов деятельности детских советов в процессе принятия государственных решений;</w:t>
      </w:r>
    </w:p>
    <w:p w14:paraId="14CBF1F0" w14:textId="1AC49660" w:rsidR="009C6C1A" w:rsidRPr="007540B6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обеспечить, чтобы все соответствующие специалисты, включая учителей и специалистов по уходу за молодежью, работающие с детьми и в их интересах, систематически проходили надлежащую подготовку по вопросам права ребенка быть выслушанным и учитывать его или ее мнение в соответствии с возрастом и зрелостью ребенка.</w:t>
      </w:r>
    </w:p>
    <w:p w14:paraId="6F0D4D51" w14:textId="7B2E6013" w:rsidR="009C6C1A" w:rsidRPr="00444DD7" w:rsidRDefault="009C6C1A" w:rsidP="009C6C1A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Гражданские права и свободы (ст. 7</w:t>
      </w:r>
      <w:r w:rsidR="0076440F">
        <w:rPr>
          <w:bCs/>
        </w:rPr>
        <w:t>–</w:t>
      </w:r>
      <w:r>
        <w:rPr>
          <w:bCs/>
        </w:rPr>
        <w:t>8 и 13–17)</w:t>
      </w:r>
    </w:p>
    <w:p w14:paraId="6C5C010D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20A14DD4" w14:textId="1C8F400A" w:rsidR="009C6C1A" w:rsidRPr="00444DD7" w:rsidRDefault="009C6C1A" w:rsidP="009C6C1A">
      <w:pPr>
        <w:pStyle w:val="SingleTxtG"/>
        <w:rPr>
          <w:bCs/>
        </w:rPr>
      </w:pPr>
      <w:r>
        <w:t>18.</w:t>
      </w:r>
      <w:r>
        <w:tab/>
      </w:r>
      <w:r>
        <w:rPr>
          <w:b/>
          <w:bCs/>
        </w:rPr>
        <w:t>Комитет обеспокоен тем, что условия, при которых дети без гражданства могут подать заявление на получение голландского гражданства в соответствии с действующим Законом о гражданстве, включающие требование о трехлетнем легальном проживании, являются очень жесткими.</w:t>
      </w:r>
      <w:r>
        <w:t xml:space="preserve"> </w:t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10"/>
      </w:r>
      <w:r w:rsidR="00B97240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  <w:r>
        <w:t xml:space="preserve"> </w:t>
      </w:r>
    </w:p>
    <w:p w14:paraId="67338C77" w14:textId="0986BB4B" w:rsidR="009C6C1A" w:rsidRPr="007540B6" w:rsidRDefault="009C6C1A" w:rsidP="009C6C1A">
      <w:pPr>
        <w:pStyle w:val="SingleTxtG"/>
        <w:rPr>
          <w:bCs/>
        </w:rPr>
      </w:pPr>
      <w:r w:rsidRPr="00B97240">
        <w:rPr>
          <w:b/>
          <w:bCs/>
        </w:rPr>
        <w:tab/>
        <w:t>a)</w:t>
      </w:r>
      <w:r w:rsidRPr="00B97240">
        <w:rPr>
          <w:b/>
          <w:bCs/>
        </w:rPr>
        <w:tab/>
      </w:r>
      <w:r>
        <w:rPr>
          <w:b/>
          <w:bCs/>
        </w:rPr>
        <w:t>обеспечить, чтобы все дети, родившиеся на Арубе и Кюрасао, включая детей с неурегулированным статусом проживания, имели доступ к регистрации рождения и/или удостоверениям личности, а также укрепить законные пути получения гражданства;</w:t>
      </w:r>
      <w:r>
        <w:t xml:space="preserve"> </w:t>
      </w:r>
    </w:p>
    <w:p w14:paraId="3FA091E3" w14:textId="10CBEF16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гарантировать всем детям без гражданства, родившимся или находящимся на территории государства-участника, право на приобретение гражданства независимо от статуса проживания;</w:t>
      </w:r>
    </w:p>
    <w:p w14:paraId="0E099772" w14:textId="5A4FF566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принять меры для обеспечения того, чтобы дети с «неизвестным» гражданством, статус которых не позволяет им быть зарегистрированными в качестве лиц без гражданства и получить международную защиту, не оставались с таким статусом в течение длительного периода времени;</w:t>
      </w:r>
    </w:p>
    <w:p w14:paraId="2103AC0F" w14:textId="2EFDCBC2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d)</w:t>
      </w:r>
      <w:r w:rsidRPr="009C6C1A">
        <w:rPr>
          <w:b/>
          <w:bCs/>
        </w:rPr>
        <w:tab/>
      </w:r>
      <w:r>
        <w:rPr>
          <w:b/>
          <w:bCs/>
        </w:rPr>
        <w:t>обеспечить доступ к образованию, медицинскому обслуживанию и социальным услугам для детей без гражданства и детей с «неизвестным» гражданством;</w:t>
      </w:r>
    </w:p>
    <w:p w14:paraId="24EC8568" w14:textId="6CB5C063" w:rsidR="009C6C1A" w:rsidRPr="007540B6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e)</w:t>
      </w:r>
      <w:r w:rsidRPr="009C6C1A">
        <w:rPr>
          <w:b/>
          <w:bCs/>
        </w:rPr>
        <w:tab/>
      </w:r>
      <w:r>
        <w:rPr>
          <w:b/>
          <w:bCs/>
        </w:rPr>
        <w:t xml:space="preserve">обеспечить, чтобы ни один ребенок, включая детей в возрасте от </w:t>
      </w:r>
      <w:r w:rsidR="00C94CFD">
        <w:rPr>
          <w:b/>
          <w:bCs/>
        </w:rPr>
        <w:br/>
      </w:r>
      <w:r>
        <w:rPr>
          <w:b/>
          <w:bCs/>
        </w:rPr>
        <w:t>16</w:t>
      </w:r>
      <w:r w:rsidR="00C94CFD">
        <w:rPr>
          <w:b/>
          <w:bCs/>
        </w:rPr>
        <w:t xml:space="preserve"> </w:t>
      </w:r>
      <w:r>
        <w:rPr>
          <w:b/>
          <w:bCs/>
        </w:rPr>
        <w:t xml:space="preserve">до 17 лет, не был лишен своего гражданства за действия, которые рассматриваются как угроза национальной безопасности, а также учитывать </w:t>
      </w:r>
      <w:r>
        <w:rPr>
          <w:b/>
          <w:bCs/>
        </w:rPr>
        <w:lastRenderedPageBreak/>
        <w:t>наилучшие интересы детей, когда такое лишение гражданства налагается на родителей.</w:t>
      </w:r>
    </w:p>
    <w:p w14:paraId="20C6A4F9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 и доступ к соответствующей информации</w:t>
      </w:r>
    </w:p>
    <w:p w14:paraId="7FB3B527" w14:textId="77777777" w:rsidR="009C6C1A" w:rsidRPr="00444DD7" w:rsidRDefault="009C6C1A" w:rsidP="009C6C1A">
      <w:pPr>
        <w:pStyle w:val="SingleTxtG"/>
        <w:rPr>
          <w:bCs/>
        </w:rPr>
      </w:pPr>
      <w:r>
        <w:t>19.</w:t>
      </w:r>
      <w:r>
        <w:tab/>
      </w:r>
      <w:r>
        <w:rPr>
          <w:b/>
          <w:bCs/>
        </w:rPr>
        <w:t>Приветствуя различные усилия, предпринятые государством-участником для защиты прав детей в контексте цифровых средств массовой информации, и ссылаясь на свое замечание общего порядка № 25 (2021) о правах детей в связи с цифровой средой, Комитет рекомендует государству-участнику:</w:t>
      </w:r>
    </w:p>
    <w:p w14:paraId="2C398B0F" w14:textId="0A1ABBC7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далее разрабатывать нормативные акты и политику обеспечения безопасности для защиты прав и безопасности детей в цифровой среде;</w:t>
      </w:r>
    </w:p>
    <w:p w14:paraId="36989BE3" w14:textId="3EA26D6D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обеспечить, чтобы законы о доступе к информации и цифровой среде уважали право детей на неприкосновенность частной жизни, защищали детей от вредного контента и материалов и онлайн-рисков, а также предусматривали эффективные механизмы преследования виновных, в том числе в контексте экстерриториальной юрисдикции.</w:t>
      </w:r>
    </w:p>
    <w:p w14:paraId="17A11A5A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Право ребенка на сохранение своей индивидуальности</w:t>
      </w:r>
    </w:p>
    <w:p w14:paraId="1A7C9BBB" w14:textId="2ED94788" w:rsidR="009C6C1A" w:rsidRPr="007540B6" w:rsidRDefault="009C6C1A" w:rsidP="009C6C1A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отмечает, что за отчетный период ни один новорожденный не был помещен в «детские комнаты» без информации об их матери, и рекомендует государству-участнику продолжать обеспечивать соблюдение права детей, оставленных в больницах, знать свое происхождение.</w:t>
      </w:r>
    </w:p>
    <w:p w14:paraId="396F0EC7" w14:textId="597E8F4B" w:rsidR="009C6C1A" w:rsidRPr="00444DD7" w:rsidRDefault="009C6C1A" w:rsidP="009C6C1A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Насилие в отношении детей (ст. 19, 24 (3), 28 (2), 34, 37 a) и 39)</w:t>
      </w:r>
    </w:p>
    <w:p w14:paraId="7496CAD2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Насилие в отношении детей</w:t>
      </w:r>
    </w:p>
    <w:p w14:paraId="57EFD505" w14:textId="674C0FF7" w:rsidR="009C6C1A" w:rsidRPr="00444DD7" w:rsidRDefault="009C6C1A" w:rsidP="009C6C1A">
      <w:pPr>
        <w:pStyle w:val="SingleTxtG"/>
      </w:pPr>
      <w:r>
        <w:t>21.</w:t>
      </w:r>
      <w:r>
        <w:tab/>
        <w:t xml:space="preserve">Комитет обеспокоен широкой распространенностью насилия в отношении детей, включая сексуальную эксплуатацию и онлайн-насилие, в государстве-участнике, а также отсутствием законодательных мер по защите детей от жестокого обращения, семейно-бытового насилия и телесных наказаний на </w:t>
      </w:r>
      <w:proofErr w:type="spellStart"/>
      <w:r>
        <w:t>Бонайре</w:t>
      </w:r>
      <w:proofErr w:type="spellEnd"/>
      <w:r>
        <w:t>, Сабе и Синт-Эстатиусе.</w:t>
      </w:r>
    </w:p>
    <w:p w14:paraId="26CC0F0A" w14:textId="77777777" w:rsidR="009C6C1A" w:rsidRPr="00444DD7" w:rsidRDefault="009C6C1A" w:rsidP="009C6C1A">
      <w:pPr>
        <w:pStyle w:val="SingleTxtG"/>
        <w:rPr>
          <w:bCs/>
        </w:rPr>
      </w:pPr>
      <w:r>
        <w:t>22.</w:t>
      </w:r>
      <w:r>
        <w:tab/>
      </w:r>
      <w:r>
        <w:rPr>
          <w:b/>
          <w:bCs/>
        </w:rPr>
        <w:t>Принимая к сведению задачи 5.2, 16.1 и 16.2 Целей в области устойчивого развития, Комитет рекомендует государству-участнику:</w:t>
      </w:r>
    </w:p>
    <w:p w14:paraId="7D69AD86" w14:textId="6C0D6579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 xml:space="preserve">обеспечить эффективное расследование и вмешательство во всех случаях насилия в отношении детей, включая отсутствие заботы и сексуальное насилие, дома и вне дома, а также в цифровой среде, особенно в случаях, связанных с сексуальной эксплуатацией, </w:t>
      </w:r>
      <w:proofErr w:type="spellStart"/>
      <w:r>
        <w:rPr>
          <w:b/>
          <w:bCs/>
        </w:rPr>
        <w:t>киберагрессией</w:t>
      </w:r>
      <w:proofErr w:type="spellEnd"/>
      <w:r>
        <w:rPr>
          <w:b/>
          <w:bCs/>
        </w:rPr>
        <w:t xml:space="preserve"> и грумингом;</w:t>
      </w:r>
    </w:p>
    <w:p w14:paraId="5A32E50A" w14:textId="58FABEA1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 xml:space="preserve">принять законодательные и административные меры для создания инфраструктуры защиты детей на </w:t>
      </w:r>
      <w:proofErr w:type="spellStart"/>
      <w:r>
        <w:rPr>
          <w:b/>
          <w:bCs/>
        </w:rPr>
        <w:t>Бонайре</w:t>
      </w:r>
      <w:proofErr w:type="spellEnd"/>
      <w:r>
        <w:rPr>
          <w:b/>
          <w:bCs/>
        </w:rPr>
        <w:t>, Сабе и Синт-Эстатиусе;</w:t>
      </w:r>
    </w:p>
    <w:p w14:paraId="6D89981B" w14:textId="26700114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обеспечить наличие правовой поддержки и дружественных к ребенку и конфиденциальных механизмов подачи жалоб в учреждениях интернатного типа, психиатрических учреждениях, системах патронатного воспитания и службах защиты детей, а также обеспечить оперативное рассмотрение дел;</w:t>
      </w:r>
    </w:p>
    <w:p w14:paraId="529D3E17" w14:textId="31E626E5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d)</w:t>
      </w:r>
      <w:r w:rsidRPr="009C6C1A">
        <w:rPr>
          <w:b/>
          <w:bCs/>
        </w:rPr>
        <w:tab/>
      </w:r>
      <w:r>
        <w:rPr>
          <w:b/>
          <w:bCs/>
        </w:rPr>
        <w:t xml:space="preserve">усилить меры по обеспечению того, чтобы дети, ставшие жертвами или свидетелями насилия, имели оперативный доступ к дружественным к ребенку и </w:t>
      </w:r>
      <w:proofErr w:type="spellStart"/>
      <w:r>
        <w:rPr>
          <w:b/>
          <w:bCs/>
        </w:rPr>
        <w:t>многосекторальным</w:t>
      </w:r>
      <w:proofErr w:type="spellEnd"/>
      <w:r>
        <w:rPr>
          <w:b/>
          <w:bCs/>
        </w:rPr>
        <w:t xml:space="preserve"> средствам правовой защиты и комплексной поддержке, включая судебно-медицинские интервью и психологическую терапию, обеспечивая, чтобы многодисциплинарный подход (MДП++) был ориентирован на ребенка в своей методологии, с целью предотвращения вторичной виктимизации этих детей;</w:t>
      </w:r>
    </w:p>
    <w:p w14:paraId="7563E2FA" w14:textId="656EF5BB" w:rsidR="009C6C1A" w:rsidRPr="007540B6" w:rsidRDefault="009C6C1A" w:rsidP="00A5508A">
      <w:pPr>
        <w:pStyle w:val="SingleTxtG"/>
        <w:pageBreakBefore/>
        <w:rPr>
          <w:bCs/>
        </w:rPr>
      </w:pPr>
      <w:r w:rsidRPr="009C6C1A">
        <w:rPr>
          <w:b/>
          <w:bCs/>
        </w:rPr>
        <w:lastRenderedPageBreak/>
        <w:tab/>
        <w:t>e)</w:t>
      </w:r>
      <w:r w:rsidRPr="009C6C1A">
        <w:rPr>
          <w:b/>
          <w:bCs/>
        </w:rPr>
        <w:tab/>
      </w:r>
      <w:r>
        <w:rPr>
          <w:b/>
          <w:bCs/>
        </w:rPr>
        <w:t xml:space="preserve">активизировать усилия по обучению соответствующих специалистов выявлять и адекватно реагировать на случаи насилия и жестокого обращения с детьми в соответствии с кодексом обязательного сообщения о </w:t>
      </w:r>
      <w:r w:rsidRPr="00A451CE">
        <w:rPr>
          <w:b/>
          <w:bCs/>
        </w:rPr>
        <w:t>семейно-бытовом</w:t>
      </w:r>
      <w:r>
        <w:rPr>
          <w:b/>
          <w:bCs/>
        </w:rPr>
        <w:t xml:space="preserve"> насилии и жестоком обращении с детьми и другими соответствующими протоколами, одновременно упрощая такие протоколы для снижения административной нагрузки на специалистов;</w:t>
      </w:r>
    </w:p>
    <w:p w14:paraId="14077CDF" w14:textId="6CD5FF44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f)</w:t>
      </w:r>
      <w:r w:rsidRPr="009C6C1A">
        <w:rPr>
          <w:b/>
          <w:bCs/>
        </w:rPr>
        <w:tab/>
      </w:r>
      <w:r>
        <w:rPr>
          <w:b/>
          <w:bCs/>
        </w:rPr>
        <w:t>разработать инициативы, направленные на защиту детей с инвалидностью и трансгендерных и гендерно-вариативных детей от всех форм насилия, включая физическое и психическое насилие, неправомерное обращение и сексуальную эксплуатацию;</w:t>
      </w:r>
    </w:p>
    <w:p w14:paraId="7E4E27C9" w14:textId="68AEC8F7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g)</w:t>
      </w:r>
      <w:r w:rsidRPr="009C6C1A">
        <w:rPr>
          <w:b/>
          <w:bCs/>
        </w:rPr>
        <w:tab/>
      </w:r>
      <w:r>
        <w:rPr>
          <w:b/>
          <w:bCs/>
        </w:rPr>
        <w:t xml:space="preserve">обеспечить прямой законодательный запрет телесных наказаний в учреждениях альтернативного ухода, дневного ухода и школах на </w:t>
      </w:r>
      <w:proofErr w:type="spellStart"/>
      <w:r>
        <w:rPr>
          <w:b/>
          <w:bCs/>
        </w:rPr>
        <w:t>Бонайре</w:t>
      </w:r>
      <w:proofErr w:type="spellEnd"/>
      <w:r>
        <w:rPr>
          <w:b/>
          <w:bCs/>
        </w:rPr>
        <w:t>, Сабе и Синт-Эстатиусе, а также усилить информационные кампании, направленные на продвижение позитивных, ненасильственных и основанных на участии форм воспитания и поддержания дисциплины детей и высвечивающие негативные последствия телесных наказаний;</w:t>
      </w:r>
      <w:r>
        <w:t xml:space="preserve"> </w:t>
      </w:r>
    </w:p>
    <w:p w14:paraId="175953BE" w14:textId="14608FEA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h)</w:t>
      </w:r>
      <w:r w:rsidRPr="009C6C1A">
        <w:rPr>
          <w:b/>
          <w:bCs/>
        </w:rPr>
        <w:tab/>
      </w:r>
      <w:r>
        <w:rPr>
          <w:b/>
          <w:bCs/>
        </w:rPr>
        <w:t>расширить доступ к программам лечения для детей с сексуально неадекватным поведением, включая детей, которые могли совершить сексуальные преступления, и обеспечить, чтобы такие дети получали соответствующее терапевтическое внимание и пользовались мерами по защите детей.</w:t>
      </w:r>
    </w:p>
    <w:p w14:paraId="58EE4E1A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Вредные виды практики</w:t>
      </w:r>
    </w:p>
    <w:p w14:paraId="4937307C" w14:textId="77777777" w:rsidR="009C6C1A" w:rsidRPr="00444DD7" w:rsidRDefault="009C6C1A" w:rsidP="009C6C1A">
      <w:pPr>
        <w:pStyle w:val="SingleTxtG"/>
        <w:rPr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54BD43E" w14:textId="577DB1DD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a)</w:t>
      </w:r>
      <w:r w:rsidRPr="009C6C1A">
        <w:rPr>
          <w:b/>
          <w:bCs/>
        </w:rPr>
        <w:tab/>
      </w:r>
      <w:r>
        <w:rPr>
          <w:b/>
          <w:bCs/>
        </w:rPr>
        <w:t>запретить проведение необоснованных медицинских, в частности хирургических, манипуляций в отношении детей-интерсексов, если эти манипуляции могут быть без каких-либо негативных последствий отложены до тех пор, пока такие дети не смогут дать свое осознанное согласие, и обеспечить возмещение детям, прошедшим ненужное лечение;</w:t>
      </w:r>
    </w:p>
    <w:p w14:paraId="291A4E81" w14:textId="65EF9278" w:rsidR="009C6C1A" w:rsidRPr="007540B6" w:rsidRDefault="009C6C1A" w:rsidP="009C6C1A">
      <w:pPr>
        <w:pStyle w:val="SingleTxtG"/>
        <w:rPr>
          <w:bCs/>
        </w:rPr>
      </w:pPr>
      <w:r w:rsidRPr="009C6C1A">
        <w:rPr>
          <w:b/>
          <w:bCs/>
        </w:rPr>
        <w:tab/>
        <w:t>b)</w:t>
      </w:r>
      <w:r w:rsidRPr="009C6C1A">
        <w:rPr>
          <w:b/>
          <w:bCs/>
        </w:rPr>
        <w:tab/>
      </w:r>
      <w:r>
        <w:rPr>
          <w:b/>
          <w:bCs/>
        </w:rPr>
        <w:t>предоставлять адекватные социальные, медицинские и психологические услуги, консультации и поддержку детям-интерсексам и их семьям;</w:t>
      </w:r>
    </w:p>
    <w:p w14:paraId="714267A1" w14:textId="5AE3236F" w:rsidR="009C6C1A" w:rsidRPr="00444DD7" w:rsidRDefault="009C6C1A" w:rsidP="009C6C1A">
      <w:pPr>
        <w:pStyle w:val="SingleTxtG"/>
        <w:rPr>
          <w:b/>
          <w:bCs/>
        </w:rPr>
      </w:pPr>
      <w:r w:rsidRPr="009C6C1A">
        <w:rPr>
          <w:b/>
          <w:bCs/>
        </w:rPr>
        <w:tab/>
        <w:t>c)</w:t>
      </w:r>
      <w:r w:rsidRPr="009C6C1A">
        <w:rPr>
          <w:b/>
          <w:bCs/>
        </w:rPr>
        <w:tab/>
      </w:r>
      <w:r>
        <w:rPr>
          <w:b/>
          <w:bCs/>
        </w:rPr>
        <w:t>запретить использование изоляции и сдерживания в качестве дисциплинарных мер в психиатрических учреждениях и учреждениях альтернативного ухода.</w:t>
      </w:r>
    </w:p>
    <w:p w14:paraId="1B8E713E" w14:textId="1EECB75A" w:rsidR="009C6C1A" w:rsidRPr="007540B6" w:rsidRDefault="009C6C1A" w:rsidP="009C6C1A">
      <w:pPr>
        <w:pStyle w:val="H1G"/>
        <w:rPr>
          <w:bCs/>
        </w:rPr>
      </w:pPr>
      <w:r>
        <w:rPr>
          <w:bCs/>
        </w:rPr>
        <w:tab/>
        <w:t>E.</w:t>
      </w:r>
      <w:r>
        <w:tab/>
      </w:r>
      <w:r>
        <w:rPr>
          <w:bCs/>
        </w:rPr>
        <w:t>Семейное окружение и альтернативный уход (ст. 5, 9–11, 18 (1) и</w:t>
      </w:r>
      <w:r w:rsidR="00C94CFD">
        <w:rPr>
          <w:bCs/>
        </w:rPr>
        <w:t> </w:t>
      </w:r>
      <w:r>
        <w:rPr>
          <w:bCs/>
        </w:rPr>
        <w:t>(2), 20</w:t>
      </w:r>
      <w:r w:rsidR="00BE4B36">
        <w:rPr>
          <w:bCs/>
        </w:rPr>
        <w:t>–</w:t>
      </w:r>
      <w:r>
        <w:rPr>
          <w:bCs/>
        </w:rPr>
        <w:t>21, 25 и 27 (4))</w:t>
      </w:r>
    </w:p>
    <w:p w14:paraId="429B24C6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Семейное окружение</w:t>
      </w:r>
    </w:p>
    <w:p w14:paraId="54DEA42F" w14:textId="77777777" w:rsidR="009C6C1A" w:rsidRPr="00444DD7" w:rsidRDefault="009C6C1A" w:rsidP="009C6C1A">
      <w:pPr>
        <w:pStyle w:val="SingleTxtG"/>
        <w:rPr>
          <w:bCs/>
        </w:rPr>
      </w:pPr>
      <w:r>
        <w:t>24.</w:t>
      </w:r>
      <w:r>
        <w:tab/>
      </w:r>
      <w:r>
        <w:rPr>
          <w:b/>
          <w:bCs/>
        </w:rPr>
        <w:t>С глубокой озабоченностью отмечая большое число детей, разлученных со своими семьями по экономическим причинам, в том числе в контексте дела о пособиях по уходу за детьми, Комитет рекомендует государству-участнику:</w:t>
      </w:r>
    </w:p>
    <w:p w14:paraId="7C4D7A42" w14:textId="7F2AE641" w:rsidR="009C6C1A" w:rsidRPr="00324C35" w:rsidRDefault="009C6C1A" w:rsidP="009C6C1A">
      <w:pPr>
        <w:pStyle w:val="SingleTxtG"/>
        <w:rPr>
          <w:bCs/>
        </w:rPr>
      </w:pPr>
      <w:r w:rsidRPr="00941E02">
        <w:rPr>
          <w:b/>
          <w:bCs/>
        </w:rPr>
        <w:tab/>
        <w:t>a)</w:t>
      </w:r>
      <w:r w:rsidRPr="00941E02">
        <w:rPr>
          <w:b/>
          <w:bCs/>
        </w:rPr>
        <w:tab/>
      </w:r>
      <w:r>
        <w:rPr>
          <w:b/>
          <w:bCs/>
        </w:rPr>
        <w:t>запретить разлучение детей с их семьями и помещение их в учреждения альтернативного ухода по причине только экономического положения этих семей, в том числе в случаях, когда родители проживают в приютах для бездомных, и обеспечить, чтобы дети, находящиеся в таких приютах, получали всестороннюю поддержку;</w:t>
      </w:r>
    </w:p>
    <w:p w14:paraId="4358385A" w14:textId="572E5265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b)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рассмотреть возможность отмены критериев самообеспечения в соответствии с Законом о социальной поддержке или разработать политику, направленную на поддержку семей, оставшихся без крова по экономическим причинам;</w:t>
      </w:r>
      <w:r w:rsidR="009C6C1A">
        <w:t xml:space="preserve"> </w:t>
      </w:r>
    </w:p>
    <w:p w14:paraId="2A76B0A2" w14:textId="271BD631" w:rsidR="009C6C1A" w:rsidRPr="00444DD7" w:rsidRDefault="00941E02" w:rsidP="009C6C1A">
      <w:pPr>
        <w:pStyle w:val="SingleTxtG"/>
        <w:rPr>
          <w:b/>
          <w:bCs/>
        </w:rPr>
      </w:pPr>
      <w:r w:rsidRPr="00941E02">
        <w:rPr>
          <w:b/>
          <w:bCs/>
        </w:rPr>
        <w:lastRenderedPageBreak/>
        <w:tab/>
      </w:r>
      <w:r w:rsidR="009C6C1A" w:rsidRPr="00941E02">
        <w:rPr>
          <w:b/>
          <w:bCs/>
        </w:rPr>
        <w:t>c)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обеспечить, чтобы все дети, пострадавшие вследствие дел о выплате пособий по уходу за детьми, получили компенсацию и психосоциальную поддержку, а также чтобы меры, направленные на реабилитацию пострадавших семей, принимались с учетом прав ребенка.</w:t>
      </w:r>
    </w:p>
    <w:p w14:paraId="26630BD2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40C95061" w14:textId="77777777" w:rsidR="009C6C1A" w:rsidRPr="007540B6" w:rsidRDefault="009C6C1A" w:rsidP="009C6C1A">
      <w:pPr>
        <w:pStyle w:val="SingleTxtG"/>
        <w:rPr>
          <w:bCs/>
        </w:rPr>
      </w:pPr>
      <w:r>
        <w:t>25.</w:t>
      </w:r>
      <w:r>
        <w:tab/>
      </w:r>
      <w:r>
        <w:rPr>
          <w:b/>
          <w:bCs/>
        </w:rPr>
        <w:t>Комитет приветствует усилия государства-участника по сокращению предоставления услуг по уходу за молодежью в закрытых учреждениях, по сокращению недобровольного помещения детей на воспитание вне дома и по обеспечению того, чтобы политика, касающаяся прекращения передачи детей в приемные семьи, основывалась на результатах исследований, однако он обеспокоен большим количеством случаев экстренного помещения детей на воспитание вне дома и частыми переводами детей в интернатные учреждения по уходу за молодежью.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061D71F5" w14:textId="71F4E60C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a)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далее укреплять систему патронатного воспитания и замещающих семейных домов с целью постепенного отказа от помещения детей в специализированные учреждения, особенно детей младшего возраста;</w:t>
      </w:r>
      <w:r w:rsidR="009C6C1A">
        <w:t xml:space="preserve"> </w:t>
      </w:r>
      <w:r w:rsidR="009C6C1A">
        <w:rPr>
          <w:b/>
          <w:bCs/>
        </w:rPr>
        <w:t>и выделять достаточные средства семьям для поощрения и поддержки ухода в семейной обстановке;</w:t>
      </w:r>
      <w:r w:rsidR="009C6C1A">
        <w:t xml:space="preserve"> </w:t>
      </w:r>
    </w:p>
    <w:p w14:paraId="32A979E1" w14:textId="5B2A48CD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b)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 xml:space="preserve">обеспечить временные и безопасные альтернативы ухода и создать на Арубе, Кюрасао и </w:t>
      </w:r>
      <w:proofErr w:type="spellStart"/>
      <w:r w:rsidR="009C6C1A">
        <w:rPr>
          <w:b/>
          <w:bCs/>
        </w:rPr>
        <w:t>Синт</w:t>
      </w:r>
      <w:proofErr w:type="spellEnd"/>
      <w:r w:rsidR="009C6C1A">
        <w:rPr>
          <w:b/>
          <w:bCs/>
        </w:rPr>
        <w:t>-Мартене для детей, не имеющих возможности оставаться со своими семьями, систему патронажного воспитания;</w:t>
      </w:r>
    </w:p>
    <w:p w14:paraId="2AB57738" w14:textId="0037D6CA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c)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принять более целенаправленные меры по сокращению числа экстренных случаев помещения детей на воспитание вне дома;</w:t>
      </w:r>
    </w:p>
    <w:p w14:paraId="0EAB67F4" w14:textId="7937AF96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d)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предотвращать частые переводы детей в учреждения альтернативного ухода и контролировать качество ухода в них, в том числе путем повышения доступности Национальной инспекции здравоохранения и ухода за молодежью и доверенных лиц;</w:t>
      </w:r>
      <w:r w:rsidR="009C6C1A">
        <w:t xml:space="preserve"> </w:t>
      </w:r>
    </w:p>
    <w:p w14:paraId="60BFAF7D" w14:textId="68581423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e)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усилить, в том числе путем увеличения финансирования, меры, направленные на предоставление образования, навыков и возможностей для самостоятельной жизни детям, покидающим учреждения альтернативного ухода;</w:t>
      </w:r>
    </w:p>
    <w:p w14:paraId="34BC42ED" w14:textId="16097AAE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f)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обеспечить, чтобы дети, находящиеся в учреждениях по уходу за молодежью и психиатрических лечебницах, имели право обжаловать решения, принятые в отношении них;</w:t>
      </w:r>
    </w:p>
    <w:p w14:paraId="356042E2" w14:textId="04B41146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g)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 xml:space="preserve">обеспечить регулярный мониторинг и оценку качества ухода в центрах альтернативного ухода на </w:t>
      </w:r>
      <w:proofErr w:type="spellStart"/>
      <w:r w:rsidR="009C6C1A">
        <w:rPr>
          <w:b/>
          <w:bCs/>
        </w:rPr>
        <w:t>Бонайре</w:t>
      </w:r>
      <w:proofErr w:type="spellEnd"/>
      <w:r w:rsidR="009C6C1A">
        <w:rPr>
          <w:b/>
          <w:bCs/>
        </w:rPr>
        <w:t>, Сабе и Синт-Эстатиусе;</w:t>
      </w:r>
    </w:p>
    <w:p w14:paraId="48F2A833" w14:textId="0B07566B" w:rsidR="009C6C1A" w:rsidRPr="007540B6" w:rsidRDefault="00941E02" w:rsidP="009C6C1A">
      <w:pPr>
        <w:pStyle w:val="SingleTxtG"/>
        <w:rPr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h)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далее укреплять институциональные меры на Арубе и Кюрасао для предотвращения необходимости альтернативного ухода и повышать качество альтернативного ухода, в том числе путем усиления роли агентств по семейному надзору;</w:t>
      </w:r>
    </w:p>
    <w:p w14:paraId="202B8D0A" w14:textId="338AEBE3" w:rsidR="009C6C1A" w:rsidRPr="007540B6" w:rsidRDefault="00941E02" w:rsidP="009C6C1A">
      <w:pPr>
        <w:pStyle w:val="SingleTxtG"/>
        <w:rPr>
          <w:rFonts w:eastAsia="Malgun Gothic"/>
          <w:b/>
          <w:bCs/>
        </w:rPr>
      </w:pPr>
      <w:r w:rsidRPr="00941E02">
        <w:rPr>
          <w:b/>
          <w:bCs/>
        </w:rPr>
        <w:tab/>
      </w:r>
      <w:r w:rsidR="009C6C1A" w:rsidRPr="00941E02">
        <w:rPr>
          <w:b/>
          <w:bCs/>
        </w:rPr>
        <w:t>i)</w:t>
      </w:r>
      <w:r w:rsidR="009C6C1A" w:rsidRPr="00941E02">
        <w:rPr>
          <w:b/>
          <w:bCs/>
        </w:rPr>
        <w:tab/>
      </w:r>
      <w:r w:rsidR="009C6C1A">
        <w:rPr>
          <w:b/>
          <w:bCs/>
        </w:rPr>
        <w:t>выполнить рекомендации, вытекающие из оценки Закона о молодежи в 2018 году, в том числе в отношении ухода за детьми в маргинальных ситуациях и выделения финансовых ресурсов для детей, лишенных семейного окружения.</w:t>
      </w:r>
    </w:p>
    <w:p w14:paraId="41CE6A4F" w14:textId="43422A59" w:rsidR="009C6C1A" w:rsidRPr="00444DD7" w:rsidRDefault="007D1275" w:rsidP="009C6C1A">
      <w:pPr>
        <w:pStyle w:val="H1G"/>
      </w:pPr>
      <w:r>
        <w:rPr>
          <w:bCs/>
        </w:rPr>
        <w:tab/>
      </w:r>
      <w:r w:rsidR="009C6C1A">
        <w:rPr>
          <w:bCs/>
        </w:rPr>
        <w:t>F.</w:t>
      </w:r>
      <w:r w:rsidR="009C6C1A">
        <w:tab/>
      </w:r>
      <w:r w:rsidR="009C6C1A">
        <w:rPr>
          <w:bCs/>
        </w:rPr>
        <w:t>Дети-инвалиды (ст. 23)</w:t>
      </w:r>
    </w:p>
    <w:p w14:paraId="26D142F3" w14:textId="77777777" w:rsidR="009C6C1A" w:rsidRPr="00444DD7" w:rsidRDefault="009C6C1A" w:rsidP="009C6C1A">
      <w:pPr>
        <w:pStyle w:val="SingleTxtG"/>
      </w:pPr>
      <w:r>
        <w:t>26.</w:t>
      </w:r>
      <w:r>
        <w:tab/>
        <w:t xml:space="preserve">Комитет обеспокоен увеличением числа детей с инвалидностью, посещающих специальные школы, отсутствием доступа к обучению в раннем возрасте и количеством исключений, предоставляемых детям с инвалидностью в соответствии с Законом об обязательном образовании. </w:t>
      </w:r>
    </w:p>
    <w:p w14:paraId="45022D7B" w14:textId="77777777" w:rsidR="009C6C1A" w:rsidRPr="00444DD7" w:rsidRDefault="009C6C1A" w:rsidP="00A5508A">
      <w:pPr>
        <w:pStyle w:val="SingleTxtG"/>
        <w:pageBreakBefore/>
        <w:rPr>
          <w:bCs/>
        </w:rPr>
      </w:pPr>
      <w:r>
        <w:lastRenderedPageBreak/>
        <w:t>27.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F97B347" w14:textId="5C5F728B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 xml:space="preserve">обеспечить, чтобы все дети с инвалидностью, включая детей с интеллектуальными и психосоциальными нарушениями, имели доступ к инклюзивному образованию и пользовались его преимуществами на всех уровнях, в том числе на </w:t>
      </w:r>
      <w:proofErr w:type="spellStart"/>
      <w:r w:rsidR="009C6C1A">
        <w:rPr>
          <w:b/>
          <w:bCs/>
        </w:rPr>
        <w:t>Бонайре</w:t>
      </w:r>
      <w:proofErr w:type="spellEnd"/>
      <w:r w:rsidR="009C6C1A">
        <w:rPr>
          <w:b/>
          <w:bCs/>
        </w:rPr>
        <w:t>, Сабе и Синт-Эстатиусе;</w:t>
      </w:r>
      <w:r w:rsidR="009C6C1A">
        <w:t xml:space="preserve"> </w:t>
      </w:r>
    </w:p>
    <w:p w14:paraId="79C5A4B3" w14:textId="54BA3302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усилить меры по обеспечению инклюзивного образования, в том числе путем адаптации учебных программ и подготовки и назначения профильных учителей и специалистов в интегрированные классы, чтобы дети с трудностями в обучении получали индивидуальную поддержку и должное внимание;</w:t>
      </w:r>
    </w:p>
    <w:p w14:paraId="2E4C5540" w14:textId="0643BEE1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в срочном порядке внести изменения в Закон об обязательном образовании, чтобы ограничить основания для освобождения детей с инвалидностью от обязательного образования по физическим или психологическим причинам, и выделить достаточные людские, технические и финансовые ресурсы для реализации этого закона, с тем чтобы исключения не использовались непропорционально для отказа ребенку в праве на образование;</w:t>
      </w:r>
    </w:p>
    <w:p w14:paraId="416F3338" w14:textId="166D06EA" w:rsidR="009C6C1A" w:rsidRPr="00324C35" w:rsidRDefault="007D1275" w:rsidP="009C6C1A">
      <w:pPr>
        <w:pStyle w:val="SingleTxtG"/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усилить поддержку, оказываемую детям с инвалидностью для их социальной интеграции и индивидуального развития, и обеспечить, чтобы семьи таких детей знали, как обратиться за необходимой поддержкой, в том числе путем обеспечения того, чтобы личные бюджеты для охраны</w:t>
      </w:r>
      <w:r w:rsidR="0076440F">
        <w:rPr>
          <w:b/>
          <w:bCs/>
        </w:rPr>
        <w:t xml:space="preserve"> </w:t>
      </w:r>
      <w:r w:rsidR="009C6C1A">
        <w:rPr>
          <w:b/>
          <w:bCs/>
        </w:rPr>
        <w:t>здоровья были достаточными для покрытия расходов на качественный уход, и чтобы все муниципалитеты внедрили комплексную систему оценки, направленную на обеспечение того, чтобы дети с инвалидностью получали оперативную и своевременную</w:t>
      </w:r>
      <w:r w:rsidR="0076440F">
        <w:rPr>
          <w:b/>
          <w:bCs/>
        </w:rPr>
        <w:t xml:space="preserve"> </w:t>
      </w:r>
      <w:r w:rsidR="009C6C1A">
        <w:rPr>
          <w:b/>
          <w:bCs/>
        </w:rPr>
        <w:t>поддержку.</w:t>
      </w:r>
    </w:p>
    <w:p w14:paraId="620CC34F" w14:textId="062CAF52" w:rsidR="009C6C1A" w:rsidRPr="007540B6" w:rsidRDefault="007D1275" w:rsidP="009C6C1A">
      <w:pPr>
        <w:pStyle w:val="H1G"/>
      </w:pPr>
      <w:r>
        <w:rPr>
          <w:bCs/>
        </w:rPr>
        <w:tab/>
      </w:r>
      <w:r w:rsidR="009C6C1A">
        <w:rPr>
          <w:bCs/>
        </w:rPr>
        <w:t>G.</w:t>
      </w:r>
      <w:r w:rsidR="009C6C1A">
        <w:tab/>
      </w:r>
      <w:r w:rsidR="009C6C1A">
        <w:rPr>
          <w:bCs/>
        </w:rPr>
        <w:t>Базовое медицинское обслуживание и социальное обеспечение (ст.</w:t>
      </w:r>
      <w:r>
        <w:rPr>
          <w:bCs/>
        </w:rPr>
        <w:t> </w:t>
      </w:r>
      <w:r w:rsidR="009C6C1A">
        <w:rPr>
          <w:bCs/>
        </w:rPr>
        <w:t>6, 18 (3), 24, 26, 27 (1)–(3) и 33)</w:t>
      </w:r>
    </w:p>
    <w:p w14:paraId="1EAD90FB" w14:textId="77777777" w:rsidR="009C6C1A" w:rsidRPr="00444DD7" w:rsidRDefault="009C6C1A" w:rsidP="009C6C1A">
      <w:pPr>
        <w:pStyle w:val="H23G"/>
      </w:pPr>
      <w:r>
        <w:tab/>
      </w:r>
      <w:r>
        <w:tab/>
      </w:r>
      <w:r>
        <w:rPr>
          <w:bCs/>
        </w:rPr>
        <w:t>Охрана здоровья и медицинское обслуживание</w:t>
      </w:r>
    </w:p>
    <w:p w14:paraId="039FBA83" w14:textId="77777777" w:rsidR="009C6C1A" w:rsidRPr="00444DD7" w:rsidRDefault="009C6C1A" w:rsidP="009C6C1A">
      <w:pPr>
        <w:pStyle w:val="SingleTxtG"/>
        <w:rPr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1C2F873" w14:textId="7B4E7FA1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меры, направленные на предотвращение и снижение младенческой смертности, включали предоставление качественного дородового и послеродового ухода беременным женщинам в уязвимых ситуациях, в том числе в центрах для беженцев, и создать национальный механизм раннего выявления групп беременных женщин, подверженных риску;</w:t>
      </w:r>
    </w:p>
    <w:p w14:paraId="4FC22AD8" w14:textId="0D832F17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продолжить усилия по решению проблемы избыточного веса и ожирения у детей и действия по пропаганде здорового образа жизни, в том числе путем регулирования маркетинга нездоровых продуктов питания для детей, повышения осведомленности общественности в вопросах питания и обеспечения того, чтобы дети с избыточным весом и ожирением получали необходимую поддержку в рамках программы «Молодые люди со здоровым весом»;</w:t>
      </w:r>
    </w:p>
    <w:p w14:paraId="66F27CDA" w14:textId="7CB23289" w:rsidR="009C6C1A" w:rsidRPr="00444DD7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поощрять грудное вскармливание и осуществлять контроль за применением Международного свода правил по сбыту заменителей грудного молока и инициативы «Больница, доброжелательная к ребенку».</w:t>
      </w:r>
      <w:r w:rsidR="009C6C1A">
        <w:t xml:space="preserve"> </w:t>
      </w:r>
    </w:p>
    <w:p w14:paraId="7FACB5F8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Психическое здоровье</w:t>
      </w:r>
    </w:p>
    <w:p w14:paraId="1FCDF830" w14:textId="77777777" w:rsidR="009C6C1A" w:rsidRPr="007540B6" w:rsidRDefault="009C6C1A" w:rsidP="009C6C1A">
      <w:pPr>
        <w:pStyle w:val="SingleTxtG"/>
        <w:rPr>
          <w:bCs/>
        </w:rPr>
      </w:pPr>
      <w:r>
        <w:t>29.</w:t>
      </w:r>
      <w:r>
        <w:tab/>
      </w:r>
      <w:r>
        <w:rPr>
          <w:b/>
          <w:bCs/>
        </w:rPr>
        <w:t>Комитет высоко оценивает усилия государства-участника по повышению осведомленности о проблемах психического здоровья и борьбе с соответствующей стигмой, однако обеспокоен высокими показателями депрессии и членовредительства, включая попытки и реализованные самоубийства, и листами ожидания для детей, обращающихся за услугами по охране психического здоровья.</w:t>
      </w:r>
      <w:r>
        <w:t xml:space="preserve"> </w:t>
      </w:r>
      <w:r>
        <w:rPr>
          <w:b/>
          <w:bCs/>
        </w:rPr>
        <w:t>Принимая к сведению задачу 3.4 Целей в области устойчивого развития, Комитет рекомендует государству-участнику:</w:t>
      </w:r>
    </w:p>
    <w:p w14:paraId="3BB6FE1D" w14:textId="5B499FEA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lastRenderedPageBreak/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укреплять службы и программы охраны психического здоровья детей, в том числе путем выделения достаточных финансовых, технических и людских ресурсов на профилактические меры в рамках программы по уходу за молодежью, развития терапевтических служб охраны психического здоровья на базе общин и обеспечения достаточного количества квалифицированных медицинских специалистов, включая детских психологов и психиатров, для своевременного удовлетворения потребностей детей в охране психического здоровья;</w:t>
      </w:r>
      <w:r w:rsidR="009C6C1A">
        <w:t xml:space="preserve"> </w:t>
      </w:r>
    </w:p>
    <w:p w14:paraId="763F6C9C" w14:textId="3288AE73" w:rsidR="009C6C1A" w:rsidRPr="00444DD7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предпринимать усилия для устранения основных причин суицида и плохого психического здоровья среди детей и обеспечить учет мнения детей при разработке соответствующих услуг, доступных для детей;</w:t>
      </w:r>
    </w:p>
    <w:p w14:paraId="7A3680D9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Здоровье подростков</w:t>
      </w:r>
    </w:p>
    <w:p w14:paraId="17F9FF7E" w14:textId="148346D0" w:rsidR="009C6C1A" w:rsidRPr="00444DD7" w:rsidRDefault="009C6C1A" w:rsidP="009C6C1A">
      <w:pPr>
        <w:pStyle w:val="SingleTxtG"/>
        <w:rPr>
          <w:bCs/>
        </w:rPr>
      </w:pPr>
      <w:r>
        <w:t>30.</w:t>
      </w:r>
      <w:r>
        <w:tab/>
      </w:r>
      <w:r>
        <w:rPr>
          <w:b/>
          <w:bCs/>
        </w:rPr>
        <w:t>Ссылаясь на свое замечание общего порядка № 20 (2016) об осуществлении прав ребенка в подростковом возрасте и свои предыдущие рекомендации</w:t>
      </w:r>
      <w:r w:rsidRPr="0061098E">
        <w:rPr>
          <w:rStyle w:val="aa"/>
          <w:bCs/>
        </w:rPr>
        <w:footnoteReference w:id="11"/>
      </w:r>
      <w:r w:rsidR="007D1275">
        <w:rPr>
          <w:b/>
          <w:bCs/>
        </w:rPr>
        <w:t xml:space="preserve">, </w:t>
      </w:r>
      <w:r>
        <w:rPr>
          <w:b/>
          <w:bCs/>
        </w:rPr>
        <w:t>Комитет рекомендует государству-участнику:</w:t>
      </w:r>
    </w:p>
    <w:p w14:paraId="6CCB4596" w14:textId="0B405A27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принять комплексную и эффективную гендерно-чувствительную политику в области сексуального и репродуктивного здоровья подростков;</w:t>
      </w:r>
      <w:r w:rsidR="009C6C1A">
        <w:t xml:space="preserve"> </w:t>
      </w:r>
    </w:p>
    <w:p w14:paraId="4D3969E7" w14:textId="3ECF53AC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интегрировать образование в области сексуального и репродуктивного здоровья во все уровни образования и обеспечить, чтобы оно включало соответствующее возрасту образование по вопросам гендерного равенства, сексуального разнообразия, прав на сексуальное и репродуктивное здоровье, ответственного родительства, сексуального поведения и профилактики насилия;</w:t>
      </w:r>
    </w:p>
    <w:p w14:paraId="2EA097AA" w14:textId="32C9CE98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активизировать усилия по профилактике и решению проблемы употребления подростками наркотиков, алкоголя и табака, а также обеспечить раннее выявление и адекватное направление подростков, нуждающихся в лечении, в соответствующие службы</w:t>
      </w:r>
    </w:p>
    <w:p w14:paraId="61E718F1" w14:textId="03076049" w:rsidR="009C6C1A" w:rsidRPr="007540B6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разработать национальную стратегию по профилактике и лечению игровых расстройств и обеспечить, чтобы подростки с игровыми расстройствами или другими формами онлайн-зависимости получали необходимую помощь и поддержку.</w:t>
      </w:r>
    </w:p>
    <w:p w14:paraId="79B4BAA0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  <w:r>
        <w:t xml:space="preserve"> </w:t>
      </w:r>
    </w:p>
    <w:p w14:paraId="25688D9A" w14:textId="77777777" w:rsidR="009C6C1A" w:rsidRPr="00444DD7" w:rsidRDefault="009C6C1A" w:rsidP="009C6C1A">
      <w:pPr>
        <w:pStyle w:val="SingleTxtG"/>
      </w:pPr>
      <w:r>
        <w:t>31.</w:t>
      </w:r>
      <w:r>
        <w:tab/>
        <w:t xml:space="preserve">Комитет приветствует национальное Соглашение о чистом воздухе, подписанное в 2020 году, но, тем не менее, обеспокоен негативным влиянием изменения климата на права ребенка и высокой распространенностью астмы, вызванной загрязнением. </w:t>
      </w:r>
    </w:p>
    <w:p w14:paraId="370D21FD" w14:textId="77777777" w:rsidR="009C6C1A" w:rsidRPr="00444DD7" w:rsidRDefault="009C6C1A" w:rsidP="009C6C1A">
      <w:pPr>
        <w:pStyle w:val="SingleTxtG"/>
        <w:rPr>
          <w:bCs/>
        </w:rPr>
      </w:pPr>
      <w:r>
        <w:t>32.</w:t>
      </w:r>
      <w:r>
        <w:tab/>
      </w:r>
      <w:r>
        <w:rPr>
          <w:b/>
          <w:bCs/>
        </w:rPr>
        <w:t>Обращая внимание на задачи 13.2 и 13.3 Целей в области устойчивого развития, Комитет рекомендует государству-участнику:</w:t>
      </w:r>
    </w:p>
    <w:p w14:paraId="0DDDC6F9" w14:textId="4D057370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сократить выбросы парниковых газов в соответствии с международными обязательствами государства-участника и обеспечить, чтобы национальная политика и программы по охране окружающей среды и проблеме изменения климата осуществлялись в соответствии с принципами Конвенции и с учетом потребностей и взглядов детей;</w:t>
      </w:r>
    </w:p>
    <w:p w14:paraId="1026ECB1" w14:textId="652A5BE4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принять эффективные меры по смягчению вредных последствий изменения климата и адаптации к ним, включая более высокие риски повышения уровня моря и усиления ураганов для островов Карибского бассейна;</w:t>
      </w:r>
    </w:p>
    <w:p w14:paraId="4052F88D" w14:textId="25142042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 xml:space="preserve">провести оценку политики и практики, связанных с авиационным, транспортным и другими секторами, и воздействия вызываемого ими загрязнения атмосферы и выбросов парниковых газов на права детей в качестве </w:t>
      </w:r>
      <w:r w:rsidR="009C6C1A">
        <w:rPr>
          <w:b/>
          <w:bCs/>
        </w:rPr>
        <w:lastRenderedPageBreak/>
        <w:t>основы для разработки хорошо подкрепленной ресурсами стратегии по исправлению ситуации;</w:t>
      </w:r>
      <w:r w:rsidR="009C6C1A">
        <w:t xml:space="preserve"> </w:t>
      </w:r>
    </w:p>
    <w:p w14:paraId="4A16002E" w14:textId="10264312" w:rsidR="009C6C1A" w:rsidRPr="007540B6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содействовать, при активном участии школ, повышению осведомленности детей об изменении климата и здоровье окружающей среды, в том числе в отношении соответствующего законодательства о качестве воздуха и климате и их права на наивысший достижимый уровень здоровья.</w:t>
      </w:r>
    </w:p>
    <w:p w14:paraId="4911BF13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Уровень жизни</w:t>
      </w:r>
    </w:p>
    <w:p w14:paraId="48DC17FD" w14:textId="77777777" w:rsidR="009C6C1A" w:rsidRPr="00444DD7" w:rsidRDefault="009C6C1A" w:rsidP="009C6C1A">
      <w:pPr>
        <w:pStyle w:val="SingleTxtG"/>
        <w:rPr>
          <w:bCs/>
        </w:rPr>
      </w:pPr>
      <w:r>
        <w:t>33.</w:t>
      </w:r>
      <w:r>
        <w:tab/>
      </w:r>
      <w:r>
        <w:rPr>
          <w:b/>
          <w:bCs/>
        </w:rPr>
        <w:t>Комитет приветствует меры, принятые для борьбы с детской бедностью, но обеспокоен тем, что общее число детей, живущих в бедности, остается высоким.</w:t>
      </w:r>
      <w:r>
        <w:t xml:space="preserve"> </w:t>
      </w:r>
      <w:r>
        <w:rPr>
          <w:b/>
          <w:bCs/>
        </w:rPr>
        <w:t>Ссылаясь на задачу 1.2 Целей в области устойчивого развития, Комитет рекомендует государству-участнику:</w:t>
      </w:r>
    </w:p>
    <w:p w14:paraId="3E9127D1" w14:textId="26E7BAC5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 xml:space="preserve">продолжать укреплять свою политику по обеспечению достаточного уровня жизни для всех детей на всех входящих в состав государства-участника самоуправляющихся территориях, в том числе путем увеличения социальных пособий для малоимущих семей с детьми, упрощения процедур подачи заявлений на получение финансовой поддержки, укрепления системы семейных пособий во всех департаментах, разработки мер по предотвращению бездомности и увеличения бюджетных ассигнований на систему пособий на Арубе, Кюрасао и </w:t>
      </w:r>
      <w:proofErr w:type="spellStart"/>
      <w:r w:rsidR="009C6C1A">
        <w:rPr>
          <w:b/>
          <w:bCs/>
        </w:rPr>
        <w:t>Синт</w:t>
      </w:r>
      <w:proofErr w:type="spellEnd"/>
      <w:r w:rsidR="009C6C1A">
        <w:rPr>
          <w:b/>
          <w:bCs/>
        </w:rPr>
        <w:t>-Мартене;</w:t>
      </w:r>
    </w:p>
    <w:p w14:paraId="61B14DC6" w14:textId="22F4D802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усилить меры по предоставлению нуждающимся семьям адекватного и долгосрочного социального жилья и других мер поддержки с целью сокращения бездомности и гарантирования доступа детей к адекватному жилью;</w:t>
      </w:r>
    </w:p>
    <w:p w14:paraId="6A017E64" w14:textId="260F804C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 комплексный и ориентированный на развитие подход к проблеме детской бедности, уделяя особое внимание детям из неблагополучных семей, включая детей в домохозяйствах, возглавляемых одиноким родителем, детей в семьях, находящихся на социальном обеспечении, детей-мигрантов, детей без постоянного места жительства и детей, живущих в приютах;</w:t>
      </w:r>
    </w:p>
    <w:p w14:paraId="565ABDE2" w14:textId="3BB9A699" w:rsidR="009C6C1A" w:rsidRPr="00444DD7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оценить воздействие мер по борьбе с бедностью, включая любые негативные последствия для осуществления других прав, с целью обеспечения того, чтобы такие меры были комплексными и строились на подходе, основанном на правах ребенка.</w:t>
      </w:r>
    </w:p>
    <w:p w14:paraId="72337518" w14:textId="5C38FDE4" w:rsidR="009C6C1A" w:rsidRPr="007540B6" w:rsidRDefault="007D1275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H.</w:t>
      </w:r>
      <w:r w:rsidR="009C6C1A">
        <w:tab/>
      </w:r>
      <w:r w:rsidR="009C6C1A">
        <w:rPr>
          <w:bCs/>
        </w:rPr>
        <w:t>Образование, досуг и культурная деятельность (ст. 28–31)</w:t>
      </w:r>
    </w:p>
    <w:p w14:paraId="3B200C6F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5789DBC2" w14:textId="38AD3901" w:rsidR="009C6C1A" w:rsidRPr="00444DD7" w:rsidRDefault="009C6C1A" w:rsidP="009C6C1A">
      <w:pPr>
        <w:pStyle w:val="SingleTxtG"/>
        <w:rPr>
          <w:bCs/>
        </w:rPr>
      </w:pPr>
      <w:r>
        <w:t>34.</w:t>
      </w:r>
      <w:r>
        <w:tab/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12"/>
      </w:r>
      <w:r w:rsidR="007D1275">
        <w:rPr>
          <w:b/>
          <w:bCs/>
        </w:rPr>
        <w:t>,</w:t>
      </w:r>
      <w:r>
        <w:rPr>
          <w:b/>
          <w:bCs/>
        </w:rPr>
        <w:t xml:space="preserve"> Комитет обращает внимание на задачи 4.2, 4.5 и 4.a Целей в области устойчивого развития и рекомендует государству-участнику:</w:t>
      </w:r>
    </w:p>
    <w:p w14:paraId="5EC08EB8" w14:textId="6870A70A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продолжать усилия по сокращению и предотвращению отсева и исключения из школы на основе анализа коренных причин;</w:t>
      </w:r>
    </w:p>
    <w:p w14:paraId="1C30229B" w14:textId="44C51601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доработать и принять законопроект о домашнем обучении и создать механизм мониторинга, направленный на обеспечение минимальных стандартов качества домашнего обучения;</w:t>
      </w:r>
    </w:p>
    <w:p w14:paraId="7DAC4E26" w14:textId="48762F4B" w:rsidR="009C6C1A" w:rsidRPr="00444DD7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 xml:space="preserve">выделить достаточные людские, технические и финансовые ресурсы для реализации Закона о безопасности в школе и обеспечить, чтобы меры, направленные на борьбу с </w:t>
      </w:r>
      <w:proofErr w:type="spellStart"/>
      <w:r w:rsidR="009C6C1A">
        <w:rPr>
          <w:b/>
          <w:bCs/>
        </w:rPr>
        <w:t>буллингом</w:t>
      </w:r>
      <w:proofErr w:type="spellEnd"/>
      <w:r w:rsidR="009C6C1A">
        <w:rPr>
          <w:b/>
          <w:bCs/>
        </w:rPr>
        <w:t xml:space="preserve"> в школах, включая онлайн-</w:t>
      </w:r>
      <w:proofErr w:type="spellStart"/>
      <w:r w:rsidR="009C6C1A">
        <w:rPr>
          <w:b/>
          <w:bCs/>
        </w:rPr>
        <w:t>буллинг</w:t>
      </w:r>
      <w:proofErr w:type="spellEnd"/>
      <w:r w:rsidR="009C6C1A">
        <w:rPr>
          <w:b/>
          <w:bCs/>
        </w:rPr>
        <w:t xml:space="preserve">, охватывали профилактику, механизмы раннего выявления, расширение прав и возможностей детей и специалистов, протоколы вмешательства, повышение </w:t>
      </w:r>
      <w:r w:rsidR="009C6C1A">
        <w:rPr>
          <w:b/>
          <w:bCs/>
        </w:rPr>
        <w:lastRenderedPageBreak/>
        <w:t>осведомленности о его вредных последствиях и согласованные руководящие принципы сбора данных об имеющихся случаях.</w:t>
      </w:r>
    </w:p>
    <w:p w14:paraId="563F10B3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Образование в области прав человека</w:t>
      </w:r>
    </w:p>
    <w:p w14:paraId="4C707779" w14:textId="77777777" w:rsidR="009C6C1A" w:rsidRPr="00444DD7" w:rsidRDefault="009C6C1A" w:rsidP="009C6C1A">
      <w:pPr>
        <w:pStyle w:val="SingleTxtG"/>
        <w:rPr>
          <w:bCs/>
        </w:rPr>
      </w:pPr>
      <w:r>
        <w:t>35.</w:t>
      </w:r>
      <w:r>
        <w:tab/>
      </w:r>
      <w:r>
        <w:rPr>
          <w:b/>
          <w:bCs/>
        </w:rPr>
        <w:t>Комитет сожалеет об отсутствии прямой ссылки на права детей в законодательстве о воспитании гражданских качеств в учебных программах начального и среднего образования.</w:t>
      </w:r>
      <w:r>
        <w:t xml:space="preserve"> </w:t>
      </w:r>
      <w:r>
        <w:rPr>
          <w:b/>
          <w:bCs/>
        </w:rPr>
        <w:t>Обращая внимание на задачу 4.7 Целей в области устойчивого развития, Комитет рекомендует государству-участнику активизировать усилия по содействию развитию культуры прав человека в системе образования и:</w:t>
      </w:r>
    </w:p>
    <w:p w14:paraId="11A42BA3" w14:textId="79012968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усилить преподавание прав детей и Конвенции в контексте обязательной школьной программы во всех учебных заведениях, в том числе в интернатных учреждениях, а также при подготовке учителей и специалистов в области образования, принимая во внимание рамки Всемирной программы образования в области прав человека;</w:t>
      </w:r>
    </w:p>
    <w:p w14:paraId="622AB50D" w14:textId="3C9E80D4" w:rsidR="009C6C1A" w:rsidRPr="007540B6" w:rsidRDefault="007D1275" w:rsidP="009C6C1A">
      <w:pPr>
        <w:pStyle w:val="SingleTxtG"/>
        <w:rPr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разработать учебные материалы по правам человека, способствующие уважению и признанию разнообразия, и обеспечить, чтобы учителя получали необходимую поддержку для преподавания прав детей в школах.</w:t>
      </w:r>
    </w:p>
    <w:p w14:paraId="1B708D57" w14:textId="27C11D35" w:rsidR="009C6C1A" w:rsidRPr="00444DD7" w:rsidRDefault="007D1275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I.</w:t>
      </w:r>
      <w:r w:rsidR="009C6C1A">
        <w:tab/>
      </w:r>
      <w:r w:rsidR="009C6C1A">
        <w:rPr>
          <w:bCs/>
        </w:rPr>
        <w:t>Особые меры защиты (ст. 22, 30, 32–33, 35–36, 37 b)–d) и 38–40)</w:t>
      </w:r>
    </w:p>
    <w:p w14:paraId="47EAFF5F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1D53C544" w14:textId="77777777" w:rsidR="009C6C1A" w:rsidRPr="00444DD7" w:rsidRDefault="009C6C1A" w:rsidP="009C6C1A">
      <w:pPr>
        <w:pStyle w:val="SingleTxtG"/>
      </w:pPr>
      <w:r>
        <w:t>36.</w:t>
      </w:r>
      <w:r>
        <w:tab/>
        <w:t>Комитет обеспокоен:</w:t>
      </w:r>
    </w:p>
    <w:p w14:paraId="31C38ECE" w14:textId="368A4C14" w:rsidR="009C6C1A" w:rsidRPr="007540B6" w:rsidRDefault="007D1275" w:rsidP="009C6C1A">
      <w:pPr>
        <w:pStyle w:val="SingleTxtG"/>
      </w:pPr>
      <w:r>
        <w:tab/>
      </w:r>
      <w:r w:rsidR="009C6C1A">
        <w:t>a)</w:t>
      </w:r>
      <w:r w:rsidR="009C6C1A">
        <w:tab/>
        <w:t>влиянием недавних поправок к Декрету об иностранцах на детей, ищущих убежище, и детей-беженцев, включая объединение регистрационного собеседования и первого собеседования;</w:t>
      </w:r>
    </w:p>
    <w:p w14:paraId="364A4B27" w14:textId="72955C3A" w:rsidR="009C6C1A" w:rsidRPr="007540B6" w:rsidRDefault="007D1275" w:rsidP="009C6C1A">
      <w:pPr>
        <w:pStyle w:val="SingleTxtG"/>
      </w:pPr>
      <w:r>
        <w:tab/>
      </w:r>
      <w:r w:rsidR="009C6C1A">
        <w:t>b)</w:t>
      </w:r>
      <w:r w:rsidR="009C6C1A">
        <w:tab/>
        <w:t>сообщениями о том, что дела детей старше 15 лет, ищущих убежище, иногда оцениваются по тем же критериям, которые используются для взрослых;</w:t>
      </w:r>
    </w:p>
    <w:p w14:paraId="5B31FA99" w14:textId="3E892422" w:rsidR="009C6C1A" w:rsidRPr="007540B6" w:rsidRDefault="007D1275" w:rsidP="009C6C1A">
      <w:pPr>
        <w:pStyle w:val="SingleTxtG"/>
      </w:pPr>
      <w:r>
        <w:tab/>
      </w:r>
      <w:r w:rsidR="009C6C1A">
        <w:t>c)</w:t>
      </w:r>
      <w:r w:rsidR="009C6C1A">
        <w:tab/>
        <w:t xml:space="preserve">отсутствием законодательства, защищающего права детей, ищущих убежище, отсутствием общедоступной информации о процедурах поиска убежища и барьерами, с которыми сталкиваются такие дети при получении удостоверений личности и основных услуг, включая образование, на Арубе, Кюрасао и </w:t>
      </w:r>
      <w:r w:rsidR="00006BD6">
        <w:br/>
      </w:r>
      <w:proofErr w:type="spellStart"/>
      <w:r w:rsidR="009C6C1A">
        <w:t>Синт</w:t>
      </w:r>
      <w:proofErr w:type="spellEnd"/>
      <w:r w:rsidR="009C6C1A">
        <w:t xml:space="preserve">-Мартене; </w:t>
      </w:r>
    </w:p>
    <w:p w14:paraId="27679AD9" w14:textId="07761A87" w:rsidR="009C6C1A" w:rsidRPr="00444DD7" w:rsidRDefault="007D1275" w:rsidP="009C6C1A">
      <w:pPr>
        <w:pStyle w:val="SingleTxtG"/>
      </w:pPr>
      <w:r>
        <w:tab/>
      </w:r>
      <w:r w:rsidR="009C6C1A">
        <w:t>d)</w:t>
      </w:r>
      <w:r w:rsidR="009C6C1A">
        <w:tab/>
        <w:t>сообщениями о депортации детей, ищущих убежище, без пересмотра их дел и задержании таких детей или разлучении детей с родителями, задержанными по иммиграционным причинам на Арубе и Кюрасао.</w:t>
      </w:r>
    </w:p>
    <w:p w14:paraId="4CAC3373" w14:textId="2E3BF0C3" w:rsidR="009C6C1A" w:rsidRPr="00444DD7" w:rsidRDefault="009C6C1A" w:rsidP="009C6C1A">
      <w:pPr>
        <w:pStyle w:val="SingleTxtG"/>
        <w:rPr>
          <w:bCs/>
        </w:rPr>
      </w:pPr>
      <w:r>
        <w:t>37.</w:t>
      </w:r>
      <w:r>
        <w:tab/>
      </w:r>
      <w:r>
        <w:rPr>
          <w:b/>
          <w:bCs/>
        </w:rPr>
        <w:t>Ссылаясь на совместные замечания общего порядка № 3 и № 4 Комитета по защите прав всех трудящихся-мигрантов и членов их семей/№ 22 и № 23 Комитета по правам ребенка (2017) о правах человека детей в контексте международной миграции, Комитет рекомендует государству-участнику:</w:t>
      </w:r>
    </w:p>
    <w:p w14:paraId="053E9A99" w14:textId="4C903C76" w:rsidR="009C6C1A" w:rsidRPr="00444DD7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 дружественные к ребенку процедуры предоставления убежища для всех детей в возрасте до 18 лет, в том числе путем: i) обеспечения раннего выявления их уязвимости и специфических для ребенка форм преследования, а также проведения с ними собеседований в дружественной для ребенка манере;</w:t>
      </w:r>
      <w:r w:rsidR="009C6C1A">
        <w:t xml:space="preserve"> </w:t>
      </w:r>
      <w:proofErr w:type="spellStart"/>
      <w:r w:rsidR="009C6C1A">
        <w:rPr>
          <w:b/>
          <w:bCs/>
        </w:rPr>
        <w:t>ii</w:t>
      </w:r>
      <w:proofErr w:type="spellEnd"/>
      <w:r w:rsidR="009C6C1A">
        <w:rPr>
          <w:b/>
          <w:bCs/>
        </w:rPr>
        <w:t xml:space="preserve">) обеспечения того, чтобы все ходатайства о предоставлении убежища, в том числе поданные детьми старше 15 лет, рассматривались с учетом интересов детей и при уделении должного внимания возрасту, в котором </w:t>
      </w:r>
      <w:r w:rsidR="00006BD6">
        <w:rPr>
          <w:b/>
          <w:bCs/>
        </w:rPr>
        <w:br/>
      </w:r>
      <w:r w:rsidR="009C6C1A">
        <w:rPr>
          <w:b/>
          <w:bCs/>
        </w:rPr>
        <w:t>они покинули страну своего происхождения;</w:t>
      </w:r>
      <w:r w:rsidR="009C6C1A">
        <w:t xml:space="preserve"> </w:t>
      </w:r>
      <w:r w:rsidR="009C6C1A">
        <w:rPr>
          <w:b/>
          <w:bCs/>
        </w:rPr>
        <w:t xml:space="preserve">и </w:t>
      </w:r>
      <w:proofErr w:type="spellStart"/>
      <w:r w:rsidR="009C6C1A">
        <w:rPr>
          <w:b/>
          <w:bCs/>
        </w:rPr>
        <w:t>iii</w:t>
      </w:r>
      <w:proofErr w:type="spellEnd"/>
      <w:r w:rsidR="009C6C1A">
        <w:rPr>
          <w:b/>
          <w:bCs/>
        </w:rPr>
        <w:t>) предоставления им соответствующей возрасту информации и юридических консультаций об их правах, процедурах предоставления убежища, доступных услугах и требованиях к документам, особенно с учетом последних поправок к Декрету об иностранцах;</w:t>
      </w:r>
      <w:r w:rsidR="009C6C1A">
        <w:t xml:space="preserve"> </w:t>
      </w:r>
    </w:p>
    <w:p w14:paraId="4DBD8E90" w14:textId="546C499E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lastRenderedPageBreak/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наилучшим интересам детей, ищущих убежище, отводилось первостепенное место во всех процессах предоставления убежища и чтобы их мнения были выслушаны, приняты во внимание и им уделялось должное внимание;</w:t>
      </w:r>
    </w:p>
    <w:p w14:paraId="7C12FFE1" w14:textId="784E60F6" w:rsidR="009C6C1A" w:rsidRPr="00444DD7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права детей - просителей убежища и беженцев на всех входящих в состав государства-участника самоуправляющихся территориях были гарантированы законодательством, в том числе путем: i)</w:t>
      </w:r>
      <w:r>
        <w:rPr>
          <w:b/>
          <w:bCs/>
        </w:rPr>
        <w:t> </w:t>
      </w:r>
      <w:r w:rsidR="009C6C1A">
        <w:rPr>
          <w:b/>
          <w:bCs/>
        </w:rPr>
        <w:t>обеспечения регистрации таких детей и выдачи им законных документов, удостоверяющих личность;</w:t>
      </w:r>
      <w:r w:rsidR="009C6C1A">
        <w:t xml:space="preserve"> </w:t>
      </w:r>
      <w:proofErr w:type="spellStart"/>
      <w:r w:rsidR="009C6C1A">
        <w:rPr>
          <w:b/>
          <w:bCs/>
        </w:rPr>
        <w:t>ii</w:t>
      </w:r>
      <w:proofErr w:type="spellEnd"/>
      <w:r w:rsidR="009C6C1A">
        <w:rPr>
          <w:b/>
          <w:bCs/>
        </w:rPr>
        <w:t>) принятия законодательства, регулирующего процедуры предоставления убежища и предотвращающего выдворение таких детей;</w:t>
      </w:r>
      <w:r w:rsidR="009C6C1A">
        <w:t xml:space="preserve"> </w:t>
      </w:r>
      <w:proofErr w:type="spellStart"/>
      <w:r w:rsidR="009C6C1A">
        <w:rPr>
          <w:b/>
          <w:bCs/>
        </w:rPr>
        <w:t>iii</w:t>
      </w:r>
      <w:proofErr w:type="spellEnd"/>
      <w:r w:rsidR="009C6C1A">
        <w:rPr>
          <w:b/>
          <w:bCs/>
        </w:rPr>
        <w:t>) обеспечения таким детям доступа к механизмам правосудия и средствам правовой защиты;</w:t>
      </w:r>
      <w:r w:rsidR="009C6C1A">
        <w:t xml:space="preserve"> </w:t>
      </w:r>
      <w:r w:rsidR="009C6C1A">
        <w:rPr>
          <w:b/>
          <w:bCs/>
        </w:rPr>
        <w:t xml:space="preserve">и </w:t>
      </w:r>
      <w:proofErr w:type="spellStart"/>
      <w:r w:rsidR="009C6C1A">
        <w:rPr>
          <w:b/>
          <w:bCs/>
        </w:rPr>
        <w:t>iv</w:t>
      </w:r>
      <w:proofErr w:type="spellEnd"/>
      <w:r w:rsidR="009C6C1A">
        <w:rPr>
          <w:b/>
          <w:bCs/>
        </w:rPr>
        <w:t xml:space="preserve">) распространения территориального применения Конвенции о статусе беженцев и Протокола к ней 1967 года на Кюрасао и </w:t>
      </w:r>
      <w:proofErr w:type="spellStart"/>
      <w:r w:rsidR="009C6C1A">
        <w:rPr>
          <w:b/>
          <w:bCs/>
        </w:rPr>
        <w:t>Синт</w:t>
      </w:r>
      <w:proofErr w:type="spellEnd"/>
      <w:r w:rsidR="009C6C1A">
        <w:rPr>
          <w:b/>
          <w:bCs/>
        </w:rPr>
        <w:t>-Мартен;</w:t>
      </w:r>
      <w:r w:rsidR="009C6C1A">
        <w:t xml:space="preserve"> </w:t>
      </w:r>
    </w:p>
    <w:p w14:paraId="7FEF4535" w14:textId="71EAADD5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запретить и предотвратить разлучение детей, ищущих убежище, и детей-мигрантов с их родителями, а также задержание и/или депортацию детей на всех входящих в состав государства-участника самоуправляющихся территориях, включая Арубу и Кюрасао, на основании миграционного статуса их самих или их родителей;</w:t>
      </w:r>
    </w:p>
    <w:p w14:paraId="193F06CE" w14:textId="36FDC6DB" w:rsidR="009C6C1A" w:rsidRPr="007540B6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e)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устранить барьеры, с которыми сталкиваются дети</w:t>
      </w:r>
      <w:r w:rsidR="00006BD6">
        <w:rPr>
          <w:b/>
          <w:bCs/>
        </w:rPr>
        <w:t xml:space="preserve"> — </w:t>
      </w:r>
      <w:r w:rsidR="009C6C1A">
        <w:rPr>
          <w:b/>
          <w:bCs/>
        </w:rPr>
        <w:t>просители убежища и беженцы на Арубе и Кюрасао в доступе к образованию, здравоохранению, жилью и другим основным услугам, с целью обеспечения всем таким детям доступа ко всем базовым услугам без дискриминации;</w:t>
      </w:r>
    </w:p>
    <w:p w14:paraId="21F4CCC0" w14:textId="0BD5AD86" w:rsidR="009C6C1A" w:rsidRPr="007540B6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f)</w:t>
      </w:r>
      <w:r w:rsidR="009C6C1A" w:rsidRPr="007D1275">
        <w:rPr>
          <w:b/>
          <w:bCs/>
        </w:rPr>
        <w:tab/>
      </w:r>
      <w:proofErr w:type="spellStart"/>
      <w:r w:rsidR="009C6C1A">
        <w:rPr>
          <w:b/>
          <w:bCs/>
        </w:rPr>
        <w:t>приорит</w:t>
      </w:r>
      <w:r>
        <w:rPr>
          <w:b/>
          <w:bCs/>
        </w:rPr>
        <w:t>и</w:t>
      </w:r>
      <w:r w:rsidR="009C6C1A">
        <w:rPr>
          <w:b/>
          <w:bCs/>
        </w:rPr>
        <w:t>зировать</w:t>
      </w:r>
      <w:proofErr w:type="spellEnd"/>
      <w:r w:rsidR="009C6C1A">
        <w:rPr>
          <w:b/>
          <w:bCs/>
        </w:rPr>
        <w:t xml:space="preserve"> немедленный перевод детей, ищущих убежище, и их семей из чрезвычайных центров приема беженцев и инвестировать ресурсы, необходимые для улучшения и расширения центров приема, дружественных к детям, с целью предотвращения переполненности и частых переводов детей между различными центрами;</w:t>
      </w:r>
    </w:p>
    <w:p w14:paraId="475FB944" w14:textId="44E27EA2" w:rsidR="009C6C1A" w:rsidRPr="00444DD7" w:rsidRDefault="007D1275" w:rsidP="009C6C1A">
      <w:pPr>
        <w:pStyle w:val="SingleTxtG"/>
        <w:rPr>
          <w:b/>
          <w:bCs/>
        </w:rPr>
      </w:pPr>
      <w:r>
        <w:tab/>
      </w:r>
      <w:r w:rsidR="009C6C1A" w:rsidRPr="007D1275">
        <w:rPr>
          <w:b/>
          <w:bCs/>
        </w:rPr>
        <w:t>g)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 xml:space="preserve">принять варианты постоянного и устойчивого переселения детей, ищущих убежище, и их семей на Арубе, Кюрасао и </w:t>
      </w:r>
      <w:proofErr w:type="spellStart"/>
      <w:r w:rsidR="009C6C1A">
        <w:rPr>
          <w:b/>
          <w:bCs/>
        </w:rPr>
        <w:t>Синт</w:t>
      </w:r>
      <w:proofErr w:type="spellEnd"/>
      <w:r w:rsidR="009C6C1A">
        <w:rPr>
          <w:b/>
          <w:bCs/>
        </w:rPr>
        <w:t>-Мартене, чтобы обеспечить им надлежащий правовой статус и доступ к занятости и другим возможностям.</w:t>
      </w:r>
    </w:p>
    <w:p w14:paraId="3E534589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Несопровождаемые дети</w:t>
      </w:r>
    </w:p>
    <w:p w14:paraId="1B9F7ED3" w14:textId="77777777" w:rsidR="009C6C1A" w:rsidRPr="007540B6" w:rsidRDefault="009C6C1A" w:rsidP="009C6C1A">
      <w:pPr>
        <w:pStyle w:val="SingleTxtG"/>
        <w:rPr>
          <w:bCs/>
        </w:rPr>
      </w:pPr>
      <w:r>
        <w:t>38.</w:t>
      </w:r>
      <w:r>
        <w:tab/>
      </w:r>
      <w:r>
        <w:rPr>
          <w:b/>
          <w:bCs/>
        </w:rPr>
        <w:t>Комитет приветствует меры, принятые для содействия воссоединению семей несопровождаемых и разлученных детей и оказания им поддержки в небольших центрах приема или ухода на базе семьи, но обеспокоен строгими критериями для одобрения воссоединения семей детей, родителей которых невозможно отследить.</w:t>
      </w:r>
      <w:r>
        <w:t xml:space="preserve"> </w:t>
      </w:r>
      <w:r>
        <w:rPr>
          <w:b/>
          <w:bCs/>
        </w:rPr>
        <w:t>Комитет далее обеспокоен исчезновением детей из таких учреждений.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50D12743" w14:textId="1F6EA128" w:rsidR="009C6C1A" w:rsidRPr="007540B6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пересмотреть свою систему воссоединения семей несопровождаемых детей, особенно тех, которые живут самостоятельно, и тех, у которых нет родителей или чьих родителей невозможно разыскать, с целью расширения критериев аффективных связей с другими членами семьи или законными опекунами;</w:t>
      </w:r>
      <w:r w:rsidR="009C6C1A">
        <w:t xml:space="preserve"> </w:t>
      </w:r>
    </w:p>
    <w:p w14:paraId="02DC218A" w14:textId="72294D33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усилить меры, направленные на то, чтобы решения по заявлениям о воссоединении семей принимались оперативно и в максимально допустимые законодательством сроки, в том числе путем выделения достаточных финансовых, кадровых и технических ресурсов для системы предоставления убежища;</w:t>
      </w:r>
    </w:p>
    <w:p w14:paraId="51FF69B2" w14:textId="35839D48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назначить опекуна или советника для несопровождаемых детей на всех входящих в состав государства-участника самоуправляющихся территориях;</w:t>
      </w:r>
    </w:p>
    <w:p w14:paraId="4E86C535" w14:textId="1535A176" w:rsidR="009C6C1A" w:rsidRPr="007540B6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lastRenderedPageBreak/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предоставить несопровождаемым детям долгосрочные решения, включая статус проживания, передачу на воспитание в приемные семьи и поддержку для их социальной интеграции;</w:t>
      </w:r>
    </w:p>
    <w:p w14:paraId="2348502E" w14:textId="457FD83A" w:rsidR="009C6C1A" w:rsidRPr="00444DD7" w:rsidRDefault="007D1275" w:rsidP="009C6C1A">
      <w:pPr>
        <w:pStyle w:val="SingleTxtG"/>
        <w:rPr>
          <w:b/>
          <w:bCs/>
        </w:rPr>
      </w:pPr>
      <w:r>
        <w:tab/>
      </w:r>
      <w:r w:rsidR="009C6C1A" w:rsidRPr="007D1275">
        <w:rPr>
          <w:b/>
          <w:bCs/>
        </w:rPr>
        <w:t>e)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продолжить расследование сообщений об исчезновении детей из центров приема и принять меры по предотвращению таких исчезновений.</w:t>
      </w:r>
    </w:p>
    <w:p w14:paraId="2838CAF5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Торговля людьми</w:t>
      </w:r>
    </w:p>
    <w:p w14:paraId="25CECF1B" w14:textId="76C3F2B1" w:rsidR="009C6C1A" w:rsidRPr="00444DD7" w:rsidRDefault="009C6C1A" w:rsidP="009C6C1A">
      <w:pPr>
        <w:pStyle w:val="SingleTxtG"/>
        <w:rPr>
          <w:bCs/>
        </w:rPr>
      </w:pPr>
      <w:r>
        <w:t>39.</w:t>
      </w:r>
      <w:r>
        <w:tab/>
      </w:r>
      <w:r>
        <w:rPr>
          <w:b/>
          <w:bCs/>
        </w:rPr>
        <w:t>Комитет приветствует меры, принятые для борьбы с торговлей детьми, но по-прежнему обеспокоен тем, что вид на жительство редко выдается детям</w:t>
      </w:r>
      <w:r w:rsidR="00006BD6">
        <w:rPr>
          <w:b/>
          <w:bCs/>
        </w:rPr>
        <w:t xml:space="preserve"> — </w:t>
      </w:r>
      <w:r>
        <w:rPr>
          <w:b/>
          <w:bCs/>
        </w:rPr>
        <w:t>жертвам торговли людьми, которые не сотрудничают в уголовном расследовании</w:t>
      </w:r>
      <w:r w:rsidR="00006BD6">
        <w:rPr>
          <w:b/>
          <w:bCs/>
        </w:rPr>
        <w:t>,</w:t>
      </w:r>
      <w:r>
        <w:rPr>
          <w:b/>
          <w:bCs/>
        </w:rPr>
        <w:t xml:space="preserve"> несмотря на то, что они имеют на это право в соответствии с недавними изменениями в политике, из-за отсутствия соответствующих уголовных расследований.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09EBF7D5" w14:textId="21C9BAD5" w:rsidR="009C6C1A" w:rsidRPr="007540B6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выдавать специальные виды на жительство всем детям,</w:t>
      </w:r>
      <w:r w:rsidR="009C6C1A" w:rsidRPr="00F135ED">
        <w:rPr>
          <w:b/>
          <w:bCs/>
        </w:rPr>
        <w:t xml:space="preserve"> </w:t>
      </w:r>
      <w:r w:rsidR="009C6C1A">
        <w:rPr>
          <w:b/>
          <w:bCs/>
        </w:rPr>
        <w:t>предположительно являющимся жертвами торговли людьми, независимо от соответствующих уголовных расследований, и обеспечить достаточные людские, технические и финансовые ресурсы для органов, занимающихся защитой детей</w:t>
      </w:r>
      <w:r w:rsidR="00006BD6">
        <w:rPr>
          <w:b/>
          <w:bCs/>
        </w:rPr>
        <w:t xml:space="preserve"> — </w:t>
      </w:r>
      <w:r w:rsidR="009C6C1A">
        <w:rPr>
          <w:b/>
          <w:bCs/>
        </w:rPr>
        <w:t>жертв торговли людьми, и координацию их действий на всех уровнях;</w:t>
      </w:r>
    </w:p>
    <w:p w14:paraId="3C8F629F" w14:textId="145F950F" w:rsidR="009C6C1A" w:rsidRPr="007540B6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разработать механизм мониторинга и оценки реализации программы «Вместе против торговли людьми», основанный на четком наборе измеримых результатов и показателей;</w:t>
      </w:r>
    </w:p>
    <w:p w14:paraId="63C74919" w14:textId="31E6217D" w:rsidR="009C6C1A" w:rsidRPr="00444DD7" w:rsidRDefault="007D1275" w:rsidP="009C6C1A">
      <w:pPr>
        <w:pStyle w:val="SingleTxtG"/>
        <w:rPr>
          <w:b/>
          <w:bCs/>
        </w:rPr>
      </w:pPr>
      <w: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все муниципалитеты разработали стратегии или планы действий по предотвращению и борьбы против торговли детьми, в том числе совершаемой для сексуальной эксплуатации онлайн и их криминальной эксплуатации «мальчиками-любовниками».</w:t>
      </w:r>
    </w:p>
    <w:p w14:paraId="6F4C2E07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588EBC9A" w14:textId="77777777" w:rsidR="009C6C1A" w:rsidRPr="00444DD7" w:rsidRDefault="009C6C1A" w:rsidP="009C6C1A">
      <w:pPr>
        <w:pStyle w:val="SingleTxtG"/>
      </w:pPr>
      <w:r>
        <w:t>40.</w:t>
      </w:r>
      <w:r>
        <w:tab/>
        <w:t xml:space="preserve">Комитет приветствует меры, принятые для обеспечения применимости системы правосудия в отношении детей на всех входящих в состав государства-участника самоуправляющихся территориях и для поощрения мер, альтернативных содержанию под стражей, в том числе с помощью небольших учреждений, позволяющих детям оставаться рядом с домом. Однако он обеспокоен тем, что: </w:t>
      </w:r>
    </w:p>
    <w:p w14:paraId="76E635BC" w14:textId="649F855C" w:rsidR="009C6C1A" w:rsidRPr="007540B6" w:rsidRDefault="007D1275" w:rsidP="009C6C1A">
      <w:pPr>
        <w:pStyle w:val="SingleTxtG"/>
      </w:pPr>
      <w:r>
        <w:tab/>
      </w:r>
      <w:r w:rsidR="009C6C1A">
        <w:t>a)</w:t>
      </w:r>
      <w:r w:rsidR="009C6C1A">
        <w:tab/>
        <w:t>возраст уголовной ответственности наступает с 12 лет;</w:t>
      </w:r>
    </w:p>
    <w:p w14:paraId="78A86CAC" w14:textId="56CC092A" w:rsidR="009C6C1A" w:rsidRPr="007540B6" w:rsidRDefault="007D1275" w:rsidP="009C6C1A">
      <w:pPr>
        <w:pStyle w:val="SingleTxtG"/>
      </w:pPr>
      <w:r>
        <w:tab/>
      </w:r>
      <w:r w:rsidR="009C6C1A">
        <w:t>b)</w:t>
      </w:r>
      <w:r w:rsidR="009C6C1A">
        <w:tab/>
        <w:t xml:space="preserve">суды по делам несовершеннолетних могут в определенных ситуациях налагать санкции для взрослых на детей, достигших 16-летнего возраста на момент совершения правонарушения; </w:t>
      </w:r>
    </w:p>
    <w:p w14:paraId="705DFA98" w14:textId="6C887BED" w:rsidR="009C6C1A" w:rsidRPr="00444DD7" w:rsidRDefault="007D1275" w:rsidP="009C6C1A">
      <w:pPr>
        <w:pStyle w:val="SingleTxtG"/>
      </w:pPr>
      <w:r>
        <w:tab/>
      </w:r>
      <w:r w:rsidR="009C6C1A">
        <w:t>c)</w:t>
      </w:r>
      <w:r w:rsidR="009C6C1A">
        <w:tab/>
        <w:t>детям не обеспечивается юридическое представительство по некоторым «несерьезным правонарушениям»;</w:t>
      </w:r>
    </w:p>
    <w:p w14:paraId="606379A6" w14:textId="4B0733F9" w:rsidR="009C6C1A" w:rsidRPr="00444DD7" w:rsidRDefault="007D1275" w:rsidP="009C6C1A">
      <w:pPr>
        <w:pStyle w:val="SingleTxtG"/>
      </w:pPr>
      <w:r>
        <w:tab/>
      </w:r>
      <w:r w:rsidR="009C6C1A">
        <w:t>d)</w:t>
      </w:r>
      <w:r w:rsidR="009C6C1A">
        <w:tab/>
        <w:t>значительная часть детей в учреждениях юстиции находится в предварительном заключении, в том числе в камерах полиции, и что на Кюрасао дети иногда содержатся под стражей вместе со взрослыми;</w:t>
      </w:r>
    </w:p>
    <w:p w14:paraId="633ECCD0" w14:textId="6E61C17A" w:rsidR="009C6C1A" w:rsidRPr="00444DD7" w:rsidRDefault="007D1275" w:rsidP="009C6C1A">
      <w:pPr>
        <w:pStyle w:val="SingleTxtG"/>
      </w:pPr>
      <w:r>
        <w:tab/>
      </w:r>
      <w:r w:rsidR="009C6C1A">
        <w:t>e)</w:t>
      </w:r>
      <w:r w:rsidR="009C6C1A">
        <w:tab/>
        <w:t>дети в учреждениях по уходу за молодежью, включая интернатные учреждения по уходу за молодежью и учреждения по охране психического здоровья, иногда отделяются от других детей без ведения надлежащего учета;</w:t>
      </w:r>
    </w:p>
    <w:p w14:paraId="7B443CE6" w14:textId="37486659" w:rsidR="009C6C1A" w:rsidRPr="00444DD7" w:rsidRDefault="007D1275" w:rsidP="009C6C1A">
      <w:pPr>
        <w:pStyle w:val="SingleTxtG"/>
      </w:pPr>
      <w:r>
        <w:tab/>
      </w:r>
      <w:r w:rsidR="009C6C1A">
        <w:t>f)</w:t>
      </w:r>
      <w:r w:rsidR="009C6C1A">
        <w:tab/>
        <w:t xml:space="preserve">имеется ограниченная информация о профилактических мерах, направленных на устранение коренных причин попадания детей в систему детского правосудия, особенно на Кюрасао; </w:t>
      </w:r>
    </w:p>
    <w:p w14:paraId="03E12EA2" w14:textId="6F8B3614" w:rsidR="009C6C1A" w:rsidRPr="00444DD7" w:rsidRDefault="007D1275" w:rsidP="009C6C1A">
      <w:pPr>
        <w:pStyle w:val="SingleTxtG"/>
      </w:pPr>
      <w:r>
        <w:tab/>
      </w:r>
      <w:r w:rsidR="009C6C1A">
        <w:t>g)</w:t>
      </w:r>
      <w:r w:rsidR="009C6C1A">
        <w:tab/>
        <w:t xml:space="preserve">закон по-прежнему разрешает брать образцы ДНК у детей, приговоренных к тюремному заключению, содержанию в центре для несовершеннолетних или общественным работам продолжительностью 40 часов и более, а также хранить профили ДНК в базе данных; </w:t>
      </w:r>
    </w:p>
    <w:p w14:paraId="70C69FB1" w14:textId="4AA67DA0" w:rsidR="009C6C1A" w:rsidRPr="00444DD7" w:rsidRDefault="007D1275" w:rsidP="009C6C1A">
      <w:pPr>
        <w:pStyle w:val="SingleTxtG"/>
      </w:pPr>
      <w:r>
        <w:lastRenderedPageBreak/>
        <w:tab/>
      </w:r>
      <w:r w:rsidR="009C6C1A">
        <w:t>h)</w:t>
      </w:r>
      <w:r w:rsidR="009C6C1A">
        <w:tab/>
        <w:t>некоторые дети, совершившие определенные правонарушения, включая тех, кто был осужден за сексуальное преступление, не смогут получить свидетельство о соответствующем поведении.</w:t>
      </w:r>
    </w:p>
    <w:p w14:paraId="0EE934E7" w14:textId="77777777" w:rsidR="009C6C1A" w:rsidRPr="00444DD7" w:rsidRDefault="009C6C1A" w:rsidP="009C6C1A">
      <w:pPr>
        <w:pStyle w:val="SingleTxtG"/>
        <w:rPr>
          <w:bCs/>
        </w:rPr>
      </w:pPr>
      <w:r>
        <w:t>41.</w:t>
      </w:r>
      <w:r>
        <w:tab/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детей, Комитет рекомендует государству-участнику:</w:t>
      </w:r>
    </w:p>
    <w:p w14:paraId="239F2F1A" w14:textId="702E2D60" w:rsidR="009C6C1A" w:rsidRPr="00444DD7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a)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рассмотреть возможность повышения возраста наступления уголовной ответственности по крайней мере до 14 лет;</w:t>
      </w:r>
    </w:p>
    <w:p w14:paraId="2CDEC03A" w14:textId="368FBC4E" w:rsidR="009C6C1A" w:rsidRPr="00444DD7" w:rsidRDefault="007D1275" w:rsidP="009C6C1A">
      <w:pPr>
        <w:pStyle w:val="SingleTxtG"/>
        <w:rPr>
          <w:rFonts w:eastAsia="Calibri"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b)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рассмотреть вопрос о пересмотре законодательства с целью обеспечения применения системы детского правосудия ко всем детям в возрасте до 18 лет;</w:t>
      </w:r>
    </w:p>
    <w:p w14:paraId="78814B5B" w14:textId="4337BCB3" w:rsidR="009C6C1A" w:rsidRPr="00444DD7" w:rsidRDefault="007D1275" w:rsidP="009C6C1A">
      <w:pPr>
        <w:pStyle w:val="SingleTxtG"/>
        <w:rPr>
          <w:rFonts w:eastAsia="Calibri"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c)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предотвращать и ограничивать использование досудебного содержания под стражей, обеспечивая, чтобы арестованные и лишенные свободы дети незамедлительно доставлялись в компетентный орган для рассмотрения вопроса о законности лишения свободы или его продления;</w:t>
      </w:r>
    </w:p>
    <w:p w14:paraId="1334DD8B" w14:textId="53114276" w:rsidR="009C6C1A" w:rsidRPr="00444DD7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d)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контролировать применение лишения свободы для обеспечения того, чтобы оно использовалось только в качестве крайней меры и в течение как можно более короткого периода времени и чтобы применение этой меры регулярно пересматривалось на предмет ее отмены;</w:t>
      </w:r>
    </w:p>
    <w:p w14:paraId="6E23DE28" w14:textId="0CD94C62" w:rsidR="009C6C1A" w:rsidRPr="00444DD7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e)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любое разлучение ребенка с другими детьми было как можно более коротким и проводилось только для защиты ребенка или других людей, в присутствии или под пристальным наблюдением соответствующим образом подготовленного сотрудника, а также чтобы причины и продолжительность были зафиксированы;</w:t>
      </w:r>
    </w:p>
    <w:p w14:paraId="710E9B5D" w14:textId="29E06EEA" w:rsidR="009C6C1A" w:rsidRPr="00444DD7" w:rsidRDefault="007D1275" w:rsidP="009C6C1A">
      <w:pPr>
        <w:pStyle w:val="SingleTxtG"/>
        <w:rPr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f)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обеспечить, чтобы во всех частях Королевства в случаях, когда задержание неизбежно, дети не содержались вместе со взрослыми и чтобы условия содержания под стражей соответствовали международным стандартам;</w:t>
      </w:r>
    </w:p>
    <w:p w14:paraId="586B4248" w14:textId="3E983AFA" w:rsidR="009C6C1A" w:rsidRPr="00444DD7" w:rsidRDefault="007D1275" w:rsidP="009C6C1A">
      <w:pPr>
        <w:pStyle w:val="SingleTxtG"/>
        <w:rPr>
          <w:rFonts w:eastAsia="Calibri"/>
          <w:bCs/>
        </w:rPr>
      </w:pPr>
      <w:r>
        <w:tab/>
      </w:r>
      <w:r w:rsidR="009C6C1A" w:rsidRPr="007D1275">
        <w:rPr>
          <w:b/>
          <w:bCs/>
        </w:rPr>
        <w:t>g)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разработать стратегию предотвращения детских правонарушений во всех частях Королевства, включая раннее вмешательство, с ориентацией на детей, не достигших минимального возраста уголовной ответственности;</w:t>
      </w:r>
    </w:p>
    <w:p w14:paraId="25DABBF8" w14:textId="711B6C79" w:rsidR="009C6C1A" w:rsidRPr="00444DD7" w:rsidRDefault="007D1275" w:rsidP="009C6C1A">
      <w:pPr>
        <w:pStyle w:val="SingleTxtG"/>
        <w:rPr>
          <w:bCs/>
        </w:rPr>
      </w:pPr>
      <w:r>
        <w:tab/>
      </w:r>
      <w:r w:rsidR="009C6C1A" w:rsidRPr="007D1275">
        <w:rPr>
          <w:b/>
          <w:bCs/>
        </w:rPr>
        <w:t>h)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пересмотреть обычную практику тестирования и хранения ДНК в отношении детей, осужденных за некоторые определенные преступления;</w:t>
      </w:r>
    </w:p>
    <w:p w14:paraId="5369DD94" w14:textId="441D4E20" w:rsidR="009C6C1A" w:rsidRPr="00444DD7" w:rsidRDefault="007D1275" w:rsidP="009C6C1A">
      <w:pPr>
        <w:pStyle w:val="SingleTxtG"/>
        <w:rPr>
          <w:rFonts w:eastAsia="Calibri"/>
          <w:b/>
          <w:bCs/>
        </w:rPr>
      </w:pPr>
      <w:r w:rsidRPr="007D1275">
        <w:rPr>
          <w:b/>
          <w:bCs/>
        </w:rPr>
        <w:tab/>
      </w:r>
      <w:r w:rsidR="009C6C1A" w:rsidRPr="007D1275">
        <w:rPr>
          <w:b/>
          <w:bCs/>
        </w:rPr>
        <w:t>i)</w:t>
      </w:r>
      <w:r w:rsidR="009C6C1A" w:rsidRPr="007D1275">
        <w:rPr>
          <w:b/>
          <w:bCs/>
        </w:rPr>
        <w:tab/>
      </w:r>
      <w:r w:rsidR="009C6C1A">
        <w:rPr>
          <w:b/>
          <w:bCs/>
        </w:rPr>
        <w:t>пересмотреть аспекты своей системы учета судимостей, которые не позволяют детям, обвиняемым в определенных преступлениях, получить свидетельство о соответствующем поведении, в том числе в отношении стирания судимостей детей, которые были оправданы или отбыли наказание, в том числе за сексуальные преступления.</w:t>
      </w:r>
      <w:bookmarkStart w:id="0" w:name="_Hlk97623643"/>
      <w:bookmarkEnd w:id="0"/>
    </w:p>
    <w:p w14:paraId="1F66515B" w14:textId="67B5265A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J.</w:t>
      </w:r>
      <w:r w:rsidR="009C6C1A">
        <w:tab/>
      </w:r>
      <w:r w:rsidR="009C6C1A"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334BDAB0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0011687C" w14:textId="4A809EC1" w:rsidR="009C6C1A" w:rsidRPr="00444DD7" w:rsidRDefault="009C6C1A" w:rsidP="009C6C1A">
      <w:pPr>
        <w:pStyle w:val="SingleTxtG"/>
        <w:rPr>
          <w:bCs/>
        </w:rPr>
      </w:pPr>
      <w:r>
        <w:t>42.</w:t>
      </w:r>
      <w:r>
        <w:tab/>
      </w:r>
      <w:r>
        <w:rPr>
          <w:b/>
          <w:bCs/>
        </w:rPr>
        <w:t>Комитет обеспокоен большим количеством материалов о сексуальном насилии онлайн, размещенных на серверах в государстве-участнике.</w:t>
      </w:r>
      <w:r>
        <w:t xml:space="preserve"> </w:t>
      </w:r>
      <w:r>
        <w:rPr>
          <w:b/>
          <w:bCs/>
        </w:rPr>
        <w:t>Ссылаясь на свои руководящие принципы 2019 года в отношении осуществления Факультативного протокола к Конвенции о правах ребенка, касающегося торговли детьми, детской проституции и детской порнографии</w:t>
      </w:r>
      <w:r w:rsidRPr="0061098E">
        <w:rPr>
          <w:rStyle w:val="aa"/>
          <w:bCs/>
        </w:rPr>
        <w:footnoteReference w:id="13"/>
      </w:r>
      <w:r w:rsidR="009537A8">
        <w:rPr>
          <w:b/>
          <w:bCs/>
        </w:rPr>
        <w:t>,</w:t>
      </w:r>
      <w:r>
        <w:rPr>
          <w:b/>
          <w:bCs/>
        </w:rPr>
        <w:t xml:space="preserve"> и напоминая о </w:t>
      </w:r>
      <w:r>
        <w:rPr>
          <w:b/>
          <w:bCs/>
        </w:rPr>
        <w:lastRenderedPageBreak/>
        <w:t>своих предыдущих рекомендациях</w:t>
      </w:r>
      <w:r w:rsidRPr="0061098E">
        <w:rPr>
          <w:rStyle w:val="aa"/>
          <w:bCs/>
        </w:rPr>
        <w:footnoteReference w:id="14"/>
      </w:r>
      <w:r w:rsidR="009537A8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</w:p>
    <w:p w14:paraId="36E208A8" w14:textId="435739D0" w:rsidR="009C6C1A" w:rsidRPr="00444DD7" w:rsidRDefault="009537A8" w:rsidP="009C6C1A">
      <w:pPr>
        <w:pStyle w:val="SingleTxtG"/>
        <w:rPr>
          <w:bCs/>
        </w:rPr>
      </w:pPr>
      <w:r w:rsidRPr="009537A8">
        <w:rPr>
          <w:b/>
          <w:bCs/>
        </w:rPr>
        <w:tab/>
      </w:r>
      <w:r w:rsidR="009C6C1A" w:rsidRPr="009537A8">
        <w:rPr>
          <w:b/>
          <w:bCs/>
        </w:rPr>
        <w:t>a)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обеспечить криминализацию всех форм торговли детьми в соответствии со статьями 2 и 3 Факультативного протокола, особенно в отношении торговли детьми в рамках суррогатного материнства и неправомерного склонения к согласию на усыновление/удочерение;</w:t>
      </w:r>
    </w:p>
    <w:p w14:paraId="1872E3EF" w14:textId="220BE1AD" w:rsidR="009C6C1A" w:rsidRPr="002C34E5" w:rsidRDefault="009537A8" w:rsidP="009C6C1A">
      <w:pPr>
        <w:pStyle w:val="SingleTxtG"/>
        <w:rPr>
          <w:b/>
          <w:bCs/>
        </w:rPr>
      </w:pPr>
      <w:r>
        <w:tab/>
      </w:r>
      <w:r w:rsidR="009C6C1A" w:rsidRPr="009537A8">
        <w:rPr>
          <w:b/>
          <w:bCs/>
        </w:rPr>
        <w:t>b)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предотвращать и пресекать онлайн-торговлю детьми в целях сексуальной эксплуатации и надругательств, в том числе путем: i) обеспечения того, чтобы национальные правовые и политические рамки адекватно охватывали все проявления торговли детьми и сексуальной эксплуатации детей, которые совершаются или облегчаются с помощью информационно-коммуникационных технологий;</w:t>
      </w:r>
      <w:r w:rsidR="009C6C1A">
        <w:t xml:space="preserve"> </w:t>
      </w:r>
      <w:proofErr w:type="spellStart"/>
      <w:r w:rsidR="009C6C1A">
        <w:rPr>
          <w:b/>
          <w:bCs/>
        </w:rPr>
        <w:t>ii</w:t>
      </w:r>
      <w:proofErr w:type="spellEnd"/>
      <w:r w:rsidR="009C6C1A">
        <w:rPr>
          <w:b/>
          <w:bCs/>
        </w:rPr>
        <w:t>) проведения анализа, исследований и мониторинга с учетом онлайновой специфики</w:t>
      </w:r>
      <w:r w:rsidR="0076440F">
        <w:rPr>
          <w:b/>
          <w:bCs/>
        </w:rPr>
        <w:t xml:space="preserve"> </w:t>
      </w:r>
      <w:r w:rsidR="009C6C1A">
        <w:rPr>
          <w:b/>
          <w:bCs/>
        </w:rPr>
        <w:t>для лучшего понимания онлайновых правонарушений</w:t>
      </w:r>
      <w:r w:rsidR="0076440F">
        <w:rPr>
          <w:b/>
          <w:bCs/>
        </w:rPr>
        <w:t xml:space="preserve"> </w:t>
      </w:r>
      <w:r w:rsidR="009C6C1A">
        <w:rPr>
          <w:b/>
          <w:bCs/>
        </w:rPr>
        <w:t>и разработки соответствующих мер реагирования;</w:t>
      </w:r>
      <w:r w:rsidR="009C6C1A">
        <w:t xml:space="preserve"> </w:t>
      </w:r>
      <w:proofErr w:type="spellStart"/>
      <w:r w:rsidR="009C6C1A">
        <w:rPr>
          <w:b/>
          <w:bCs/>
        </w:rPr>
        <w:t>iii</w:t>
      </w:r>
      <w:proofErr w:type="spellEnd"/>
      <w:r w:rsidR="009C6C1A">
        <w:rPr>
          <w:b/>
          <w:bCs/>
        </w:rPr>
        <w:t>) обеспечения того, чтобы поставщики интернет-услуг контролировали, блокировали и оперативно удаляли материалы о сексуальном насилии онлайн;</w:t>
      </w:r>
      <w:r w:rsidR="009C6C1A">
        <w:t xml:space="preserve"> </w:t>
      </w:r>
      <w:r w:rsidR="003C028A">
        <w:br/>
      </w:r>
      <w:r w:rsidR="009C6C1A">
        <w:rPr>
          <w:b/>
          <w:bCs/>
        </w:rPr>
        <w:t xml:space="preserve">и </w:t>
      </w:r>
      <w:proofErr w:type="spellStart"/>
      <w:r w:rsidR="009C6C1A">
        <w:rPr>
          <w:b/>
          <w:bCs/>
        </w:rPr>
        <w:t>iv</w:t>
      </w:r>
      <w:proofErr w:type="spellEnd"/>
      <w:r w:rsidR="009C6C1A">
        <w:rPr>
          <w:b/>
          <w:bCs/>
        </w:rPr>
        <w:t xml:space="preserve">) включения в обязательную подготовку сотрудников правоохранительных органов, адвокатов, судебных органов и других соответствующих специалистов конкретных компонентов, касающихся онлайновых правонарушений, а также </w:t>
      </w:r>
      <w:r w:rsidR="009C6C1A" w:rsidRPr="002C34E5">
        <w:rPr>
          <w:b/>
          <w:bCs/>
          <w:color w:val="333333"/>
          <w:sz w:val="21"/>
          <w:szCs w:val="21"/>
        </w:rPr>
        <w:t>онлайновых инструментов для облегчения методов выявления жертв и спасательных операций.</w:t>
      </w:r>
    </w:p>
    <w:p w14:paraId="0A9F1335" w14:textId="77777777" w:rsidR="009C6C1A" w:rsidRPr="00444DD7" w:rsidRDefault="009C6C1A" w:rsidP="009C6C1A">
      <w:pPr>
        <w:pStyle w:val="H23G"/>
        <w:rPr>
          <w:bCs/>
        </w:rPr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</w:p>
    <w:p w14:paraId="13B08164" w14:textId="5F152F96" w:rsidR="009C6C1A" w:rsidRPr="00444DD7" w:rsidRDefault="009C6C1A" w:rsidP="009C6C1A">
      <w:pPr>
        <w:pStyle w:val="SingleTxtG"/>
        <w:rPr>
          <w:bCs/>
        </w:rPr>
      </w:pPr>
      <w:r>
        <w:t>43.</w:t>
      </w:r>
      <w:r>
        <w:tab/>
      </w:r>
      <w:r>
        <w:rPr>
          <w:b/>
          <w:bCs/>
        </w:rPr>
        <w:t>Ссылаясь на свои предыдущие рекомендации</w:t>
      </w:r>
      <w:r w:rsidRPr="0061098E">
        <w:rPr>
          <w:rStyle w:val="aa"/>
          <w:bCs/>
        </w:rPr>
        <w:footnoteReference w:id="15"/>
      </w:r>
      <w:r w:rsidR="009537A8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</w:p>
    <w:p w14:paraId="7560A873" w14:textId="50A7B939" w:rsidR="009C6C1A" w:rsidRPr="00444DD7" w:rsidRDefault="009537A8" w:rsidP="009C6C1A">
      <w:pPr>
        <w:pStyle w:val="SingleTxtG"/>
        <w:rPr>
          <w:bCs/>
        </w:rPr>
      </w:pPr>
      <w:r w:rsidRPr="009537A8">
        <w:rPr>
          <w:b/>
          <w:bCs/>
        </w:rPr>
        <w:tab/>
      </w:r>
      <w:r w:rsidR="009C6C1A" w:rsidRPr="009537A8">
        <w:rPr>
          <w:b/>
          <w:bCs/>
        </w:rPr>
        <w:t>a)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повысить минимальный возраст добровольного призыва в вооруженные силы до 18 лет и однозначно криминализировать вербовку или использование детей в возрасте до 18 лет в боевых действиях со стороны негосударственных вооруженных групп;</w:t>
      </w:r>
    </w:p>
    <w:p w14:paraId="182B3CCA" w14:textId="4D79ACE1" w:rsidR="009C6C1A" w:rsidRPr="00444DD7" w:rsidRDefault="009537A8" w:rsidP="009C6C1A">
      <w:pPr>
        <w:pStyle w:val="SingleTxtG"/>
        <w:rPr>
          <w:bCs/>
        </w:rPr>
      </w:pPr>
      <w:r w:rsidRPr="009537A8">
        <w:rPr>
          <w:b/>
          <w:bCs/>
        </w:rPr>
        <w:tab/>
      </w:r>
      <w:r w:rsidR="009C6C1A" w:rsidRPr="009537A8">
        <w:rPr>
          <w:b/>
          <w:bCs/>
        </w:rPr>
        <w:t>b)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установить в законодательном порядке экстерриториальную юрисдикцию в отношении преступлений, предусмотренных Факультативным протоколом, без критерия двойной криминализации;</w:t>
      </w:r>
    </w:p>
    <w:p w14:paraId="4DC7D258" w14:textId="43E9597A" w:rsidR="009C6C1A" w:rsidRPr="00444DD7" w:rsidRDefault="009537A8" w:rsidP="009C6C1A">
      <w:pPr>
        <w:pStyle w:val="SingleTxtG"/>
        <w:rPr>
          <w:bCs/>
        </w:rPr>
      </w:pPr>
      <w:r w:rsidRPr="009537A8">
        <w:rPr>
          <w:b/>
          <w:bCs/>
        </w:rPr>
        <w:tab/>
      </w:r>
      <w:r w:rsidR="009C6C1A" w:rsidRPr="009537A8">
        <w:rPr>
          <w:b/>
          <w:bCs/>
        </w:rPr>
        <w:t>c)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распространить защиту, предоставляемую Конвенцией о статусе беженцев, на всех детей в возрасте от 15 до 17 лет независимо от совершенного преступления;</w:t>
      </w:r>
    </w:p>
    <w:p w14:paraId="05DD6652" w14:textId="12FB0B33" w:rsidR="009C6C1A" w:rsidRPr="00444DD7" w:rsidRDefault="009537A8" w:rsidP="009C6C1A">
      <w:pPr>
        <w:pStyle w:val="SingleTxtG"/>
        <w:rPr>
          <w:b/>
          <w:bCs/>
        </w:rPr>
      </w:pPr>
      <w:r w:rsidRPr="009537A8">
        <w:rPr>
          <w:b/>
          <w:bCs/>
        </w:rPr>
        <w:tab/>
      </w:r>
      <w:r w:rsidR="009C6C1A" w:rsidRPr="009537A8">
        <w:rPr>
          <w:b/>
          <w:bCs/>
        </w:rPr>
        <w:t>d)</w:t>
      </w:r>
      <w:r w:rsidR="009C6C1A" w:rsidRPr="009537A8">
        <w:rPr>
          <w:b/>
          <w:bCs/>
        </w:rPr>
        <w:tab/>
      </w:r>
      <w:r w:rsidR="009C6C1A">
        <w:rPr>
          <w:b/>
          <w:bCs/>
        </w:rPr>
        <w:t>создать механизм раннего выявления детей, которые могли быть вовлечены в вооруженные конфликты за рубежом, при въезде в государство-участник и оказывать им поддержку для их социального и психологического восстановления и реинтеграции в общество.</w:t>
      </w:r>
    </w:p>
    <w:p w14:paraId="19AAFDEE" w14:textId="6A1A6EC4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K.</w:t>
      </w:r>
      <w:r w:rsidR="009C6C1A">
        <w:tab/>
      </w:r>
      <w:r w:rsidR="009C6C1A">
        <w:rPr>
          <w:bCs/>
        </w:rPr>
        <w:t>Ратификация Факультативного протокола, касающегося процедуры сообщений</w:t>
      </w:r>
    </w:p>
    <w:p w14:paraId="4FDC5865" w14:textId="77777777" w:rsidR="009C6C1A" w:rsidRPr="00444DD7" w:rsidRDefault="009C6C1A" w:rsidP="009C6C1A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Конвенции, касающийся процедуры сообщений.</w:t>
      </w:r>
    </w:p>
    <w:p w14:paraId="5337F8BA" w14:textId="1318400E" w:rsidR="009C6C1A" w:rsidRPr="00444DD7" w:rsidRDefault="009537A8" w:rsidP="009C6C1A">
      <w:pPr>
        <w:pStyle w:val="H1G"/>
        <w:rPr>
          <w:bCs/>
        </w:rPr>
      </w:pPr>
      <w:r>
        <w:rPr>
          <w:bCs/>
        </w:rPr>
        <w:lastRenderedPageBreak/>
        <w:tab/>
      </w:r>
      <w:r w:rsidR="009C6C1A">
        <w:rPr>
          <w:bCs/>
        </w:rPr>
        <w:t>L.</w:t>
      </w:r>
      <w:r w:rsidR="009C6C1A">
        <w:tab/>
      </w:r>
      <w:r w:rsidR="009C6C1A">
        <w:rPr>
          <w:bCs/>
        </w:rPr>
        <w:t>Ратификация международных договоров по правам человека</w:t>
      </w:r>
    </w:p>
    <w:p w14:paraId="254DCFD6" w14:textId="77777777" w:rsidR="009C6C1A" w:rsidRPr="00444DD7" w:rsidRDefault="009C6C1A" w:rsidP="009C6C1A">
      <w:pPr>
        <w:pStyle w:val="SingleTxtG"/>
        <w:rPr>
          <w:b/>
          <w:bCs/>
          <w:color w:val="000000"/>
          <w:u w:val="single"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вопрос о ратификации Международной конвенции о защите прав всех трудящихся-мигрантов и членов их семей.</w:t>
      </w:r>
      <w:r>
        <w:t xml:space="preserve"> </w:t>
      </w:r>
    </w:p>
    <w:p w14:paraId="352B1D88" w14:textId="245E0D50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M.</w:t>
      </w:r>
      <w:r w:rsidR="009C6C1A">
        <w:tab/>
      </w:r>
      <w:r w:rsidR="009C6C1A">
        <w:rPr>
          <w:bCs/>
        </w:rPr>
        <w:t>Сотрудничество с региональными органами</w:t>
      </w:r>
    </w:p>
    <w:p w14:paraId="5218CD9C" w14:textId="77777777" w:rsidR="009C6C1A" w:rsidRPr="00444DD7" w:rsidRDefault="009C6C1A" w:rsidP="009C6C1A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продолжать сотрудничать с Советом Европы в деле осуществления Конвенции и других договоров по правам человека как в самом государстве-участнике, так и в других государствах — членах Совета Европы.</w:t>
      </w:r>
    </w:p>
    <w:p w14:paraId="1C94C665" w14:textId="473180B1" w:rsidR="009C6C1A" w:rsidRPr="00444DD7" w:rsidRDefault="009537A8" w:rsidP="009C6C1A">
      <w:pPr>
        <w:pStyle w:val="HChG"/>
        <w:rPr>
          <w:bCs/>
        </w:rPr>
      </w:pPr>
      <w:r>
        <w:rPr>
          <w:bCs/>
        </w:rPr>
        <w:tab/>
      </w:r>
      <w:r w:rsidR="009C6C1A">
        <w:rPr>
          <w:bCs/>
        </w:rPr>
        <w:t>IV.</w:t>
      </w:r>
      <w:r w:rsidR="009C6C1A">
        <w:tab/>
      </w:r>
      <w:r w:rsidR="009C6C1A">
        <w:rPr>
          <w:bCs/>
        </w:rPr>
        <w:t>Меры по осуществлению и представление докладов</w:t>
      </w:r>
    </w:p>
    <w:p w14:paraId="128BD9AD" w14:textId="5122DCD8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A.</w:t>
      </w:r>
      <w:r w:rsidR="009C6C1A">
        <w:tab/>
      </w:r>
      <w:r w:rsidR="009C6C1A">
        <w:rPr>
          <w:bCs/>
        </w:rPr>
        <w:t>Последующие меры и распространение информации</w:t>
      </w:r>
    </w:p>
    <w:p w14:paraId="1A2A722E" w14:textId="77777777" w:rsidR="009C6C1A" w:rsidRPr="00444DD7" w:rsidRDefault="009C6C1A" w:rsidP="009C6C1A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распространения их среди детей, в том числе находящихся в наиболее неблагоприятных ситуациях, в понятной для детей форме и обеспечения их широкой доступности.</w:t>
      </w:r>
      <w:r>
        <w:t xml:space="preserve"> </w:t>
      </w:r>
      <w:r>
        <w:rPr>
          <w:b/>
          <w:bCs/>
        </w:rPr>
        <w:t>Комитет также рекомендует обеспечить широкое распространение объединенных пятого и шестого периодических докладов и настоящих заключительных замечаний на используемых в стране языках.</w:t>
      </w:r>
      <w:r>
        <w:t xml:space="preserve"> </w:t>
      </w:r>
    </w:p>
    <w:p w14:paraId="696B0841" w14:textId="0785F363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B.</w:t>
      </w:r>
      <w:r w:rsidR="009C6C1A">
        <w:tab/>
      </w:r>
      <w:r w:rsidR="009C6C1A">
        <w:rPr>
          <w:bCs/>
        </w:rPr>
        <w:t>Национальный механизм представления докладов и</w:t>
      </w:r>
      <w:r>
        <w:rPr>
          <w:bCs/>
        </w:rPr>
        <w:t> </w:t>
      </w:r>
      <w:r w:rsidR="009C6C1A">
        <w:rPr>
          <w:bCs/>
        </w:rPr>
        <w:t>осуществления последующих мер</w:t>
      </w:r>
    </w:p>
    <w:p w14:paraId="4A2892A2" w14:textId="77777777" w:rsidR="009C6C1A" w:rsidRPr="00444DD7" w:rsidRDefault="009C6C1A" w:rsidP="009C6C1A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создать постоянно действующую правительственную структуру, которая бы отвечала за координацию и подготовку докладов для международных и региональных правозащитных механизмов и взаимодействие с ними, а также за координацию и отслеживание последующей деятельности и осуществления на национальном уровне договорных обязательств, равно как и рекомендаций и решений таких механизмов.</w:t>
      </w:r>
      <w:r>
        <w:t xml:space="preserve"> </w:t>
      </w:r>
      <w:r>
        <w:rPr>
          <w:b/>
          <w:bCs/>
        </w:rPr>
        <w:t>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национальными правозащитными учреждениями и гражданским обществом.</w:t>
      </w:r>
      <w:r>
        <w:t xml:space="preserve"> </w:t>
      </w:r>
    </w:p>
    <w:p w14:paraId="118E35B5" w14:textId="38D6C3DA" w:rsidR="009C6C1A" w:rsidRPr="00444DD7" w:rsidRDefault="009537A8" w:rsidP="009C6C1A">
      <w:pPr>
        <w:pStyle w:val="H1G"/>
        <w:rPr>
          <w:bCs/>
        </w:rPr>
      </w:pPr>
      <w:r>
        <w:rPr>
          <w:bCs/>
        </w:rPr>
        <w:tab/>
      </w:r>
      <w:r w:rsidR="009C6C1A">
        <w:rPr>
          <w:bCs/>
        </w:rPr>
        <w:t>C.</w:t>
      </w:r>
      <w:r w:rsidR="009C6C1A">
        <w:tab/>
      </w:r>
      <w:r w:rsidR="009C6C1A">
        <w:rPr>
          <w:bCs/>
        </w:rPr>
        <w:t>Следующий доклад</w:t>
      </w:r>
      <w:r w:rsidR="009C6C1A">
        <w:t xml:space="preserve"> </w:t>
      </w:r>
    </w:p>
    <w:p w14:paraId="17AF26F7" w14:textId="5340197B" w:rsidR="009C6C1A" w:rsidRPr="00444DD7" w:rsidRDefault="009C6C1A" w:rsidP="009C6C1A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предлагает государству-участнику представить свой седьмой периодический доклад не позднее 6 марта 2027 года и включить в него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61098E">
        <w:rPr>
          <w:rStyle w:val="aa"/>
          <w:bCs/>
        </w:rPr>
        <w:footnoteReference w:id="16"/>
      </w:r>
      <w:r w:rsidR="009537A8">
        <w:rPr>
          <w:b/>
          <w:bCs/>
        </w:rPr>
        <w:t>,</w:t>
      </w:r>
      <w:r>
        <w:rPr>
          <w:b/>
          <w:bCs/>
        </w:rPr>
        <w:t xml:space="preserve"> а его объем не должен превышать 21</w:t>
      </w:r>
      <w:r w:rsidR="009537A8">
        <w:rPr>
          <w:b/>
          <w:bCs/>
        </w:rPr>
        <w:t> </w:t>
      </w:r>
      <w:r>
        <w:rPr>
          <w:b/>
          <w:bCs/>
        </w:rPr>
        <w:t>200 слов</w:t>
      </w:r>
      <w:r w:rsidRPr="0061098E">
        <w:rPr>
          <w:rStyle w:val="aa"/>
          <w:bCs/>
        </w:rPr>
        <w:footnoteReference w:id="17"/>
      </w:r>
      <w:r w:rsidR="009537A8">
        <w:rPr>
          <w:b/>
          <w:bCs/>
        </w:rPr>
        <w:t>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</w:t>
      </w:r>
      <w:r>
        <w:rPr>
          <w:b/>
          <w:bCs/>
        </w:rPr>
        <w:lastRenderedPageBreak/>
        <w:t>участник не сможет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35768CC6" w14:textId="77777777" w:rsidR="009C6C1A" w:rsidRPr="00444DD7" w:rsidRDefault="009C6C1A" w:rsidP="009C6C1A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подготовки общего базового документа, которые содержатся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договорам, и пункте 16 резолюции 68/268 Генеральной Ассамблеи</w:t>
      </w:r>
      <w:r w:rsidRPr="0061098E">
        <w:rPr>
          <w:rStyle w:val="aa"/>
          <w:bCs/>
        </w:rPr>
        <w:footnoteReference w:id="18"/>
      </w:r>
      <w:r>
        <w:rPr>
          <w:b/>
          <w:bCs/>
        </w:rPr>
        <w:t>.</w:t>
      </w:r>
    </w:p>
    <w:p w14:paraId="200366DE" w14:textId="77777777" w:rsidR="009C6C1A" w:rsidRPr="00444DD7" w:rsidRDefault="009C6C1A" w:rsidP="009C6C1A">
      <w:pPr>
        <w:spacing w:before="240"/>
        <w:jc w:val="center"/>
        <w:rPr>
          <w:u w:val="single"/>
        </w:rPr>
      </w:pPr>
      <w:r w:rsidRPr="00444DD7">
        <w:rPr>
          <w:u w:val="single"/>
        </w:rPr>
        <w:tab/>
      </w:r>
      <w:r w:rsidRPr="00444DD7">
        <w:rPr>
          <w:u w:val="single"/>
        </w:rPr>
        <w:tab/>
      </w:r>
      <w:r w:rsidRPr="00444DD7">
        <w:rPr>
          <w:u w:val="single"/>
        </w:rPr>
        <w:tab/>
      </w:r>
    </w:p>
    <w:sectPr w:rsidR="009C6C1A" w:rsidRPr="00444DD7" w:rsidSect="009C6C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FFE" w14:textId="77777777" w:rsidR="00C26889" w:rsidRPr="00A312BC" w:rsidRDefault="00C26889" w:rsidP="00A312BC"/>
  </w:endnote>
  <w:endnote w:type="continuationSeparator" w:id="0">
    <w:p w14:paraId="1F3B1D35" w14:textId="77777777" w:rsidR="00C26889" w:rsidRPr="00A312BC" w:rsidRDefault="00C268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32D4" w14:textId="4E0967FD" w:rsidR="009C6C1A" w:rsidRPr="009C6C1A" w:rsidRDefault="009C6C1A">
    <w:pPr>
      <w:pStyle w:val="a8"/>
    </w:pPr>
    <w:r w:rsidRPr="009C6C1A">
      <w:rPr>
        <w:b/>
        <w:sz w:val="18"/>
      </w:rPr>
      <w:fldChar w:fldCharType="begin"/>
    </w:r>
    <w:r w:rsidRPr="009C6C1A">
      <w:rPr>
        <w:b/>
        <w:sz w:val="18"/>
      </w:rPr>
      <w:instrText xml:space="preserve"> PAGE  \* MERGEFORMAT </w:instrText>
    </w:r>
    <w:r w:rsidRPr="009C6C1A">
      <w:rPr>
        <w:b/>
        <w:sz w:val="18"/>
      </w:rPr>
      <w:fldChar w:fldCharType="separate"/>
    </w:r>
    <w:r w:rsidRPr="009C6C1A">
      <w:rPr>
        <w:b/>
        <w:noProof/>
        <w:sz w:val="18"/>
      </w:rPr>
      <w:t>2</w:t>
    </w:r>
    <w:r w:rsidRPr="009C6C1A">
      <w:rPr>
        <w:b/>
        <w:sz w:val="18"/>
      </w:rPr>
      <w:fldChar w:fldCharType="end"/>
    </w:r>
    <w:r>
      <w:rPr>
        <w:b/>
        <w:sz w:val="18"/>
      </w:rPr>
      <w:tab/>
    </w:r>
    <w:r>
      <w:t>GE.22-03480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EAD9" w14:textId="4A872DD3" w:rsidR="009C6C1A" w:rsidRPr="009C6C1A" w:rsidRDefault="009C6C1A" w:rsidP="009C6C1A">
    <w:pPr>
      <w:pStyle w:val="a8"/>
      <w:tabs>
        <w:tab w:val="clear" w:pos="9639"/>
        <w:tab w:val="right" w:pos="9638"/>
      </w:tabs>
      <w:rPr>
        <w:b/>
        <w:sz w:val="18"/>
      </w:rPr>
    </w:pPr>
    <w:r>
      <w:t>GE.22-03480</w:t>
    </w:r>
    <w:r>
      <w:tab/>
    </w:r>
    <w:r w:rsidRPr="009C6C1A">
      <w:rPr>
        <w:b/>
        <w:sz w:val="18"/>
      </w:rPr>
      <w:fldChar w:fldCharType="begin"/>
    </w:r>
    <w:r w:rsidRPr="009C6C1A">
      <w:rPr>
        <w:b/>
        <w:sz w:val="18"/>
      </w:rPr>
      <w:instrText xml:space="preserve"> PAGE  \* MERGEFORMAT </w:instrText>
    </w:r>
    <w:r w:rsidRPr="009C6C1A">
      <w:rPr>
        <w:b/>
        <w:sz w:val="18"/>
      </w:rPr>
      <w:fldChar w:fldCharType="separate"/>
    </w:r>
    <w:r w:rsidRPr="009C6C1A">
      <w:rPr>
        <w:b/>
        <w:noProof/>
        <w:sz w:val="18"/>
      </w:rPr>
      <w:t>3</w:t>
    </w:r>
    <w:r w:rsidRPr="009C6C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A4C3" w14:textId="2F4CA0AC" w:rsidR="00042B72" w:rsidRPr="009C6C1A" w:rsidRDefault="009C6C1A" w:rsidP="009C6C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591374" wp14:editId="2CF3E7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03480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B097C7" wp14:editId="659FD7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</w:t>
    </w:r>
    <w:r w:rsidR="006D27D7">
      <w:rPr>
        <w:lang w:val="en-US"/>
      </w:rPr>
      <w:t>11</w:t>
    </w:r>
    <w:r>
      <w:rPr>
        <w:lang w:val="en-US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67A" w14:textId="77777777" w:rsidR="00C26889" w:rsidRPr="001075E9" w:rsidRDefault="00C268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347B04" w14:textId="77777777" w:rsidR="00C26889" w:rsidRDefault="00C268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8E0B72" w14:textId="77777777" w:rsidR="009C6C1A" w:rsidRPr="00444DD7" w:rsidRDefault="009C6C1A" w:rsidP="009C6C1A">
      <w:pPr>
        <w:pStyle w:val="ad"/>
        <w:rPr>
          <w:szCs w:val="18"/>
        </w:rPr>
      </w:pPr>
      <w:r>
        <w:tab/>
      </w:r>
      <w:r w:rsidRPr="009C6C1A">
        <w:rPr>
          <w:sz w:val="20"/>
        </w:rPr>
        <w:t>*</w:t>
      </w:r>
      <w:r>
        <w:tab/>
        <w:t xml:space="preserve">Термин «Королевство Нидерландов» используется в настоящем документе для обозначения четырех частей, составляющих Королевство Нидерландов: Нидерланды, Аруба, Кюрасао и </w:t>
      </w:r>
      <w:proofErr w:type="spellStart"/>
      <w:r>
        <w:t>Синт</w:t>
      </w:r>
      <w:proofErr w:type="spellEnd"/>
      <w:r>
        <w:t xml:space="preserve">-Мартен. </w:t>
      </w:r>
    </w:p>
  </w:footnote>
  <w:footnote w:id="2">
    <w:p w14:paraId="0D59E21E" w14:textId="77777777" w:rsidR="009C6C1A" w:rsidRPr="00444DD7" w:rsidRDefault="009C6C1A" w:rsidP="009C6C1A">
      <w:pPr>
        <w:pStyle w:val="ad"/>
        <w:rPr>
          <w:sz w:val="20"/>
          <w:szCs w:val="18"/>
        </w:rPr>
      </w:pPr>
      <w:r>
        <w:tab/>
      </w:r>
      <w:r w:rsidRPr="009C6C1A">
        <w:rPr>
          <w:sz w:val="20"/>
        </w:rPr>
        <w:t>**</w:t>
      </w:r>
      <w:r>
        <w:tab/>
        <w:t>Приняты Комитетом на его восемьдесят девятой сессии (31 января — 11 февраля 2022 года).</w:t>
      </w:r>
    </w:p>
  </w:footnote>
  <w:footnote w:id="3">
    <w:p w14:paraId="4C445A3C" w14:textId="543F076A" w:rsidR="009C6C1A" w:rsidRPr="00444DD7" w:rsidRDefault="009C6C1A" w:rsidP="009C6C1A">
      <w:pPr>
        <w:pStyle w:val="ad"/>
        <w:rPr>
          <w:szCs w:val="18"/>
        </w:rPr>
      </w:pPr>
      <w:r w:rsidRPr="00324C35">
        <w:rPr>
          <w:szCs w:val="18"/>
        </w:rPr>
        <w:tab/>
      </w:r>
      <w:r w:rsidRPr="0061098E">
        <w:rPr>
          <w:rStyle w:val="aa"/>
        </w:rPr>
        <w:footnoteRef/>
      </w:r>
      <w:r>
        <w:tab/>
      </w:r>
      <w:hyperlink r:id="rId1" w:history="1">
        <w:r w:rsidR="006D27D7" w:rsidRPr="002451AC">
          <w:rPr>
            <w:rStyle w:val="af1"/>
            <w:szCs w:val="18"/>
          </w:rPr>
          <w:t>CRC/C/NLD/5-6</w:t>
        </w:r>
      </w:hyperlink>
      <w:r>
        <w:t>.</w:t>
      </w:r>
    </w:p>
  </w:footnote>
  <w:footnote w:id="4">
    <w:p w14:paraId="7546989E" w14:textId="3AA53CB8" w:rsidR="009C6C1A" w:rsidRPr="009C6C1A" w:rsidRDefault="009C6C1A" w:rsidP="009C6C1A">
      <w:pPr>
        <w:pStyle w:val="ad"/>
        <w:rPr>
          <w:szCs w:val="18"/>
          <w:lang w:val="de-CH"/>
        </w:rPr>
      </w:pPr>
      <w:r w:rsidRPr="00324C35">
        <w:rPr>
          <w:szCs w:val="18"/>
        </w:rPr>
        <w:tab/>
      </w:r>
      <w:r w:rsidRPr="0061098E">
        <w:rPr>
          <w:rStyle w:val="aa"/>
        </w:rPr>
        <w:footnoteRef/>
      </w:r>
      <w:r>
        <w:tab/>
        <w:t xml:space="preserve">См. </w:t>
      </w:r>
      <w:hyperlink r:id="rId2" w:history="1">
        <w:r w:rsidR="006D27D7" w:rsidRPr="006D27D7">
          <w:rPr>
            <w:rStyle w:val="af1"/>
            <w:szCs w:val="18"/>
            <w:lang w:val="en-US"/>
          </w:rPr>
          <w:t>CRC/C/SR.2566</w:t>
        </w:r>
      </w:hyperlink>
      <w:r w:rsidR="006D27D7">
        <w:rPr>
          <w:rStyle w:val="af1"/>
          <w:szCs w:val="18"/>
          <w:lang w:val="en-US"/>
        </w:rPr>
        <w:t xml:space="preserve"> </w:t>
      </w:r>
      <w:r>
        <w:t>и</w:t>
      </w:r>
      <w:r w:rsidR="006D27D7">
        <w:rPr>
          <w:lang w:val="en-US"/>
        </w:rPr>
        <w:t xml:space="preserve"> </w:t>
      </w:r>
      <w:hyperlink r:id="rId3" w:history="1">
        <w:r w:rsidR="006D27D7" w:rsidRPr="006D27D7">
          <w:rPr>
            <w:rStyle w:val="af1"/>
            <w:szCs w:val="18"/>
            <w:lang w:val="en-US"/>
          </w:rPr>
          <w:t>CRC/C/SR.2568</w:t>
        </w:r>
      </w:hyperlink>
      <w:r w:rsidRPr="009C6C1A">
        <w:rPr>
          <w:lang w:val="de-CH"/>
        </w:rPr>
        <w:t>.</w:t>
      </w:r>
    </w:p>
  </w:footnote>
  <w:footnote w:id="5">
    <w:p w14:paraId="3059EA06" w14:textId="37BA2FF3" w:rsidR="009C6C1A" w:rsidRDefault="009C6C1A" w:rsidP="009C6C1A">
      <w:pPr>
        <w:pStyle w:val="ad"/>
      </w:pPr>
      <w:r w:rsidRPr="009C6C1A">
        <w:rPr>
          <w:szCs w:val="18"/>
          <w:lang w:val="de-CH"/>
        </w:rPr>
        <w:tab/>
      </w:r>
      <w:r w:rsidRPr="0061098E">
        <w:rPr>
          <w:rStyle w:val="aa"/>
        </w:rPr>
        <w:footnoteRef/>
      </w:r>
      <w:r>
        <w:tab/>
        <w:t xml:space="preserve">Если не указано иное, рекомендации в каждой части настоящих заключительных замечаний адресованы правительству Королевства Нидерландов и правительствам входящих в его состав самоуправляющихся территорий и муниципалитетов </w:t>
      </w:r>
      <w:proofErr w:type="spellStart"/>
      <w:r>
        <w:t>Бонайре</w:t>
      </w:r>
      <w:proofErr w:type="spellEnd"/>
      <w:r>
        <w:t>, Саба и Синт-Эстатиус.</w:t>
      </w:r>
    </w:p>
    <w:p w14:paraId="7CCE540A" w14:textId="77777777" w:rsidR="009C6C1A" w:rsidRPr="00444DD7" w:rsidRDefault="009C6C1A" w:rsidP="009C6C1A">
      <w:pPr>
        <w:pStyle w:val="ad"/>
        <w:rPr>
          <w:szCs w:val="18"/>
        </w:rPr>
      </w:pPr>
    </w:p>
  </w:footnote>
  <w:footnote w:id="6">
    <w:p w14:paraId="0473AF24" w14:textId="31CB6839" w:rsidR="009C6C1A" w:rsidRPr="009C6C1A" w:rsidRDefault="009C6C1A" w:rsidP="009C6C1A">
      <w:pPr>
        <w:pStyle w:val="ad"/>
        <w:rPr>
          <w:szCs w:val="18"/>
          <w:lang w:val="en-US"/>
        </w:rPr>
      </w:pPr>
      <w:r w:rsidRPr="00324C35">
        <w:rPr>
          <w:sz w:val="16"/>
          <w:szCs w:val="16"/>
        </w:rPr>
        <w:tab/>
      </w:r>
      <w:r w:rsidRPr="0061098E">
        <w:rPr>
          <w:rStyle w:val="aa"/>
        </w:rPr>
        <w:footnoteRef/>
      </w:r>
      <w:r w:rsidRPr="00444DD7">
        <w:rPr>
          <w:lang w:val="en-US"/>
        </w:rPr>
        <w:tab/>
      </w:r>
      <w:hyperlink r:id="rId4" w:history="1">
        <w:r w:rsidR="003D2E1C" w:rsidRPr="0061098E">
          <w:rPr>
            <w:rStyle w:val="af1"/>
            <w:bCs/>
            <w:szCs w:val="18"/>
            <w:lang w:val="es-ES"/>
          </w:rPr>
          <w:t>CRC/C/15/Add.114</w:t>
        </w:r>
      </w:hyperlink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>. 7;</w:t>
      </w:r>
      <w:r w:rsidR="003D2E1C" w:rsidRPr="003D2E1C">
        <w:rPr>
          <w:lang w:val="en-US"/>
        </w:rPr>
        <w:t xml:space="preserve"> </w:t>
      </w:r>
      <w:hyperlink r:id="rId5" w:history="1">
        <w:r w:rsidR="003D2E1C" w:rsidRPr="0061098E">
          <w:rPr>
            <w:rStyle w:val="af1"/>
            <w:bCs/>
            <w:szCs w:val="18"/>
            <w:lang w:val="es-ES"/>
          </w:rPr>
          <w:t>CRC/C/15/Add.227</w:t>
        </w:r>
      </w:hyperlink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 xml:space="preserve">. 11; </w:t>
      </w:r>
      <w:hyperlink r:id="rId6" w:history="1">
        <w:r w:rsidRPr="009C6C1A">
          <w:rPr>
            <w:rStyle w:val="af1"/>
            <w:lang w:val="en-US"/>
          </w:rPr>
          <w:t>CRC/C/NLD/CO/3</w:t>
        </w:r>
      </w:hyperlink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 xml:space="preserve">. 11; </w:t>
      </w:r>
      <w:r>
        <w:t>и</w:t>
      </w:r>
      <w:r>
        <w:rPr>
          <w:lang w:val="en-US"/>
        </w:rPr>
        <w:t> </w:t>
      </w:r>
      <w:r w:rsidR="003D2E1C">
        <w:fldChar w:fldCharType="begin"/>
      </w:r>
      <w:r w:rsidR="003D2E1C" w:rsidRPr="003D2E1C">
        <w:rPr>
          <w:lang w:val="en-US"/>
        </w:rPr>
        <w:instrText xml:space="preserve"> HYPERLINK "http://undocs.org/en/CRC/C/NLD/CO/4" </w:instrText>
      </w:r>
      <w:r w:rsidR="003D2E1C">
        <w:fldChar w:fldCharType="separate"/>
      </w:r>
      <w:r w:rsidR="003D2E1C" w:rsidRPr="003D2E1C">
        <w:rPr>
          <w:rStyle w:val="af1"/>
          <w:szCs w:val="18"/>
          <w:lang w:val="en-US"/>
        </w:rPr>
        <w:t>CRC/C/NLD/CO/4</w:t>
      </w:r>
      <w:r w:rsidR="003D2E1C">
        <w:rPr>
          <w:rStyle w:val="af1"/>
          <w:szCs w:val="18"/>
        </w:rPr>
        <w:fldChar w:fldCharType="end"/>
      </w:r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>. 7.</w:t>
      </w:r>
    </w:p>
  </w:footnote>
  <w:footnote w:id="7">
    <w:p w14:paraId="6512AC14" w14:textId="586FE0D2" w:rsidR="009C6C1A" w:rsidRPr="009C6C1A" w:rsidRDefault="009C6C1A" w:rsidP="009C6C1A">
      <w:pPr>
        <w:pStyle w:val="ad"/>
        <w:rPr>
          <w:szCs w:val="18"/>
          <w:lang w:val="en-US"/>
        </w:rPr>
      </w:pPr>
      <w:r w:rsidRPr="00444DD7">
        <w:rPr>
          <w:szCs w:val="18"/>
          <w:lang w:val="en-US"/>
        </w:rPr>
        <w:tab/>
      </w:r>
      <w:r w:rsidRPr="0061098E">
        <w:rPr>
          <w:rStyle w:val="aa"/>
        </w:rPr>
        <w:footnoteRef/>
      </w:r>
      <w:r w:rsidRPr="00444DD7">
        <w:rPr>
          <w:lang w:val="en-US"/>
        </w:rPr>
        <w:tab/>
      </w:r>
      <w:hyperlink r:id="rId7" w:history="1">
        <w:r w:rsidRPr="009C6C1A">
          <w:rPr>
            <w:rStyle w:val="af1"/>
            <w:lang w:val="en-US"/>
          </w:rPr>
          <w:t>CRC/C/NLD/CO/4</w:t>
        </w:r>
      </w:hyperlink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>. 11.</w:t>
      </w:r>
    </w:p>
  </w:footnote>
  <w:footnote w:id="8">
    <w:p w14:paraId="1860575B" w14:textId="77777777" w:rsidR="009C6C1A" w:rsidRPr="00444DD7" w:rsidRDefault="009C6C1A" w:rsidP="009C6C1A">
      <w:pPr>
        <w:pStyle w:val="ad"/>
        <w:rPr>
          <w:szCs w:val="18"/>
        </w:rPr>
      </w:pPr>
      <w:r w:rsidRPr="00444DD7">
        <w:rPr>
          <w:szCs w:val="18"/>
          <w:lang w:val="en-US"/>
        </w:rPr>
        <w:tab/>
      </w:r>
      <w:r w:rsidRPr="0061098E">
        <w:rPr>
          <w:rStyle w:val="aa"/>
        </w:rPr>
        <w:footnoteRef/>
      </w:r>
      <w:r>
        <w:tab/>
        <w:t>Там же, п. 23.</w:t>
      </w:r>
    </w:p>
  </w:footnote>
  <w:footnote w:id="9">
    <w:p w14:paraId="4303FA9A" w14:textId="77777777" w:rsidR="009C6C1A" w:rsidRPr="00444DD7" w:rsidRDefault="009C6C1A" w:rsidP="009C6C1A">
      <w:pPr>
        <w:pStyle w:val="ad"/>
        <w:rPr>
          <w:szCs w:val="18"/>
        </w:rPr>
      </w:pPr>
      <w:r w:rsidRPr="0061098E">
        <w:rPr>
          <w:szCs w:val="18"/>
        </w:rPr>
        <w:tab/>
      </w:r>
      <w:r w:rsidRPr="0061098E">
        <w:rPr>
          <w:rStyle w:val="aa"/>
        </w:rPr>
        <w:footnoteRef/>
      </w:r>
      <w:r>
        <w:tab/>
        <w:t>Там же, п. 31.</w:t>
      </w:r>
    </w:p>
  </w:footnote>
  <w:footnote w:id="10">
    <w:p w14:paraId="0AB1B6CC" w14:textId="77777777" w:rsidR="009C6C1A" w:rsidRPr="00444DD7" w:rsidRDefault="009C6C1A" w:rsidP="009C6C1A">
      <w:pPr>
        <w:pStyle w:val="ad"/>
        <w:rPr>
          <w:szCs w:val="18"/>
        </w:rPr>
      </w:pPr>
      <w:r w:rsidRPr="0061098E">
        <w:rPr>
          <w:szCs w:val="18"/>
        </w:rPr>
        <w:tab/>
      </w:r>
      <w:r w:rsidRPr="0061098E">
        <w:rPr>
          <w:rStyle w:val="aa"/>
        </w:rPr>
        <w:footnoteRef/>
      </w:r>
      <w:r>
        <w:tab/>
        <w:t>Там же, п. 33.</w:t>
      </w:r>
    </w:p>
  </w:footnote>
  <w:footnote w:id="11">
    <w:p w14:paraId="5EBE6335" w14:textId="439BED72" w:rsidR="009C6C1A" w:rsidRPr="00AE1C40" w:rsidRDefault="009C6C1A" w:rsidP="009C6C1A">
      <w:pPr>
        <w:pStyle w:val="ad"/>
        <w:rPr>
          <w:szCs w:val="18"/>
          <w:lang w:val="en-US"/>
        </w:rPr>
      </w:pPr>
      <w:r w:rsidRPr="0061098E">
        <w:rPr>
          <w:szCs w:val="18"/>
        </w:rPr>
        <w:tab/>
      </w:r>
      <w:r w:rsidRPr="0061098E">
        <w:rPr>
          <w:rStyle w:val="aa"/>
        </w:rPr>
        <w:footnoteRef/>
      </w:r>
      <w:r w:rsidRPr="00AE1C40">
        <w:rPr>
          <w:lang w:val="en-US"/>
        </w:rPr>
        <w:tab/>
      </w:r>
      <w:hyperlink r:id="rId8" w:history="1">
        <w:r w:rsidRPr="009C6C1A">
          <w:rPr>
            <w:rStyle w:val="af1"/>
            <w:lang w:val="en-US"/>
          </w:rPr>
          <w:t>CRC</w:t>
        </w:r>
        <w:r w:rsidRPr="00AE1C40">
          <w:rPr>
            <w:rStyle w:val="af1"/>
            <w:lang w:val="en-US"/>
          </w:rPr>
          <w:t>/</w:t>
        </w:r>
        <w:r w:rsidRPr="009C6C1A">
          <w:rPr>
            <w:rStyle w:val="af1"/>
            <w:lang w:val="en-US"/>
          </w:rPr>
          <w:t>C</w:t>
        </w:r>
        <w:r w:rsidRPr="00AE1C40">
          <w:rPr>
            <w:rStyle w:val="af1"/>
            <w:lang w:val="en-US"/>
          </w:rPr>
          <w:t>/</w:t>
        </w:r>
        <w:r w:rsidRPr="009C6C1A">
          <w:rPr>
            <w:rStyle w:val="af1"/>
            <w:lang w:val="en-US"/>
          </w:rPr>
          <w:t>NLD</w:t>
        </w:r>
        <w:r w:rsidRPr="00AE1C40">
          <w:rPr>
            <w:rStyle w:val="af1"/>
            <w:lang w:val="en-US"/>
          </w:rPr>
          <w:t>/</w:t>
        </w:r>
        <w:r w:rsidRPr="009C6C1A">
          <w:rPr>
            <w:rStyle w:val="af1"/>
            <w:lang w:val="en-US"/>
          </w:rPr>
          <w:t>CO</w:t>
        </w:r>
        <w:r w:rsidRPr="00AE1C40">
          <w:rPr>
            <w:rStyle w:val="af1"/>
            <w:lang w:val="en-US"/>
          </w:rPr>
          <w:t>/4</w:t>
        </w:r>
      </w:hyperlink>
      <w:r w:rsidRPr="00AE1C40">
        <w:rPr>
          <w:lang w:val="en-US"/>
        </w:rPr>
        <w:t xml:space="preserve">, </w:t>
      </w:r>
      <w:r>
        <w:t>п</w:t>
      </w:r>
      <w:r w:rsidRPr="00AE1C40">
        <w:rPr>
          <w:lang w:val="en-US"/>
        </w:rPr>
        <w:t>. 47.</w:t>
      </w:r>
    </w:p>
  </w:footnote>
  <w:footnote w:id="12">
    <w:p w14:paraId="48F0E3CF" w14:textId="77777777" w:rsidR="009C6C1A" w:rsidRPr="00444DD7" w:rsidRDefault="009C6C1A" w:rsidP="009C6C1A">
      <w:pPr>
        <w:pStyle w:val="ad"/>
        <w:rPr>
          <w:szCs w:val="18"/>
        </w:rPr>
      </w:pPr>
      <w:r w:rsidRPr="00AE1C40">
        <w:rPr>
          <w:szCs w:val="18"/>
          <w:lang w:val="en-US"/>
        </w:rPr>
        <w:tab/>
      </w:r>
      <w:r w:rsidRPr="0061098E">
        <w:rPr>
          <w:rStyle w:val="aa"/>
        </w:rPr>
        <w:footnoteRef/>
      </w:r>
      <w:r>
        <w:tab/>
        <w:t>Там же, п. 51.</w:t>
      </w:r>
    </w:p>
  </w:footnote>
  <w:footnote w:id="13">
    <w:p w14:paraId="5C606A31" w14:textId="7449356C" w:rsidR="009C6C1A" w:rsidRPr="00AE1C40" w:rsidRDefault="009C6C1A" w:rsidP="009C6C1A">
      <w:pPr>
        <w:pStyle w:val="ad"/>
        <w:rPr>
          <w:szCs w:val="18"/>
          <w:lang w:val="en-US"/>
        </w:rPr>
      </w:pPr>
      <w:r w:rsidRPr="0048530A">
        <w:rPr>
          <w:szCs w:val="18"/>
        </w:rPr>
        <w:tab/>
      </w:r>
      <w:r w:rsidRPr="0061098E">
        <w:rPr>
          <w:rStyle w:val="aa"/>
        </w:rPr>
        <w:footnoteRef/>
      </w:r>
      <w:r w:rsidRPr="00AE1C40">
        <w:rPr>
          <w:lang w:val="en-US"/>
        </w:rPr>
        <w:tab/>
      </w:r>
      <w:hyperlink r:id="rId9" w:history="1">
        <w:r w:rsidRPr="009C6C1A">
          <w:rPr>
            <w:rStyle w:val="af1"/>
            <w:lang w:val="en-US"/>
          </w:rPr>
          <w:t>CRC</w:t>
        </w:r>
        <w:r w:rsidRPr="00AE1C40">
          <w:rPr>
            <w:rStyle w:val="af1"/>
            <w:lang w:val="en-US"/>
          </w:rPr>
          <w:t>/</w:t>
        </w:r>
        <w:r w:rsidRPr="009C6C1A">
          <w:rPr>
            <w:rStyle w:val="af1"/>
            <w:lang w:val="en-US"/>
          </w:rPr>
          <w:t>C</w:t>
        </w:r>
        <w:r w:rsidRPr="00AE1C40">
          <w:rPr>
            <w:rStyle w:val="af1"/>
            <w:lang w:val="en-US"/>
          </w:rPr>
          <w:t>/156</w:t>
        </w:r>
      </w:hyperlink>
      <w:r w:rsidRPr="00AE1C40">
        <w:rPr>
          <w:lang w:val="en-US"/>
        </w:rPr>
        <w:t>.</w:t>
      </w:r>
    </w:p>
  </w:footnote>
  <w:footnote w:id="14">
    <w:p w14:paraId="79D6CC83" w14:textId="0CE258E9" w:rsidR="009C6C1A" w:rsidRPr="009C6C1A" w:rsidRDefault="009C6C1A" w:rsidP="009C6C1A">
      <w:pPr>
        <w:pStyle w:val="ad"/>
        <w:rPr>
          <w:szCs w:val="18"/>
          <w:lang w:val="en-US"/>
        </w:rPr>
      </w:pPr>
      <w:r w:rsidRPr="00AE1C40">
        <w:rPr>
          <w:szCs w:val="18"/>
          <w:lang w:val="en-US"/>
        </w:rPr>
        <w:tab/>
      </w:r>
      <w:r w:rsidRPr="0061098E">
        <w:rPr>
          <w:rStyle w:val="aa"/>
        </w:rPr>
        <w:footnoteRef/>
      </w:r>
      <w:r w:rsidRPr="00444DD7">
        <w:rPr>
          <w:lang w:val="en-US"/>
        </w:rPr>
        <w:tab/>
      </w:r>
      <w:hyperlink r:id="rId10" w:history="1">
        <w:r w:rsidRPr="009C6C1A">
          <w:rPr>
            <w:rStyle w:val="af1"/>
            <w:lang w:val="en-US"/>
          </w:rPr>
          <w:t>CRC/C/NLD/CO/4</w:t>
        </w:r>
      </w:hyperlink>
      <w:r w:rsidRPr="00444DD7">
        <w:rPr>
          <w:lang w:val="en-US"/>
        </w:rPr>
        <w:t xml:space="preserve">, </w:t>
      </w:r>
      <w:r>
        <w:t>п</w:t>
      </w:r>
      <w:r w:rsidRPr="00444DD7">
        <w:rPr>
          <w:lang w:val="en-US"/>
        </w:rPr>
        <w:t xml:space="preserve">. 62. </w:t>
      </w:r>
      <w:r>
        <w:t>См</w:t>
      </w:r>
      <w:r w:rsidRPr="00444DD7">
        <w:rPr>
          <w:lang w:val="en-US"/>
        </w:rPr>
        <w:t xml:space="preserve">. </w:t>
      </w:r>
      <w:r>
        <w:t>также</w:t>
      </w:r>
      <w:r w:rsidRPr="00444DD7">
        <w:rPr>
          <w:lang w:val="en-US"/>
        </w:rPr>
        <w:t xml:space="preserve"> </w:t>
      </w:r>
      <w:hyperlink r:id="rId11" w:history="1">
        <w:r w:rsidRPr="009C6C1A">
          <w:rPr>
            <w:rStyle w:val="af1"/>
            <w:lang w:val="en-US"/>
          </w:rPr>
          <w:t>CRC/C/OPSC/NLD/CO/1</w:t>
        </w:r>
      </w:hyperlink>
      <w:r w:rsidRPr="00444DD7">
        <w:rPr>
          <w:lang w:val="en-US"/>
        </w:rPr>
        <w:t>.</w:t>
      </w:r>
    </w:p>
  </w:footnote>
  <w:footnote w:id="15">
    <w:p w14:paraId="4070C150" w14:textId="02028631" w:rsidR="009C6C1A" w:rsidRPr="009C6C1A" w:rsidRDefault="009C6C1A" w:rsidP="009C6C1A">
      <w:pPr>
        <w:pStyle w:val="ad"/>
        <w:rPr>
          <w:szCs w:val="18"/>
          <w:lang w:val="en-US"/>
        </w:rPr>
      </w:pPr>
      <w:r w:rsidRPr="00444DD7">
        <w:rPr>
          <w:szCs w:val="18"/>
          <w:lang w:val="en-US"/>
        </w:rPr>
        <w:tab/>
      </w:r>
      <w:r w:rsidRPr="0061098E">
        <w:rPr>
          <w:rStyle w:val="aa"/>
        </w:rPr>
        <w:footnoteRef/>
      </w:r>
      <w:r w:rsidRPr="00444DD7">
        <w:rPr>
          <w:lang w:val="en-US"/>
        </w:rPr>
        <w:tab/>
      </w:r>
      <w:hyperlink r:id="rId12" w:history="1">
        <w:r w:rsidRPr="009C6C1A">
          <w:rPr>
            <w:rStyle w:val="af1"/>
            <w:lang w:val="en-US"/>
          </w:rPr>
          <w:t>CRC/C/OPAC/NLD/CO/1</w:t>
        </w:r>
      </w:hyperlink>
      <w:r w:rsidRPr="00444DD7">
        <w:rPr>
          <w:lang w:val="en-US"/>
        </w:rPr>
        <w:t>.</w:t>
      </w:r>
    </w:p>
  </w:footnote>
  <w:footnote w:id="16">
    <w:p w14:paraId="40B5007D" w14:textId="75875572" w:rsidR="009C6C1A" w:rsidRPr="00444DD7" w:rsidRDefault="009C6C1A" w:rsidP="009C6C1A">
      <w:pPr>
        <w:pStyle w:val="ad"/>
        <w:rPr>
          <w:szCs w:val="18"/>
        </w:rPr>
      </w:pPr>
      <w:r w:rsidRPr="00444DD7">
        <w:rPr>
          <w:sz w:val="16"/>
          <w:szCs w:val="16"/>
          <w:lang w:val="en-US"/>
        </w:rPr>
        <w:tab/>
      </w:r>
      <w:r w:rsidRPr="0061098E">
        <w:rPr>
          <w:rStyle w:val="aa"/>
        </w:rPr>
        <w:footnoteRef/>
      </w:r>
      <w:r>
        <w:tab/>
      </w:r>
      <w:hyperlink r:id="rId13" w:history="1">
        <w:r w:rsidRPr="009C6C1A">
          <w:rPr>
            <w:rStyle w:val="af1"/>
          </w:rPr>
          <w:t>CRC/C/58/Rev.3</w:t>
        </w:r>
      </w:hyperlink>
      <w:r>
        <w:t>.</w:t>
      </w:r>
    </w:p>
  </w:footnote>
  <w:footnote w:id="17">
    <w:p w14:paraId="7AE0A0DC" w14:textId="77777777" w:rsidR="009C6C1A" w:rsidRPr="00444DD7" w:rsidRDefault="009C6C1A" w:rsidP="009C6C1A">
      <w:pPr>
        <w:pStyle w:val="ad"/>
        <w:rPr>
          <w:sz w:val="16"/>
          <w:szCs w:val="16"/>
        </w:rPr>
      </w:pPr>
      <w:r w:rsidRPr="00324C35">
        <w:rPr>
          <w:szCs w:val="18"/>
        </w:rPr>
        <w:tab/>
      </w:r>
      <w:r w:rsidRPr="0061098E">
        <w:rPr>
          <w:rStyle w:val="aa"/>
        </w:rPr>
        <w:footnoteRef/>
      </w:r>
      <w:r>
        <w:tab/>
        <w:t>Резолюция 68/268 Генеральной Ассамблеи, п. 16.</w:t>
      </w:r>
    </w:p>
  </w:footnote>
  <w:footnote w:id="18">
    <w:p w14:paraId="168815E1" w14:textId="4764C347" w:rsidR="009C6C1A" w:rsidRPr="009C6C1A" w:rsidRDefault="009C6C1A" w:rsidP="009C6C1A">
      <w:pPr>
        <w:pStyle w:val="ad"/>
        <w:rPr>
          <w:szCs w:val="18"/>
          <w:lang w:val="en-US"/>
        </w:rPr>
      </w:pPr>
      <w:r w:rsidRPr="00324C35">
        <w:rPr>
          <w:sz w:val="16"/>
          <w:szCs w:val="16"/>
        </w:rPr>
        <w:tab/>
      </w:r>
      <w:r w:rsidRPr="0061098E">
        <w:rPr>
          <w:rStyle w:val="aa"/>
        </w:rPr>
        <w:footnoteRef/>
      </w:r>
      <w:r w:rsidRPr="00444DD7">
        <w:rPr>
          <w:lang w:val="en-US"/>
        </w:rPr>
        <w:tab/>
      </w:r>
      <w:hyperlink r:id="rId14" w:history="1">
        <w:r w:rsidRPr="009C6C1A">
          <w:rPr>
            <w:rStyle w:val="af1"/>
            <w:lang w:val="en-US"/>
          </w:rPr>
          <w:t>HRI/GEN/2/Rev.6</w:t>
        </w:r>
      </w:hyperlink>
      <w:r w:rsidRPr="00444DD7">
        <w:rPr>
          <w:lang w:val="en-US"/>
        </w:rPr>
        <w:t xml:space="preserve">, </w:t>
      </w:r>
      <w:proofErr w:type="spellStart"/>
      <w:r>
        <w:t>гл</w:t>
      </w:r>
      <w:proofErr w:type="spellEnd"/>
      <w:r w:rsidRPr="00444DD7">
        <w:rPr>
          <w:lang w:val="en-US"/>
        </w:rPr>
        <w:t>.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FF1" w14:textId="6511B15D" w:rsidR="009C6C1A" w:rsidRPr="009C6C1A" w:rsidRDefault="003D2E1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CRC/C/NLD/CO/5-6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CC3F" w14:textId="6C921CDB" w:rsidR="009C6C1A" w:rsidRPr="009C6C1A" w:rsidRDefault="003D2E1C" w:rsidP="009C6C1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CRC/C/NLD/CO/5-6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9"/>
    <w:rsid w:val="00006BD6"/>
    <w:rsid w:val="00033EE1"/>
    <w:rsid w:val="00042B72"/>
    <w:rsid w:val="00050EBC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C028A"/>
    <w:rsid w:val="003D2E1C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A79E0"/>
    <w:rsid w:val="006C2031"/>
    <w:rsid w:val="006D27D7"/>
    <w:rsid w:val="006D461A"/>
    <w:rsid w:val="006F35EE"/>
    <w:rsid w:val="007021FF"/>
    <w:rsid w:val="00712895"/>
    <w:rsid w:val="00757357"/>
    <w:rsid w:val="0076440F"/>
    <w:rsid w:val="007B4656"/>
    <w:rsid w:val="007D1275"/>
    <w:rsid w:val="00806737"/>
    <w:rsid w:val="00807707"/>
    <w:rsid w:val="00825F8D"/>
    <w:rsid w:val="00834B71"/>
    <w:rsid w:val="0086445C"/>
    <w:rsid w:val="00894693"/>
    <w:rsid w:val="008A08D7"/>
    <w:rsid w:val="008B6909"/>
    <w:rsid w:val="00906890"/>
    <w:rsid w:val="00911BE4"/>
    <w:rsid w:val="0093557E"/>
    <w:rsid w:val="00941E02"/>
    <w:rsid w:val="00951972"/>
    <w:rsid w:val="009537A8"/>
    <w:rsid w:val="009608F3"/>
    <w:rsid w:val="009A24AC"/>
    <w:rsid w:val="009C6C1A"/>
    <w:rsid w:val="00A10705"/>
    <w:rsid w:val="00A14DA8"/>
    <w:rsid w:val="00A312BC"/>
    <w:rsid w:val="00A5508A"/>
    <w:rsid w:val="00A65BF1"/>
    <w:rsid w:val="00A84021"/>
    <w:rsid w:val="00A84D35"/>
    <w:rsid w:val="00A917B3"/>
    <w:rsid w:val="00AB4B51"/>
    <w:rsid w:val="00AE1C40"/>
    <w:rsid w:val="00B10CC7"/>
    <w:rsid w:val="00B36DF7"/>
    <w:rsid w:val="00B539E7"/>
    <w:rsid w:val="00B55AFB"/>
    <w:rsid w:val="00B62458"/>
    <w:rsid w:val="00B937DF"/>
    <w:rsid w:val="00B97240"/>
    <w:rsid w:val="00BA684A"/>
    <w:rsid w:val="00BC18B2"/>
    <w:rsid w:val="00BD33EE"/>
    <w:rsid w:val="00BE4B36"/>
    <w:rsid w:val="00C106D6"/>
    <w:rsid w:val="00C26889"/>
    <w:rsid w:val="00C45D65"/>
    <w:rsid w:val="00C60F0C"/>
    <w:rsid w:val="00C64A5E"/>
    <w:rsid w:val="00C805C9"/>
    <w:rsid w:val="00C92939"/>
    <w:rsid w:val="00C94CFD"/>
    <w:rsid w:val="00CA1679"/>
    <w:rsid w:val="00CB151C"/>
    <w:rsid w:val="00CE5A1A"/>
    <w:rsid w:val="00CF3C5C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7168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E9FAE"/>
  <w15:docId w15:val="{5B24A006-0207-4172-B70D-A3F463A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C6C1A"/>
    <w:rPr>
      <w:lang w:val="ru-RU" w:eastAsia="en-US"/>
    </w:rPr>
  </w:style>
  <w:style w:type="character" w:customStyle="1" w:styleId="HChGChar">
    <w:name w:val="_ H _Ch_G Char"/>
    <w:link w:val="HChG"/>
    <w:locked/>
    <w:rsid w:val="009C6C1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C6C1A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C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RC/C/NLD/CO/4" TargetMode="External"/><Relationship Id="rId13" Type="http://schemas.openxmlformats.org/officeDocument/2006/relationships/hyperlink" Target="http://undocs.org/ru/CRC/C/58/Rev.3" TargetMode="External"/><Relationship Id="rId3" Type="http://schemas.openxmlformats.org/officeDocument/2006/relationships/hyperlink" Target="https://undocs.org/en/CRC/C/SR.2568" TargetMode="External"/><Relationship Id="rId7" Type="http://schemas.openxmlformats.org/officeDocument/2006/relationships/hyperlink" Target="http://undocs.org/ru/CRC/C/NLD/CO/4" TargetMode="External"/><Relationship Id="rId12" Type="http://schemas.openxmlformats.org/officeDocument/2006/relationships/hyperlink" Target="http://undocs.org/ru/CRC/C/OPAC/NLD/CO/1" TargetMode="External"/><Relationship Id="rId2" Type="http://schemas.openxmlformats.org/officeDocument/2006/relationships/hyperlink" Target="http://undocs.org/en/CRC/C/SR.2566" TargetMode="External"/><Relationship Id="rId1" Type="http://schemas.openxmlformats.org/officeDocument/2006/relationships/hyperlink" Target="https://undocs.org/en/CRC/C/NLD/5-6" TargetMode="External"/><Relationship Id="rId6" Type="http://schemas.openxmlformats.org/officeDocument/2006/relationships/hyperlink" Target="http://undocs.org/ru/CRC/C/NLD/CO/3" TargetMode="External"/><Relationship Id="rId11" Type="http://schemas.openxmlformats.org/officeDocument/2006/relationships/hyperlink" Target="http://undocs.org/ru/CRC/C/OPSC/NLD/CO/1" TargetMode="External"/><Relationship Id="rId5" Type="http://schemas.openxmlformats.org/officeDocument/2006/relationships/hyperlink" Target="http://undocs.org/en/CRC/C/15/Add.227" TargetMode="External"/><Relationship Id="rId10" Type="http://schemas.openxmlformats.org/officeDocument/2006/relationships/hyperlink" Target="http://undocs.org/ru/CRC/C/NLD/CO/4" TargetMode="External"/><Relationship Id="rId4" Type="http://schemas.openxmlformats.org/officeDocument/2006/relationships/hyperlink" Target="http://undocs.org/en/CRC/C/15/Add.114" TargetMode="External"/><Relationship Id="rId9" Type="http://schemas.openxmlformats.org/officeDocument/2006/relationships/hyperlink" Target="http://undocs.org/ru/CRC/C/156" TargetMode="External"/><Relationship Id="rId14" Type="http://schemas.openxmlformats.org/officeDocument/2006/relationships/hyperlink" Target="http://undocs.org/ru/HRI/GEN/2/Rev.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19</Pages>
  <Words>6568</Words>
  <Characters>45452</Characters>
  <Application>Microsoft Office Word</Application>
  <DocSecurity>0</DocSecurity>
  <Lines>874</Lines>
  <Paragraphs>266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CRC/C/NLD/CO/5-6</vt:lpstr>
      <vt:lpstr>A/</vt:lpstr>
      <vt:lpstr>A/</vt:lpstr>
    </vt:vector>
  </TitlesOfParts>
  <Company>DCM</Company>
  <LinksUpToDate>false</LinksUpToDate>
  <CharactersWithSpaces>51754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CRC/C/NLD/CO/5-6</dc:title>
  <dc:subject/>
  <dc:creator>Svetlana PROKOUDINA</dc:creator>
  <cp:keywords/>
  <cp:lastModifiedBy>Tatiana Chvets</cp:lastModifiedBy>
  <cp:revision>3</cp:revision>
  <cp:lastPrinted>2022-04-11T05:52:00Z</cp:lastPrinted>
  <dcterms:created xsi:type="dcterms:W3CDTF">2022-04-11T05:52:00Z</dcterms:created>
  <dcterms:modified xsi:type="dcterms:W3CDTF">2022-04-11T05:57:00Z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