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000000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  <w:r>
              <w:rPr>
                <w:sz w:val="40"/>
                <w:szCs w:val="40"/>
              </w:rPr>
              <w:t>C</w:t>
            </w:r>
            <w:r>
              <w:rPr>
                <w:sz w:val="40"/>
                <w:szCs w:val="40"/>
                <w:lang w:val="en-US"/>
              </w:rPr>
              <w:t>EDAW</w:t>
            </w:r>
            <w:r>
              <w:t>/</w:t>
            </w:r>
            <w:r>
              <w:fldChar w:fldCharType="begin"/>
            </w:r>
            <w:r>
              <w:instrText xml:space="preserve"> FILLIN  "Введите часть символа после CRC/"  \* MERGEFORMAT </w:instrText>
            </w:r>
            <w:r>
              <w:fldChar w:fldCharType="separate"/>
            </w:r>
            <w:proofErr w:type="spellStart"/>
            <w:r>
              <w:t>C</w:t>
            </w:r>
            <w:proofErr w:type="spellEnd"/>
            <w:r>
              <w:t>/48/3/</w:t>
            </w:r>
            <w:proofErr w:type="spellStart"/>
            <w:r>
              <w:t>Add.1</w:t>
            </w:r>
            <w:proofErr w:type="spellEnd"/>
            <w:r>
              <w:fldChar w:fldCharType="end"/>
            </w:r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всех форм дискриминации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5 January 2011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r>
              <w:rPr>
                <w:lang w:val="en-US"/>
              </w:rPr>
              <w:t>Russian</w:t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/>
        </w:tc>
      </w:tr>
    </w:tbl>
    <w:p w:rsidR="00000000" w:rsidRDefault="00000000">
      <w:pPr>
        <w:pStyle w:val="H1GR"/>
        <w:spacing w:before="120" w:after="0"/>
        <w:ind w:left="0" w:firstLine="0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SingleTxtGR"/>
        <w:spacing w:after="0"/>
        <w:ind w:left="0"/>
        <w:rPr>
          <w:b/>
        </w:rPr>
      </w:pPr>
      <w:r>
        <w:rPr>
          <w:b/>
        </w:rPr>
        <w:t>Сорок восьмая сессия</w:t>
      </w:r>
    </w:p>
    <w:p w:rsidR="00000000" w:rsidRDefault="00000000">
      <w:pPr>
        <w:pStyle w:val="SingleTxtGR"/>
        <w:spacing w:after="0"/>
        <w:ind w:left="0"/>
      </w:pPr>
      <w:r>
        <w:t xml:space="preserve">17 января </w:t>
      </w:r>
      <w:r>
        <w:rPr>
          <w:lang w:val="en-US"/>
        </w:rPr>
        <w:t>−</w:t>
      </w:r>
      <w:r>
        <w:t xml:space="preserve"> 4 февраля 2011 года</w:t>
      </w:r>
    </w:p>
    <w:p w:rsidR="00000000" w:rsidRDefault="00000000">
      <w:pPr>
        <w:pStyle w:val="SingleTxtGR"/>
        <w:spacing w:after="0"/>
        <w:ind w:left="0"/>
      </w:pPr>
      <w:r>
        <w:t>Пункт 6 предварительной повестки дня</w:t>
      </w:r>
    </w:p>
    <w:p w:rsidR="00000000" w:rsidRDefault="00000000">
      <w:pPr>
        <w:pStyle w:val="H23GR"/>
        <w:spacing w:before="0" w:after="0"/>
        <w:ind w:left="0" w:firstLine="0"/>
      </w:pPr>
      <w:r>
        <w:t xml:space="preserve">Осуществление статей 21 и 22 Конвенции о ликвидации </w:t>
      </w:r>
      <w:r>
        <w:br/>
        <w:t>всех форм дискриминации в отношении же</w:t>
      </w:r>
      <w:r>
        <w:t>н</w:t>
      </w:r>
      <w:r>
        <w:t>щин</w:t>
      </w:r>
    </w:p>
    <w:p w:rsidR="00000000" w:rsidRDefault="0000000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Доклады, представляемые специализированными учреждениями Организации Объединенных Наций по вопросу об осуществлении Конвенции в областях, входящих в их сферу деятельности</w:t>
      </w:r>
    </w:p>
    <w:p w:rsidR="00000000" w:rsidRDefault="0000000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Добавление</w:t>
      </w:r>
    </w:p>
    <w:p w:rsidR="00000000" w:rsidRDefault="0000000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Записка Генерального секретаря</w:t>
      </w:r>
      <w:r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000000" w:rsidRDefault="00000000">
      <w:pPr>
        <w:pStyle w:val="HChGR"/>
      </w:pPr>
      <w:r>
        <w:tab/>
      </w:r>
      <w:r>
        <w:tab/>
        <w:t>Организация Объединенных Наций по вопросам образования, науки и культуры</w:t>
      </w:r>
    </w:p>
    <w:p w:rsidR="00000000" w:rsidRDefault="00000000">
      <w:pPr>
        <w:pStyle w:val="HChGR"/>
      </w:pPr>
      <w:r>
        <w:br w:type="page"/>
      </w:r>
      <w:r>
        <w:tab/>
        <w:t>I.</w:t>
      </w:r>
      <w:r>
        <w:tab/>
        <w:t>Введение</w:t>
      </w:r>
    </w:p>
    <w:p w:rsidR="00000000" w:rsidRDefault="00000000">
      <w:pPr>
        <w:pStyle w:val="SingleTxtGR"/>
      </w:pPr>
      <w:r>
        <w:t>1.</w:t>
      </w:r>
      <w:r>
        <w:tab/>
        <w:t>Комитет по ликвидации дискриминации в отношении женщин на своей сорок восьмой сессии рассмотрит национальные доклады следующих стран: Бангладеш, Беларуси, Израиля, Кении, Лихтенштейна, Шри-Ланки и Южной Африки.</w:t>
      </w:r>
    </w:p>
    <w:p w:rsidR="00000000" w:rsidRDefault="00000000">
      <w:pPr>
        <w:pStyle w:val="SingleTxtGR"/>
      </w:pPr>
      <w:r>
        <w:t>2.</w:t>
      </w:r>
      <w:r>
        <w:tab/>
        <w:t xml:space="preserve">В соответствии со статьей </w:t>
      </w:r>
      <w:bookmarkStart w:id="0" w:name="hit_last"/>
      <w:bookmarkEnd w:id="0"/>
      <w:r>
        <w:t>22 Конвенции о ликвидации всех форм ди</w:t>
      </w:r>
      <w:r>
        <w:t>с</w:t>
      </w:r>
      <w:r>
        <w:t>криминации в отношении женщин специализированным учреждениям предл</w:t>
      </w:r>
      <w:r>
        <w:t>а</w:t>
      </w:r>
      <w:r>
        <w:t>гается представлять доклады по вопросу об осуществлении Конвенции в обла</w:t>
      </w:r>
      <w:r>
        <w:t>с</w:t>
      </w:r>
      <w:r>
        <w:t>тях, входящих в сферу их деятельности, с указанием новых мероприятий, стр</w:t>
      </w:r>
      <w:r>
        <w:t>а</w:t>
      </w:r>
      <w:r>
        <w:t>тегий и программ. В этой связи Организация Объединенных Наций по вопр</w:t>
      </w:r>
      <w:r>
        <w:t>о</w:t>
      </w:r>
      <w:r>
        <w:t>сам образования, науки и культуры (ЮНЕСКО) представляет приводимый ниже доклад об осуществлении статьи 10 об "образовании" и смежных статей.</w:t>
      </w:r>
    </w:p>
    <w:p w:rsidR="00000000" w:rsidRDefault="00000000">
      <w:pPr>
        <w:pStyle w:val="SingleTxtGR"/>
      </w:pPr>
      <w:r>
        <w:t>3.</w:t>
      </w:r>
      <w:r>
        <w:tab/>
        <w:t>В соответствии со Всеобщей декларацией прав человека (1948 год) обр</w:t>
      </w:r>
      <w:r>
        <w:t>а</w:t>
      </w:r>
      <w:r>
        <w:t>зование имеет две основные функции. Во-первых, в ней говорится, что "образ</w:t>
      </w:r>
      <w:r>
        <w:t>о</w:t>
      </w:r>
      <w:r>
        <w:t>вание должно быть направлено к полному развитию человеческой личности" и, во-вторых, что "образование должно содействовать взаимопониманию, терп</w:t>
      </w:r>
      <w:r>
        <w:t>и</w:t>
      </w:r>
      <w:r>
        <w:t>мости и дружбе между всеми народами, расовыми и религиозными группами и должно содействовать деятельности Организации Объединенных Наций по поддержанию мира" (статья 26, пункт 2). Несмотря на обязательства, взятые г</w:t>
      </w:r>
      <w:r>
        <w:t>о</w:t>
      </w:r>
      <w:r>
        <w:t>сударствами − участниками Всеобщей декларации прав человека, и другие пр</w:t>
      </w:r>
      <w:r>
        <w:t>и</w:t>
      </w:r>
      <w:r>
        <w:t>нятые в последнее время правовые акты в области прав человека, для достиж</w:t>
      </w:r>
      <w:r>
        <w:t>е</w:t>
      </w:r>
      <w:r>
        <w:t>ния более справедливых и гармоничных обществ необходимо сделать еще мн</w:t>
      </w:r>
      <w:r>
        <w:t>о</w:t>
      </w:r>
      <w:r>
        <w:t>гое. Все еще имеют место нарушения прав человека и конфликты с применен</w:t>
      </w:r>
      <w:r>
        <w:t>и</w:t>
      </w:r>
      <w:r>
        <w:t xml:space="preserve">ем насилия, от которых в наибольшей степени страдают женщины и девочки. Насилие встречается на всех уровнях, в том числе и в учебных заведениях. </w:t>
      </w:r>
    </w:p>
    <w:p w:rsidR="00000000" w:rsidRDefault="00000000">
      <w:pPr>
        <w:pStyle w:val="SingleTxtGR"/>
      </w:pPr>
      <w:r>
        <w:t>4.</w:t>
      </w:r>
      <w:r>
        <w:tab/>
        <w:t>Право на образование является одной из самых главных задач ЮНЕСКО и неотъемлемым элементом ее учредительного мандата. В Уставе ЮНЕСКО выражается вера ее основателей в "необходимость предоставления всем людям полных и равных возможностей для получения образования". Отсутствие во</w:t>
      </w:r>
      <w:r>
        <w:t>з</w:t>
      </w:r>
      <w:r>
        <w:t>можностей для получения образования и осуществления основных прав чел</w:t>
      </w:r>
      <w:r>
        <w:t>о</w:t>
      </w:r>
      <w:r>
        <w:t>века является одним из наиболее серьезных препятствий для установления д</w:t>
      </w:r>
      <w:r>
        <w:t>е</w:t>
      </w:r>
      <w:r>
        <w:t>мократии и мира.</w:t>
      </w:r>
    </w:p>
    <w:p w:rsidR="00000000" w:rsidRDefault="00000000">
      <w:pPr>
        <w:pStyle w:val="SingleTxtGR"/>
      </w:pPr>
      <w:r>
        <w:t>5.</w:t>
      </w:r>
      <w:r>
        <w:tab/>
        <w:t>Нормативная деятельность ЮНЕСКО в целях осуществления Конвенции о борьбе с дискриминацией в области образования (1960 год) содействует пр</w:t>
      </w:r>
      <w:r>
        <w:t>е</w:t>
      </w:r>
      <w:r>
        <w:t>доставлению девочкам и мальчикам равных возможностей для получения обр</w:t>
      </w:r>
      <w:r>
        <w:t>а</w:t>
      </w:r>
      <w:r>
        <w:t>зования. Базовое образование для девочек и женщин также является важным элементом концепции образования, разработанной Международной комиссией по вопросам образ</w:t>
      </w:r>
      <w:r>
        <w:t>о</w:t>
      </w:r>
      <w:r>
        <w:t>вания для XXI века в ее докладе, представленном ЮНЕСКО и озаглавленном: "Обучение: внутреннее богатство" (1996 год), в котором гов</w:t>
      </w:r>
      <w:r>
        <w:t>о</w:t>
      </w:r>
      <w:r>
        <w:t>рится, что "образование является правом человека и необходимым инструме</w:t>
      </w:r>
      <w:r>
        <w:t>н</w:t>
      </w:r>
      <w:r>
        <w:t xml:space="preserve">том для достижения целей равенства, развития и мира. </w:t>
      </w:r>
      <w:proofErr w:type="spellStart"/>
      <w:r>
        <w:t>Недискриминационное</w:t>
      </w:r>
      <w:proofErr w:type="spellEnd"/>
      <w:r>
        <w:t xml:space="preserve"> образование идет на пользу как девочкам, так и мальчикам, и поэтому в коне</w:t>
      </w:r>
      <w:r>
        <w:t>ч</w:t>
      </w:r>
      <w:r>
        <w:t>ном итоге способствует установлению более равноправных отношений между женщинами и мужчинами. Для того чтобы женщины стали носителями прео</w:t>
      </w:r>
      <w:r>
        <w:t>б</w:t>
      </w:r>
      <w:r>
        <w:t>разований, им необходимо обеспечить равный доступ к образованию и возмо</w:t>
      </w:r>
      <w:r>
        <w:t>ж</w:t>
      </w:r>
      <w:r>
        <w:t>ности для его получения".</w:t>
      </w:r>
    </w:p>
    <w:p w:rsidR="00000000" w:rsidRDefault="00000000">
      <w:pPr>
        <w:pStyle w:val="SingleTxtGR"/>
      </w:pPr>
      <w:r>
        <w:t>6.</w:t>
      </w:r>
      <w:r>
        <w:tab/>
        <w:t>ЮНЕСКО призвана играть важную роль и нести большую ответстве</w:t>
      </w:r>
      <w:r>
        <w:t>н</w:t>
      </w:r>
      <w:r>
        <w:t>ность в рамках системы О</w:t>
      </w:r>
      <w:r>
        <w:t>р</w:t>
      </w:r>
      <w:r>
        <w:t>ганизации Объединенных Наций в том, что касается права на образование и осуществления Конвенции о ликвидации всех форм дискриминации в отношении женщин, в которой предусматривается, что "гос</w:t>
      </w:r>
      <w:r>
        <w:t>у</w:t>
      </w:r>
      <w:r>
        <w:t>дарства-участники принимают все соответствующие меры для того, чтобы ли</w:t>
      </w:r>
      <w:r>
        <w:t>к</w:t>
      </w:r>
      <w:r>
        <w:t>видировать дискриминацию в отношении женщин, с тем чтобы обеспечить им равные права с мужчинами в области образов</w:t>
      </w:r>
      <w:r>
        <w:t>а</w:t>
      </w:r>
      <w:r>
        <w:t>ния…" (статья 10).</w:t>
      </w:r>
    </w:p>
    <w:p w:rsidR="00000000" w:rsidRDefault="00000000">
      <w:pPr>
        <w:pStyle w:val="HChGR"/>
      </w:pPr>
      <w:r>
        <w:tab/>
        <w:t>II.</w:t>
      </w:r>
      <w:r>
        <w:tab/>
        <w:t>Общая деятельность ЮНЕСКО по осуществлению Конвенции в секретариате</w:t>
      </w:r>
    </w:p>
    <w:p w:rsidR="00000000" w:rsidRDefault="00000000">
      <w:pPr>
        <w:pStyle w:val="SingleTxtGR"/>
      </w:pPr>
      <w:r>
        <w:t>7.</w:t>
      </w:r>
      <w:r>
        <w:tab/>
        <w:t>В качестве специализированного учреждения Организации Объедине</w:t>
      </w:r>
      <w:r>
        <w:t>н</w:t>
      </w:r>
      <w:r>
        <w:t>ных Наций ЮНЕСКО сп</w:t>
      </w:r>
      <w:r>
        <w:t>о</w:t>
      </w:r>
      <w:r>
        <w:t xml:space="preserve">собствует </w:t>
      </w:r>
      <w:proofErr w:type="spellStart"/>
      <w:r>
        <w:t>миростроительству</w:t>
      </w:r>
      <w:proofErr w:type="spellEnd"/>
      <w:r>
        <w:t>, искоренению нищеты, устойчивому развитию и межкультурному диалогу через образование, науку, культуру, средства коммуникации и информации. В рамках Среднесрочной стратегии ЮНЕСКО на 2008–2013 годы задача обеспечения гендерного раве</w:t>
      </w:r>
      <w:r>
        <w:t>н</w:t>
      </w:r>
      <w:r>
        <w:t>ства определена в качестве одного из двух глобальных приоритетов организ</w:t>
      </w:r>
      <w:r>
        <w:t>а</w:t>
      </w:r>
      <w:r>
        <w:t>ции (другим является Африка). Этот приоритет гендерного равенства обеспеч</w:t>
      </w:r>
      <w:r>
        <w:t>и</w:t>
      </w:r>
      <w:r>
        <w:t>вается благодаря использованию двухвекторного подхода: a) программирование с учетом гендерной специфики; и b) актуализация гендерной проблематики во всех областях, входящих в сферу деятельности ЮНЕСКО. Первая женщина, и</w:t>
      </w:r>
      <w:r>
        <w:t>з</w:t>
      </w:r>
      <w:r>
        <w:t>бранная Генеральным директором ЮНЕСКО в ноябре 2009 года, сделала в</w:t>
      </w:r>
      <w:r>
        <w:t>о</w:t>
      </w:r>
      <w:r>
        <w:t>прос о гендерном равенстве одним из главных приоритетов своего мандата и активно занимается выполнением этого обязательства в рамках профильных программ и ко</w:t>
      </w:r>
      <w:r>
        <w:t>н</w:t>
      </w:r>
      <w:r>
        <w:t>кретных действий.</w:t>
      </w:r>
    </w:p>
    <w:p w:rsidR="00000000" w:rsidRDefault="00000000">
      <w:pPr>
        <w:pStyle w:val="SingleTxtGR"/>
      </w:pPr>
      <w:r>
        <w:t>8.</w:t>
      </w:r>
      <w:r>
        <w:tab/>
        <w:t>Проводимая ЮНЕСКО работа по обеспечению гендерного равенства и расширению возможностей женщин определяется положениями Пекинской платформы действий, Конвенцией о ликвидации всех форм дискриминации в отношении женщин (КЛДЖ), резолюциями и международными и регионал</w:t>
      </w:r>
      <w:r>
        <w:t>ь</w:t>
      </w:r>
      <w:r>
        <w:t>ными правовыми актами в области прав человека, имеющими отнош</w:t>
      </w:r>
      <w:r>
        <w:t>е</w:t>
      </w:r>
      <w:r>
        <w:t>ние к сфере деятельности ЮНЕСКО, ее Среднесрочной стратегией на 2008–2013 г</w:t>
      </w:r>
      <w:r>
        <w:t>о</w:t>
      </w:r>
      <w:r>
        <w:t>ды, программой и бюджетом на двухгодичный период, а также общеорганиз</w:t>
      </w:r>
      <w:r>
        <w:t>а</w:t>
      </w:r>
      <w:r>
        <w:t>ционным Приоритетным планом действий в области обеспечения гендерного равенства на 2008–2013 годы, который обеспечивает поддержку и служит ор</w:t>
      </w:r>
      <w:r>
        <w:t>и</w:t>
      </w:r>
      <w:r>
        <w:t>ентиром в деятельности по выполнению приоритетной задачи достижения ге</w:t>
      </w:r>
      <w:r>
        <w:t>н</w:t>
      </w:r>
      <w:r>
        <w:t>дерного равенства. В плане действий содержится информация о страт</w:t>
      </w:r>
      <w:r>
        <w:t>е</w:t>
      </w:r>
      <w:r>
        <w:t>гических мероприятиях по программным секторам в области гендерного равенства с ук</w:t>
      </w:r>
      <w:r>
        <w:t>а</w:t>
      </w:r>
      <w:r>
        <w:t>занием соответствующих ожидаемых результатов и показателей э</w:t>
      </w:r>
      <w:r>
        <w:t>ф</w:t>
      </w:r>
      <w:r>
        <w:t>фективности работы на 2008–2013 годы, основных элементах практической реализации, ко</w:t>
      </w:r>
      <w:r>
        <w:t>н</w:t>
      </w:r>
      <w:r>
        <w:t>троля и отчетности в отношении деятельности в поддержку достижения ге</w:t>
      </w:r>
      <w:r>
        <w:t>н</w:t>
      </w:r>
      <w:r>
        <w:t>дерного равенства и организационных механизмах достижения гендерного р</w:t>
      </w:r>
      <w:r>
        <w:t>а</w:t>
      </w:r>
      <w:r>
        <w:t>венства в орган</w:t>
      </w:r>
      <w:r>
        <w:t>и</w:t>
      </w:r>
      <w:r>
        <w:t>зации с акцентом на укрепление потенциала, подотчетность и представительство женщин и мужчин на руководящих должностях в секрет</w:t>
      </w:r>
      <w:r>
        <w:t>а</w:t>
      </w:r>
      <w:r>
        <w:t>риате.</w:t>
      </w:r>
    </w:p>
    <w:p w:rsidR="00000000" w:rsidRDefault="00000000">
      <w:pPr>
        <w:pStyle w:val="SingleTxtGR"/>
      </w:pPr>
      <w:r>
        <w:t>9.</w:t>
      </w:r>
      <w:r>
        <w:tab/>
        <w:t>ЮНЕСКО занимается в основном следующими видами дискримин</w:t>
      </w:r>
      <w:r>
        <w:t>а</w:t>
      </w:r>
      <w:r>
        <w:t>ции и насилия в отношении женщин: межличностное насилие в школах и вне школ; торговля женщинами; и насилие над женщинами в условиях конфликта и в п</w:t>
      </w:r>
      <w:r>
        <w:t>о</w:t>
      </w:r>
      <w:r>
        <w:t>стконфликтных ситуациях. Эта деятельность охватывает различные области о</w:t>
      </w:r>
      <w:r>
        <w:t>б</w:t>
      </w:r>
      <w:r>
        <w:t>разования, естественные науки, социальные и гуманитарные науки, культуру, коммуникации и информацию. Разработан двухвекторный подход к дискрим</w:t>
      </w:r>
      <w:r>
        <w:t>и</w:t>
      </w:r>
      <w:r>
        <w:t>нации и насилию в отношении женщин:</w:t>
      </w:r>
    </w:p>
    <w:p w:rsidR="00000000" w:rsidRDefault="00000000">
      <w:pPr>
        <w:pStyle w:val="Bullet1GR"/>
        <w:numPr>
          <w:ilvl w:val="0"/>
          <w:numId w:val="1"/>
        </w:numPr>
      </w:pPr>
      <w:r>
        <w:rPr>
          <w:i/>
        </w:rPr>
        <w:t>Б</w:t>
      </w:r>
      <w:r>
        <w:rPr>
          <w:i/>
        </w:rPr>
        <w:t>и</w:t>
      </w:r>
      <w:r>
        <w:rPr>
          <w:i/>
        </w:rPr>
        <w:t xml:space="preserve">хевиористский подход. </w:t>
      </w:r>
      <w:r>
        <w:t>С помощью образования и ИКТ ЮНЕСКО стремится способствовать осознанию мужчинами и женщинами необх</w:t>
      </w:r>
      <w:r>
        <w:t>о</w:t>
      </w:r>
      <w:r>
        <w:t>димости мира и отказа от насилия. Сюда относится пропаганда внедр</w:t>
      </w:r>
      <w:r>
        <w:t>е</w:t>
      </w:r>
      <w:r>
        <w:t>ния методов образования по правам человека с учетом гендерных факт</w:t>
      </w:r>
      <w:r>
        <w:t>о</w:t>
      </w:r>
      <w:r>
        <w:t>ров и ненасильственного урегулирования конфликтов. Программа обр</w:t>
      </w:r>
      <w:r>
        <w:t>а</w:t>
      </w:r>
      <w:r>
        <w:t>зования ЮНЕСКО по правам человека имеет целью глубокое реформир</w:t>
      </w:r>
      <w:r>
        <w:t>о</w:t>
      </w:r>
      <w:r>
        <w:t>вание системы образования, чтобы изменить отношение и поведение, о</w:t>
      </w:r>
      <w:r>
        <w:t>п</w:t>
      </w:r>
      <w:r>
        <w:t>равдыва</w:t>
      </w:r>
      <w:r>
        <w:t>ю</w:t>
      </w:r>
      <w:r>
        <w:t>щие насилие. Она предусматривает разработку учебных планов, обучение на рабочем месте и до поступления на службу, учебники, мет</w:t>
      </w:r>
      <w:r>
        <w:t>о</w:t>
      </w:r>
      <w:r>
        <w:t>дологию, организацию классной работы и системы образования всех ст</w:t>
      </w:r>
      <w:r>
        <w:t>у</w:t>
      </w:r>
      <w:r>
        <w:t>пеней.</w:t>
      </w:r>
    </w:p>
    <w:p w:rsidR="00000000" w:rsidRDefault="00000000">
      <w:pPr>
        <w:pStyle w:val="Bullet1GR"/>
        <w:numPr>
          <w:ilvl w:val="0"/>
          <w:numId w:val="1"/>
        </w:numPr>
      </w:pPr>
      <w:r>
        <w:rPr>
          <w:i/>
        </w:rPr>
        <w:t>Структурный подход.</w:t>
      </w:r>
      <w:r>
        <w:t xml:space="preserve"> ЮНЕСКО изучает структурные причины н</w:t>
      </w:r>
      <w:r>
        <w:t>а</w:t>
      </w:r>
      <w:r>
        <w:t>силия в отношении женщин и стремится поощрять использование целостных и культурно обусловленных надлежащих мер на директивном уровне в ц</w:t>
      </w:r>
      <w:r>
        <w:t>е</w:t>
      </w:r>
      <w:r>
        <w:t>лях его и</w:t>
      </w:r>
      <w:r>
        <w:t>с</w:t>
      </w:r>
      <w:r>
        <w:t>коренения.</w:t>
      </w:r>
    </w:p>
    <w:p w:rsidR="00000000" w:rsidRDefault="00000000">
      <w:pPr>
        <w:pStyle w:val="SingleTxtGR"/>
      </w:pPr>
      <w:r>
        <w:t>10.</w:t>
      </w:r>
      <w:r>
        <w:tab/>
        <w:t>Отдел по равенству полов, входящий в состав секретариата, несет отве</w:t>
      </w:r>
      <w:r>
        <w:t>т</w:t>
      </w:r>
      <w:r>
        <w:t>ственность за разработку инициатив, содействие и контроль за реализ</w:t>
      </w:r>
      <w:r>
        <w:t>а</w:t>
      </w:r>
      <w:r>
        <w:t>цией всех мер, касающихся расширения возможностей женщин и обеспечения ге</w:t>
      </w:r>
      <w:r>
        <w:t>н</w:t>
      </w:r>
      <w:r>
        <w:t xml:space="preserve">дерного равенства, в штаб-квартире и в отделениях на местах. Отдел работает с сотрудниками программных секторов штаб-квартиры и отделениями на местах в целях осуществления Приоритетного плана действий в области обеспечения гендерного равенства. </w:t>
      </w:r>
    </w:p>
    <w:p w:rsidR="00000000" w:rsidRDefault="00000000">
      <w:pPr>
        <w:pStyle w:val="SingleTxtGR"/>
      </w:pPr>
      <w:r>
        <w:t>11.</w:t>
      </w:r>
      <w:r>
        <w:tab/>
        <w:t>Кроме того, Отдел по равенству полов организует мероприятия выс</w:t>
      </w:r>
      <w:r>
        <w:t>о</w:t>
      </w:r>
      <w:r>
        <w:t>кого уровня и информационно-пропагандистские мероприятия по случаю Междун</w:t>
      </w:r>
      <w:r>
        <w:t>а</w:t>
      </w:r>
      <w:r>
        <w:t>родного дня борьбы за ликвидацию насилия в отношении женщин 25 ноября и Международного женского дня 8 марта. В этом году в рамках празднования 25 ноября ЮНЕСКО с 28 октября провела ряд мероприятий, к числу которых относились конференции, выставки, круглые столы и показы кинофильмов, п</w:t>
      </w:r>
      <w:r>
        <w:t>о</w:t>
      </w:r>
      <w:r>
        <w:t>священные различным формам насилия в отношении женщин в курируемых ЮНЕСКО сферах деятельности и освещавшие усилия, предпринимаемые в ра</w:t>
      </w:r>
      <w:r>
        <w:t>з</w:t>
      </w:r>
      <w:r>
        <w:t>ных регионах мира для их пред</w:t>
      </w:r>
      <w:r>
        <w:t>у</w:t>
      </w:r>
      <w:r>
        <w:t xml:space="preserve">преждения. </w:t>
      </w:r>
    </w:p>
    <w:p w:rsidR="00000000" w:rsidRDefault="00000000">
      <w:pPr>
        <w:pStyle w:val="SingleTxtGR"/>
      </w:pPr>
      <w:r>
        <w:t>12.</w:t>
      </w:r>
      <w:r>
        <w:tab/>
        <w:t>Мероприятия, проводимые ЮНЕСКО по случаю празднования Междун</w:t>
      </w:r>
      <w:r>
        <w:t>а</w:t>
      </w:r>
      <w:r>
        <w:t>родного дня борьбы за ликвидацию насилия в отношении женщин в 2010 году, начались 28 октября 2010 года с конференции и художественной выставки "Под крыльями бабочками", посвященной жизни трех сестер Мирабаль, политич</w:t>
      </w:r>
      <w:r>
        <w:t>е</w:t>
      </w:r>
      <w:r>
        <w:t>ских активисток из Доминиканской Республики, которые были зверски убиты по приказу доминиканского правителя Рафаэля Трухильо (1930−1961 год) и в честь которых Генеральная Ассамблея в 1999 году учредила День борьбы за л</w:t>
      </w:r>
      <w:r>
        <w:t>и</w:t>
      </w:r>
      <w:r>
        <w:t>квид</w:t>
      </w:r>
      <w:r>
        <w:t>а</w:t>
      </w:r>
      <w:r>
        <w:t xml:space="preserve">цию насилия в отношении женщин. </w:t>
      </w:r>
    </w:p>
    <w:p w:rsidR="00000000" w:rsidRDefault="00000000">
      <w:pPr>
        <w:pStyle w:val="SingleTxtGR"/>
      </w:pPr>
      <w:r>
        <w:t>13.</w:t>
      </w:r>
      <w:r>
        <w:tab/>
        <w:t>22 ноября ЮНЕСКО организовала конференцию и художественную в</w:t>
      </w:r>
      <w:r>
        <w:t>ы</w:t>
      </w:r>
      <w:r>
        <w:t>ставку "Крепнущие голоса: афганские женщины в новостях", позволившую с</w:t>
      </w:r>
      <w:r>
        <w:t>о</w:t>
      </w:r>
      <w:r>
        <w:t>ставить представление о трудностях, с которыми сталкиваются афганские жу</w:t>
      </w:r>
      <w:r>
        <w:t>р</w:t>
      </w:r>
      <w:r>
        <w:t>налистки. 25 ноября в рамках конференции "Женщины, вода и устойчивое ра</w:t>
      </w:r>
      <w:r>
        <w:t>з</w:t>
      </w:r>
      <w:r>
        <w:t>витие в Африке", посвященной ключевой роли женщин в обеспечении, раци</w:t>
      </w:r>
      <w:r>
        <w:t>о</w:t>
      </w:r>
      <w:r>
        <w:t>нальном использовании и охране водных ресурсов, б</w:t>
      </w:r>
      <w:r>
        <w:t>ы</w:t>
      </w:r>
      <w:r>
        <w:t>ло подчеркнуто, что обеспечение доступа к чистой воде и санитарным условиям не только облегчит участь женщин, расширит возможности девочек ходить в школу и высвободит время для других видов экономической деятельности, но и повысит безопа</w:t>
      </w:r>
      <w:r>
        <w:t>с</w:t>
      </w:r>
      <w:r>
        <w:t>ность женщин и девочек, которые постоянно подвергаются риску стать жертв</w:t>
      </w:r>
      <w:r>
        <w:t>а</w:t>
      </w:r>
      <w:r>
        <w:t>ми изнасилования или нападений, когда отправляются за водой на дальние ра</w:t>
      </w:r>
      <w:r>
        <w:t>с</w:t>
      </w:r>
      <w:r>
        <w:t>стояния от дома.</w:t>
      </w:r>
    </w:p>
    <w:p w:rsidR="00000000" w:rsidRDefault="00000000">
      <w:pPr>
        <w:pStyle w:val="SingleTxtGR"/>
      </w:pPr>
      <w:r>
        <w:t>14.</w:t>
      </w:r>
      <w:r>
        <w:tab/>
        <w:t>В рамках подготовки к Совещанию высокого уровня по вопросам реал</w:t>
      </w:r>
      <w:r>
        <w:t>и</w:t>
      </w:r>
      <w:r>
        <w:t>зации Целей развития тысячелетия, прошедшему в Нью-Йорке в сентя</w:t>
      </w:r>
      <w:r>
        <w:t>б</w:t>
      </w:r>
      <w:r>
        <w:t>ре 2010 года, ЮНЕСКО организовала в Афинах международную конференцию в</w:t>
      </w:r>
      <w:r>
        <w:t>ы</w:t>
      </w:r>
      <w:r>
        <w:t>сокого уровня под названием "Гендерное равенство: недостающее звено? – П</w:t>
      </w:r>
      <w:r>
        <w:t>е</w:t>
      </w:r>
      <w:r>
        <w:t>ресмотр согласованных на международном уровне целей развития после 2015 года", в ходе которой затрагивалась острая необходимость продолжать п</w:t>
      </w:r>
      <w:r>
        <w:t>о</w:t>
      </w:r>
      <w:r>
        <w:t xml:space="preserve">ощрять гендерное равенство в контексте многочисленных глобальных кризисов, а также необходимость </w:t>
      </w:r>
      <w:proofErr w:type="spellStart"/>
      <w:r>
        <w:t>мобилизовывать</w:t>
      </w:r>
      <w:proofErr w:type="spellEnd"/>
      <w:r>
        <w:t xml:space="preserve"> усилия международного сообщества для преодоления традиционных препятствий на пути расширения прав и во</w:t>
      </w:r>
      <w:r>
        <w:t>з</w:t>
      </w:r>
      <w:r>
        <w:t>можностей женщин и равенства полов. С целью дальнейшего обсуждения пе</w:t>
      </w:r>
      <w:r>
        <w:t>р</w:t>
      </w:r>
      <w:r>
        <w:t>спектив достижения гендерного равенства в штаб-квартире ЮНЕСКО был о</w:t>
      </w:r>
      <w:r>
        <w:t>р</w:t>
      </w:r>
      <w:r>
        <w:t>ганизован последующий семинар "Женщины ООН: новые рамки гендерного р</w:t>
      </w:r>
      <w:r>
        <w:t>а</w:t>
      </w:r>
      <w:r>
        <w:t>венства в Организации Объединенных Наций" с участием Рейчел Маянджи (помощник Генерального секретаря и глава КССГВ и МСДЖРП) и Аминаты Туры (Директор по вопросам гендерного равенс</w:t>
      </w:r>
      <w:r>
        <w:t>т</w:t>
      </w:r>
      <w:r>
        <w:t>ва, прав человека и культуры в ЮНФПА).</w:t>
      </w:r>
    </w:p>
    <w:p w:rsidR="00000000" w:rsidRDefault="00000000">
      <w:pPr>
        <w:pStyle w:val="SingleTxtGR"/>
      </w:pPr>
      <w:r>
        <w:t>15.</w:t>
      </w:r>
      <w:r>
        <w:tab/>
        <w:t>В соответствии со своей многолетней программой работы на 2010−2014 годы Комиссия по положению женщин на своей пятьдесят пятой сессии в 2011 году рассмотрит в качестве приоритетной темы "Доступ женщин и девочек к сферам образования, профессиональной подготовки, науки и техн</w:t>
      </w:r>
      <w:r>
        <w:t>и</w:t>
      </w:r>
      <w:r>
        <w:t>ки и их уч</w:t>
      </w:r>
      <w:r>
        <w:t>а</w:t>
      </w:r>
      <w:r>
        <w:t>стие в этих сферах, в том числе содействие обеспечению равенства мужчин и женщин в вопросах полной занятости и достойной р</w:t>
      </w:r>
      <w:r>
        <w:t>а</w:t>
      </w:r>
      <w:r>
        <w:t>боты". В целях содействия более глубокому пониманию этого вопроса и для оказания помощи Комиссии в ее работе ЮНЕСКО в сотрудничестве с Отделом по улучшению п</w:t>
      </w:r>
      <w:r>
        <w:t>о</w:t>
      </w:r>
      <w:r>
        <w:t>ложения женщин Объединенных Наций (в настоящее время входящий в состав ООН-Женщины) созвала совещание группы экспертов (СГЭ) по гендерным в</w:t>
      </w:r>
      <w:r>
        <w:t>о</w:t>
      </w:r>
      <w:r>
        <w:t>просам, науке и технике. В ходе СГЭ были изучены гендерные аспекты науки и техники с целью определения стратегий и программ, которые могли бы уск</w:t>
      </w:r>
      <w:r>
        <w:t>о</w:t>
      </w:r>
      <w:r>
        <w:t>рить прогресс в достижении согласованных на международном уровне целей развития, включая ЦРТ. На СГЭ также были рассмотрены стратегии расшир</w:t>
      </w:r>
      <w:r>
        <w:t>е</w:t>
      </w:r>
      <w:r>
        <w:t>ния доступа женщин к технологиям и их использования, включая выпуск пр</w:t>
      </w:r>
      <w:r>
        <w:t>о</w:t>
      </w:r>
      <w:r>
        <w:t xml:space="preserve">дуктов, в большей степени учитывающих гендерные особенности, расширения доступа женщин и их участия в </w:t>
      </w:r>
      <w:r>
        <w:rPr>
          <w:bCs/>
        </w:rPr>
        <w:t>образовании и профессиональной подг</w:t>
      </w:r>
      <w:r>
        <w:rPr>
          <w:bCs/>
        </w:rPr>
        <w:t>о</w:t>
      </w:r>
      <w:r>
        <w:rPr>
          <w:bCs/>
        </w:rPr>
        <w:t>товке в научно-технической сфере</w:t>
      </w:r>
      <w:r>
        <w:t>, а также устранения барьеров для занятости женщин в научно-техническом се</w:t>
      </w:r>
      <w:r>
        <w:t>к</w:t>
      </w:r>
      <w:r>
        <w:t>торе.</w:t>
      </w:r>
    </w:p>
    <w:p w:rsidR="00000000" w:rsidRDefault="00000000">
      <w:pPr>
        <w:pStyle w:val="HChGR"/>
      </w:pPr>
      <w:r>
        <w:tab/>
        <w:t>III.</w:t>
      </w:r>
      <w:r>
        <w:tab/>
        <w:t>Меры, принятые ЮНЕСКО во исполнение положений Конвенции в странах, которые будут объектом рассмотрения на сорок восьмой сессии</w:t>
      </w:r>
    </w:p>
    <w:p w:rsidR="00000000" w:rsidRDefault="00000000">
      <w:pPr>
        <w:pStyle w:val="H1GR"/>
      </w:pPr>
      <w:r>
        <w:tab/>
        <w:t>A.</w:t>
      </w:r>
      <w:r>
        <w:tab/>
        <w:t>Доклады по конкретным странам: инициативы/проекты ЮНЕСКО</w:t>
      </w:r>
    </w:p>
    <w:p w:rsidR="00000000" w:rsidRDefault="00000000">
      <w:pPr>
        <w:pStyle w:val="SingleTxtGR"/>
      </w:pPr>
      <w:r>
        <w:t>16.</w:t>
      </w:r>
      <w:r>
        <w:tab/>
        <w:t>Ниже приводятся доклады по конкретным странам, посвященные ин</w:t>
      </w:r>
      <w:r>
        <w:t>и</w:t>
      </w:r>
      <w:r>
        <w:t>циативам и проектам ЮНЕСКО в следующих странах: Бангладеш, Беларуси, Израиле, Кении, Лихтенштейне, Шри-Ланке и Ю</w:t>
      </w:r>
      <w:r>
        <w:t>ж</w:t>
      </w:r>
      <w:r>
        <w:t>ной Африке.</w:t>
      </w:r>
    </w:p>
    <w:p w:rsidR="00000000" w:rsidRDefault="00000000">
      <w:pPr>
        <w:pStyle w:val="H1GR"/>
      </w:pPr>
      <w:r>
        <w:tab/>
        <w:t>B.</w:t>
      </w:r>
      <w:r>
        <w:tab/>
        <w:t xml:space="preserve">Продольные и компаративные статистические данные о соотношении лиц мужского и женского пола в сфере образования по всем странам, представившим доклады для сорок восьмой сессии </w:t>
      </w:r>
    </w:p>
    <w:p w:rsidR="00000000" w:rsidRDefault="00000000">
      <w:pPr>
        <w:pStyle w:val="H23GR"/>
      </w:pPr>
      <w:r>
        <w:tab/>
      </w:r>
      <w:r>
        <w:tab/>
        <w:t>Бангладеш</w:t>
      </w:r>
    </w:p>
    <w:p w:rsidR="00000000" w:rsidRDefault="00000000">
      <w:pPr>
        <w:pStyle w:val="SingleTxtGR"/>
      </w:pPr>
      <w:r>
        <w:t>17.</w:t>
      </w:r>
      <w:r>
        <w:tab/>
        <w:t>Бангладеш не является участником Конвенции ЮНЕСКО о борьбе с ди</w:t>
      </w:r>
      <w:r>
        <w:t>с</w:t>
      </w:r>
      <w:r>
        <w:t xml:space="preserve">криминацией в области образования. </w:t>
      </w:r>
    </w:p>
    <w:p w:rsidR="00000000" w:rsidRDefault="00000000">
      <w:pPr>
        <w:pStyle w:val="H23GR"/>
      </w:pPr>
      <w:r>
        <w:tab/>
      </w:r>
      <w:r>
        <w:tab/>
        <w:t>Конституционные рамки</w:t>
      </w:r>
      <w:r>
        <w:rPr>
          <w:rStyle w:val="FootnoteReference"/>
          <w:b w:val="0"/>
        </w:rPr>
        <w:footnoteReference w:id="2"/>
      </w:r>
    </w:p>
    <w:p w:rsidR="00000000" w:rsidRDefault="00000000">
      <w:pPr>
        <w:pStyle w:val="SingleTxtGR"/>
      </w:pPr>
      <w:r>
        <w:t>18.</w:t>
      </w:r>
      <w:r>
        <w:tab/>
        <w:t>В Конституции с поправками, внесенными в нее в 2004 году, не соде</w:t>
      </w:r>
      <w:r>
        <w:t>р</w:t>
      </w:r>
      <w:r>
        <w:t>жится прямого упоминания права на образование. Тем не менее, согласно ст</w:t>
      </w:r>
      <w:r>
        <w:t>а</w:t>
      </w:r>
      <w:r>
        <w:t>тье 15 Конституции, государство несет ответственность за "удовлетворение о</w:t>
      </w:r>
      <w:r>
        <w:t>с</w:t>
      </w:r>
      <w:r>
        <w:t>новных жизненных потребностей, включая… образование". Кроме того, с</w:t>
      </w:r>
      <w:r>
        <w:t>о</w:t>
      </w:r>
      <w:r>
        <w:t>гласно статье 28, за гражданами закрепляется основное право на недискрим</w:t>
      </w:r>
      <w:r>
        <w:t>и</w:t>
      </w:r>
      <w:r>
        <w:t>нацию "по признаку религии, расы, касты, пола или места рождения" при "п</w:t>
      </w:r>
      <w:r>
        <w:t>о</w:t>
      </w:r>
      <w:r>
        <w:t>ступлении в то или иное учебное заведение". Наконец, ввиду защиты свободы религии учащиеся "не обязаны получать религиозное образование" (статья 41).</w:t>
      </w:r>
    </w:p>
    <w:p w:rsidR="00000000" w:rsidRDefault="00000000">
      <w:pPr>
        <w:pStyle w:val="H23GR"/>
      </w:pPr>
      <w:r>
        <w:tab/>
      </w:r>
      <w:r>
        <w:tab/>
        <w:t>Законодательные рамки</w:t>
      </w:r>
    </w:p>
    <w:p w:rsidR="00000000" w:rsidRDefault="00000000">
      <w:pPr>
        <w:pStyle w:val="SingleTxtGR"/>
      </w:pPr>
      <w:r>
        <w:t>19.</w:t>
      </w:r>
      <w:r>
        <w:tab/>
        <w:t>С законодательной точки зрения первым шагом на пути к всеобщему н</w:t>
      </w:r>
      <w:r>
        <w:t>а</w:t>
      </w:r>
      <w:r>
        <w:t>чальному образованию стало принятие Закона об (обязательном) начальном о</w:t>
      </w:r>
      <w:r>
        <w:t>б</w:t>
      </w:r>
      <w:r>
        <w:t>разовании (1990 год), на основании которого образование стало обязательным для детей от 6 до 10 лет и который стал применяться в масштабах страны в 1993 году. Был начат активный процесс социальной мобилизации, направле</w:t>
      </w:r>
      <w:r>
        <w:t>н</w:t>
      </w:r>
      <w:r>
        <w:t>ный на повышение осведомленности и обеспечение всеобщего участия, вкл</w:t>
      </w:r>
      <w:r>
        <w:t>ю</w:t>
      </w:r>
      <w:r>
        <w:t>чая подготовку членов сельских комитетов, организацию слетов матерей, со</w:t>
      </w:r>
      <w:r>
        <w:t>з</w:t>
      </w:r>
      <w:r>
        <w:t>дание студенческих бригад и использование традиционных и электронных средств массовой информации. В результате этого население в большей степени отдает себе отчет в необходимости образования, что в свою очередь выражается в росте числа детей, посещающих и заканчивающих школы</w:t>
      </w:r>
      <w:r>
        <w:rPr>
          <w:rStyle w:val="FootnoteReference"/>
        </w:rPr>
        <w:footnoteReference w:id="3"/>
      </w:r>
      <w:r>
        <w:t>. Система учрежд</w:t>
      </w:r>
      <w:r>
        <w:t>е</w:t>
      </w:r>
      <w:r>
        <w:t>ния частных университетов стала регламентироваться Законом № 34 о негос</w:t>
      </w:r>
      <w:r>
        <w:t>у</w:t>
      </w:r>
      <w:r>
        <w:t>дарственных университетах 1992 года</w:t>
      </w:r>
      <w:r>
        <w:rPr>
          <w:rStyle w:val="FootnoteReference"/>
        </w:rPr>
        <w:footnoteReference w:id="4"/>
      </w:r>
      <w:r>
        <w:t>, в статье 5 которого говорится, что "ч</w:t>
      </w:r>
      <w:r>
        <w:t>а</w:t>
      </w:r>
      <w:r>
        <w:t>стные университеты открыты для мужчин и женщин независимо от касты, р</w:t>
      </w:r>
      <w:r>
        <w:t>е</w:t>
      </w:r>
      <w:r>
        <w:t>лигии, расы и класса", при этом согласно подпункту f) статьи 7 "пять проце</w:t>
      </w:r>
      <w:r>
        <w:t>н</w:t>
      </w:r>
      <w:r>
        <w:t>тов всех мест отводится для приема неимущих или одаренных студентов, и все ст</w:t>
      </w:r>
      <w:r>
        <w:t>у</w:t>
      </w:r>
      <w:r>
        <w:t>денты этой категории имеют возможность обучаться бе</w:t>
      </w:r>
      <w:r>
        <w:t>с</w:t>
      </w:r>
      <w:r>
        <w:t>платно".</w:t>
      </w:r>
    </w:p>
    <w:p w:rsidR="00000000" w:rsidRDefault="00000000">
      <w:pPr>
        <w:pStyle w:val="H23GR"/>
      </w:pPr>
      <w:r>
        <w:tab/>
      </w:r>
      <w:r>
        <w:tab/>
        <w:t>Политика</w:t>
      </w:r>
    </w:p>
    <w:p w:rsidR="00000000" w:rsidRDefault="00000000">
      <w:pPr>
        <w:pStyle w:val="SingleTxtGR"/>
      </w:pPr>
      <w:r>
        <w:t>20.</w:t>
      </w:r>
      <w:r>
        <w:tab/>
        <w:t>Структура образования состоит из формальной и неформальной подси</w:t>
      </w:r>
      <w:r>
        <w:t>с</w:t>
      </w:r>
      <w:r>
        <w:t>тем. В обеих подсистемах также предусмотрены параллельные религиозные т</w:t>
      </w:r>
      <w:r>
        <w:t>е</w:t>
      </w:r>
      <w:r>
        <w:t>чения. За базовое образование отвечает Министерство начального и всеобщего образования (МНВО). За среднее и высшее образование отвечает Министерство образования (МО); оно также курирует обучение в медресе</w:t>
      </w:r>
      <w:r>
        <w:rPr>
          <w:rStyle w:val="FootnoteReference"/>
        </w:rPr>
        <w:footnoteReference w:id="5"/>
      </w:r>
      <w:r>
        <w:t xml:space="preserve"> (исламское) и др</w:t>
      </w:r>
      <w:r>
        <w:t>у</w:t>
      </w:r>
      <w:r>
        <w:t>гие официальные религиозные направления образования. В секторе нефо</w:t>
      </w:r>
      <w:r>
        <w:t>р</w:t>
      </w:r>
      <w:r>
        <w:t>мального образования ведут активную деятельность более 700 НПО, при этом некоторые из них одновременно организуют и проводят обучение на базе оф</w:t>
      </w:r>
      <w:r>
        <w:t>и</w:t>
      </w:r>
      <w:r>
        <w:t>циальных начальных школ. Частный сектор курирует школы, в которых обуч</w:t>
      </w:r>
      <w:r>
        <w:t>е</w:t>
      </w:r>
      <w:r>
        <w:t>ние ведется на англи</w:t>
      </w:r>
      <w:r>
        <w:t>й</w:t>
      </w:r>
      <w:r>
        <w:t>ском языке</w:t>
      </w:r>
      <w:r>
        <w:rPr>
          <w:rStyle w:val="FootnoteReference"/>
        </w:rPr>
        <w:footnoteReference w:id="6"/>
      </w:r>
      <w:r>
        <w:t xml:space="preserve">. </w:t>
      </w:r>
    </w:p>
    <w:p w:rsidR="00000000" w:rsidRDefault="00000000">
      <w:pPr>
        <w:pStyle w:val="SingleTxtGR"/>
      </w:pPr>
      <w:r>
        <w:t>21.</w:t>
      </w:r>
      <w:r>
        <w:tab/>
        <w:t>Вторая Программа развития начального образования (ПРНО</w:t>
      </w:r>
      <w:r>
        <w:noBreakHyphen/>
        <w:t>II) на 2004−2009 годы начала осуществляться в качестве продолжения ПРНО-I с ц</w:t>
      </w:r>
      <w:r>
        <w:t>е</w:t>
      </w:r>
      <w:r>
        <w:t>лью расширения доступа к качественному начальному образованию и обесп</w:t>
      </w:r>
      <w:r>
        <w:t>е</w:t>
      </w:r>
      <w:r>
        <w:t>чения в Бангладеш равенства всех девочек и мальчиков школьного возраста. В ее рамках также "разрабатываются стратегии и план действия для учета обр</w:t>
      </w:r>
      <w:r>
        <w:t>а</w:t>
      </w:r>
      <w:r>
        <w:t>зования детей из числа коренных народов"</w:t>
      </w:r>
      <w:r>
        <w:rPr>
          <w:rStyle w:val="FootnoteReference"/>
        </w:rPr>
        <w:footnoteReference w:id="7"/>
      </w:r>
      <w:r>
        <w:t>. Проект "Охват детей, бросивших школу" (ОДБШ) на 2004−2010 годы</w:t>
      </w:r>
      <w:r>
        <w:rPr>
          <w:rStyle w:val="FootnoteReference"/>
        </w:rPr>
        <w:footnoteReference w:id="8"/>
      </w:r>
      <w:r>
        <w:t xml:space="preserve"> был разработан в качестве дополнения к ПРНО-II (в рамках которой внимание уделяется исключительно системе фо</w:t>
      </w:r>
      <w:r>
        <w:t>р</w:t>
      </w:r>
      <w:r>
        <w:t>мального образования), поскольку он призван удовлетворить потребности в</w:t>
      </w:r>
      <w:r>
        <w:t>ы</w:t>
      </w:r>
      <w:r>
        <w:t>сокого числа не посещающих школу детей, в особенности девочек. Согласно правительству, проект ориентирован на уязвимые группы, например на безз</w:t>
      </w:r>
      <w:r>
        <w:t>е</w:t>
      </w:r>
      <w:r>
        <w:t>мельных людей, на расовые меньшинства и на находящихся в неблагоприятном положении девочек и мальчиков, проживающих в г</w:t>
      </w:r>
      <w:r>
        <w:t>о</w:t>
      </w:r>
      <w:r>
        <w:t>родских районах</w:t>
      </w:r>
      <w:r>
        <w:rPr>
          <w:rStyle w:val="FootnoteReference"/>
        </w:rPr>
        <w:footnoteReference w:id="9"/>
      </w:r>
      <w:r>
        <w:t xml:space="preserve">. </w:t>
      </w:r>
    </w:p>
    <w:p w:rsidR="00000000" w:rsidRDefault="00000000">
      <w:pPr>
        <w:pStyle w:val="SingleTxtGR"/>
      </w:pPr>
      <w:r>
        <w:t>22.</w:t>
      </w:r>
      <w:r>
        <w:tab/>
        <w:t>Также были разработаны программы среднего образования. Проект ус</w:t>
      </w:r>
      <w:r>
        <w:t>о</w:t>
      </w:r>
      <w:r>
        <w:t>вершенствования сектора среднего образования (на 2000−2010 годы) (СЕСИП), подготовленный в рамках плана развития среднего образования, направлен на укрепление систем администрирования и потенциала среднего образования, создание качественных систем поддержки среднего образования и обеспечен</w:t>
      </w:r>
      <w:r>
        <w:t>и</w:t>
      </w:r>
      <w:r>
        <w:t>е равноправного доступа девочек и мальчиков к среднему образованию. В ц</w:t>
      </w:r>
      <w:r>
        <w:t>е</w:t>
      </w:r>
      <w:r>
        <w:t>лях укрепления гендерного равенства был создан Проект стипендий для дев</w:t>
      </w:r>
      <w:r>
        <w:t>о</w:t>
      </w:r>
      <w:r>
        <w:t>чек на уровне среднего образования (ФЕСП), ориентированный на сельских девочек, которым выплачивается ежемесячное пособие и предоставляются средства на покупку учебников. Одним из наиболее часто упоминаемых ключевых дост</w:t>
      </w:r>
      <w:r>
        <w:t>и</w:t>
      </w:r>
      <w:r>
        <w:t>жений является то, что страна добилась равенства полов на уровне н</w:t>
      </w:r>
      <w:r>
        <w:t>а</w:t>
      </w:r>
      <w:r>
        <w:t>чального и среднего образования</w:t>
      </w:r>
      <w:r>
        <w:rPr>
          <w:rStyle w:val="FootnoteReference"/>
        </w:rPr>
        <w:footnoteReference w:id="10"/>
      </w:r>
      <w:r>
        <w:t>.  Кроме того, с 2002 года образование вплоть до двен</w:t>
      </w:r>
      <w:r>
        <w:t>а</w:t>
      </w:r>
      <w:r>
        <w:t xml:space="preserve">дцатого класса стало бесплатным для девочек. </w:t>
      </w:r>
    </w:p>
    <w:p w:rsidR="00000000" w:rsidRDefault="00000000">
      <w:pPr>
        <w:pStyle w:val="SingleTxtGR"/>
      </w:pPr>
      <w:r>
        <w:t>23.</w:t>
      </w:r>
      <w:r>
        <w:tab/>
        <w:t>За последнее десятилетие Бангладеш провела системные реформы всех секторов, уделяя особое внимание инициативам по расширению участия же</w:t>
      </w:r>
      <w:r>
        <w:t>н</w:t>
      </w:r>
      <w:r>
        <w:t>щин на основе законов, международных конвенций и позитивных действий для соблюдения квот, обеспечивающих участие женщин. Бангладеш также стреми</w:t>
      </w:r>
      <w:r>
        <w:t>т</w:t>
      </w:r>
      <w:r>
        <w:t>ся к достижению гендерного равенства во всех сферах общества. Поскольку в результате безземелья и нищеты женщины и мужчины вынуждены искать раб</w:t>
      </w:r>
      <w:r>
        <w:t>о</w:t>
      </w:r>
      <w:r>
        <w:t>ту за пределами своего места жительства, равные права и обязанн</w:t>
      </w:r>
      <w:r>
        <w:t>о</w:t>
      </w:r>
      <w:r>
        <w:t>сти женщин и мужчин будут далее поощряться.</w:t>
      </w:r>
    </w:p>
    <w:p w:rsidR="00000000" w:rsidRDefault="00000000">
      <w:pPr>
        <w:pStyle w:val="SingleTxtGR"/>
      </w:pPr>
      <w:r>
        <w:t>24.</w:t>
      </w:r>
      <w:r>
        <w:tab/>
        <w:t>В Бангладешской платформе действий в качестве основных гендерных вопросов рассматривается насилие в отношении женщин, законные права, здр</w:t>
      </w:r>
      <w:r>
        <w:t>а</w:t>
      </w:r>
      <w:r>
        <w:t>воохранение и образование. Расширение доступа девочек к школьному образ</w:t>
      </w:r>
      <w:r>
        <w:t>о</w:t>
      </w:r>
      <w:r>
        <w:t>ванию является целью образовательных реформ, проводимых с 1992 года. Бл</w:t>
      </w:r>
      <w:r>
        <w:t>а</w:t>
      </w:r>
      <w:r>
        <w:t>годаря позитивным мерам число преподавателей женского рода возросло более чем вдвое. Для сокращения показателей отсева на уровне начального образов</w:t>
      </w:r>
      <w:r>
        <w:t>а</w:t>
      </w:r>
      <w:r>
        <w:t>ния были введены программы "Продовольствие за обучение" и школьные ст</w:t>
      </w:r>
      <w:r>
        <w:t>и</w:t>
      </w:r>
      <w:r>
        <w:t xml:space="preserve">пендии для девочек. Новая учебная программа и учебники были проверены на предмет гендерных стереотипов. </w:t>
      </w:r>
    </w:p>
    <w:p w:rsidR="00000000" w:rsidRDefault="00000000">
      <w:pPr>
        <w:pStyle w:val="SingleTxtGR"/>
      </w:pPr>
      <w:r>
        <w:t>25.</w:t>
      </w:r>
      <w:r>
        <w:tab/>
        <w:t>Основным слабым местом с точки зрения учета вопросов гендерного р</w:t>
      </w:r>
      <w:r>
        <w:t>а</w:t>
      </w:r>
      <w:r>
        <w:t>венства как в государственных, так и негосударственных образовательных си</w:t>
      </w:r>
      <w:r>
        <w:t>с</w:t>
      </w:r>
      <w:r>
        <w:t>темах остаются плохая подготовка учителей, условия обучения, в которых не учитываются гендерные аспекты, костные методы обучения, неактуальная уче</w:t>
      </w:r>
      <w:r>
        <w:t>б</w:t>
      </w:r>
      <w:r>
        <w:t>ная программа и отсутствие системы оценки. Администраторская практика предполагает сохр</w:t>
      </w:r>
      <w:r>
        <w:t>а</w:t>
      </w:r>
      <w:r>
        <w:t xml:space="preserve">нение статуса-кво, ограничивающего возможности женщин играть руководящую роль в сфере управления на всех уровнях. </w:t>
      </w:r>
    </w:p>
    <w:p w:rsidR="00000000" w:rsidRDefault="0000000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Образование</w:t>
      </w:r>
    </w:p>
    <w:p w:rsidR="00000000" w:rsidRDefault="00000000">
      <w:pPr>
        <w:pStyle w:val="SingleTxtGR"/>
      </w:pPr>
      <w:r>
        <w:t>26.</w:t>
      </w:r>
      <w:r>
        <w:tab/>
        <w:t>Задачи "Программы интегрированного обучения, здравоохранения и ра</w:t>
      </w:r>
      <w:r>
        <w:t>с</w:t>
      </w:r>
      <w:r>
        <w:t>ширения потенциала девочек-подростков" заключались в предоставлении зн</w:t>
      </w:r>
      <w:r>
        <w:t>а</w:t>
      </w:r>
      <w:r>
        <w:t xml:space="preserve">ний, инструментов и услуг большому числу находящихся в неблагополучном положении девочек-подростков из трущоб </w:t>
      </w:r>
      <w:proofErr w:type="spellStart"/>
      <w:r>
        <w:t>Даки</w:t>
      </w:r>
      <w:proofErr w:type="spellEnd"/>
      <w:r>
        <w:t>. К числу основных направл</w:t>
      </w:r>
      <w:r>
        <w:t>е</w:t>
      </w:r>
      <w:r>
        <w:t>ний этого проекта относятся образование в области семейной жизни подрос</w:t>
      </w:r>
      <w:r>
        <w:t>т</w:t>
      </w:r>
      <w:r>
        <w:t>ков,  неформальное непрерывное образование, санитарное просвещение с ос</w:t>
      </w:r>
      <w:r>
        <w:t>о</w:t>
      </w:r>
      <w:r>
        <w:t>бым упором на репродуктивное здоровье и развитие навыков для укрепления потенциала и кредитной поддержки. Более 400 девочек-подростков посещали семь центров неформального образования.</w:t>
      </w:r>
    </w:p>
    <w:p w:rsidR="00000000" w:rsidRDefault="00000000">
      <w:pPr>
        <w:pStyle w:val="H23GR"/>
      </w:pPr>
      <w:r>
        <w:tab/>
      </w:r>
      <w:r>
        <w:tab/>
        <w:t>Средства коммуникации и информации</w:t>
      </w:r>
    </w:p>
    <w:p w:rsidR="00000000" w:rsidRDefault="00000000">
      <w:pPr>
        <w:pStyle w:val="SingleTxtGR"/>
      </w:pPr>
      <w:r>
        <w:t>27.</w:t>
      </w:r>
      <w:r>
        <w:tab/>
        <w:t>Двести (200) журналистов общего профиля из 10 прибрежных округов приняли участие в программе подготовки по вопросам этики и норм пов</w:t>
      </w:r>
      <w:r>
        <w:t>е</w:t>
      </w:r>
      <w:r>
        <w:t xml:space="preserve">дения и ведения репортажей с учетом </w:t>
      </w:r>
      <w:proofErr w:type="spellStart"/>
      <w:r>
        <w:t>гендерных</w:t>
      </w:r>
      <w:proofErr w:type="spellEnd"/>
      <w:r>
        <w:t xml:space="preserve"> и правозащитных аспектов, орган</w:t>
      </w:r>
      <w:r>
        <w:t>и</w:t>
      </w:r>
      <w:r>
        <w:t>зованной  Центром средств массовой информации (</w:t>
      </w:r>
      <w:proofErr w:type="spellStart"/>
      <w:r>
        <w:t>ЦСМИ</w:t>
      </w:r>
      <w:proofErr w:type="spellEnd"/>
      <w:r>
        <w:t>), крупной НПО, з</w:t>
      </w:r>
      <w:r>
        <w:t>а</w:t>
      </w:r>
      <w:r>
        <w:t>нимающейся развитием средств массовой информации и демократии в Бангл</w:t>
      </w:r>
      <w:r>
        <w:t>а</w:t>
      </w:r>
      <w:r>
        <w:t>деш. Проведение этого мероприятия стало возможным благодаря гранту, пр</w:t>
      </w:r>
      <w:r>
        <w:t>е</w:t>
      </w:r>
      <w:r>
        <w:t>доставленному Международной программой развития коммуникации ЮНЕСКО (</w:t>
      </w:r>
      <w:proofErr w:type="spellStart"/>
      <w:r>
        <w:t>МПРК</w:t>
      </w:r>
      <w:proofErr w:type="spellEnd"/>
      <w:r>
        <w:t xml:space="preserve">). </w:t>
      </w:r>
      <w:proofErr w:type="spellStart"/>
      <w:r>
        <w:t>ЦСМИ</w:t>
      </w:r>
      <w:proofErr w:type="spellEnd"/>
      <w:r>
        <w:t xml:space="preserve"> отобрал 198 работающих журналистов, из них 81 − женщина, для прохождения трехдневного курса подготовки в течение десяти месяцев. К</w:t>
      </w:r>
      <w:r>
        <w:rPr>
          <w:lang w:val="en-US"/>
        </w:rPr>
        <w:t> </w:t>
      </w:r>
      <w:r>
        <w:t>числу использованных инструментов относится недавно опубликованный К</w:t>
      </w:r>
      <w:r>
        <w:t>о</w:t>
      </w:r>
      <w:r>
        <w:t xml:space="preserve">декс этических норм в журнализме, составленный </w:t>
      </w:r>
      <w:proofErr w:type="spellStart"/>
      <w:r>
        <w:t>ЦСМИ</w:t>
      </w:r>
      <w:proofErr w:type="spellEnd"/>
      <w:r>
        <w:t xml:space="preserve">, а также презентации по вопросам </w:t>
      </w:r>
      <w:proofErr w:type="spellStart"/>
      <w:r>
        <w:t>гендерного</w:t>
      </w:r>
      <w:proofErr w:type="spellEnd"/>
      <w:r>
        <w:t xml:space="preserve"> равенства и прав. Участники подготовили 600 репо</w:t>
      </w:r>
      <w:r>
        <w:t>р</w:t>
      </w:r>
      <w:r>
        <w:t xml:space="preserve">тажей, учитывающих </w:t>
      </w:r>
      <w:proofErr w:type="spellStart"/>
      <w:r>
        <w:t>гендерные</w:t>
      </w:r>
      <w:proofErr w:type="spellEnd"/>
      <w:r>
        <w:t xml:space="preserve"> и правозащитные аспекты, а также 50 выез</w:t>
      </w:r>
      <w:r>
        <w:t>д</w:t>
      </w:r>
      <w:r>
        <w:t>ных репортажей. Принятие последующих мер по итогам курса подг</w:t>
      </w:r>
      <w:r>
        <w:t>о</w:t>
      </w:r>
      <w:r>
        <w:t xml:space="preserve">товки было упрощено благодаря учреждению специализированных </w:t>
      </w:r>
      <w:proofErr w:type="spellStart"/>
      <w:r>
        <w:t>вебсайтов</w:t>
      </w:r>
      <w:proofErr w:type="spellEnd"/>
      <w:r>
        <w:t>, рассылке электронных информационных бюллетеней и мониторингу свободы прессы. С</w:t>
      </w:r>
      <w:r>
        <w:rPr>
          <w:lang w:val="en-US"/>
        </w:rPr>
        <w:t> </w:t>
      </w:r>
      <w:r>
        <w:t>момента проведения подготовки было отмечено, что журналисты общего пр</w:t>
      </w:r>
      <w:r>
        <w:t>о</w:t>
      </w:r>
      <w:r>
        <w:t xml:space="preserve">филя подготавливают больше репортажей по </w:t>
      </w:r>
      <w:proofErr w:type="spellStart"/>
      <w:r>
        <w:t>гендерной</w:t>
      </w:r>
      <w:proofErr w:type="spellEnd"/>
      <w:r>
        <w:t xml:space="preserve"> и правозащитной пр</w:t>
      </w:r>
      <w:r>
        <w:t>о</w:t>
      </w:r>
      <w:r>
        <w:t>блематике и прилагают усилия для соблюдения кодекса этических норм.</w:t>
      </w:r>
    </w:p>
    <w:p w:rsidR="00000000" w:rsidRDefault="00000000">
      <w:pPr>
        <w:pStyle w:val="H23GR"/>
      </w:pPr>
      <w:r>
        <w:tab/>
      </w:r>
      <w:r>
        <w:tab/>
        <w:t>Стипендии</w:t>
      </w:r>
    </w:p>
    <w:p w:rsidR="00000000" w:rsidRDefault="00000000">
      <w:pPr>
        <w:pStyle w:val="SingleTxtGR"/>
      </w:pPr>
      <w:r>
        <w:t>28.</w:t>
      </w:r>
      <w:r>
        <w:tab/>
        <w:t>С 2007 по 2010 год ЮНЕСКО предоставила женщинам в Бангладеш сл</w:t>
      </w:r>
      <w:r>
        <w:t>е</w:t>
      </w:r>
      <w:r>
        <w:t>дующие стипендии:</w:t>
      </w:r>
    </w:p>
    <w:p w:rsidR="00000000" w:rsidRDefault="00000000">
      <w:pPr>
        <w:pStyle w:val="Bullet1GR"/>
        <w:numPr>
          <w:ilvl w:val="0"/>
          <w:numId w:val="1"/>
        </w:numPr>
      </w:pPr>
      <w:r>
        <w:t>22/07/2008: совместные стипендии (ЮНЕСКО/КИТАЙ – Великая стена) в области сельскохозяйственных и экологических наук;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11/08/2010: совместные стипендии (ЮНЕСКО/РЕСПУБЛИКА КОРЕЯ) в области образования – подготовка учителей младших классов. </w:t>
      </w:r>
    </w:p>
    <w:p w:rsidR="00000000" w:rsidRDefault="00000000">
      <w:pPr>
        <w:pStyle w:val="H23GR"/>
      </w:pPr>
      <w:r>
        <w:tab/>
      </w:r>
      <w:r>
        <w:tab/>
        <w:t>Беларусь</w:t>
      </w:r>
    </w:p>
    <w:p w:rsidR="00000000" w:rsidRDefault="00000000">
      <w:pPr>
        <w:pStyle w:val="SingleTxtGR"/>
      </w:pPr>
      <w:r>
        <w:t>29.</w:t>
      </w:r>
      <w:r>
        <w:tab/>
        <w:t>Беларусь является участником Конвенции ЮНЕСКО о борьбе с дискр</w:t>
      </w:r>
      <w:r>
        <w:t>и</w:t>
      </w:r>
      <w:r>
        <w:t>минацией в о</w:t>
      </w:r>
      <w:r>
        <w:t>б</w:t>
      </w:r>
      <w:r>
        <w:t xml:space="preserve">ласти образования с декабря 1962 года. </w:t>
      </w:r>
    </w:p>
    <w:p w:rsidR="00000000" w:rsidRDefault="00000000">
      <w:pPr>
        <w:pStyle w:val="H23GR"/>
      </w:pPr>
      <w:r>
        <w:tab/>
      </w:r>
      <w:r>
        <w:tab/>
        <w:t>Конституционные рамки</w:t>
      </w:r>
    </w:p>
    <w:p w:rsidR="00000000" w:rsidRDefault="00000000">
      <w:pPr>
        <w:pStyle w:val="SingleTxtGR"/>
      </w:pPr>
      <w:r>
        <w:t>30.</w:t>
      </w:r>
      <w:r>
        <w:tab/>
        <w:t>В статье 49 Конституции Беларуси 1994 года</w:t>
      </w:r>
      <w:r>
        <w:rPr>
          <w:rStyle w:val="FootnoteReference"/>
        </w:rPr>
        <w:footnoteReference w:id="11"/>
      </w:r>
      <w:r>
        <w:t xml:space="preserve"> говорится следующее: "Каждый имеет право на образование. Гарантируются доступность и беспла</w:t>
      </w:r>
      <w:r>
        <w:t>т</w:t>
      </w:r>
      <w:r>
        <w:t>ность общего среднего и профессионально-технического образования. Среднее специальное и высшее образование доступно для всех в соответствии со сп</w:t>
      </w:r>
      <w:r>
        <w:t>о</w:t>
      </w:r>
      <w:r>
        <w:t>собностями каждого. Каждый может на конкурсной основе бесплатно получить соответствующее образование в государственных учебных заведениях". Что к</w:t>
      </w:r>
      <w:r>
        <w:t>а</w:t>
      </w:r>
      <w:r>
        <w:t xml:space="preserve">сается </w:t>
      </w:r>
      <w:proofErr w:type="spellStart"/>
      <w:r>
        <w:t>гендерного</w:t>
      </w:r>
      <w:proofErr w:type="spellEnd"/>
      <w:r>
        <w:t xml:space="preserve"> равенства, то в статье 32 предусмотрено, что "женщинам обеспечивается предоставление равных с мужчинами возможностей в получ</w:t>
      </w:r>
      <w:r>
        <w:t>е</w:t>
      </w:r>
      <w:r>
        <w:t>нии образования и профессиональной подготовке (…)", а в статье 22 подчерк</w:t>
      </w:r>
      <w:r>
        <w:t>и</w:t>
      </w:r>
      <w:r>
        <w:t>вается, что "все равны перед законом и имеют право без всякой дискримин</w:t>
      </w:r>
      <w:r>
        <w:t>а</w:t>
      </w:r>
      <w:r>
        <w:t xml:space="preserve">ции на равную защиту прав и законных интересов". </w:t>
      </w:r>
    </w:p>
    <w:p w:rsidR="00000000" w:rsidRDefault="00000000">
      <w:pPr>
        <w:pStyle w:val="H23GR"/>
      </w:pPr>
      <w:r>
        <w:tab/>
      </w:r>
      <w:r>
        <w:tab/>
        <w:t>Законодательные и административные рамки</w:t>
      </w:r>
    </w:p>
    <w:p w:rsidR="00000000" w:rsidRDefault="00000000">
      <w:pPr>
        <w:pStyle w:val="SingleTxtGR"/>
      </w:pPr>
      <w:r>
        <w:t>31.</w:t>
      </w:r>
      <w:r>
        <w:tab/>
        <w:t>29 октября 1991 года был принят Закон об образовании</w:t>
      </w:r>
      <w:r>
        <w:rPr>
          <w:rStyle w:val="FootnoteReference"/>
        </w:rPr>
        <w:footnoteReference w:id="12"/>
      </w:r>
      <w:r>
        <w:t>. В систему о</w:t>
      </w:r>
      <w:r>
        <w:t>б</w:t>
      </w:r>
      <w:r>
        <w:t>щего образования входят следующие ступени: начальное, базовое и среднее о</w:t>
      </w:r>
      <w:r>
        <w:t>б</w:t>
      </w:r>
      <w:r>
        <w:t>разование (11 или 12 лет обучения, с 6 до 17 или 18 лет), которые можно пол</w:t>
      </w:r>
      <w:r>
        <w:t>у</w:t>
      </w:r>
      <w:r>
        <w:t>чать самостоятельно или в начальной и средней школе. Согласно этому закону "Республика Беларусь гарантирует развитие образования на приоритетной о</w:t>
      </w:r>
      <w:r>
        <w:t>с</w:t>
      </w:r>
      <w:r>
        <w:t>нове, благоприятные социально-экономические условия для функционирования системы образования, права женщин и мужчин получить общее и професси</w:t>
      </w:r>
      <w:r>
        <w:t>о</w:t>
      </w:r>
      <w:r>
        <w:t>нально-техническое образование, передачу общих ценностей и защиту инте</w:t>
      </w:r>
      <w:r>
        <w:t>л</w:t>
      </w:r>
      <w:r>
        <w:t>лектуальной собственности, таланта и кул</w:t>
      </w:r>
      <w:r>
        <w:t>ь</w:t>
      </w:r>
      <w:r>
        <w:t>туры"</w:t>
      </w:r>
      <w:r>
        <w:rPr>
          <w:rStyle w:val="FootnoteReference"/>
        </w:rPr>
        <w:footnoteReference w:id="13"/>
      </w:r>
      <w:r>
        <w:t xml:space="preserve">. </w:t>
      </w:r>
    </w:p>
    <w:p w:rsidR="00000000" w:rsidRDefault="00000000">
      <w:pPr>
        <w:pStyle w:val="H23GR"/>
      </w:pPr>
      <w:r>
        <w:tab/>
      </w:r>
      <w:r>
        <w:tab/>
        <w:t>Политика</w:t>
      </w:r>
    </w:p>
    <w:p w:rsidR="00000000" w:rsidRDefault="00000000">
      <w:pPr>
        <w:pStyle w:val="SingleTxtGR"/>
      </w:pPr>
      <w:r>
        <w:t>32.</w:t>
      </w:r>
      <w:r>
        <w:tab/>
        <w:t>Основными приоритетами для Беларуси в 2006−2010 годах являются о</w:t>
      </w:r>
      <w:r>
        <w:t>б</w:t>
      </w:r>
      <w:r>
        <w:t>разование и здравоохранение. Они также фигурируют в Национальной пр</w:t>
      </w:r>
      <w:r>
        <w:t>о</w:t>
      </w:r>
      <w:r>
        <w:t>грамме и плане развития Беларуси до 2020 года</w:t>
      </w:r>
      <w:r>
        <w:rPr>
          <w:rStyle w:val="FootnoteReference"/>
        </w:rPr>
        <w:footnoteReference w:id="14"/>
      </w:r>
      <w:r>
        <w:t xml:space="preserve">. </w:t>
      </w:r>
    </w:p>
    <w:p w:rsidR="00000000" w:rsidRDefault="00000000">
      <w:pPr>
        <w:pStyle w:val="SingleTxtGR"/>
      </w:pPr>
      <w:r>
        <w:t>33.</w:t>
      </w:r>
      <w:r>
        <w:tab/>
        <w:t>Общее базовое образование носит обязательный характер. В статье 49 Конституции гарантируется право граждан на получение бесплатного общего начального и среднего образования. Кроме того, 24,3% детей получают школ</w:t>
      </w:r>
      <w:r>
        <w:t>ь</w:t>
      </w:r>
      <w:r>
        <w:t>ное пособие. Государство обеспечивает бесплатное питание детям из малообе</w:t>
      </w:r>
      <w:r>
        <w:t>с</w:t>
      </w:r>
      <w:r>
        <w:t>печенных семей в возрасте до двух лет</w:t>
      </w:r>
      <w:r>
        <w:rPr>
          <w:rStyle w:val="FootnoteReference"/>
        </w:rPr>
        <w:footnoteReference w:id="15"/>
      </w:r>
      <w:r>
        <w:t xml:space="preserve">. </w:t>
      </w:r>
    </w:p>
    <w:p w:rsidR="00000000" w:rsidRDefault="00000000">
      <w:pPr>
        <w:pStyle w:val="SingleTxtGR"/>
      </w:pPr>
      <w:r>
        <w:t>34.</w:t>
      </w:r>
      <w:r>
        <w:tab/>
        <w:t>Женщины и мужчины могут на равных правах поступать в любое высшее учебное заведение (ВУЗ) на любую программу высшего образования. Для пр</w:t>
      </w:r>
      <w:r>
        <w:t>и</w:t>
      </w:r>
      <w:r>
        <w:t>дания системе более эффективного и привлекательного характера требуется а</w:t>
      </w:r>
      <w:r>
        <w:t>к</w:t>
      </w:r>
      <w:r>
        <w:t>тивизация международного научного сотрудничества и поощрение обмена ст</w:t>
      </w:r>
      <w:r>
        <w:t>у</w:t>
      </w:r>
      <w:r>
        <w:t>дентов, а также особая финансовая поддержка исследовательских проектов м</w:t>
      </w:r>
      <w:r>
        <w:t>о</w:t>
      </w:r>
      <w:r>
        <w:t>лодых женщин-ученых на основе системы г</w:t>
      </w:r>
      <w:r>
        <w:t>о</w:t>
      </w:r>
      <w:r>
        <w:t>сударственных грантов. В школах и университетах существует система образования по правам человека. С 2003 года в стране применяется Национальный план в области образования по правам человека "Знакомство с правом прав человека". Он преподается в к</w:t>
      </w:r>
      <w:r>
        <w:t>а</w:t>
      </w:r>
      <w:r>
        <w:t>честве учебного предмета в университетах</w:t>
      </w:r>
      <w:r>
        <w:rPr>
          <w:rStyle w:val="FootnoteReference"/>
        </w:rPr>
        <w:footnoteReference w:id="16"/>
      </w:r>
      <w:r>
        <w:t xml:space="preserve">. </w:t>
      </w:r>
    </w:p>
    <w:p w:rsidR="00000000" w:rsidRDefault="00000000">
      <w:pPr>
        <w:pStyle w:val="H23GR"/>
      </w:pPr>
      <w:r>
        <w:tab/>
      </w:r>
      <w:r>
        <w:tab/>
        <w:t>Средства коммуникации и информации</w:t>
      </w:r>
    </w:p>
    <w:p w:rsidR="00000000" w:rsidRDefault="00000000">
      <w:pPr>
        <w:pStyle w:val="SingleTxtGR"/>
      </w:pPr>
      <w:r>
        <w:t>35.</w:t>
      </w:r>
      <w:r>
        <w:tab/>
        <w:t>Бюро ЮНЕСКО в Москве оказало поддержку ряду мероприятий по ра</w:t>
      </w:r>
      <w:r>
        <w:t>з</w:t>
      </w:r>
      <w:r>
        <w:t>работке учебных программ в Беларуси в целях предоставления академическим кругам знаний и материалов о саморегулировании средств массовой информ</w:t>
      </w:r>
      <w:r>
        <w:t>а</w:t>
      </w:r>
      <w:r>
        <w:t xml:space="preserve">ции с </w:t>
      </w:r>
      <w:proofErr w:type="spellStart"/>
      <w:r>
        <w:t>гендерной</w:t>
      </w:r>
      <w:proofErr w:type="spellEnd"/>
      <w:r>
        <w:t xml:space="preserve"> точки зрения и о верховенстве права. Была организована ле</w:t>
      </w:r>
      <w:r>
        <w:t>т</w:t>
      </w:r>
      <w:r>
        <w:t>няя школа и опубликованы две книги в целях предоставления журналистскому факультету Белорусского государственного университета глубоких теоретич</w:t>
      </w:r>
      <w:r>
        <w:t>е</w:t>
      </w:r>
      <w:r>
        <w:t>ских знаний и практических навыков для ознакомления будущих журналисток и работающих сотрудников с понятиями регулирования и саморегулирования средств массовой информации. В Международной летней школе встретились лидирующие женщины-эксперты по законодательству в области средств масс</w:t>
      </w:r>
      <w:r>
        <w:t>о</w:t>
      </w:r>
      <w:r>
        <w:t>вой информации из России и Беларуси. Мероприятие было ориентировано на экспертов по вопросам законодательства в области средств массовой информ</w:t>
      </w:r>
      <w:r>
        <w:t>а</w:t>
      </w:r>
      <w:r>
        <w:t>ции и преподавателей журналистских факультетов университетов и других высших учебных заведений из Армении, Азербайджана, Беларуси и Российской Федерации. Программа включала в себя вопросы международных норм в обла</w:t>
      </w:r>
      <w:r>
        <w:t>с</w:t>
      </w:r>
      <w:r>
        <w:t>ти свободы выражения мнений, доступа к информации, защиты чести и дост</w:t>
      </w:r>
      <w:r>
        <w:t>о</w:t>
      </w:r>
      <w:r>
        <w:t>инства, авторских прав в журнализме и средствах коммуникации, саморегул</w:t>
      </w:r>
      <w:r>
        <w:t>и</w:t>
      </w:r>
      <w:r>
        <w:t>рования средств массовой информации, а также подходов и методов преподав</w:t>
      </w:r>
      <w:r>
        <w:t>а</w:t>
      </w:r>
      <w:r>
        <w:t>ния законодательства в области средств массовой информации журналистам и работникам средств массовой информации.</w:t>
      </w:r>
    </w:p>
    <w:p w:rsidR="00000000" w:rsidRDefault="00000000">
      <w:pPr>
        <w:pStyle w:val="H23GR"/>
      </w:pPr>
      <w:r>
        <w:tab/>
      </w:r>
      <w:r>
        <w:tab/>
        <w:t>Стипендии</w:t>
      </w:r>
    </w:p>
    <w:p w:rsidR="00000000" w:rsidRDefault="00000000">
      <w:pPr>
        <w:pStyle w:val="SingleTxtGR"/>
      </w:pPr>
      <w:r>
        <w:t>36.</w:t>
      </w:r>
      <w:r>
        <w:tab/>
        <w:t>С 2007 по 2010 год ЮНЕСКО предоставила женщинам в Беларуси сл</w:t>
      </w:r>
      <w:r>
        <w:t>е</w:t>
      </w:r>
      <w:r>
        <w:t>дующие стипендии:</w:t>
      </w:r>
    </w:p>
    <w:p w:rsidR="00000000" w:rsidRDefault="00000000">
      <w:pPr>
        <w:pStyle w:val="Bullet1GR"/>
        <w:numPr>
          <w:ilvl w:val="0"/>
          <w:numId w:val="1"/>
        </w:numPr>
      </w:pPr>
      <w:r>
        <w:t>23/02/2010: совместные стипендии (ЮНЕСКО/Российская Федерация) в обла</w:t>
      </w:r>
      <w:r>
        <w:t>с</w:t>
      </w:r>
      <w:r>
        <w:t>ти устойчивого развития энергетики.</w:t>
      </w:r>
    </w:p>
    <w:p w:rsidR="00000000" w:rsidRDefault="00000000">
      <w:pPr>
        <w:pStyle w:val="H23GR"/>
      </w:pPr>
      <w:r>
        <w:tab/>
      </w:r>
      <w:r>
        <w:tab/>
        <w:t>Израиль</w:t>
      </w:r>
    </w:p>
    <w:p w:rsidR="00000000" w:rsidRDefault="00000000">
      <w:pPr>
        <w:pStyle w:val="SingleTxtGR"/>
      </w:pPr>
      <w:r>
        <w:t>37.</w:t>
      </w:r>
      <w:r>
        <w:tab/>
        <w:t>Израиль является участником Конвенции ЮНЕСКО о борьбе с дискр</w:t>
      </w:r>
      <w:r>
        <w:t>и</w:t>
      </w:r>
      <w:r>
        <w:t>минацией в области образования с 1961 года.</w:t>
      </w:r>
    </w:p>
    <w:p w:rsidR="00000000" w:rsidRDefault="00000000">
      <w:pPr>
        <w:pStyle w:val="H23GR"/>
      </w:pPr>
      <w:r>
        <w:tab/>
      </w:r>
      <w:r>
        <w:tab/>
        <w:t>Конституционные рамки</w:t>
      </w:r>
    </w:p>
    <w:p w:rsidR="00000000" w:rsidRDefault="00000000">
      <w:pPr>
        <w:pStyle w:val="SingleTxtGR"/>
      </w:pPr>
      <w:r>
        <w:t>38.</w:t>
      </w:r>
      <w:r>
        <w:tab/>
        <w:t>У Израиля нет писаной конституции в виде единого документа, но сущ</w:t>
      </w:r>
      <w:r>
        <w:t>е</w:t>
      </w:r>
      <w:r>
        <w:t>ствует ряд Основных законов</w:t>
      </w:r>
      <w:r>
        <w:rPr>
          <w:rStyle w:val="FootnoteReference"/>
        </w:rPr>
        <w:footnoteReference w:id="17"/>
      </w:r>
      <w:r>
        <w:t>, каждый из которых гарантирует право на обр</w:t>
      </w:r>
      <w:r>
        <w:t>а</w:t>
      </w:r>
      <w:r>
        <w:t>зование.</w:t>
      </w:r>
    </w:p>
    <w:p w:rsidR="00000000" w:rsidRDefault="00000000">
      <w:pPr>
        <w:pStyle w:val="H23GR"/>
      </w:pPr>
      <w:r>
        <w:tab/>
      </w:r>
      <w:r>
        <w:tab/>
        <w:t>Законодательные рамки</w:t>
      </w:r>
      <w:r>
        <w:rPr>
          <w:rStyle w:val="FootnoteReference"/>
        </w:rPr>
        <w:footnoteReference w:id="18"/>
      </w:r>
    </w:p>
    <w:p w:rsidR="00000000" w:rsidRDefault="00000000">
      <w:pPr>
        <w:pStyle w:val="SingleTxtGR"/>
      </w:pPr>
      <w:r>
        <w:t>39.</w:t>
      </w:r>
      <w:r>
        <w:tab/>
        <w:t>В соответствии с Законом об обязательном образовании (1949 год) и и</w:t>
      </w:r>
      <w:r>
        <w:t>з</w:t>
      </w:r>
      <w:r>
        <w:t>менениями, внесенными в ходе реформы школьной системы в 1968 году, обяз</w:t>
      </w:r>
      <w:r>
        <w:t>а</w:t>
      </w:r>
      <w:r>
        <w:t>тельное образование распространяется на всех девочек и мальчиков в возрасте от 5 (обязательное дошкольное образование в детских садах) до 15 лет (десятый класс) включительно. Образование предоставляется бесплатно. Кроме того, з</w:t>
      </w:r>
      <w:r>
        <w:t>а</w:t>
      </w:r>
      <w:r>
        <w:t>коном предусматривается бесплатное образование для подростков в возрасте 16−17 лет, а также 18 лет в случае, если они не закончили обучение в одинн</w:t>
      </w:r>
      <w:r>
        <w:t>а</w:t>
      </w:r>
      <w:r>
        <w:t>дцатом классе согласно учебной программе. В соответствии с этим законом за предоставление бесплатного начального образования отвечает государство. Важными добавлениями в изначальный вариант закона стали запрет дискрим</w:t>
      </w:r>
      <w:r>
        <w:t>и</w:t>
      </w:r>
      <w:r>
        <w:t>нации по признаку этнического происхождения, запрет дискриминации при приеме, распределении и переводе учеников в старшие классы, а также запрет наказания учеников за действия или бездействие их родителей.</w:t>
      </w:r>
    </w:p>
    <w:p w:rsidR="00000000" w:rsidRDefault="00000000">
      <w:pPr>
        <w:pStyle w:val="SingleTxtGR"/>
      </w:pPr>
      <w:r>
        <w:t>40.</w:t>
      </w:r>
      <w:r>
        <w:tab/>
        <w:t>В Законе о правах учеников 2000 года закрепляются принципы, каса</w:t>
      </w:r>
      <w:r>
        <w:t>ю</w:t>
      </w:r>
      <w:r>
        <w:t>щиеся прав девочек и мальчиков, вытекающих из Устава Организации Объед</w:t>
      </w:r>
      <w:r>
        <w:t>и</w:t>
      </w:r>
      <w:r>
        <w:t>ненных Наций о правах детей. В соответствии с этим законом ребенок имеет право на образование, право на участие во вступительных экзаменах, право на конфиденциальность и право на осуществление своих прав.</w:t>
      </w:r>
    </w:p>
    <w:p w:rsidR="00000000" w:rsidRDefault="00000000">
      <w:pPr>
        <w:pStyle w:val="SingleTxtGR"/>
      </w:pPr>
      <w:r>
        <w:t>41.</w:t>
      </w:r>
      <w:r>
        <w:tab/>
        <w:t>В Законе о равноправии женщин с поправками, внесенными в него в 2000 году, отражается политика обеспечения равенства женщин и мужчин. В разделе 6 закона с внесенными поправками провозглашается равное право всех женщин и мужчин на достойный уровень жизни, включающее в себя ра</w:t>
      </w:r>
      <w:r>
        <w:t>в</w:t>
      </w:r>
      <w:r>
        <w:t>ное обращение в сфере образования</w:t>
      </w:r>
      <w:r>
        <w:rPr>
          <w:rStyle w:val="FootnoteReference"/>
        </w:rPr>
        <w:footnoteReference w:id="19"/>
      </w:r>
      <w:r>
        <w:t>.</w:t>
      </w:r>
    </w:p>
    <w:p w:rsidR="00000000" w:rsidRDefault="00000000">
      <w:pPr>
        <w:pStyle w:val="H23GR"/>
      </w:pPr>
      <w:r>
        <w:tab/>
      </w:r>
      <w:r>
        <w:tab/>
        <w:t>Естественные науки</w:t>
      </w:r>
    </w:p>
    <w:p w:rsidR="00000000" w:rsidRDefault="00000000">
      <w:pPr>
        <w:pStyle w:val="SingleTxtGR"/>
      </w:pPr>
      <w:r>
        <w:t>42.</w:t>
      </w:r>
      <w:r>
        <w:tab/>
      </w:r>
      <w:proofErr w:type="spellStart"/>
      <w:r>
        <w:t>Адад</w:t>
      </w:r>
      <w:proofErr w:type="spellEnd"/>
      <w:r>
        <w:t xml:space="preserve"> </w:t>
      </w:r>
      <w:proofErr w:type="spellStart"/>
      <w:r>
        <w:t>Йонат</w:t>
      </w:r>
      <w:proofErr w:type="spellEnd"/>
      <w:r>
        <w:t xml:space="preserve"> стала лауреатом стипендии ЮНЕСКО-"</w:t>
      </w:r>
      <w:proofErr w:type="spellStart"/>
      <w:r>
        <w:t>Л'Ореаль</w:t>
      </w:r>
      <w:proofErr w:type="spellEnd"/>
      <w:r>
        <w:t>" 2008 года в Европе за структурные исследования системы биосинтеза белка и его дестру</w:t>
      </w:r>
      <w:r>
        <w:t>к</w:t>
      </w:r>
      <w:r>
        <w:t xml:space="preserve">ции под воздействием антибиотиков. К заслугам профессора </w:t>
      </w:r>
      <w:proofErr w:type="spellStart"/>
      <w:r>
        <w:t>Йонат</w:t>
      </w:r>
      <w:proofErr w:type="spellEnd"/>
      <w:r>
        <w:t xml:space="preserve"> относится множество важных открытий и разработка новаторских методов, позволивших определить структуру рибосом, в которых и происходит биосинтез белка в ж</w:t>
      </w:r>
      <w:r>
        <w:t>и</w:t>
      </w:r>
      <w:r>
        <w:t>вых клетках.</w:t>
      </w:r>
    </w:p>
    <w:p w:rsidR="00000000" w:rsidRDefault="00000000">
      <w:pPr>
        <w:pStyle w:val="H23GR"/>
      </w:pPr>
      <w:r>
        <w:tab/>
      </w:r>
      <w:r>
        <w:tab/>
        <w:t>Стипендии</w:t>
      </w:r>
    </w:p>
    <w:p w:rsidR="00000000" w:rsidRDefault="00000000">
      <w:pPr>
        <w:pStyle w:val="SingleTxtGR"/>
      </w:pPr>
      <w:r>
        <w:t>43.</w:t>
      </w:r>
      <w:r>
        <w:tab/>
        <w:t>С 2007 по 2010 год ЮНЕСКО предоставила женщинам в Израиле сл</w:t>
      </w:r>
      <w:r>
        <w:t>е</w:t>
      </w:r>
      <w:r>
        <w:t>дующие стипендии: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20/08/2007: Программа стипендий </w:t>
      </w:r>
      <w:proofErr w:type="spellStart"/>
      <w:r>
        <w:t>ЮНЕСКО-РП</w:t>
      </w:r>
      <w:proofErr w:type="spellEnd"/>
      <w:r>
        <w:t xml:space="preserve"> в поддержку приорите</w:t>
      </w:r>
      <w:r>
        <w:t>т</w:t>
      </w:r>
      <w:r>
        <w:t xml:space="preserve">ных программных областей в сфере </w:t>
      </w:r>
      <w:proofErr w:type="spellStart"/>
      <w:r>
        <w:t>биоразнообразия</w:t>
      </w:r>
      <w:proofErr w:type="spellEnd"/>
      <w:r>
        <w:t xml:space="preserve"> с упором на рег</w:t>
      </w:r>
      <w:r>
        <w:t>у</w:t>
      </w:r>
      <w:r>
        <w:t>лирование г</w:t>
      </w:r>
      <w:r>
        <w:t>е</w:t>
      </w:r>
      <w:r>
        <w:t>нетически измененных организмов.</w:t>
      </w:r>
    </w:p>
    <w:p w:rsidR="00000000" w:rsidRDefault="00000000">
      <w:pPr>
        <w:pStyle w:val="H23GR"/>
      </w:pPr>
      <w:r>
        <w:tab/>
      </w:r>
      <w:r>
        <w:tab/>
        <w:t>Кения</w:t>
      </w:r>
    </w:p>
    <w:p w:rsidR="00000000" w:rsidRDefault="00000000">
      <w:pPr>
        <w:pStyle w:val="SingleTxtGR"/>
      </w:pPr>
      <w:r>
        <w:t>44.</w:t>
      </w:r>
      <w:r>
        <w:tab/>
        <w:t>Кения не является участником Конвенции ЮНЕСКО о борьбе с дискр</w:t>
      </w:r>
      <w:r>
        <w:t>и</w:t>
      </w:r>
      <w:r>
        <w:t>минацией в области образования.</w:t>
      </w:r>
    </w:p>
    <w:p w:rsidR="00000000" w:rsidRDefault="00000000">
      <w:pPr>
        <w:pStyle w:val="H23GR"/>
      </w:pPr>
      <w:r>
        <w:tab/>
      </w:r>
      <w:r>
        <w:tab/>
        <w:t>Конституционные рамки</w:t>
      </w:r>
      <w:r>
        <w:rPr>
          <w:rStyle w:val="FootnoteReference"/>
          <w:b w:val="0"/>
        </w:rPr>
        <w:footnoteReference w:id="20"/>
      </w:r>
    </w:p>
    <w:p w:rsidR="00000000" w:rsidRDefault="00000000">
      <w:pPr>
        <w:pStyle w:val="SingleTxtGR"/>
      </w:pPr>
      <w:r>
        <w:t>45.</w:t>
      </w:r>
      <w:r>
        <w:tab/>
        <w:t>Недавно Кения приняла путем референдума новую Конституцию, в кот</w:t>
      </w:r>
      <w:r>
        <w:t>о</w:t>
      </w:r>
      <w:r>
        <w:t>рой признается право каждого человека на образование (статья 43). Кроме того, в ней предусматривается право всех девочек и мальчиков на бесплатное и об</w:t>
      </w:r>
      <w:r>
        <w:t>я</w:t>
      </w:r>
      <w:r>
        <w:t>зательное образование (статья 53). В соответствии с положениями новой Ко</w:t>
      </w:r>
      <w:r>
        <w:t>н</w:t>
      </w:r>
      <w:r>
        <w:t>ституции государство проводит программы позитивных действий для обесп</w:t>
      </w:r>
      <w:r>
        <w:t>е</w:t>
      </w:r>
      <w:r>
        <w:t xml:space="preserve">чения того, чтобы девочки и мальчики получали соответствующее образование и подготовку (статья 55) и чтобы лицам из числа меньшинств и </w:t>
      </w:r>
      <w:proofErr w:type="spellStart"/>
      <w:r>
        <w:t>маргинализир</w:t>
      </w:r>
      <w:r>
        <w:t>о</w:t>
      </w:r>
      <w:r>
        <w:t>ванных</w:t>
      </w:r>
      <w:proofErr w:type="spellEnd"/>
      <w:r>
        <w:t xml:space="preserve"> групп, в особенности женщинам, предоставлялись особые возможности в области образования (статья 56).</w:t>
      </w:r>
    </w:p>
    <w:p w:rsidR="00000000" w:rsidRDefault="00000000">
      <w:pPr>
        <w:pStyle w:val="H23GR"/>
      </w:pPr>
      <w:r>
        <w:tab/>
      </w:r>
      <w:r>
        <w:tab/>
        <w:t>Законодательные рамки</w:t>
      </w:r>
      <w:r>
        <w:rPr>
          <w:rStyle w:val="FootnoteReference"/>
          <w:b w:val="0"/>
        </w:rPr>
        <w:footnoteReference w:id="21"/>
      </w:r>
    </w:p>
    <w:p w:rsidR="00000000" w:rsidRDefault="00000000">
      <w:pPr>
        <w:pStyle w:val="SingleTxtGR"/>
      </w:pPr>
      <w:r>
        <w:t>46.</w:t>
      </w:r>
      <w:r>
        <w:tab/>
        <w:t>В соответствии с Законом об образовании (1968 год, пересмотрен в 1980 году) ответственность за образование несет Министерство просвещения, и на его основании были созданы различные органы для организации и обеспеч</w:t>
      </w:r>
      <w:r>
        <w:t>е</w:t>
      </w:r>
      <w:r>
        <w:t>ния образования на всех уровнях. В этом законе содержатся руководящие ук</w:t>
      </w:r>
      <w:r>
        <w:t>а</w:t>
      </w:r>
      <w:r>
        <w:t>зания в отношении учреждения и расширения школ, их управления и админ</w:t>
      </w:r>
      <w:r>
        <w:t>и</w:t>
      </w:r>
      <w:r>
        <w:t>стрирования. В Законе о детях, принятом Парламентом и вступившем в силу 1 апреля 2002 года, оговаривается обязательство правительства предпринимать все необходимые шаги для предоставления всем девочкам и мальчикам бе</w:t>
      </w:r>
      <w:r>
        <w:t>с</w:t>
      </w:r>
      <w:r>
        <w:t>платного базового образования.</w:t>
      </w:r>
    </w:p>
    <w:p w:rsidR="00000000" w:rsidRDefault="00000000">
      <w:pPr>
        <w:pStyle w:val="H23GR"/>
      </w:pPr>
      <w:r>
        <w:tab/>
      </w:r>
      <w:r>
        <w:tab/>
        <w:t>Политика</w:t>
      </w:r>
    </w:p>
    <w:p w:rsidR="00000000" w:rsidRDefault="00000000">
      <w:pPr>
        <w:pStyle w:val="SingleTxtGR"/>
      </w:pPr>
      <w:r>
        <w:t>47.</w:t>
      </w:r>
      <w:r>
        <w:tab/>
        <w:t>Со времени проведения Национальной конференции по вопросам образ</w:t>
      </w:r>
      <w:r>
        <w:t>о</w:t>
      </w:r>
      <w:r>
        <w:t>вания, организованной в Найроби в ноябре 2003 года Министерством образов</w:t>
      </w:r>
      <w:r>
        <w:t>а</w:t>
      </w:r>
      <w:r>
        <w:t>ния, науки и технологии, Кения добилась заметного прогресса в области ун</w:t>
      </w:r>
      <w:r>
        <w:t>и</w:t>
      </w:r>
      <w:r>
        <w:t>версализации начального образования. Правительство также приступило к ре</w:t>
      </w:r>
      <w:r>
        <w:t>а</w:t>
      </w:r>
      <w:r>
        <w:t>лизации программ, направленных на укрепление партнерств между ключевыми партнерами в области образования и повышение эффективности и действенн</w:t>
      </w:r>
      <w:r>
        <w:t>о</w:t>
      </w:r>
      <w:r>
        <w:t>сти системы образования. Эти программы ориентированы на улучшение пол</w:t>
      </w:r>
      <w:r>
        <w:t>о</w:t>
      </w:r>
      <w:r>
        <w:t>жения девочек, здравоохранения и питания и на наращивание потенциала для эффективного руководства школами, пересмотра учебных планов и связанных с политикой исследований в области образования.</w:t>
      </w:r>
    </w:p>
    <w:p w:rsidR="00000000" w:rsidRDefault="00000000">
      <w:pPr>
        <w:pStyle w:val="SingleTxtGR"/>
      </w:pPr>
      <w:r>
        <w:t>48.</w:t>
      </w:r>
      <w:r>
        <w:tab/>
        <w:t>До 1970-х годов мальчики в Кении имели значительно более широкий доступ к образованию, чем девочки. Однако благодаря действиям правительс</w:t>
      </w:r>
      <w:r>
        <w:t>т</w:t>
      </w:r>
      <w:r>
        <w:t>ва и росту сознательности населения родители начали отправлять девочек в школы, и они продолжают обучение</w:t>
      </w:r>
      <w:r>
        <w:rPr>
          <w:rStyle w:val="FootnoteReference"/>
        </w:rPr>
        <w:footnoteReference w:id="22"/>
      </w:r>
      <w:r>
        <w:t>. По данным конференции, организова</w:t>
      </w:r>
      <w:r>
        <w:t>н</w:t>
      </w:r>
      <w:r>
        <w:t>ной Международным центром Африканского союза по вопросам образования девочек и женщин, в настоящее время Кения входит в число 15 африканских стран, которые сокращают разрыв, вызванный гендерным неравенством в обр</w:t>
      </w:r>
      <w:r>
        <w:t>а</w:t>
      </w:r>
      <w:r>
        <w:t>зовании</w:t>
      </w:r>
      <w:r>
        <w:rPr>
          <w:rStyle w:val="FootnoteReference"/>
        </w:rPr>
        <w:footnoteReference w:id="23"/>
      </w:r>
      <w:r>
        <w:t xml:space="preserve">. Выработанная в 2003 году </w:t>
      </w:r>
      <w:proofErr w:type="spellStart"/>
      <w:r>
        <w:t>Гендерная</w:t>
      </w:r>
      <w:proofErr w:type="spellEnd"/>
      <w:r>
        <w:t xml:space="preserve"> и образовательная стратегия предусматривает повторный прием в школу девочек, забеременевших во время обучения, более того им разрешается не возвращаться в учебное заведение, в котором они обучались ранее, а поступить в новое. В интересах равного дост</w:t>
      </w:r>
      <w:r>
        <w:t>у</w:t>
      </w:r>
      <w:r>
        <w:t>па правительство планирует ввести программу стипендий, нацеленную на д</w:t>
      </w:r>
      <w:r>
        <w:t>е</w:t>
      </w:r>
      <w:r>
        <w:t>вочек, оказавшихся в сложных жизненных обстоятельствах, в частности учениц старших классов начальной школы из сельских районов и трущоб</w:t>
      </w:r>
      <w:r>
        <w:rPr>
          <w:rStyle w:val="FootnoteReference"/>
        </w:rPr>
        <w:footnoteReference w:id="24"/>
      </w:r>
      <w:r>
        <w:t>. Благодаря Закону о детях 2001 года, согласно которому образование считается правом всех детей, еще более активизировалась деятельность по обеспечению образ</w:t>
      </w:r>
      <w:r>
        <w:t>о</w:t>
      </w:r>
      <w:r>
        <w:t>вания девочкам. Кроме того, такие реформы, как введение бесплатного начал</w:t>
      </w:r>
      <w:r>
        <w:t>ь</w:t>
      </w:r>
      <w:r>
        <w:t>ного образования и расширение сектора среднего образования, открыли новые возможности в образовательной сфере, что косвенно послужит интересам п</w:t>
      </w:r>
      <w:r>
        <w:t>о</w:t>
      </w:r>
      <w:r>
        <w:t>лучения девочками образования</w:t>
      </w:r>
      <w:r>
        <w:rPr>
          <w:rStyle w:val="FootnoteReference"/>
        </w:rPr>
        <w:footnoteReference w:id="25"/>
      </w:r>
      <w:r>
        <w:t>.</w:t>
      </w:r>
    </w:p>
    <w:p w:rsidR="00000000" w:rsidRDefault="00000000">
      <w:pPr>
        <w:pStyle w:val="H23GR"/>
      </w:pPr>
      <w:r>
        <w:tab/>
      </w:r>
      <w:r>
        <w:tab/>
        <w:t>Образование</w:t>
      </w:r>
    </w:p>
    <w:p w:rsidR="00000000" w:rsidRDefault="00000000">
      <w:pPr>
        <w:pStyle w:val="SingleTxtGR"/>
      </w:pPr>
      <w:r>
        <w:t>49.</w:t>
      </w:r>
      <w:r>
        <w:tab/>
        <w:t xml:space="preserve">В декабре 2007 года СГООН завершила РПООНПР на 2009–2013 годы. По окончании кризиса, последовавшего за выборами в </w:t>
      </w:r>
      <w:proofErr w:type="spellStart"/>
      <w:r>
        <w:t>январе−марте</w:t>
      </w:r>
      <w:proofErr w:type="spellEnd"/>
      <w:r>
        <w:t xml:space="preserve"> 2008 года, матрица результатов РПООНПР была рассмотрена при содействии ЮНЕСКО. В отличие от предыдущих лет текущая РПООНПР совпадает со Стратегией К</w:t>
      </w:r>
      <w:r>
        <w:t>е</w:t>
      </w:r>
      <w:r>
        <w:t>нии до 2030 года. Кроме того, с целью повышения эффективности СГООН в Кении было принято решение сосредоточиться на ряде совместных программ. Речь идет о программах в области гендерного равенства и расширения прав и возможностей женщин; расширения прав, возможностей и занятости молодежи; ВИЧ/СПИДа; а также продовольственной безопасности и питания. ЮНЕСКО принимает активное участие в осуществлении двух программ, посвященных проблемам ВИЧ/СПИДа и гендерному равенству. Финансирование всех совм</w:t>
      </w:r>
      <w:r>
        <w:t>е</w:t>
      </w:r>
      <w:r>
        <w:t>стных программ (кроме ВИЧ/СПИДа) ограничено, и это означает, что специ</w:t>
      </w:r>
      <w:r>
        <w:t>а</w:t>
      </w:r>
      <w:r>
        <w:t>лизированные учреждения могут участвовать в них только при условии привл</w:t>
      </w:r>
      <w:r>
        <w:t>е</w:t>
      </w:r>
      <w:r>
        <w:t>чения собственных ресурсов. Поскольку в ЮНЕСКО не предусмотрены цел</w:t>
      </w:r>
      <w:r>
        <w:t>е</w:t>
      </w:r>
      <w:r>
        <w:t>вые средства в гендерной области, Организация принимала участие только в составлении программы и разработке проекта.</w:t>
      </w:r>
    </w:p>
    <w:p w:rsidR="00000000" w:rsidRDefault="00000000">
      <w:pPr>
        <w:pStyle w:val="H23GR"/>
      </w:pPr>
      <w:r>
        <w:tab/>
      </w:r>
      <w:r>
        <w:tab/>
        <w:t>Естественные науки</w:t>
      </w:r>
    </w:p>
    <w:p w:rsidR="00000000" w:rsidRDefault="00000000">
      <w:pPr>
        <w:pStyle w:val="SingleTxtGR"/>
      </w:pPr>
      <w:r>
        <w:t>50.</w:t>
      </w:r>
      <w:r>
        <w:tab/>
        <w:t>В 2009 году правительство определило, что учет гендерных аспектов в области НТИ представляет собой серьезную задачу, и вполне вероятно, что к ЮНЕСКО будет обращена просьба оказать содействие в разработке гендерной политики в секторе науки и те</w:t>
      </w:r>
      <w:r>
        <w:t>х</w:t>
      </w:r>
      <w:r>
        <w:t>ники.</w:t>
      </w:r>
    </w:p>
    <w:p w:rsidR="00000000" w:rsidRDefault="00000000">
      <w:pPr>
        <w:pStyle w:val="H23GR"/>
      </w:pPr>
      <w:r>
        <w:tab/>
      </w:r>
      <w:r>
        <w:tab/>
        <w:t>Социальные и гуманитарные науки</w:t>
      </w:r>
    </w:p>
    <w:p w:rsidR="00000000" w:rsidRDefault="00000000">
      <w:pPr>
        <w:pStyle w:val="SingleTxtGR"/>
      </w:pPr>
      <w:r>
        <w:t>51.</w:t>
      </w:r>
      <w:r>
        <w:tab/>
        <w:t>ЮНЕСКО вносит вклад в деятельность по укреплению потенциала для расширения в кенийском обществе базы знаний о женщинах и гендерном р</w:t>
      </w:r>
      <w:r>
        <w:t>а</w:t>
      </w:r>
      <w:r>
        <w:t>венстве и для проведения учебных и информационно-разъяснительных мер</w:t>
      </w:r>
      <w:r>
        <w:t>о</w:t>
      </w:r>
      <w:r>
        <w:t>приятий в интересах девочек и женщин. Это должно послужить делу расшир</w:t>
      </w:r>
      <w:r>
        <w:t>е</w:t>
      </w:r>
      <w:r>
        <w:t>ния участия женщин в общественной жизни Кении, а также важному с точки зрения политики исследованию таких вопросов, как вызванная генде</w:t>
      </w:r>
      <w:r>
        <w:t>р</w:t>
      </w:r>
      <w:r>
        <w:t>ными факторами нищета и насилие в отношении женщин, которое может быть и</w:t>
      </w:r>
      <w:r>
        <w:t>с</w:t>
      </w:r>
      <w:r>
        <w:t>пользовано министерством и правительством при планировании и осуществл</w:t>
      </w:r>
      <w:r>
        <w:t>е</w:t>
      </w:r>
      <w:r>
        <w:t>нии мер для выполнения своих обязательств в соответствии с Конвенцией о л</w:t>
      </w:r>
      <w:r>
        <w:t>и</w:t>
      </w:r>
      <w:r>
        <w:t>квидации всех форм дискриминации в отнош</w:t>
      </w:r>
      <w:r>
        <w:t>е</w:t>
      </w:r>
      <w:r>
        <w:t>нии женщин.</w:t>
      </w:r>
    </w:p>
    <w:p w:rsidR="00000000" w:rsidRDefault="00000000">
      <w:pPr>
        <w:pStyle w:val="SingleTxtGR"/>
      </w:pPr>
      <w:r>
        <w:t>52.</w:t>
      </w:r>
      <w:r>
        <w:tab/>
        <w:t>ЮНЕСКО также оказывает поддержку созданию Регионального исслед</w:t>
      </w:r>
      <w:r>
        <w:t>о</w:t>
      </w:r>
      <w:r>
        <w:t>вательского и документационного центра по вопросам женщин, гендера и м</w:t>
      </w:r>
      <w:r>
        <w:t>и</w:t>
      </w:r>
      <w:r>
        <w:t>ротворчества, который будет расположен в Киншасе, Демократическая Респу</w:t>
      </w:r>
      <w:r>
        <w:t>б</w:t>
      </w:r>
      <w:r>
        <w:t>лика Конго. Кения относится к числу государств, заинтересованных в со</w:t>
      </w:r>
      <w:r>
        <w:t>з</w:t>
      </w:r>
      <w:r>
        <w:t>дании этого центра. В этом контексте кенийский Министр по вопросам равенства п</w:t>
      </w:r>
      <w:r>
        <w:t>о</w:t>
      </w:r>
      <w:r>
        <w:t>лов, делам детей и социальному развитию принял участие в работе Форума м</w:t>
      </w:r>
      <w:r>
        <w:t>и</w:t>
      </w:r>
      <w:r>
        <w:t xml:space="preserve">нистров по делам женщин из региона Великих озер, проводившегося в 2008 и 2009 годах, а в 2009 году Кения организовала в Момбасе совещание по итогам деятельности Форума. Кенийский Министр также принял участие в Третьем форуме министров, состоявшемся в Аруше, Танзания, в декабре 2010 года. </w:t>
      </w:r>
    </w:p>
    <w:p w:rsidR="00000000" w:rsidRDefault="00000000">
      <w:pPr>
        <w:pStyle w:val="SingleTxtGR"/>
      </w:pPr>
      <w:r>
        <w:t>53.</w:t>
      </w:r>
      <w:r>
        <w:tab/>
        <w:t>Кения не только поддерживает учреждения Регионального исследов</w:t>
      </w:r>
      <w:r>
        <w:t>а</w:t>
      </w:r>
      <w:r>
        <w:t>тельского и документационного центра по вопросам женщин, гендера и мир</w:t>
      </w:r>
      <w:r>
        <w:t>о</w:t>
      </w:r>
      <w:r>
        <w:t>творчества, но и при техническом содействии ЮНЕСКО учредит Национал</w:t>
      </w:r>
      <w:r>
        <w:t>ь</w:t>
      </w:r>
      <w:r>
        <w:t>ный центр гендерных исследований и документации, который будет раб</w:t>
      </w:r>
      <w:r>
        <w:t>о</w:t>
      </w:r>
      <w:r>
        <w:t>тать в сотрудничестве с Региональным центром. Ставится задача создать центр пер</w:t>
      </w:r>
      <w:r>
        <w:t>е</w:t>
      </w:r>
      <w:r>
        <w:t>дового опыта в области гендерных исследований и документации как в р</w:t>
      </w:r>
      <w:r>
        <w:t>е</w:t>
      </w:r>
      <w:r>
        <w:t>гионе Великих озер, так и за его пределами. Благодаря этому Центру планируется у</w:t>
      </w:r>
      <w:r>
        <w:t>к</w:t>
      </w:r>
      <w:r>
        <w:t>репить взаимодействие и сотрудничество на национальном уровне, установив при этом связи на уровне региона и за его пределами, и проводить следующие виды де</w:t>
      </w:r>
      <w:r>
        <w:t>я</w:t>
      </w:r>
      <w:r>
        <w:t>тельности:</w:t>
      </w:r>
    </w:p>
    <w:p w:rsidR="00000000" w:rsidRDefault="00000000">
      <w:pPr>
        <w:pStyle w:val="Bullet1GR"/>
        <w:numPr>
          <w:ilvl w:val="0"/>
          <w:numId w:val="1"/>
        </w:numPr>
      </w:pPr>
      <w:r>
        <w:t>создание базы данных, дезагрегированных по признаку пола;</w:t>
      </w:r>
    </w:p>
    <w:p w:rsidR="00000000" w:rsidRDefault="00000000">
      <w:pPr>
        <w:pStyle w:val="Bullet1GR"/>
        <w:numPr>
          <w:ilvl w:val="0"/>
          <w:numId w:val="1"/>
        </w:numPr>
      </w:pPr>
      <w:r>
        <w:t>выявление пробелов и поиск способов их устранения;</w:t>
      </w:r>
    </w:p>
    <w:p w:rsidR="00000000" w:rsidRDefault="00000000">
      <w:pPr>
        <w:pStyle w:val="Bullet1GR"/>
        <w:numPr>
          <w:ilvl w:val="0"/>
          <w:numId w:val="1"/>
        </w:numPr>
      </w:pPr>
      <w:r>
        <w:t>содействие партнерству с помощью обмена информацией и зн</w:t>
      </w:r>
      <w:r>
        <w:t>а</w:t>
      </w:r>
      <w:r>
        <w:t>ниями;</w:t>
      </w:r>
    </w:p>
    <w:p w:rsidR="00000000" w:rsidRDefault="00000000">
      <w:pPr>
        <w:pStyle w:val="Bullet1GR"/>
        <w:numPr>
          <w:ilvl w:val="0"/>
          <w:numId w:val="1"/>
        </w:numPr>
      </w:pPr>
      <w:r>
        <w:t>разработка стратегии мобилизации ресурсов для Центра;</w:t>
      </w:r>
    </w:p>
    <w:p w:rsidR="00000000" w:rsidRDefault="00000000">
      <w:pPr>
        <w:pStyle w:val="Bullet1GR"/>
        <w:numPr>
          <w:ilvl w:val="0"/>
          <w:numId w:val="1"/>
        </w:numPr>
      </w:pPr>
      <w:r>
        <w:t>укрепление роли Центра в исследовательской деятельности для целей разрабо</w:t>
      </w:r>
      <w:r>
        <w:t>т</w:t>
      </w:r>
      <w:r>
        <w:t>ки и пересмотра политики.</w:t>
      </w:r>
    </w:p>
    <w:p w:rsidR="00000000" w:rsidRDefault="00000000">
      <w:pPr>
        <w:pStyle w:val="Bullet1GR"/>
        <w:numPr>
          <w:ilvl w:val="0"/>
          <w:numId w:val="0"/>
        </w:numPr>
        <w:tabs>
          <w:tab w:val="left" w:pos="627"/>
        </w:tabs>
      </w:pPr>
      <w:r>
        <w:tab/>
      </w:r>
      <w:r>
        <w:tab/>
        <w:t>54.</w:t>
      </w:r>
      <w:r>
        <w:tab/>
        <w:t>Темы исследований, проводимых Центром, включат в себя:</w:t>
      </w:r>
    </w:p>
    <w:p w:rsidR="00000000" w:rsidRDefault="00000000">
      <w:pPr>
        <w:pStyle w:val="Bullet1GR"/>
        <w:numPr>
          <w:ilvl w:val="0"/>
          <w:numId w:val="1"/>
        </w:numPr>
      </w:pPr>
      <w:r>
        <w:t>сбор и использование дезагрегированных по признаку пола данных по вопросам гендерного равенства;</w:t>
      </w:r>
    </w:p>
    <w:p w:rsidR="00000000" w:rsidRDefault="00000000">
      <w:pPr>
        <w:pStyle w:val="Bullet1GR"/>
        <w:numPr>
          <w:ilvl w:val="0"/>
          <w:numId w:val="1"/>
        </w:numPr>
      </w:pPr>
      <w:r>
        <w:t>базисные обследования различных вопросов, касающихся расширения прав и возможностей женщин и гендерного равенства;</w:t>
      </w:r>
    </w:p>
    <w:p w:rsidR="00000000" w:rsidRDefault="00000000">
      <w:pPr>
        <w:pStyle w:val="Bullet1GR"/>
        <w:numPr>
          <w:ilvl w:val="0"/>
          <w:numId w:val="1"/>
        </w:numPr>
      </w:pPr>
      <w:r>
        <w:t>включение во внутреннее право и осуществление региональных и ме</w:t>
      </w:r>
      <w:r>
        <w:t>ж</w:t>
      </w:r>
      <w:r>
        <w:t>дународных договоров по правам человека, связанных с гендерной пр</w:t>
      </w:r>
      <w:r>
        <w:t>о</w:t>
      </w:r>
      <w:r>
        <w:t>блематикой.</w:t>
      </w:r>
    </w:p>
    <w:p w:rsidR="00000000" w:rsidRDefault="00000000">
      <w:pPr>
        <w:pStyle w:val="Bullet1GR"/>
        <w:numPr>
          <w:ilvl w:val="0"/>
          <w:numId w:val="0"/>
        </w:numPr>
        <w:tabs>
          <w:tab w:val="left" w:pos="627"/>
        </w:tabs>
        <w:ind w:left="1134" w:hanging="1120"/>
      </w:pPr>
      <w:r>
        <w:t></w:t>
      </w:r>
      <w:r>
        <w:tab/>
      </w:r>
      <w:r>
        <w:tab/>
        <w:t>55.</w:t>
      </w:r>
      <w:r>
        <w:tab/>
        <w:t>Центр будет способствовать укреплению знаний и исследований в обла</w:t>
      </w:r>
      <w:r>
        <w:t>с</w:t>
      </w:r>
      <w:r>
        <w:t>ти прав женщин и распространению информации о соответствующих стратег</w:t>
      </w:r>
      <w:r>
        <w:t>и</w:t>
      </w:r>
      <w:r>
        <w:t>ях обеспечения гендерного равенства, которые должны помочь Кении прибл</w:t>
      </w:r>
      <w:r>
        <w:t>и</w:t>
      </w:r>
      <w:r>
        <w:t>зиться к выполнению своих обязательств в соответствии с Ко</w:t>
      </w:r>
      <w:r>
        <w:t>н</w:t>
      </w:r>
      <w:r>
        <w:t>венцией.</w:t>
      </w:r>
    </w:p>
    <w:p w:rsidR="00000000" w:rsidRDefault="00000000">
      <w:pPr>
        <w:pStyle w:val="H23GR"/>
      </w:pPr>
      <w:r>
        <w:tab/>
      </w:r>
      <w:r>
        <w:tab/>
        <w:t>Средства коммуникации и информации</w:t>
      </w:r>
    </w:p>
    <w:p w:rsidR="00000000" w:rsidRDefault="00000000">
      <w:pPr>
        <w:pStyle w:val="SingleTxtGR"/>
      </w:pPr>
      <w:r>
        <w:t>56.</w:t>
      </w:r>
      <w:r>
        <w:tab/>
        <w:t>ЮНЕСКО содействует вовлечению африканских женских организаций в процессы, ведущие к разработке, принятию и эффективному осуществлению законодательства в области свободы информации (СИ) и соответствующей п</w:t>
      </w:r>
      <w:r>
        <w:t>о</w:t>
      </w:r>
      <w:r>
        <w:t>литики. Таким образом, организация стремится добиться реализации прав а</w:t>
      </w:r>
      <w:r>
        <w:t>ф</w:t>
      </w:r>
      <w:r>
        <w:t>риканских женщин на информацию с помощью вклада в принятие законов, сфо</w:t>
      </w:r>
      <w:r>
        <w:t>р</w:t>
      </w:r>
      <w:r>
        <w:t>мулированных с учетом гендерного фактора. Эти усилия согласуются с двумя глобальными приоритетами организации – гендерным равенством и А</w:t>
      </w:r>
      <w:r>
        <w:t>ф</w:t>
      </w:r>
      <w:r>
        <w:t>рикой. В настоящее время планируются меры, следующие за первым этапом Проекта в области свободы информации и прав женщин в Африке, и проводи</w:t>
      </w:r>
      <w:r>
        <w:t>т</w:t>
      </w:r>
      <w:r>
        <w:t>ся деятельность по сбору средств. Южная Африка и Кения относятся к числу стран, охв</w:t>
      </w:r>
      <w:r>
        <w:t>а</w:t>
      </w:r>
      <w:r>
        <w:t>ченных в предложении относительно таких последующих мер.</w:t>
      </w:r>
    </w:p>
    <w:p w:rsidR="00000000" w:rsidRDefault="00000000">
      <w:pPr>
        <w:pStyle w:val="SingleTxtGR"/>
      </w:pPr>
      <w:r>
        <w:t>57.</w:t>
      </w:r>
      <w:r>
        <w:tab/>
        <w:t>Первым шагом в осуществлении Проекта в области свободы информации и прав женщин в Африке стала публикация справочника, озаглавленного "Св</w:t>
      </w:r>
      <w:r>
        <w:t>о</w:t>
      </w:r>
      <w:r>
        <w:t>бода информации и права женщин в Африке" и подготовленного в сотруднич</w:t>
      </w:r>
      <w:r>
        <w:t>е</w:t>
      </w:r>
      <w:r>
        <w:t>стве с Сетью африканских женских организаций по вопросам коммуник</w:t>
      </w:r>
      <w:r>
        <w:t>а</w:t>
      </w:r>
      <w:r>
        <w:t>ции и развития (ФЕМНЕТ). В справочнике собраны тематические исследования К</w:t>
      </w:r>
      <w:r>
        <w:t>а</w:t>
      </w:r>
      <w:r>
        <w:t>меруна, Ганы, Кении, Южной Африки и Замбии. Три издания справочника б</w:t>
      </w:r>
      <w:r>
        <w:t>ы</w:t>
      </w:r>
      <w:r>
        <w:t>ли выпущены на английском языке и еще одно издание – на французском языке (тираж каждого издания 1 000 экзе</w:t>
      </w:r>
      <w:r>
        <w:t>м</w:t>
      </w:r>
      <w:r>
        <w:t>пляров).</w:t>
      </w:r>
    </w:p>
    <w:p w:rsidR="00000000" w:rsidRDefault="00000000">
      <w:pPr>
        <w:pStyle w:val="SingleTxtGR"/>
      </w:pPr>
      <w:r>
        <w:t>58.</w:t>
      </w:r>
      <w:r>
        <w:tab/>
        <w:t>В рамках информационного совещания, проведенного в штаб-квартире ЮНЕСКО в марте 2010 года, была повышена осведомленность государств-членов, фигурировавших в руководстве, относительно важного значения СИ с точки зрения прав женщин. По итогам информационного совещания справо</w:t>
      </w:r>
      <w:r>
        <w:t>ч</w:t>
      </w:r>
      <w:r>
        <w:t>ник был представлен на международном уровне в ходе обсуждения за круглым столом, проведенного в Париже в марте 2010 года по случаю празднования М</w:t>
      </w:r>
      <w:r>
        <w:t>е</w:t>
      </w:r>
      <w:r>
        <w:t>ждународного женского дня. В Африке также проводилась деятельность по п</w:t>
      </w:r>
      <w:r>
        <w:t>о</w:t>
      </w:r>
      <w:r>
        <w:t>вышению осведомленности: справочник был представлен на регионал</w:t>
      </w:r>
      <w:r>
        <w:t>ь</w:t>
      </w:r>
      <w:r>
        <w:t>ном уровне в рамках саммита Африканского союза в январе 2010 года; информация о нем была распространена среди женских организаций, органов массовой и</w:t>
      </w:r>
      <w:r>
        <w:t>н</w:t>
      </w:r>
      <w:r>
        <w:t>формации, правозащитных организаций, участвующих в кампаниях в поддер</w:t>
      </w:r>
      <w:r>
        <w:t>ж</w:t>
      </w:r>
      <w:r>
        <w:t>ку СИ, студентов, обучающихся по специальности журнализм и средства ко</w:t>
      </w:r>
      <w:r>
        <w:t>м</w:t>
      </w:r>
      <w:r>
        <w:t>муник</w:t>
      </w:r>
      <w:r>
        <w:t>а</w:t>
      </w:r>
      <w:r>
        <w:t>ции, и исследовательских центров.</w:t>
      </w:r>
    </w:p>
    <w:p w:rsidR="00000000" w:rsidRDefault="00000000">
      <w:pPr>
        <w:pStyle w:val="SingleTxtGR"/>
      </w:pPr>
      <w:r>
        <w:t>59.</w:t>
      </w:r>
      <w:r>
        <w:tab/>
        <w:t>В Европейскую комиссию было представлено предложение об изыскании внебюджетных средств для финансирования последующих мер в Г</w:t>
      </w:r>
      <w:r>
        <w:t>а</w:t>
      </w:r>
      <w:r>
        <w:t>не, Египте, Замбии, Камеруне, Кении, Намибии, Объединенной Республике Танзания, Сьерра-Леоне, Уганде и Южной Африке. Продолжительность проекта сост</w:t>
      </w:r>
      <w:r>
        <w:t>а</w:t>
      </w:r>
      <w:r>
        <w:t>вит 30 месяцев. Сумма, запрашиваемая у Европейской комиссии, составляет 1 млн. евро (90% от общей бюджетной сметы на проведение проекта, равняющейся 1,1 млн. евро). В предварительном порядке в рамках деятельности, охваченной в данном предложении, планируется: a) дальнейшее распространение информ</w:t>
      </w:r>
      <w:r>
        <w:t>а</w:t>
      </w:r>
      <w:r>
        <w:t>ции о справочнике, в том числе печать новых экземпляров и его перевод на су</w:t>
      </w:r>
      <w:r>
        <w:t>а</w:t>
      </w:r>
      <w:r>
        <w:t>хили; b) выпуск материалов по информации, образованию и консультациям (ИОК) для использования женскими организациями в своей пропагандисткой деятельности; c) выпуск набора информационно-пропагандистских м</w:t>
      </w:r>
      <w:r>
        <w:t>а</w:t>
      </w:r>
      <w:r>
        <w:t>териалов для использования африканскими женскими организациями; d) меры по пр</w:t>
      </w:r>
      <w:r>
        <w:t>и</w:t>
      </w:r>
      <w:r>
        <w:t>влечению внимания средств массовой информации к кампаниям по п</w:t>
      </w:r>
      <w:r>
        <w:t>о</w:t>
      </w:r>
      <w:r>
        <w:t>вышению осведомленности (для расширения участия женских организаций в процессах, связанных с СИ, и распространения знаний о СИ среди женщин и девочек), а также меры по укреплению потенциала средств массовой информации для о</w:t>
      </w:r>
      <w:r>
        <w:t>с</w:t>
      </w:r>
      <w:r>
        <w:t>вещения проблематики СИ и прав женщин (один семинар-практикум для р</w:t>
      </w:r>
      <w:r>
        <w:t>а</w:t>
      </w:r>
      <w:r>
        <w:t>ботников средств массовой информации на страну и, возможно, предо</w:t>
      </w:r>
      <w:r>
        <w:t>с</w:t>
      </w:r>
      <w:r>
        <w:t>тавление средств одному избранному журналисту в каждой стране для проведения пр</w:t>
      </w:r>
      <w:r>
        <w:t>о</w:t>
      </w:r>
      <w:r>
        <w:t>екта журналистского расследования, который пом</w:t>
      </w:r>
      <w:r>
        <w:t>о</w:t>
      </w:r>
      <w:r>
        <w:t>жет продвижению прав женщин с помощью расширения доступа к информации); e) совещания для у</w:t>
      </w:r>
      <w:r>
        <w:t>с</w:t>
      </w:r>
      <w:r>
        <w:t>тановления связей между организациями, занимающимися женской проблем</w:t>
      </w:r>
      <w:r>
        <w:t>а</w:t>
      </w:r>
      <w:r>
        <w:t>тикой, и представителями коалиций СИ в каждой стране, должностными лиц</w:t>
      </w:r>
      <w:r>
        <w:t>а</w:t>
      </w:r>
      <w:r>
        <w:t>ми правительства, парламентариями и политиками; f) проведение на стран</w:t>
      </w:r>
      <w:r>
        <w:t>о</w:t>
      </w:r>
      <w:r>
        <w:t>вом уровне семинаров с участием широкого круга заинтересованных сторон; и h) подготовка исследований, справочных материалов и виртуальной платформы для содействия обмену опытом и ресурсами, новостями, существующими и т</w:t>
      </w:r>
      <w:r>
        <w:t>и</w:t>
      </w:r>
      <w:r>
        <w:t>повыми законами, постановлениями и стратегиями в области СИ, а также для поощрения диалога и взаимодействия, посвященного СИ и правам женщин.</w:t>
      </w:r>
    </w:p>
    <w:p w:rsidR="00000000" w:rsidRDefault="00000000">
      <w:pPr>
        <w:pStyle w:val="H23GR"/>
      </w:pPr>
      <w:r>
        <w:tab/>
      </w:r>
      <w:r>
        <w:tab/>
        <w:t>Культура</w:t>
      </w:r>
    </w:p>
    <w:p w:rsidR="00000000" w:rsidRDefault="00000000">
      <w:pPr>
        <w:pStyle w:val="SingleTxtGR"/>
      </w:pPr>
      <w:r>
        <w:t>60.</w:t>
      </w:r>
      <w:r>
        <w:tab/>
        <w:t>В ноябре 2010 года в преддверии пятой сессии Межправительственного комитета по охране нематериального культурного наследия ЮНЕСКО орган</w:t>
      </w:r>
      <w:r>
        <w:t>и</w:t>
      </w:r>
      <w:r>
        <w:t>зовала в Найроби первый форум НПО. Цель его заключалась в наращивании потенциала и укреплении партнерства среди НПО, в частности в развивающи</w:t>
      </w:r>
      <w:r>
        <w:t>х</w:t>
      </w:r>
      <w:r>
        <w:t>ся странах, в особенности в Африке, а также в содействии более активному участию гражданского общества в осуществлении Конвенции и охране немат</w:t>
      </w:r>
      <w:r>
        <w:t>е</w:t>
      </w:r>
      <w:r>
        <w:t>риального культурного наследия. Значительный акцент делался на аспекты ге</w:t>
      </w:r>
      <w:r>
        <w:t>н</w:t>
      </w:r>
      <w:r>
        <w:t>дерного равенства в контексте нематериального культурного наследия. Форум посетило более 100 участников. В работе Форума и пятидневном совещании Комитета, проведенном на средства Венгрии, приняли участие девять африка</w:t>
      </w:r>
      <w:r>
        <w:t>н</w:t>
      </w:r>
      <w:r>
        <w:t>ских НПО.</w:t>
      </w:r>
    </w:p>
    <w:p w:rsidR="00000000" w:rsidRDefault="00000000">
      <w:pPr>
        <w:pStyle w:val="H23GR"/>
      </w:pPr>
      <w:r>
        <w:tab/>
      </w:r>
      <w:r>
        <w:tab/>
        <w:t>Стипендии</w:t>
      </w:r>
    </w:p>
    <w:p w:rsidR="00000000" w:rsidRDefault="00000000">
      <w:pPr>
        <w:pStyle w:val="SingleTxtGR"/>
      </w:pPr>
      <w:r>
        <w:t>61.</w:t>
      </w:r>
      <w:r>
        <w:tab/>
        <w:t>С 2007 по 2010 год ЮНЕСКО предоставила женщинам в Кении следу</w:t>
      </w:r>
      <w:r>
        <w:t>ю</w:t>
      </w:r>
      <w:r>
        <w:t>щие стипендии:</w:t>
      </w:r>
    </w:p>
    <w:p w:rsidR="00000000" w:rsidRDefault="00000000">
      <w:pPr>
        <w:pStyle w:val="Bullet1GR"/>
        <w:numPr>
          <w:ilvl w:val="0"/>
          <w:numId w:val="1"/>
        </w:numPr>
      </w:pPr>
      <w:r>
        <w:t>20/08/2007: программа стипендий ЮНЕСКО-РП в поддержку приорите</w:t>
      </w:r>
      <w:r>
        <w:t>т</w:t>
      </w:r>
      <w:r>
        <w:t>ных программных областей в сфере биоразнообразия с упором на рег</w:t>
      </w:r>
      <w:r>
        <w:t>у</w:t>
      </w:r>
      <w:r>
        <w:t>лирование генетически измененных организмов.</w:t>
      </w:r>
    </w:p>
    <w:p w:rsidR="00000000" w:rsidRDefault="00000000">
      <w:pPr>
        <w:pStyle w:val="H23GR"/>
      </w:pPr>
      <w:r>
        <w:tab/>
      </w:r>
      <w:r>
        <w:tab/>
        <w:t>Лихтенштейн</w:t>
      </w:r>
    </w:p>
    <w:p w:rsidR="00000000" w:rsidRDefault="00000000">
      <w:pPr>
        <w:pStyle w:val="SingleTxtGR"/>
      </w:pPr>
      <w:r>
        <w:t>62.</w:t>
      </w:r>
      <w:r>
        <w:tab/>
        <w:t>Лихтенштейн не состоит в числе государств − членов ЮНЕСКО и не я</w:t>
      </w:r>
      <w:r>
        <w:t>в</w:t>
      </w:r>
      <w:r>
        <w:t>ляется участн</w:t>
      </w:r>
      <w:r>
        <w:t>и</w:t>
      </w:r>
      <w:r>
        <w:t>ком Конвенции ЮНЕСКО о борьбе с дискриминацией в области образования.</w:t>
      </w:r>
    </w:p>
    <w:p w:rsidR="00000000" w:rsidRDefault="00000000">
      <w:pPr>
        <w:pStyle w:val="H23GR"/>
      </w:pPr>
      <w:r>
        <w:tab/>
      </w:r>
      <w:r>
        <w:tab/>
        <w:t>Южная Африка</w:t>
      </w:r>
    </w:p>
    <w:p w:rsidR="00000000" w:rsidRDefault="00000000">
      <w:pPr>
        <w:pStyle w:val="SingleTxtGR"/>
      </w:pPr>
      <w:r>
        <w:t>63.</w:t>
      </w:r>
      <w:r>
        <w:tab/>
        <w:t>Южная Африка является участником Конвенции ЮНЕСКО о борьбе с дискриминацией в области образования с марта 2000 года.</w:t>
      </w:r>
    </w:p>
    <w:p w:rsidR="00000000" w:rsidRDefault="00000000">
      <w:pPr>
        <w:pStyle w:val="H23GR"/>
      </w:pPr>
      <w:r>
        <w:tab/>
      </w:r>
      <w:r>
        <w:tab/>
        <w:t>Конституционные рамки</w:t>
      </w:r>
      <w:r>
        <w:rPr>
          <w:rStyle w:val="FootnoteReference"/>
          <w:b w:val="0"/>
        </w:rPr>
        <w:footnoteReference w:id="26"/>
      </w:r>
    </w:p>
    <w:p w:rsidR="00000000" w:rsidRDefault="00000000">
      <w:pPr>
        <w:pStyle w:val="SingleTxtGR"/>
      </w:pPr>
      <w:r>
        <w:t>64.</w:t>
      </w:r>
      <w:r>
        <w:tab/>
        <w:t>В соответствии с требованиями Конституции образование должно быть преобразовано и демократизировано с учетом следующих ценностей: достои</w:t>
      </w:r>
      <w:r>
        <w:t>н</w:t>
      </w:r>
      <w:r>
        <w:t>ства человека, достижения равноправия и развития прав и свобод человека, о</w:t>
      </w:r>
      <w:r>
        <w:t>т</w:t>
      </w:r>
      <w:r>
        <w:t>сутствия расизма и дискриминации по признаку пола. Демократизация образ</w:t>
      </w:r>
      <w:r>
        <w:t>о</w:t>
      </w:r>
      <w:r>
        <w:t>вания предполагает, что все заинтересованные стороны (родители, преподав</w:t>
      </w:r>
      <w:r>
        <w:t>а</w:t>
      </w:r>
      <w:r>
        <w:t>тели, ученики и члены общины) должны участвовать в школьной жизни</w:t>
      </w:r>
      <w:r>
        <w:rPr>
          <w:rStyle w:val="FootnoteReference"/>
        </w:rPr>
        <w:footnoteReference w:id="27"/>
      </w:r>
      <w:r>
        <w:t>. Пр</w:t>
      </w:r>
      <w:r>
        <w:t>а</w:t>
      </w:r>
      <w:r>
        <w:t>во на образование, в особенности базовое образование, предусмотрено Конст</w:t>
      </w:r>
      <w:r>
        <w:t>и</w:t>
      </w:r>
      <w:r>
        <w:t>туцией 1997 года. В статье 29 Конституции говорится следующее: "1) каждый имеет право на: а) базовое образование, включая образование для взрослых, и b) дальнейшее образование, которое государство с помощью разумных мер должно постепенно сделать реальным и досту</w:t>
      </w:r>
      <w:r>
        <w:t>п</w:t>
      </w:r>
      <w:r>
        <w:t>ным".</w:t>
      </w:r>
    </w:p>
    <w:p w:rsidR="00000000" w:rsidRDefault="00000000">
      <w:pPr>
        <w:pStyle w:val="H23GR"/>
      </w:pPr>
      <w:r>
        <w:tab/>
      </w:r>
      <w:r>
        <w:tab/>
        <w:t>Законодательные рамки</w:t>
      </w:r>
    </w:p>
    <w:p w:rsidR="00000000" w:rsidRDefault="00000000">
      <w:pPr>
        <w:pStyle w:val="SingleTxtGR"/>
      </w:pPr>
      <w:r>
        <w:t>65.</w:t>
      </w:r>
      <w:r>
        <w:tab/>
        <w:t>Закон о национальной политике в области образования</w:t>
      </w:r>
      <w:r>
        <w:rPr>
          <w:rStyle w:val="FootnoteReference"/>
        </w:rPr>
        <w:footnoteReference w:id="28"/>
      </w:r>
      <w:r>
        <w:t xml:space="preserve"> направлен на поощрение и защиту основных прав всех женщин и мужчин, гарантируемых как Биллем о правах, так и международными конвенциями, ратифицированн</w:t>
      </w:r>
      <w:r>
        <w:t>ы</w:t>
      </w:r>
      <w:r>
        <w:t>ми Южной Африкой. В положениях Закона закреплено обязательство предо</w:t>
      </w:r>
      <w:r>
        <w:t>с</w:t>
      </w:r>
      <w:r>
        <w:t>тавления равных возможностей в области образования и средств правовой з</w:t>
      </w:r>
      <w:r>
        <w:t>а</w:t>
      </w:r>
      <w:r>
        <w:t>щиты от неравенства в области образования, включая поощрение гендерного равенства и улучшение положения женщин.</w:t>
      </w:r>
    </w:p>
    <w:p w:rsidR="00000000" w:rsidRDefault="00000000">
      <w:pPr>
        <w:pStyle w:val="SingleTxtGR"/>
      </w:pPr>
      <w:r>
        <w:t>66.</w:t>
      </w:r>
      <w:r>
        <w:tab/>
        <w:t>В докладе, представленном Южной Африкой в рамках седьмой консул</w:t>
      </w:r>
      <w:r>
        <w:t>ь</w:t>
      </w:r>
      <w:r>
        <w:t>тации по вопросу осуществления Конвенции о борьбе с дискриминацией в о</w:t>
      </w:r>
      <w:r>
        <w:t>б</w:t>
      </w:r>
      <w:r>
        <w:t>ласти образования (за период с 2000 по 2005 год), особое внимание уделяется трудностям, связанным с ликвидацией расовой дискриминации в области обр</w:t>
      </w:r>
      <w:r>
        <w:t>а</w:t>
      </w:r>
      <w:r>
        <w:t>зования, в частности в контексте стратегии расовой интеграции. В Законе о школах Южной Африки</w:t>
      </w:r>
      <w:r>
        <w:rPr>
          <w:rStyle w:val="FootnoteReference"/>
        </w:rPr>
        <w:footnoteReference w:id="29"/>
      </w:r>
      <w:r>
        <w:t xml:space="preserve"> содержится обязательство бороться с расизмом, се</w:t>
      </w:r>
      <w:r>
        <w:t>к</w:t>
      </w:r>
      <w:r>
        <w:t>сизмом и всеми другими формами необоснованной дискриминации и нетерп</w:t>
      </w:r>
      <w:r>
        <w:t>и</w:t>
      </w:r>
      <w:r>
        <w:t>мости. Закон об обеспечении равенства и предупреждении несправедливой дискрим</w:t>
      </w:r>
      <w:r>
        <w:t>и</w:t>
      </w:r>
      <w:r>
        <w:t>нации (2000 год) призван предотвратить и запретить несправедливую дискриминацию. Кроме того, как сообщается, граждане Южной Африки, по</w:t>
      </w:r>
      <w:r>
        <w:t>д</w:t>
      </w:r>
      <w:r>
        <w:t>вергающиеся дискриминации в области образования, могут обращаться в Ко</w:t>
      </w:r>
      <w:r>
        <w:t>н</w:t>
      </w:r>
      <w:r>
        <w:t>ституц</w:t>
      </w:r>
      <w:r>
        <w:t>и</w:t>
      </w:r>
      <w:r>
        <w:t>онный суд для опротестования действий государства.</w:t>
      </w:r>
    </w:p>
    <w:p w:rsidR="00000000" w:rsidRDefault="00000000">
      <w:pPr>
        <w:pStyle w:val="H23GR"/>
      </w:pPr>
      <w:r>
        <w:tab/>
      </w:r>
      <w:r>
        <w:tab/>
        <w:t>Политика</w:t>
      </w:r>
    </w:p>
    <w:p w:rsidR="00000000" w:rsidRDefault="00000000">
      <w:pPr>
        <w:pStyle w:val="SingleTxtGR"/>
      </w:pPr>
      <w:r>
        <w:t>67.</w:t>
      </w:r>
      <w:r>
        <w:tab/>
        <w:t>Основополагающие политические рамки Министерства образования б</w:t>
      </w:r>
      <w:r>
        <w:t>ы</w:t>
      </w:r>
      <w:r>
        <w:t>ли закреплены в 1995 году в первой "Белой книге" под названием "Образов</w:t>
      </w:r>
      <w:r>
        <w:t>а</w:t>
      </w:r>
      <w:r>
        <w:t>ние и подготовка в демократической Южной Африке: первые шаги для создания новой системы". Широкомасштабный организационный процесс по упраздн</w:t>
      </w:r>
      <w:r>
        <w:t>е</w:t>
      </w:r>
      <w:r>
        <w:t>нию образовательных структур апартеида, созданию национального и девяти провинциальных управлений по вопросам образования и наследованию уче</w:t>
      </w:r>
      <w:r>
        <w:t>б</w:t>
      </w:r>
      <w:r>
        <w:t>ных заведений, персонала, служб, документации и активов прошел без сбоев в процессе обучения. В "Белой книге 1" (1995 год) указывается, что забота о д</w:t>
      </w:r>
      <w:r>
        <w:t>е</w:t>
      </w:r>
      <w:r>
        <w:t>вочках и мальчиках и их развитие должны лечь в основу общественных отн</w:t>
      </w:r>
      <w:r>
        <w:t>о</w:t>
      </w:r>
      <w:r>
        <w:t>шений и стать точкой отсчета для стратегий развития людских ресурсов на всех уро</w:t>
      </w:r>
      <w:r>
        <w:t>в</w:t>
      </w:r>
      <w:r>
        <w:t>нях, от общинного до национального.</w:t>
      </w:r>
    </w:p>
    <w:p w:rsidR="00000000" w:rsidRDefault="00000000">
      <w:pPr>
        <w:pStyle w:val="SingleTxtGR"/>
      </w:pPr>
      <w:r>
        <w:t>68.</w:t>
      </w:r>
      <w:r>
        <w:tab/>
        <w:t>Что касается гендерного равенства, то с 1994 года в Южной Африке пр</w:t>
      </w:r>
      <w:r>
        <w:t>о</w:t>
      </w:r>
      <w:r>
        <w:t>изошло множество изм</w:t>
      </w:r>
      <w:r>
        <w:t>е</w:t>
      </w:r>
      <w:r>
        <w:t>нений, но вместе с тем многое сохранилось в прежнем виде. Сразу же после ликвидации апартеида одновременно наблюдалось как у</w:t>
      </w:r>
      <w:r>
        <w:t>т</w:t>
      </w:r>
      <w:r>
        <w:t>верждение положения женщин в качестве равноправных партнеров во всех сферах повседневной жизни, с одной стороны, так и рост насилия в отношении женщин и девочек и высокий уровень безработицы и нищеты среди женщин, с другой стороны. Страна приняла подход, предусматривающий образование для всех, и инициативы по развитию и проведению реформ в интересах дост</w:t>
      </w:r>
      <w:r>
        <w:t>и</w:t>
      </w:r>
      <w:r>
        <w:t>жения этой цели отражены в национальных стратегических планах, политике и программах. Образование девочек относится к числу основных достижений системы образования в период после освобождения от апартеида: число пост</w:t>
      </w:r>
      <w:r>
        <w:t>у</w:t>
      </w:r>
      <w:r>
        <w:t>пающих в школу девочек и мальчиков сравнялось. Возможности для получения о</w:t>
      </w:r>
      <w:r>
        <w:t>б</w:t>
      </w:r>
      <w:r>
        <w:t>разования детьми из прежде обездоленных семей в настоящее время гораздо шире</w:t>
      </w:r>
      <w:r>
        <w:rPr>
          <w:rStyle w:val="FootnoteReference"/>
        </w:rPr>
        <w:footnoteReference w:id="30"/>
      </w:r>
      <w:r>
        <w:t>. Предпринимаются многочисленные усилия для обеспечения гендерного раве</w:t>
      </w:r>
      <w:r>
        <w:t>н</w:t>
      </w:r>
      <w:r>
        <w:t>ства.</w:t>
      </w:r>
    </w:p>
    <w:p w:rsidR="00000000" w:rsidRDefault="00000000">
      <w:pPr>
        <w:pStyle w:val="SingleTxtGR"/>
      </w:pPr>
      <w:r>
        <w:t>69.</w:t>
      </w:r>
      <w:r>
        <w:tab/>
        <w:t>Было начато Движение за образование девочек (ДОД), призванное поо</w:t>
      </w:r>
      <w:r>
        <w:t>щ</w:t>
      </w:r>
      <w:r>
        <w:t>рять девочек изучать дисциплины, связанные с наукой и техникой. Кроме того, Министерством образования были разработаны Руководящие указания относ</w:t>
      </w:r>
      <w:r>
        <w:t>и</w:t>
      </w:r>
      <w:r>
        <w:t>тельно предупреждения сексуального насилия и домогательств в государстве</w:t>
      </w:r>
      <w:r>
        <w:t>н</w:t>
      </w:r>
      <w:r>
        <w:t>ных школах. Южная Африка достигла цель 3 из числа целей в области разв</w:t>
      </w:r>
      <w:r>
        <w:t>и</w:t>
      </w:r>
      <w:r>
        <w:t>тия, сформулированных в Декларации тысячелетия, предусматривающую ли</w:t>
      </w:r>
      <w:r>
        <w:t>к</w:t>
      </w:r>
      <w:r>
        <w:t>видацию неравенства между полами в сфере начального и среднего образов</w:t>
      </w:r>
      <w:r>
        <w:t>а</w:t>
      </w:r>
      <w:r>
        <w:t>ния к 2015 году.</w:t>
      </w:r>
    </w:p>
    <w:p w:rsidR="00000000" w:rsidRDefault="00000000">
      <w:pPr>
        <w:pStyle w:val="H23GR"/>
      </w:pPr>
      <w:r>
        <w:tab/>
      </w:r>
      <w:r>
        <w:tab/>
        <w:t>Естественные науки</w:t>
      </w:r>
    </w:p>
    <w:p w:rsidR="00000000" w:rsidRDefault="00000000">
      <w:pPr>
        <w:pStyle w:val="SingleTxtGR"/>
      </w:pPr>
      <w:r>
        <w:t>70.</w:t>
      </w:r>
      <w:r>
        <w:tab/>
        <w:t>В марте 2010 года в Йоханнесбурге, Южная Африка, состоялась первая церемония вручения премий "Л'Ореаль"-ЮНЕСКО в области наук о жизни для Африканской сети научных и технологических институтов/региональных гра</w:t>
      </w:r>
      <w:r>
        <w:t>н</w:t>
      </w:r>
      <w:r>
        <w:t>тов "Л'Ореаль"-ЮНЕСКО для женщин в науке.</w:t>
      </w:r>
    </w:p>
    <w:p w:rsidR="00000000" w:rsidRDefault="00000000">
      <w:pPr>
        <w:pStyle w:val="H23GR"/>
      </w:pPr>
      <w:r>
        <w:tab/>
      </w:r>
      <w:r>
        <w:tab/>
        <w:t>Социальные и гуманитарные науки</w:t>
      </w:r>
    </w:p>
    <w:p w:rsidR="00000000" w:rsidRDefault="00000000">
      <w:pPr>
        <w:pStyle w:val="SingleTxtGR"/>
      </w:pPr>
      <w:r>
        <w:t>71.</w:t>
      </w:r>
      <w:r>
        <w:tab/>
        <w:t>В рамках программы ориентированных на конкретные действия исслед</w:t>
      </w:r>
      <w:r>
        <w:t>о</w:t>
      </w:r>
      <w:r>
        <w:t>ваний в интересах борьбы с насилием в отношении женщин и в целях вырабо</w:t>
      </w:r>
      <w:r>
        <w:t>т</w:t>
      </w:r>
      <w:r>
        <w:t>ки рекомендаций по вопросам политики в области прав женщин, призванных содействовать всестороннему участию и вкладу женщин в восстановление мира и безопасности в постконфликтных странах Африки, ЮНЕСКО, в сотруднич</w:t>
      </w:r>
      <w:r>
        <w:t>е</w:t>
      </w:r>
      <w:r>
        <w:t>стве с Университетом Халла, Соединенное Королевство, и Центром по правам человека при Университете Претории, Южная Африка, начала исследовател</w:t>
      </w:r>
      <w:r>
        <w:t>ь</w:t>
      </w:r>
      <w:r>
        <w:t>скую программу по правам женщин на мир и безопасность в постко</w:t>
      </w:r>
      <w:r>
        <w:t>н</w:t>
      </w:r>
      <w:r>
        <w:t>фликтных демократических странах Африки. На первом этапе данной программы в 2007 году в Претории состоялась исследовательское совещание, в ходе которого исследователи, специализирующиеся на пр</w:t>
      </w:r>
      <w:r>
        <w:t>а</w:t>
      </w:r>
      <w:r>
        <w:t>вах женщин в африканских странах к югу от Сахары, получили возможность обменяться идеями относительно кл</w:t>
      </w:r>
      <w:r>
        <w:t>ю</w:t>
      </w:r>
      <w:r>
        <w:t>чевых вопросов по теме "Права женщин на мир и безопасность в постко</w:t>
      </w:r>
      <w:r>
        <w:t>н</w:t>
      </w:r>
      <w:r>
        <w:t>фликтных демократических странах Африки" и выработать рекомендации по вопросам политики для правительств, международных организаций и НПО.</w:t>
      </w:r>
    </w:p>
    <w:p w:rsidR="00000000" w:rsidRDefault="00000000">
      <w:pPr>
        <w:pStyle w:val="SingleTxtGR"/>
      </w:pPr>
      <w:r>
        <w:t>72.</w:t>
      </w:r>
      <w:r>
        <w:tab/>
        <w:t>Исследовательское совещание также послужило основой для плодотво</w:t>
      </w:r>
      <w:r>
        <w:t>р</w:t>
      </w:r>
      <w:r>
        <w:t>ного диалога по вопросам национальных стратегий в области прав женщин в рамках Второго форума министров по делам женщин из региона Великих озер, проведенного под эгидой ЮНЕСКО. По итогам диалога сложились сво</w:t>
      </w:r>
      <w:r>
        <w:t>д</w:t>
      </w:r>
      <w:r>
        <w:t>ные рекомендации по вопросам политики для включения в доклад "Права же</w:t>
      </w:r>
      <w:r>
        <w:t>н</w:t>
      </w:r>
      <w:r>
        <w:t xml:space="preserve">щин на мир и безопасность в </w:t>
      </w:r>
      <w:proofErr w:type="spellStart"/>
      <w:r>
        <w:t>постконфликтных</w:t>
      </w:r>
      <w:proofErr w:type="spellEnd"/>
      <w:r>
        <w:t xml:space="preserve"> демократических африканских странах к югу от Сахары".</w:t>
      </w:r>
    </w:p>
    <w:p w:rsidR="00000000" w:rsidRDefault="00000000">
      <w:pPr>
        <w:pStyle w:val="H23GR"/>
      </w:pPr>
      <w:r>
        <w:tab/>
      </w:r>
      <w:r>
        <w:tab/>
        <w:t>Средства коммуникации и информация</w:t>
      </w:r>
    </w:p>
    <w:p w:rsidR="00000000" w:rsidRDefault="00000000">
      <w:pPr>
        <w:pStyle w:val="SingleTxtGR"/>
      </w:pPr>
      <w:r>
        <w:t>73.</w:t>
      </w:r>
      <w:r>
        <w:tab/>
        <w:t>ЮНЕСКО содействует вовлечению африканских женских организаций в процессы, предшествующие разработке, принятию и эффективному осущес</w:t>
      </w:r>
      <w:r>
        <w:t>т</w:t>
      </w:r>
      <w:r>
        <w:t>влению законодательства в области свободы информации (СИ) и соответс</w:t>
      </w:r>
      <w:r>
        <w:t>т</w:t>
      </w:r>
      <w:r>
        <w:t>вующей политики. Таким образом, организация стремится добиться ре</w:t>
      </w:r>
      <w:r>
        <w:t>а</w:t>
      </w:r>
      <w:r>
        <w:t>лизации прав африканских женщин на информацию с помощью содействия принятию законов, сформулированных с учетом гендерного фактора. Эти усилия соглас</w:t>
      </w:r>
      <w:r>
        <w:t>у</w:t>
      </w:r>
      <w:r>
        <w:t>ются с двумя глобальными приоритетами организации: гендерное равенство и Африка. В настоящее время планируются меры, следующие за пе</w:t>
      </w:r>
      <w:r>
        <w:t>р</w:t>
      </w:r>
      <w:r>
        <w:t>вым этапом Проекта в области свободы информации и прав женщин в Африке, и проводи</w:t>
      </w:r>
      <w:r>
        <w:t>т</w:t>
      </w:r>
      <w:r>
        <w:t>ся деятельность по сбору средств. Южная Африка и Кения относятся к числу стран, охваченных в предложении относительно таких последующих мер.</w:t>
      </w:r>
    </w:p>
    <w:p w:rsidR="00000000" w:rsidRDefault="00000000">
      <w:pPr>
        <w:pStyle w:val="SingleTxtGR"/>
      </w:pPr>
      <w:r>
        <w:t>74.</w:t>
      </w:r>
      <w:r>
        <w:tab/>
        <w:t>Первым шагом в осуществлении Проекта в области свободы информации и прав женщин в Африке стала публикация справочника, озаглавленного "Св</w:t>
      </w:r>
      <w:r>
        <w:t>о</w:t>
      </w:r>
      <w:r>
        <w:t>бода информации и права женщин в Африке", подготовленного в сотрудничес</w:t>
      </w:r>
      <w:r>
        <w:t>т</w:t>
      </w:r>
      <w:r>
        <w:t>ве с Сетью африканских женских организаций по вопросам коммуникации и развития (ФЕМНЕТ). В справочнике собраны тематические исследования К</w:t>
      </w:r>
      <w:r>
        <w:t>а</w:t>
      </w:r>
      <w:r>
        <w:t>меруна, Ганы, Кении, Южной Африки и Замбии. На английском языке было выпущено три издания справочника, и еще одно издание – на французском яз</w:t>
      </w:r>
      <w:r>
        <w:t>ы</w:t>
      </w:r>
      <w:r>
        <w:t>ке (тираж каждого издания − 1 000 экземпляров).</w:t>
      </w:r>
    </w:p>
    <w:p w:rsidR="00000000" w:rsidRDefault="00000000">
      <w:pPr>
        <w:pStyle w:val="SingleTxtGR"/>
      </w:pPr>
      <w:r>
        <w:t>75.</w:t>
      </w:r>
      <w:r>
        <w:tab/>
        <w:t>В рамках информационного совещания, проведенного в штаб-квартире ЮНЕСКО в марте 2010 года, была повышена осведомленность государств-членов, фигурировавших в руководстве, относительно важного значения СИ с точки зрения прав женщин. По итогам информационного совещания справо</w:t>
      </w:r>
      <w:r>
        <w:t>ч</w:t>
      </w:r>
      <w:r>
        <w:t>ник был представлен на международном уровне в ходе обсуждения за круглым столом, проведенного в Париже в марте 2010 года по случаю празднования М</w:t>
      </w:r>
      <w:r>
        <w:t>е</w:t>
      </w:r>
      <w:r>
        <w:t>ждународного женского дня. В Африке также осуществлялась деятельность по повышению осведомленности: справочник был представлен на региональном уровне в рамках саммита Африканского союза в январе 2010 года и информация о нем была распространена среди женских организаций, органов массовой и</w:t>
      </w:r>
      <w:r>
        <w:t>н</w:t>
      </w:r>
      <w:r>
        <w:t>формации, правозащитных организаций, участвующих в кампаниях в поддер</w:t>
      </w:r>
      <w:r>
        <w:t>ж</w:t>
      </w:r>
      <w:r>
        <w:t>ку СИ, студентов, обучающихся по специальности журнализм и средства ко</w:t>
      </w:r>
      <w:r>
        <w:t>м</w:t>
      </w:r>
      <w:r>
        <w:t>муникации, и исследовательских центров.</w:t>
      </w:r>
    </w:p>
    <w:p w:rsidR="00000000" w:rsidRDefault="00000000">
      <w:pPr>
        <w:pStyle w:val="SingleTxtGR"/>
      </w:pPr>
      <w:r>
        <w:t>76.</w:t>
      </w:r>
      <w:r>
        <w:tab/>
        <w:t>В Европейскую комиссию было представлено предложение об изыскании внебюджетных средств для финансирования последующих мер в Гане, Египте, Замбии, Камеруне, Кении, Намибии, Объединенной Республике Танзания, Сьерре-Леоне, Уганде и Южной Африке. Продолжительность проекта составит 30 месяцев. Сумма, запрашиваемая у Европейской комиссии, составляет 1 млн. млн. евро (90% от общей бюджетной сметы на проведение проекта, равня</w:t>
      </w:r>
      <w:r>
        <w:t>ю</w:t>
      </w:r>
      <w:r>
        <w:t>щейся 1,1 млн. евро). В предварительном порядке в рамках деятельности, охв</w:t>
      </w:r>
      <w:r>
        <w:t>а</w:t>
      </w:r>
      <w:r>
        <w:t>ченной в данном предложении, планируется: a) дальнейшее распространение информации о справочнике, в том числе печать новых экземпляров и его пер</w:t>
      </w:r>
      <w:r>
        <w:t>е</w:t>
      </w:r>
      <w:r>
        <w:t xml:space="preserve">вода на суахили; b) выпуск материалов по информации, образованию и консультациям (ИОК) для использования женскими организациями в своей пропагандисткой деятельности; </w:t>
      </w:r>
      <w:proofErr w:type="spellStart"/>
      <w:r>
        <w:t>c</w:t>
      </w:r>
      <w:proofErr w:type="spellEnd"/>
      <w:r>
        <w:t>) выпуск набора информационно-пропагандистских материалов для использования африканскими женскими о</w:t>
      </w:r>
      <w:r>
        <w:t>р</w:t>
      </w:r>
      <w:r>
        <w:t xml:space="preserve">ганизациями; </w:t>
      </w:r>
      <w:proofErr w:type="spellStart"/>
      <w:r>
        <w:t>d</w:t>
      </w:r>
      <w:proofErr w:type="spellEnd"/>
      <w:r>
        <w:t>) меры по привлечению средств массовой информации к камп</w:t>
      </w:r>
      <w:r>
        <w:t>а</w:t>
      </w:r>
      <w:r>
        <w:t>ниям по повышению осведомленности (для расширения участиях женских о</w:t>
      </w:r>
      <w:r>
        <w:t>р</w:t>
      </w:r>
      <w:r>
        <w:t>ганизаций в процессах, связа</w:t>
      </w:r>
      <w:r>
        <w:t>н</w:t>
      </w:r>
      <w:r>
        <w:t>ных с СИ, и распространения знаний о СИ среди женщин и девочек), а также меры по укреплению потенциала средств массовой информации для осв</w:t>
      </w:r>
      <w:r>
        <w:t>е</w:t>
      </w:r>
      <w:r>
        <w:t>щения проблематики СИ и прав женщин (один семинар-практикум для работников средств массовой информации на страну и, возмо</w:t>
      </w:r>
      <w:r>
        <w:t>ж</w:t>
      </w:r>
      <w:r>
        <w:t>но, предоставление средств одному отобранному журналисту в каждой стране для проведения проекта журналистского расследования, который поможет пр</w:t>
      </w:r>
      <w:r>
        <w:t>о</w:t>
      </w:r>
      <w:r>
        <w:t>движению прав женщин с помощью расширения доступа к информации); e) с</w:t>
      </w:r>
      <w:r>
        <w:t>о</w:t>
      </w:r>
      <w:r>
        <w:t>вещания для установления связей между организациями, занимающимися же</w:t>
      </w:r>
      <w:r>
        <w:t>н</w:t>
      </w:r>
      <w:r>
        <w:t>ской проблематикой, и представителями коалиций СИ в каждой стране, дол</w:t>
      </w:r>
      <w:r>
        <w:t>ж</w:t>
      </w:r>
      <w:r>
        <w:t xml:space="preserve">ностными лицами правительства, парламентариями и политиками; </w:t>
      </w:r>
      <w:proofErr w:type="spellStart"/>
      <w:r>
        <w:t>f</w:t>
      </w:r>
      <w:proofErr w:type="spellEnd"/>
      <w:r>
        <w:t>) провед</w:t>
      </w:r>
      <w:r>
        <w:t>е</w:t>
      </w:r>
      <w:r>
        <w:t>ние на страновом уровне семинаров с участием широкого круга заинтересова</w:t>
      </w:r>
      <w:r>
        <w:t>н</w:t>
      </w:r>
      <w:r>
        <w:t xml:space="preserve">ных сторон; </w:t>
      </w:r>
      <w:r>
        <w:rPr>
          <w:lang w:val="en-US"/>
        </w:rPr>
        <w:t>g</w:t>
      </w:r>
      <w:r>
        <w:t>) проведение на региональном уровне семинаров с участием ш</w:t>
      </w:r>
      <w:r>
        <w:t>и</w:t>
      </w:r>
      <w:r>
        <w:t xml:space="preserve">рокого круга заинтересованных сторон; и </w:t>
      </w:r>
      <w:proofErr w:type="spellStart"/>
      <w:r>
        <w:t>h</w:t>
      </w:r>
      <w:proofErr w:type="spellEnd"/>
      <w:r>
        <w:t>) подготовка исследований, справо</w:t>
      </w:r>
      <w:r>
        <w:t>ч</w:t>
      </w:r>
      <w:r>
        <w:t>ных материалов и виртуальной платформы для содействия обмену опытом и р</w:t>
      </w:r>
      <w:r>
        <w:t>е</w:t>
      </w:r>
      <w:r>
        <w:t>сурсами, новостями, существующими и типовыми законами, постановлениями и стратегиями в области СИ, а также для поощрения диалога и взаимодействия, посвященного СИ и правам же</w:t>
      </w:r>
      <w:r>
        <w:t>н</w:t>
      </w:r>
      <w:r>
        <w:t>щин.</w:t>
      </w:r>
    </w:p>
    <w:p w:rsidR="00000000" w:rsidRDefault="00000000">
      <w:pPr>
        <w:pStyle w:val="SingleTxtGR"/>
      </w:pPr>
      <w:r>
        <w:t>77.</w:t>
      </w:r>
      <w:r>
        <w:tab/>
        <w:t>С точки зрения коммуникации и информации некоторые аспекты, связа</w:t>
      </w:r>
      <w:r>
        <w:t>н</w:t>
      </w:r>
      <w:r>
        <w:t>ные с деятельностью средств массовой информации и информационным напо</w:t>
      </w:r>
      <w:r>
        <w:t>л</w:t>
      </w:r>
      <w:r>
        <w:t>нением, отражают прогресс и трудности, с которыми сталкивается Южная А</w:t>
      </w:r>
      <w:r>
        <w:t>ф</w:t>
      </w:r>
      <w:r>
        <w:t>рика в плане достижения целей Конвенции в области борьбы с дискримин</w:t>
      </w:r>
      <w:r>
        <w:t>а</w:t>
      </w:r>
      <w:r>
        <w:t>цией в отношении женщин. Источником приведенных ниже данных послужило И</w:t>
      </w:r>
      <w:r>
        <w:t>с</w:t>
      </w:r>
      <w:r>
        <w:t>следование по вопросу эволюции гендерной проблематики и средств масс</w:t>
      </w:r>
      <w:r>
        <w:t>о</w:t>
      </w:r>
      <w:r>
        <w:t>вой информации в Южной Африке в 2010 году, проведенное НПО "</w:t>
      </w:r>
      <w:proofErr w:type="spellStart"/>
      <w:r>
        <w:t>Гендер-линкс</w:t>
      </w:r>
      <w:proofErr w:type="spellEnd"/>
      <w:r>
        <w:t xml:space="preserve">": </w:t>
      </w:r>
    </w:p>
    <w:p w:rsidR="00000000" w:rsidRDefault="00000000">
      <w:pPr>
        <w:pStyle w:val="Bullet1GR"/>
        <w:numPr>
          <w:ilvl w:val="0"/>
          <w:numId w:val="1"/>
        </w:numPr>
      </w:pPr>
      <w:r>
        <w:t>Статья 4. Ускорение достижения равенства между мужчинами и женщ</w:t>
      </w:r>
      <w:r>
        <w:t>и</w:t>
      </w:r>
      <w:r>
        <w:t>нами. Вопрос гендерного равенства не освещается в качестве приорите</w:t>
      </w:r>
      <w:r>
        <w:t>т</w:t>
      </w:r>
      <w:r>
        <w:t>ного сюжета в южноафриканских средствах массовой информации, он составляет всего 0,3% освещаемых тем (по сравнению со спортом, кот</w:t>
      </w:r>
      <w:r>
        <w:t>о</w:t>
      </w:r>
      <w:r>
        <w:t>рому посвящается 29% эфи</w:t>
      </w:r>
      <w:r>
        <w:t>р</w:t>
      </w:r>
      <w:r>
        <w:t>ного времени);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Статья 5. </w:t>
      </w:r>
      <w:r>
        <w:rPr>
          <w:bCs/>
        </w:rPr>
        <w:t>Стереотипные представления</w:t>
      </w:r>
      <w:r>
        <w:t xml:space="preserve"> и г</w:t>
      </w:r>
      <w:r>
        <w:rPr>
          <w:bCs/>
        </w:rPr>
        <w:t>ендерные роли</w:t>
      </w:r>
      <w:r>
        <w:t>. Женщины ф</w:t>
      </w:r>
      <w:r>
        <w:t>и</w:t>
      </w:r>
      <w:r>
        <w:t>гурируют всего в 20% новостей, что не позволяет им быть услышанными и порождает предрассудки, предубеждения и стереотипы. Мнения же</w:t>
      </w:r>
      <w:r>
        <w:t>н</w:t>
      </w:r>
      <w:r>
        <w:t xml:space="preserve">щин чаще всего звучат в связи с темами, которые можно считать </w:t>
      </w:r>
      <w:proofErr w:type="spellStart"/>
      <w:r>
        <w:t>малоа</w:t>
      </w:r>
      <w:r>
        <w:t>к</w:t>
      </w:r>
      <w:r>
        <w:t>туальными</w:t>
      </w:r>
      <w:proofErr w:type="spellEnd"/>
      <w:r>
        <w:t>, и поэтому им трудно опровергнуть существующие стереот</w:t>
      </w:r>
      <w:r>
        <w:t>и</w:t>
      </w:r>
      <w:r>
        <w:t>пы;</w:t>
      </w:r>
    </w:p>
    <w:p w:rsidR="00000000" w:rsidRDefault="00000000">
      <w:pPr>
        <w:pStyle w:val="Bullet1GR"/>
        <w:numPr>
          <w:ilvl w:val="0"/>
          <w:numId w:val="1"/>
        </w:numPr>
      </w:pPr>
      <w:r>
        <w:t>Статья 11. Дискриминация в сфере занятости. Доля женщин среди тел</w:t>
      </w:r>
      <w:r>
        <w:t>е</w:t>
      </w:r>
      <w:r>
        <w:t xml:space="preserve">ведущих составляет 54%, а среди корреспондентов – 49%. Женщины в особенности </w:t>
      </w:r>
      <w:proofErr w:type="spellStart"/>
      <w:r>
        <w:t>недопредставлены</w:t>
      </w:r>
      <w:proofErr w:type="spellEnd"/>
      <w:r>
        <w:t xml:space="preserve"> среди радиокорреспондентов. Это идет вразрез с Протоколом Сообщества по вопросам развития стран юга А</w:t>
      </w:r>
      <w:r>
        <w:t>ф</w:t>
      </w:r>
      <w:r>
        <w:t>рики по гендерной проблематике и развитию, в котором содержится пр</w:t>
      </w:r>
      <w:r>
        <w:t>и</w:t>
      </w:r>
      <w:r>
        <w:t>зыв предоставлять женщинам 50% мест на всех уровнях принятия реш</w:t>
      </w:r>
      <w:r>
        <w:t>е</w:t>
      </w:r>
      <w:r>
        <w:t>ний;</w:t>
      </w:r>
    </w:p>
    <w:p w:rsidR="00000000" w:rsidRDefault="00000000">
      <w:pPr>
        <w:pStyle w:val="Bullet1GR"/>
        <w:numPr>
          <w:ilvl w:val="0"/>
          <w:numId w:val="1"/>
        </w:numPr>
      </w:pPr>
      <w:r>
        <w:t>Насилие по признаку пола: репортажи о насилии по признаку пола с</w:t>
      </w:r>
      <w:r>
        <w:t>о</w:t>
      </w:r>
      <w:r>
        <w:t>ставляют 3% сюжетов, транслируемых в южноафриканских средствах массовой инфо</w:t>
      </w:r>
      <w:r>
        <w:t>р</w:t>
      </w:r>
      <w:r>
        <w:t>мации. Эту проблему освещают в основном мужчины при том, что стр</w:t>
      </w:r>
      <w:r>
        <w:t>а</w:t>
      </w:r>
      <w:r>
        <w:t xml:space="preserve">дают от такого насилия в первую очередь женщины. </w:t>
      </w:r>
    </w:p>
    <w:p w:rsidR="00000000" w:rsidRDefault="00000000">
      <w:pPr>
        <w:pStyle w:val="H23GR"/>
      </w:pPr>
      <w:r>
        <w:tab/>
      </w:r>
      <w:r>
        <w:tab/>
        <w:t>Стипендии</w:t>
      </w:r>
    </w:p>
    <w:p w:rsidR="00000000" w:rsidRDefault="00000000">
      <w:pPr>
        <w:pStyle w:val="SingleTxtGR"/>
      </w:pPr>
      <w:r>
        <w:t>78.</w:t>
      </w:r>
      <w:r>
        <w:tab/>
        <w:t>С 2007 по 2010 год ЮНЕСКО предоставила женщинам в Южной Африке следующие стипендии:</w:t>
      </w:r>
    </w:p>
    <w:p w:rsidR="00000000" w:rsidRDefault="00000000">
      <w:pPr>
        <w:pStyle w:val="Bullet1GR"/>
        <w:numPr>
          <w:ilvl w:val="0"/>
          <w:numId w:val="1"/>
        </w:numPr>
      </w:pPr>
      <w:r>
        <w:t>05/03/2008: совместные стипендии (ЮНЕСКО/"</w:t>
      </w:r>
      <w:proofErr w:type="spellStart"/>
      <w:r>
        <w:t>Л'Ореаль</w:t>
      </w:r>
      <w:proofErr w:type="spellEnd"/>
      <w:r>
        <w:t>") первой ступ</w:t>
      </w:r>
      <w:r>
        <w:t>е</w:t>
      </w:r>
      <w:r>
        <w:t xml:space="preserve">ни в области сравнительной </w:t>
      </w:r>
      <w:proofErr w:type="spellStart"/>
      <w:r>
        <w:t>филогеографии</w:t>
      </w:r>
      <w:proofErr w:type="spellEnd"/>
      <w:r>
        <w:t>;</w:t>
      </w:r>
    </w:p>
    <w:p w:rsidR="00000000" w:rsidRDefault="00000000">
      <w:pPr>
        <w:pStyle w:val="Bullet1GR"/>
        <w:numPr>
          <w:ilvl w:val="0"/>
          <w:numId w:val="1"/>
        </w:numPr>
      </w:pPr>
      <w:r>
        <w:t>22/09/2008: совместные стипендии (ЮНЕСКО/"</w:t>
      </w:r>
      <w:proofErr w:type="spellStart"/>
      <w:r>
        <w:t>Л'Ореаль</w:t>
      </w:r>
      <w:proofErr w:type="spellEnd"/>
      <w:r>
        <w:t>") для участия в церемонии вручения пр</w:t>
      </w:r>
      <w:r>
        <w:t>е</w:t>
      </w:r>
      <w:r>
        <w:t>мий;</w:t>
      </w:r>
    </w:p>
    <w:p w:rsidR="00000000" w:rsidRDefault="00000000">
      <w:pPr>
        <w:pStyle w:val="Bullet1GR"/>
        <w:numPr>
          <w:ilvl w:val="0"/>
          <w:numId w:val="1"/>
        </w:numPr>
      </w:pPr>
      <w:r>
        <w:t>04/03/2009: совместные стипендии (ЮНЕСКО/"</w:t>
      </w:r>
      <w:proofErr w:type="spellStart"/>
      <w:r>
        <w:t>Л'Ореаль</w:t>
      </w:r>
      <w:proofErr w:type="spellEnd"/>
      <w:r>
        <w:t>") первой ступ</w:t>
      </w:r>
      <w:r>
        <w:t>е</w:t>
      </w:r>
      <w:r>
        <w:t>ни в области медицины (традиционная африканская медицина);</w:t>
      </w:r>
    </w:p>
    <w:p w:rsidR="00000000" w:rsidRDefault="00000000">
      <w:pPr>
        <w:pStyle w:val="Bullet1GR"/>
        <w:numPr>
          <w:ilvl w:val="0"/>
          <w:numId w:val="1"/>
        </w:numPr>
      </w:pPr>
      <w:r>
        <w:t>23/03/2009: совместные стипендии (ЮНЕСКО/"</w:t>
      </w:r>
      <w:proofErr w:type="spellStart"/>
      <w:r>
        <w:t>Л'Ореаль</w:t>
      </w:r>
      <w:proofErr w:type="spellEnd"/>
      <w:r>
        <w:t>") второй ступ</w:t>
      </w:r>
      <w:r>
        <w:t>е</w:t>
      </w:r>
      <w:r>
        <w:t>ни в области сравн</w:t>
      </w:r>
      <w:r>
        <w:t>и</w:t>
      </w:r>
      <w:r>
        <w:t xml:space="preserve">тельной </w:t>
      </w:r>
      <w:proofErr w:type="spellStart"/>
      <w:r>
        <w:t>филогеографии</w:t>
      </w:r>
      <w:proofErr w:type="spellEnd"/>
      <w:r>
        <w:t>;</w:t>
      </w:r>
    </w:p>
    <w:p w:rsidR="00000000" w:rsidRDefault="00000000">
      <w:pPr>
        <w:pStyle w:val="Bullet1GR"/>
        <w:numPr>
          <w:ilvl w:val="0"/>
          <w:numId w:val="1"/>
        </w:numPr>
      </w:pPr>
      <w:r>
        <w:t>04/03/2010: совместные стипендии (ЮНЕСКО/"</w:t>
      </w:r>
      <w:proofErr w:type="spellStart"/>
      <w:r>
        <w:t>Л'Ореаль</w:t>
      </w:r>
      <w:proofErr w:type="spellEnd"/>
      <w:r>
        <w:t>") первой ступ</w:t>
      </w:r>
      <w:r>
        <w:t>е</w:t>
      </w:r>
      <w:r>
        <w:t>ни в области медицины (традиционная африканская медицина).</w:t>
      </w:r>
    </w:p>
    <w:p w:rsidR="00000000" w:rsidRDefault="00000000">
      <w:pPr>
        <w:pStyle w:val="H23GR"/>
      </w:pPr>
      <w:r>
        <w:tab/>
      </w:r>
      <w:r>
        <w:tab/>
        <w:t>Шри-Ланка</w:t>
      </w:r>
    </w:p>
    <w:p w:rsidR="00000000" w:rsidRDefault="00000000">
      <w:pPr>
        <w:pStyle w:val="SingleTxtGR"/>
      </w:pPr>
      <w:r>
        <w:t>79.</w:t>
      </w:r>
      <w:r>
        <w:tab/>
        <w:t>Шри-Ланка является участником Конвенции ЮНЕСКО о борьбе с ди</w:t>
      </w:r>
      <w:r>
        <w:t>с</w:t>
      </w:r>
      <w:r>
        <w:t>криминацией в области о</w:t>
      </w:r>
      <w:r>
        <w:t>б</w:t>
      </w:r>
      <w:r>
        <w:t>разования с августа 1983 года.</w:t>
      </w:r>
    </w:p>
    <w:p w:rsidR="00000000" w:rsidRDefault="00000000">
      <w:pPr>
        <w:pStyle w:val="H23GR"/>
      </w:pPr>
      <w:r>
        <w:tab/>
      </w:r>
      <w:r>
        <w:tab/>
        <w:t>Средства информации и коммуникации</w:t>
      </w:r>
    </w:p>
    <w:p w:rsidR="00000000" w:rsidRDefault="00000000">
      <w:pPr>
        <w:pStyle w:val="SingleTxtGR"/>
      </w:pPr>
      <w:r>
        <w:t>80.</w:t>
      </w:r>
      <w:r>
        <w:tab/>
        <w:t>Финансируемые ЮНЕСКО общинные радиостанции доказали свою ва</w:t>
      </w:r>
      <w:r>
        <w:t>ж</w:t>
      </w:r>
      <w:r>
        <w:t>ную роль для женщин из сельских районов в плане расширения их участия и обмена мнениями, повышения и расширения спектра знаний и навыков и удовлетворения медицинских и культурных потребностей. Местным общинам предоставляется бесплатный доступ к Интернету. Помимо собственного инте</w:t>
      </w:r>
      <w:r>
        <w:t>р</w:t>
      </w:r>
      <w:r>
        <w:t xml:space="preserve">нет-кафе, общинное радио открыло две бесплатные точки выхода в Интернет в публичных библиотеках </w:t>
      </w:r>
      <w:proofErr w:type="spellStart"/>
      <w:r>
        <w:t>Гамполы</w:t>
      </w:r>
      <w:proofErr w:type="spellEnd"/>
      <w:r>
        <w:t xml:space="preserve"> и </w:t>
      </w:r>
      <w:proofErr w:type="spellStart"/>
      <w:r>
        <w:t>Навалапитии</w:t>
      </w:r>
      <w:proofErr w:type="spellEnd"/>
      <w:r>
        <w:t>. Такая система имеет бол</w:t>
      </w:r>
      <w:r>
        <w:t>ь</w:t>
      </w:r>
      <w:r>
        <w:t>шие преимущества для женщин из сельских районов, поскольку даже тем из них, кто имеет доступ к Интернету, приходится платить за международный зв</w:t>
      </w:r>
      <w:r>
        <w:t>о</w:t>
      </w:r>
      <w:r>
        <w:t>нок при каждом подсоединении, и такую роскошь могут позволить себе далеко не все. Точки выхода в Интернет также используются в качестве прямых кан</w:t>
      </w:r>
      <w:r>
        <w:t>а</w:t>
      </w:r>
      <w:r>
        <w:t>лов связи с радиостанцией для производства и транслирования программ в пр</w:t>
      </w:r>
      <w:r>
        <w:t>я</w:t>
      </w:r>
      <w:r>
        <w:t>мом эфире.</w:t>
      </w:r>
    </w:p>
    <w:p w:rsidR="00000000" w:rsidRDefault="00000000">
      <w:pPr>
        <w:pStyle w:val="SingleTxtGR"/>
      </w:pPr>
      <w:r>
        <w:t>81.</w:t>
      </w:r>
      <w:r>
        <w:tab/>
        <w:t>Сотрудники общинной радиостанции также составляют собственную компьютерную базу данных с информацией из Интернета, которую часто з</w:t>
      </w:r>
      <w:r>
        <w:t>а</w:t>
      </w:r>
      <w:r>
        <w:t>прашивают члены общины. Большая часть информации на их вебсайте пре</w:t>
      </w:r>
      <w:r>
        <w:t>д</w:t>
      </w:r>
      <w:r>
        <w:t>ставлена на местных языках. Эта база данных призвана решить проблему н</w:t>
      </w:r>
      <w:r>
        <w:t>е</w:t>
      </w:r>
      <w:r>
        <w:t>доступности в интернете компактной информации, приспособленной к потре</w:t>
      </w:r>
      <w:r>
        <w:t>б</w:t>
      </w:r>
      <w:r>
        <w:t xml:space="preserve">ностям сельских жителей. Кроме того, общинная радиостанция предоставит в открытый доступ комплект компакт-дисков с базой данных. </w:t>
      </w:r>
    </w:p>
    <w:p w:rsidR="00000000" w:rsidRDefault="00000000">
      <w:pPr>
        <w:pStyle w:val="H23GR"/>
      </w:pPr>
      <w:r>
        <w:tab/>
      </w:r>
      <w:r>
        <w:tab/>
        <w:t>Стипендии</w:t>
      </w:r>
    </w:p>
    <w:p w:rsidR="00000000" w:rsidRDefault="00000000">
      <w:pPr>
        <w:pStyle w:val="SingleTxtGR"/>
      </w:pPr>
      <w:r>
        <w:t>82.</w:t>
      </w:r>
      <w:r>
        <w:tab/>
        <w:t>С 2007 по 2010 год ЮНЕСКО предоставила женщинам в Шри-Ланке сл</w:t>
      </w:r>
      <w:r>
        <w:t>е</w:t>
      </w:r>
      <w:r>
        <w:t>дующие стипендии:</w:t>
      </w:r>
    </w:p>
    <w:p w:rsidR="00000000" w:rsidRDefault="00000000">
      <w:pPr>
        <w:pStyle w:val="Bullet1GR"/>
        <w:numPr>
          <w:ilvl w:val="0"/>
          <w:numId w:val="1"/>
        </w:numPr>
      </w:pPr>
      <w:r>
        <w:t xml:space="preserve">28/07/2008: исследовательские стипендии (ЮНЕСКО/Япония: стипендия им. Обучи) для "Сравнительного </w:t>
      </w:r>
      <w:proofErr w:type="spellStart"/>
      <w:r>
        <w:t>филогенического</w:t>
      </w:r>
      <w:proofErr w:type="spellEnd"/>
      <w:r>
        <w:t xml:space="preserve"> исследования рода </w:t>
      </w:r>
      <w:proofErr w:type="spellStart"/>
      <w:r>
        <w:t>макробрахиум</w:t>
      </w:r>
      <w:proofErr w:type="spellEnd"/>
      <w:r>
        <w:t>: Перспективы сохранения биоразнообразия";</w:t>
      </w:r>
    </w:p>
    <w:p w:rsidR="00000000" w:rsidRDefault="00000000">
      <w:pPr>
        <w:pStyle w:val="Bullet1GR"/>
        <w:numPr>
          <w:ilvl w:val="0"/>
          <w:numId w:val="1"/>
        </w:numPr>
      </w:pPr>
      <w:r>
        <w:t>04/08/2009: совместные стипендии (ЮНЕСКО/Китай – Великая стена) в области строительных технологий;</w:t>
      </w:r>
    </w:p>
    <w:p w:rsidR="00000000" w:rsidRDefault="00000000">
      <w:pPr>
        <w:pStyle w:val="Bullet1GR"/>
        <w:numPr>
          <w:ilvl w:val="0"/>
          <w:numId w:val="1"/>
        </w:numPr>
      </w:pPr>
      <w:r>
        <w:t>23/03/2009: совместные стипендии (ЮНЕСКО/Китай – Великая стена) в области высшего образования.</w:t>
      </w:r>
    </w:p>
    <w:p w:rsidR="00000000" w:rsidRDefault="00000000">
      <w:pPr>
        <w:pStyle w:val="H23GR"/>
      </w:pPr>
      <w:r>
        <w:tab/>
      </w:r>
      <w:r>
        <w:tab/>
        <w:t>Конституционные рамки</w:t>
      </w:r>
    </w:p>
    <w:p w:rsidR="00000000" w:rsidRDefault="00000000">
      <w:pPr>
        <w:pStyle w:val="SingleTxtGR"/>
      </w:pPr>
      <w:r>
        <w:t>83.</w:t>
      </w:r>
      <w:r>
        <w:tab/>
        <w:t>В статье 27 принятой в 1978 году Конституции Шри-Ланки содержатся директивные принципы государственной политики и основные обязательства государства, в соответствии с которыми "государство обязуется учредить в Шри-Ланке демократическое социалистическое общество, цели которого вкл</w:t>
      </w:r>
      <w:r>
        <w:t>ю</w:t>
      </w:r>
      <w:r>
        <w:t>чают: (...) полную ликвидацию неграмотности и всеобщий и равный доступ к образованию на всех уровнях" (статья 27 2) h)).</w:t>
      </w:r>
    </w:p>
    <w:p w:rsidR="00000000" w:rsidRDefault="00000000">
      <w:pPr>
        <w:pStyle w:val="H23GR"/>
      </w:pPr>
      <w:r>
        <w:tab/>
      </w:r>
      <w:r>
        <w:tab/>
        <w:t>Законодательные и административные рамки</w:t>
      </w:r>
      <w:r>
        <w:rPr>
          <w:rStyle w:val="FootnoteReference"/>
          <w:b w:val="0"/>
        </w:rPr>
        <w:footnoteReference w:id="31"/>
      </w:r>
      <w:r>
        <w:rPr>
          <w:b w:val="0"/>
        </w:rPr>
        <w:t xml:space="preserve"> </w:t>
      </w:r>
    </w:p>
    <w:p w:rsidR="00000000" w:rsidRDefault="00000000">
      <w:pPr>
        <w:pStyle w:val="SingleTxtGR"/>
      </w:pPr>
      <w:r>
        <w:t>84.</w:t>
      </w:r>
      <w:r>
        <w:tab/>
        <w:t>В существующие законодательные рамки входит Указ об образовании 1939 года, внесенные в него впоследствии поправки и ряд законов об учрежд</w:t>
      </w:r>
      <w:r>
        <w:t>е</w:t>
      </w:r>
      <w:r>
        <w:t>нии различных вспомогательных органов. Специальный закон № 8 1960 года предусматривает, что правительство является единственным поставщиком у</w:t>
      </w:r>
      <w:r>
        <w:t>с</w:t>
      </w:r>
      <w:r>
        <w:t>луг в сфере образования для девочек и мальчиков в возрасте от 5 до 14 лет. Б</w:t>
      </w:r>
      <w:r>
        <w:t>ы</w:t>
      </w:r>
      <w:r>
        <w:t>ли созданы специальные комитеты, агитирующие родителей отправлять дев</w:t>
      </w:r>
      <w:r>
        <w:t>о</w:t>
      </w:r>
      <w:r>
        <w:t>чек в школу.</w:t>
      </w:r>
    </w:p>
    <w:p w:rsidR="00000000" w:rsidRDefault="00000000">
      <w:pPr>
        <w:pStyle w:val="H23GR"/>
      </w:pPr>
      <w:r>
        <w:tab/>
      </w:r>
      <w:r>
        <w:tab/>
        <w:t>Политика</w:t>
      </w:r>
    </w:p>
    <w:p w:rsidR="00000000" w:rsidRDefault="00000000">
      <w:pPr>
        <w:pStyle w:val="SingleTxtGR"/>
      </w:pPr>
      <w:r>
        <w:t>85.</w:t>
      </w:r>
      <w:r>
        <w:tab/>
        <w:t xml:space="preserve">Система образования в Шри-Ланке берет отсчет от введения буддизма в </w:t>
      </w:r>
      <w:r>
        <w:rPr>
          <w:lang w:val="en-US"/>
        </w:rPr>
        <w:t>III</w:t>
      </w:r>
      <w:r>
        <w:t xml:space="preserve"> веке до н.э. Первые школы находились на территории буддистских храмов. Веками идея равенства в сфере образования укоренялась в системе ценностей страны и подпитывалась религией большинства населения. Настоящая си</w:t>
      </w:r>
      <w:r>
        <w:t>с</w:t>
      </w:r>
      <w:r>
        <w:t>тема стала результатом процесса эволюции, формировавшегося под влиянием соц</w:t>
      </w:r>
      <w:r>
        <w:t>и</w:t>
      </w:r>
      <w:r>
        <w:t>ально-экономических и п</w:t>
      </w:r>
      <w:r>
        <w:t>о</w:t>
      </w:r>
      <w:r>
        <w:t>литическим факторов и народных чаяний</w:t>
      </w:r>
      <w:r>
        <w:rPr>
          <w:rStyle w:val="FootnoteReference"/>
        </w:rPr>
        <w:footnoteReference w:id="32"/>
      </w:r>
      <w:r>
        <w:t>.</w:t>
      </w:r>
    </w:p>
    <w:p w:rsidR="00000000" w:rsidRDefault="00000000">
      <w:pPr>
        <w:pStyle w:val="SingleTxtGR"/>
      </w:pPr>
      <w:r>
        <w:t>86.</w:t>
      </w:r>
      <w:r>
        <w:tab/>
        <w:t>Школы традиционно играют активную роль в поощрении моральных, этических и духовных це</w:t>
      </w:r>
      <w:r>
        <w:t>н</w:t>
      </w:r>
      <w:r>
        <w:t>ностей. Школам задается общее направление в плане осуществления программ, направленных на культурное и моральное развитие школьников, а в учебной программе надлежащим образом охвачены понятия, связанные с воспитанием в духе мира, национальным согласием, демократич</w:t>
      </w:r>
      <w:r>
        <w:t>е</w:t>
      </w:r>
      <w:r>
        <w:t>скими принципами, правами человека, гендерным равенством и охраной окр</w:t>
      </w:r>
      <w:r>
        <w:t>у</w:t>
      </w:r>
      <w:r>
        <w:t>жающей среды. В школах были введены программы образования в вопросах урегулирования конфликтов и особые мероприятия, связанные с восп</w:t>
      </w:r>
      <w:r>
        <w:t>и</w:t>
      </w:r>
      <w:r>
        <w:t>танием в духе мира</w:t>
      </w:r>
      <w:r>
        <w:rPr>
          <w:rStyle w:val="FootnoteReference"/>
        </w:rPr>
        <w:footnoteReference w:id="33"/>
      </w:r>
      <w:r>
        <w:t xml:space="preserve">. </w:t>
      </w:r>
    </w:p>
    <w:p w:rsidR="00000000" w:rsidRDefault="00000000">
      <w:pPr>
        <w:pStyle w:val="SingleTxtGR"/>
      </w:pPr>
      <w:r>
        <w:t>87.</w:t>
      </w:r>
      <w:r>
        <w:tab/>
        <w:t>В системе образования в Шри-Ланке учитываются цели в области разв</w:t>
      </w:r>
      <w:r>
        <w:t>и</w:t>
      </w:r>
      <w:r>
        <w:t>тия, сформулированные в Декларации тысячелетия, в связи с ликвидацией ге</w:t>
      </w:r>
      <w:r>
        <w:t>н</w:t>
      </w:r>
      <w:r>
        <w:t>дерного неравенства в образовании. В рамках сознательных усилий, направле</w:t>
      </w:r>
      <w:r>
        <w:t>н</w:t>
      </w:r>
      <w:r>
        <w:t>ных на поощрение гендерного равенства в образовании, Министерство образ</w:t>
      </w:r>
      <w:r>
        <w:t>о</w:t>
      </w:r>
      <w:r>
        <w:t>вания провело среди специалистов, занимающихся планированием образов</w:t>
      </w:r>
      <w:r>
        <w:t>а</w:t>
      </w:r>
      <w:r>
        <w:t xml:space="preserve">ния, на национальном и субнациональном уровнях подготовку по вопросам развития образования, учитывающего гендерные аспекты, на всех уровнях. С учетом </w:t>
      </w:r>
      <w:proofErr w:type="spellStart"/>
      <w:r>
        <w:t>гендерных</w:t>
      </w:r>
      <w:proofErr w:type="spellEnd"/>
      <w:r>
        <w:t xml:space="preserve"> аспектов были выработаны пятилетний план в области н</w:t>
      </w:r>
      <w:r>
        <w:t>а</w:t>
      </w:r>
      <w:r>
        <w:t>чального образования (на 2000−2004 годы) и среднесрочный план в области сре</w:t>
      </w:r>
      <w:r>
        <w:t>д</w:t>
      </w:r>
      <w:r>
        <w:t>него образования (на 2004−2008 годы).</w:t>
      </w:r>
    </w:p>
    <w:p w:rsidR="00000000" w:rsidRDefault="00000000">
      <w:pPr>
        <w:pStyle w:val="SingleTxtGR"/>
      </w:pPr>
      <w:r>
        <w:t>88.</w:t>
      </w:r>
      <w:r>
        <w:tab/>
        <w:t>Управлению неформального образования, входящему в составе Мин</w:t>
      </w:r>
      <w:r>
        <w:t>и</w:t>
      </w:r>
      <w:r>
        <w:t>стерства образования, поручено выявлять не охваченных школьным образов</w:t>
      </w:r>
      <w:r>
        <w:t>а</w:t>
      </w:r>
      <w:r>
        <w:t>нием детей, в особенности девочек, и предоставлять им альтернативные во</w:t>
      </w:r>
      <w:r>
        <w:t>з</w:t>
      </w:r>
      <w:r>
        <w:t>можности получения образования. В интересах детей, не зачисленных в школы или бросивших школы, были учреждены центры обучения грамоте. Каждый год значительное число учащихся таких центров переводится в школы сектора формального образования.</w:t>
      </w:r>
    </w:p>
    <w:p w:rsidR="00000000" w:rsidRDefault="00000000">
      <w:pPr>
        <w:pStyle w:val="SingleTxtGR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000000" w:rsidRDefault="00000000">
      <w:pPr>
        <w:pStyle w:val="HChGR"/>
      </w:pPr>
      <w:r>
        <w:t>Приложение</w:t>
      </w:r>
    </w:p>
    <w:p w:rsidR="00000000" w:rsidRDefault="00000000">
      <w:pPr>
        <w:pStyle w:val="HChGR"/>
      </w:pPr>
      <w:r>
        <w:tab/>
      </w:r>
      <w:r>
        <w:tab/>
        <w:t>Продольные и компаративные статистические данные о соотношении лиц мужского и женского пола в сфере образования по всем странам, представившим доклады для сорок вос</w:t>
      </w:r>
      <w:r>
        <w:t>ь</w:t>
      </w:r>
      <w:r>
        <w:t>мой сессии</w:t>
      </w:r>
    </w:p>
    <w:p w:rsidR="00000000" w:rsidRDefault="00000000">
      <w:pPr>
        <w:pStyle w:val="SingleTxtGR"/>
        <w:jc w:val="left"/>
        <w:rPr>
          <w:b/>
        </w:rPr>
      </w:pPr>
      <w:r>
        <w:t>Таблица 1</w:t>
      </w:r>
      <w:r>
        <w:br/>
      </w:r>
      <w:r>
        <w:rPr>
          <w:b/>
        </w:rPr>
        <w:t>Начальное образование</w:t>
      </w:r>
    </w:p>
    <w:tbl>
      <w:tblPr>
        <w:tblW w:w="12359" w:type="dxa"/>
        <w:jc w:val="center"/>
        <w:tblCellSpacing w:w="0" w:type="dxa"/>
        <w:tblInd w:w="-518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482"/>
        <w:gridCol w:w="482"/>
        <w:gridCol w:w="593"/>
        <w:gridCol w:w="593"/>
        <w:gridCol w:w="593"/>
        <w:gridCol w:w="482"/>
        <w:gridCol w:w="482"/>
        <w:gridCol w:w="593"/>
        <w:gridCol w:w="593"/>
        <w:gridCol w:w="593"/>
        <w:gridCol w:w="482"/>
        <w:gridCol w:w="482"/>
        <w:gridCol w:w="593"/>
        <w:gridCol w:w="593"/>
        <w:gridCol w:w="593"/>
        <w:gridCol w:w="482"/>
        <w:gridCol w:w="482"/>
        <w:gridCol w:w="638"/>
        <w:gridCol w:w="638"/>
        <w:gridCol w:w="643"/>
      </w:tblGrid>
      <w:tr w:rsidR="00000000">
        <w:trPr>
          <w:trHeight w:val="240"/>
          <w:tblHeader/>
          <w:tblCellSpacing w:w="0" w:type="dxa"/>
          <w:jc w:val="center"/>
        </w:trPr>
        <w:tc>
          <w:tcPr>
            <w:tcW w:w="5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Да</w:t>
            </w:r>
            <w:r>
              <w:rPr>
                <w:bCs/>
                <w:i/>
                <w:sz w:val="16"/>
                <w:szCs w:val="16"/>
              </w:rPr>
              <w:t>н</w:t>
            </w:r>
            <w:r>
              <w:rPr>
                <w:bCs/>
                <w:i/>
                <w:sz w:val="16"/>
                <w:szCs w:val="16"/>
              </w:rPr>
              <w:t>ные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Валовая доля учащихся</w:t>
            </w:r>
            <w:r>
              <w:rPr>
                <w:i/>
                <w:sz w:val="16"/>
                <w:szCs w:val="16"/>
              </w:rPr>
              <w:br/>
              <w:t>в начальных учебных заведениях,</w:t>
            </w:r>
            <w:r>
              <w:rPr>
                <w:i/>
                <w:sz w:val="16"/>
                <w:szCs w:val="16"/>
              </w:rPr>
              <w:br/>
              <w:t xml:space="preserve"> лица же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i/>
                <w:sz w:val="16"/>
                <w:szCs w:val="16"/>
              </w:rPr>
              <w:t>ского пола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Валовая доля учащихся</w:t>
            </w:r>
            <w:r>
              <w:rPr>
                <w:i/>
                <w:sz w:val="16"/>
                <w:szCs w:val="16"/>
              </w:rPr>
              <w:br/>
              <w:t xml:space="preserve">в начальных учебных заведениях, </w:t>
            </w:r>
            <w:r>
              <w:rPr>
                <w:i/>
                <w:sz w:val="16"/>
                <w:szCs w:val="16"/>
              </w:rPr>
              <w:br/>
              <w:t>лица му</w:t>
            </w:r>
            <w:r>
              <w:rPr>
                <w:i/>
                <w:sz w:val="16"/>
                <w:szCs w:val="16"/>
              </w:rPr>
              <w:t>ж</w:t>
            </w:r>
            <w:r>
              <w:rPr>
                <w:i/>
                <w:sz w:val="16"/>
                <w:szCs w:val="16"/>
              </w:rPr>
              <w:t>ского пола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Валовая доля учащихся</w:t>
            </w:r>
            <w:r>
              <w:rPr>
                <w:i/>
                <w:sz w:val="16"/>
                <w:szCs w:val="16"/>
              </w:rPr>
              <w:br/>
              <w:t xml:space="preserve"> в начальных учебных</w:t>
            </w:r>
            <w:r>
              <w:rPr>
                <w:i/>
                <w:sz w:val="16"/>
                <w:szCs w:val="16"/>
              </w:rPr>
              <w:br/>
              <w:t xml:space="preserve"> заведениях, всего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Индекс </w:t>
            </w:r>
            <w:proofErr w:type="spellStart"/>
            <w:r>
              <w:rPr>
                <w:i/>
                <w:sz w:val="16"/>
                <w:szCs w:val="16"/>
              </w:rPr>
              <w:t>гендерного</w:t>
            </w:r>
            <w:proofErr w:type="spellEnd"/>
            <w:r>
              <w:rPr>
                <w:i/>
                <w:sz w:val="16"/>
                <w:szCs w:val="16"/>
              </w:rPr>
              <w:t xml:space="preserve"> равенства</w:t>
            </w:r>
            <w:r>
              <w:rPr>
                <w:i/>
                <w:sz w:val="16"/>
                <w:szCs w:val="16"/>
              </w:rPr>
              <w:br/>
              <w:t>с учетом валовой доли учащихся,</w:t>
            </w:r>
            <w:r>
              <w:rPr>
                <w:i/>
                <w:sz w:val="16"/>
                <w:szCs w:val="16"/>
              </w:rPr>
              <w:br/>
              <w:t>начальные учебные завед</w:t>
            </w:r>
            <w:r>
              <w:rPr>
                <w:i/>
                <w:sz w:val="16"/>
                <w:szCs w:val="16"/>
              </w:rPr>
              <w:t>е</w:t>
            </w:r>
            <w:r>
              <w:rPr>
                <w:i/>
                <w:sz w:val="16"/>
                <w:szCs w:val="16"/>
              </w:rPr>
              <w:t>ния</w:t>
            </w:r>
          </w:p>
        </w:tc>
      </w:tr>
      <w:tr w:rsidR="00000000">
        <w:trPr>
          <w:trHeight w:val="240"/>
          <w:tblHeader/>
          <w:tblCellSpacing w:w="0" w:type="dxa"/>
          <w:jc w:val="center"/>
        </w:trPr>
        <w:tc>
          <w:tcPr>
            <w:tcW w:w="504" w:type="pct"/>
            <w:shd w:val="clear" w:color="auto" w:fill="auto"/>
          </w:tcPr>
          <w:p w:rsidR="00000000" w:rsidRDefault="00000000">
            <w:pPr>
              <w:spacing w:before="40" w:after="40" w:line="22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000000">
        <w:trPr>
          <w:trHeight w:val="240"/>
          <w:tblHeader/>
          <w:tblCellSpacing w:w="0" w:type="dxa"/>
          <w:jc w:val="center"/>
        </w:trPr>
        <w:tc>
          <w:tcPr>
            <w:tcW w:w="504" w:type="pct"/>
            <w:shd w:val="clear" w:color="auto" w:fill="auto"/>
          </w:tcPr>
          <w:p w:rsidR="00000000" w:rsidRDefault="00000000">
            <w:pPr>
              <w:spacing w:before="40" w:after="40" w:line="22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4" w:type="pct"/>
            <w:shd w:val="clear" w:color="auto" w:fill="auto"/>
          </w:tcPr>
          <w:p w:rsidR="00000000" w:rsidRDefault="00000000">
            <w:pPr>
              <w:spacing w:before="40" w:after="40"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Бангл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деш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(*)94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(*)89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(*)92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(*)1,06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4" w:type="pct"/>
            <w:shd w:val="clear" w:color="auto" w:fill="auto"/>
          </w:tcPr>
          <w:p w:rsidR="00000000" w:rsidRDefault="00000000">
            <w:pPr>
              <w:spacing w:before="40" w:after="40"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1,02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4" w:type="pct"/>
            <w:shd w:val="clear" w:color="auto" w:fill="auto"/>
          </w:tcPr>
          <w:p w:rsidR="00000000" w:rsidRDefault="00000000">
            <w:pPr>
              <w:spacing w:before="40" w:after="40"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Израиль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1,02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4" w:type="pct"/>
            <w:shd w:val="clear" w:color="auto" w:fill="auto"/>
          </w:tcPr>
          <w:p w:rsidR="00000000" w:rsidRDefault="00000000">
            <w:pPr>
              <w:spacing w:before="40" w:after="40"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Кения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4" w:type="pct"/>
            <w:shd w:val="clear" w:color="auto" w:fill="auto"/>
          </w:tcPr>
          <w:p w:rsidR="00000000" w:rsidRDefault="00000000">
            <w:pPr>
              <w:spacing w:before="40" w:after="40"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тенштейн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(*)107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(*)109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(*)106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(*)107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(*)110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(*)108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(*)107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(*)110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(*)107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(*)1,00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(*)0,99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(*)0,98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4" w:type="pct"/>
            <w:shd w:val="clear" w:color="auto" w:fill="auto"/>
          </w:tcPr>
          <w:p w:rsidR="00000000" w:rsidRDefault="00000000">
            <w:pPr>
              <w:spacing w:before="40" w:after="40"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Африка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4" w:type="pct"/>
            <w:tcBorders>
              <w:bottom w:val="single" w:sz="12" w:space="0" w:color="auto"/>
            </w:tcBorders>
            <w:shd w:val="clear" w:color="auto" w:fill="auto"/>
          </w:tcPr>
          <w:p w:rsidR="00000000" w:rsidRDefault="00000000">
            <w:pPr>
              <w:spacing w:before="40" w:after="40"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Шри-Ланка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25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before="40"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</w:tbl>
    <w:p w:rsidR="00000000" w:rsidRDefault="00000000">
      <w:pPr>
        <w:spacing w:line="220" w:lineRule="atLeast"/>
        <w:ind w:left="284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</w:rPr>
        <w:t>(*) По национальным оценкам</w:t>
      </w:r>
      <w:r>
        <w:rPr>
          <w:i/>
          <w:iCs/>
          <w:sz w:val="16"/>
          <w:szCs w:val="16"/>
          <w:lang w:val="en-US"/>
        </w:rPr>
        <w:t>.</w:t>
      </w:r>
    </w:p>
    <w:p w:rsidR="00000000" w:rsidRDefault="00000000">
      <w:pPr>
        <w:spacing w:line="220" w:lineRule="atLeast"/>
        <w:ind w:left="284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</w:rPr>
        <w:t>... Данные отсутствуют</w:t>
      </w:r>
      <w:r>
        <w:rPr>
          <w:i/>
          <w:iCs/>
          <w:sz w:val="16"/>
          <w:szCs w:val="16"/>
          <w:lang w:val="en-US"/>
        </w:rPr>
        <w:t>.</w:t>
      </w:r>
    </w:p>
    <w:p w:rsidR="00000000" w:rsidRDefault="00000000">
      <w:pPr>
        <w:ind w:left="284"/>
        <w:rPr>
          <w:i/>
          <w:iCs/>
          <w:sz w:val="16"/>
          <w:szCs w:val="16"/>
        </w:rPr>
        <w:sectPr w:rsidR="00000000">
          <w:headerReference w:type="even" r:id="rId13"/>
          <w:footerReference w:type="even" r:id="rId14"/>
          <w:headerReference w:type="first" r:id="rId15"/>
          <w:pgSz w:w="16840" w:h="11907" w:orient="landscape" w:code="9"/>
          <w:pgMar w:top="1134" w:right="1701" w:bottom="1134" w:left="2268" w:header="567" w:footer="567" w:gutter="0"/>
          <w:cols w:space="720"/>
          <w:docGrid w:linePitch="360"/>
        </w:sectPr>
      </w:pPr>
      <w:r>
        <w:rPr>
          <w:i/>
          <w:iCs/>
          <w:sz w:val="16"/>
          <w:szCs w:val="16"/>
        </w:rPr>
        <w:t>Источник: Институт статистики ЮНЕСКО (http://www.uis.unesco.org), последний доступ 24/11/2010.</w:t>
      </w:r>
    </w:p>
    <w:p w:rsidR="00000000" w:rsidRDefault="00000000">
      <w:pPr>
        <w:pStyle w:val="SingleTxtGR"/>
        <w:jc w:val="left"/>
        <w:rPr>
          <w:b/>
          <w:lang w:val="en-US"/>
        </w:rPr>
      </w:pPr>
      <w:r>
        <w:t>Таблица 2</w:t>
      </w:r>
      <w:r>
        <w:br/>
      </w:r>
      <w:r>
        <w:rPr>
          <w:b/>
        </w:rPr>
        <w:t>Среднее образование</w:t>
      </w:r>
    </w:p>
    <w:tbl>
      <w:tblPr>
        <w:tblW w:w="12359" w:type="dxa"/>
        <w:jc w:val="center"/>
        <w:tblCellSpacing w:w="0" w:type="dxa"/>
        <w:tblInd w:w="-518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480"/>
        <w:gridCol w:w="480"/>
        <w:gridCol w:w="541"/>
        <w:gridCol w:w="593"/>
        <w:gridCol w:w="593"/>
        <w:gridCol w:w="480"/>
        <w:gridCol w:w="480"/>
        <w:gridCol w:w="541"/>
        <w:gridCol w:w="593"/>
        <w:gridCol w:w="593"/>
        <w:gridCol w:w="480"/>
        <w:gridCol w:w="480"/>
        <w:gridCol w:w="541"/>
        <w:gridCol w:w="593"/>
        <w:gridCol w:w="593"/>
        <w:gridCol w:w="480"/>
        <w:gridCol w:w="480"/>
        <w:gridCol w:w="638"/>
        <w:gridCol w:w="729"/>
        <w:gridCol w:w="729"/>
      </w:tblGrid>
      <w:tr w:rsidR="00000000">
        <w:trPr>
          <w:trHeight w:val="240"/>
          <w:tblHeader/>
          <w:tblCellSpacing w:w="0" w:type="dxa"/>
          <w:jc w:val="center"/>
        </w:trPr>
        <w:tc>
          <w:tcPr>
            <w:tcW w:w="5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Данные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Валовая доля учащи</w:t>
            </w:r>
            <w:r>
              <w:rPr>
                <w:i/>
                <w:sz w:val="16"/>
                <w:szCs w:val="16"/>
              </w:rPr>
              <w:t>х</w:t>
            </w:r>
            <w:r>
              <w:rPr>
                <w:i/>
                <w:sz w:val="16"/>
                <w:szCs w:val="16"/>
              </w:rPr>
              <w:t>ся</w:t>
            </w:r>
            <w:r>
              <w:rPr>
                <w:i/>
                <w:sz w:val="16"/>
                <w:szCs w:val="16"/>
              </w:rPr>
              <w:br/>
              <w:t xml:space="preserve"> в средних учебных заведениях, все</w:t>
            </w:r>
            <w:r>
              <w:rPr>
                <w:i/>
                <w:sz w:val="16"/>
                <w:szCs w:val="16"/>
              </w:rPr>
              <w:br/>
              <w:t xml:space="preserve"> программы, лица женского п</w:t>
            </w:r>
            <w:r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ла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Валовая доля учащи</w:t>
            </w:r>
            <w:r>
              <w:rPr>
                <w:i/>
                <w:sz w:val="16"/>
                <w:szCs w:val="16"/>
              </w:rPr>
              <w:t>х</w:t>
            </w:r>
            <w:r>
              <w:rPr>
                <w:i/>
                <w:sz w:val="16"/>
                <w:szCs w:val="16"/>
              </w:rPr>
              <w:t>ся</w:t>
            </w:r>
            <w:r>
              <w:rPr>
                <w:i/>
                <w:sz w:val="16"/>
                <w:szCs w:val="16"/>
              </w:rPr>
              <w:br/>
              <w:t xml:space="preserve"> в средних учебных заведениях, все</w:t>
            </w:r>
            <w:r>
              <w:rPr>
                <w:i/>
                <w:sz w:val="16"/>
                <w:szCs w:val="16"/>
              </w:rPr>
              <w:br/>
              <w:t xml:space="preserve"> программы, лица мужского п</w:t>
            </w:r>
            <w:r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ла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Валовая доля учащи</w:t>
            </w:r>
            <w:r>
              <w:rPr>
                <w:i/>
                <w:sz w:val="16"/>
                <w:szCs w:val="16"/>
              </w:rPr>
              <w:t>х</w:t>
            </w:r>
            <w:r>
              <w:rPr>
                <w:i/>
                <w:sz w:val="16"/>
                <w:szCs w:val="16"/>
              </w:rPr>
              <w:t>ся</w:t>
            </w:r>
            <w:r>
              <w:rPr>
                <w:i/>
                <w:sz w:val="16"/>
                <w:szCs w:val="16"/>
              </w:rPr>
              <w:br/>
              <w:t xml:space="preserve"> в средних учебных заведениях, </w:t>
            </w:r>
            <w:r>
              <w:rPr>
                <w:i/>
                <w:sz w:val="16"/>
                <w:szCs w:val="16"/>
              </w:rPr>
              <w:br/>
              <w:t>все програ</w:t>
            </w:r>
            <w:r>
              <w:rPr>
                <w:i/>
                <w:sz w:val="16"/>
                <w:szCs w:val="16"/>
              </w:rPr>
              <w:t>м</w:t>
            </w:r>
            <w:r>
              <w:rPr>
                <w:i/>
                <w:sz w:val="16"/>
                <w:szCs w:val="16"/>
              </w:rPr>
              <w:t>мы, всего</w:t>
            </w:r>
          </w:p>
        </w:tc>
        <w:tc>
          <w:tcPr>
            <w:tcW w:w="1236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Индекс </w:t>
            </w:r>
            <w:proofErr w:type="spellStart"/>
            <w:r>
              <w:rPr>
                <w:i/>
                <w:sz w:val="16"/>
                <w:szCs w:val="16"/>
              </w:rPr>
              <w:t>гендерного</w:t>
            </w:r>
            <w:proofErr w:type="spellEnd"/>
            <w:r>
              <w:rPr>
                <w:i/>
                <w:sz w:val="16"/>
                <w:szCs w:val="16"/>
              </w:rPr>
              <w:t xml:space="preserve"> раве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i/>
                <w:sz w:val="16"/>
                <w:szCs w:val="16"/>
              </w:rPr>
              <w:t>ства с учетом валовой доли учащихся, средние</w:t>
            </w:r>
            <w:r>
              <w:rPr>
                <w:i/>
                <w:sz w:val="16"/>
                <w:szCs w:val="16"/>
              </w:rPr>
              <w:br/>
              <w:t xml:space="preserve"> учебные заведения, все пр</w:t>
            </w:r>
            <w:r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граммы</w:t>
            </w:r>
          </w:p>
        </w:tc>
      </w:tr>
      <w:tr w:rsidR="00000000">
        <w:trPr>
          <w:trHeight w:val="240"/>
          <w:tblHeader/>
          <w:tblCellSpacing w:w="0" w:type="dxa"/>
          <w:jc w:val="center"/>
        </w:trPr>
        <w:tc>
          <w:tcPr>
            <w:tcW w:w="502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000000">
        <w:trPr>
          <w:trHeight w:val="240"/>
          <w:tblHeader/>
          <w:tblCellSpacing w:w="0" w:type="dxa"/>
          <w:jc w:val="center"/>
        </w:trPr>
        <w:tc>
          <w:tcPr>
            <w:tcW w:w="502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2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Бангл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деш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05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2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русь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02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2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иль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99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2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Кения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93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2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Лихте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штейн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(*)72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(*)70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(*)73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(*)68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(*)65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(*)65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(*)70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(*)67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(*)69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12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2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Африка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(**)97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(**)97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(**)93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(**)92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(**)95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(**)95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(**)1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(**)1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06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2" w:type="pct"/>
            <w:tcBorders>
              <w:bottom w:val="single" w:sz="12" w:space="0" w:color="auto"/>
            </w:tcBorders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Шри-Ланка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 w:rsidR="00000000" w:rsidRDefault="00000000">
      <w:pPr>
        <w:spacing w:line="200" w:lineRule="atLeast"/>
        <w:ind w:left="284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</w:rPr>
        <w:t xml:space="preserve"> (*) По национальным оценкам</w:t>
      </w:r>
      <w:r>
        <w:rPr>
          <w:i/>
          <w:iCs/>
          <w:sz w:val="16"/>
          <w:szCs w:val="16"/>
          <w:lang w:val="en-US"/>
        </w:rPr>
        <w:t>.</w:t>
      </w:r>
    </w:p>
    <w:p w:rsidR="00000000" w:rsidRDefault="00000000">
      <w:pPr>
        <w:spacing w:line="200" w:lineRule="atLeast"/>
        <w:ind w:left="28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(**) По оценкам Института статистики (</w:t>
      </w:r>
      <w:proofErr w:type="spellStart"/>
      <w:r>
        <w:rPr>
          <w:i/>
          <w:iCs/>
          <w:sz w:val="16"/>
          <w:szCs w:val="16"/>
        </w:rPr>
        <w:t>ИС</w:t>
      </w:r>
      <w:proofErr w:type="spellEnd"/>
      <w:r>
        <w:rPr>
          <w:i/>
          <w:iCs/>
          <w:sz w:val="16"/>
          <w:szCs w:val="16"/>
        </w:rPr>
        <w:t>) ЮНЕСКО.</w:t>
      </w:r>
    </w:p>
    <w:p w:rsidR="00000000" w:rsidRDefault="00000000">
      <w:pPr>
        <w:spacing w:line="200" w:lineRule="atLeast"/>
        <w:ind w:left="28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 Данные отсутствуют.</w:t>
      </w:r>
    </w:p>
    <w:p w:rsidR="00000000" w:rsidRDefault="00000000">
      <w:pPr>
        <w:ind w:left="28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Источник: Институт статистики ЮНЕСКО (http://www.uis.unesco.org), последний доступ 24/11/2010.</w:t>
      </w:r>
    </w:p>
    <w:p w:rsidR="00000000" w:rsidRDefault="00000000">
      <w:pPr>
        <w:pStyle w:val="SingleTxtGR"/>
        <w:spacing w:before="240"/>
        <w:jc w:val="left"/>
        <w:rPr>
          <w:b/>
        </w:rPr>
      </w:pPr>
      <w:r>
        <w:t>Таблица 3</w:t>
      </w:r>
      <w:r>
        <w:br/>
      </w:r>
      <w:r>
        <w:rPr>
          <w:b/>
        </w:rPr>
        <w:t xml:space="preserve">Высшее образование (категории 5 и 6 </w:t>
      </w:r>
      <w:proofErr w:type="spellStart"/>
      <w:r>
        <w:rPr>
          <w:b/>
        </w:rPr>
        <w:t>МСКО</w:t>
      </w:r>
      <w:proofErr w:type="spellEnd"/>
      <w:r>
        <w:rPr>
          <w:b/>
        </w:rPr>
        <w:t xml:space="preserve">) </w:t>
      </w:r>
    </w:p>
    <w:tbl>
      <w:tblPr>
        <w:tblW w:w="12359" w:type="dxa"/>
        <w:jc w:val="center"/>
        <w:tblCellSpacing w:w="0" w:type="dxa"/>
        <w:tblInd w:w="-518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495"/>
        <w:gridCol w:w="495"/>
        <w:gridCol w:w="556"/>
        <w:gridCol w:w="571"/>
        <w:gridCol w:w="571"/>
        <w:gridCol w:w="494"/>
        <w:gridCol w:w="494"/>
        <w:gridCol w:w="556"/>
        <w:gridCol w:w="571"/>
        <w:gridCol w:w="571"/>
        <w:gridCol w:w="494"/>
        <w:gridCol w:w="494"/>
        <w:gridCol w:w="556"/>
        <w:gridCol w:w="571"/>
        <w:gridCol w:w="576"/>
        <w:gridCol w:w="494"/>
        <w:gridCol w:w="494"/>
        <w:gridCol w:w="630"/>
        <w:gridCol w:w="700"/>
        <w:gridCol w:w="717"/>
      </w:tblGrid>
      <w:tr w:rsidR="00000000">
        <w:trPr>
          <w:trHeight w:val="240"/>
          <w:tblHeader/>
          <w:tblCellSpacing w:w="0" w:type="dxa"/>
          <w:jc w:val="center"/>
        </w:trPr>
        <w:tc>
          <w:tcPr>
            <w:tcW w:w="5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Данные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Валовая доля учащи</w:t>
            </w:r>
            <w:r>
              <w:rPr>
                <w:i/>
                <w:sz w:val="16"/>
                <w:szCs w:val="16"/>
              </w:rPr>
              <w:t>х</w:t>
            </w:r>
            <w:r>
              <w:rPr>
                <w:i/>
                <w:sz w:val="16"/>
                <w:szCs w:val="16"/>
              </w:rPr>
              <w:t>ся</w:t>
            </w:r>
            <w:r>
              <w:rPr>
                <w:i/>
                <w:sz w:val="16"/>
                <w:szCs w:val="16"/>
              </w:rPr>
              <w:br/>
              <w:t xml:space="preserve">категорий 5 и 6 </w:t>
            </w:r>
            <w:proofErr w:type="spellStart"/>
            <w:r>
              <w:rPr>
                <w:i/>
                <w:sz w:val="16"/>
                <w:szCs w:val="16"/>
              </w:rPr>
              <w:t>МСКО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br/>
              <w:t>лица же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i/>
                <w:sz w:val="16"/>
                <w:szCs w:val="16"/>
              </w:rPr>
              <w:t>ского пола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Валовая доля учащи</w:t>
            </w:r>
            <w:r>
              <w:rPr>
                <w:i/>
                <w:sz w:val="16"/>
                <w:szCs w:val="16"/>
              </w:rPr>
              <w:t>х</w:t>
            </w:r>
            <w:r>
              <w:rPr>
                <w:i/>
                <w:sz w:val="16"/>
                <w:szCs w:val="16"/>
              </w:rPr>
              <w:t>ся</w:t>
            </w:r>
            <w:r>
              <w:rPr>
                <w:i/>
                <w:sz w:val="16"/>
                <w:szCs w:val="16"/>
              </w:rPr>
              <w:br/>
              <w:t xml:space="preserve"> категорий 5 и 6 </w:t>
            </w:r>
            <w:proofErr w:type="spellStart"/>
            <w:r>
              <w:rPr>
                <w:i/>
                <w:sz w:val="16"/>
                <w:szCs w:val="16"/>
              </w:rPr>
              <w:t>МСКО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br/>
              <w:t>лица му</w:t>
            </w:r>
            <w:r>
              <w:rPr>
                <w:i/>
                <w:sz w:val="16"/>
                <w:szCs w:val="16"/>
              </w:rPr>
              <w:t>ж</w:t>
            </w:r>
            <w:r>
              <w:rPr>
                <w:i/>
                <w:sz w:val="16"/>
                <w:szCs w:val="16"/>
              </w:rPr>
              <w:t>ского пола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Валовая доля</w:t>
            </w:r>
            <w:r>
              <w:rPr>
                <w:i/>
                <w:sz w:val="16"/>
                <w:szCs w:val="16"/>
              </w:rPr>
              <w:br/>
              <w:t xml:space="preserve"> учащи</w:t>
            </w:r>
            <w:r>
              <w:rPr>
                <w:i/>
                <w:sz w:val="16"/>
                <w:szCs w:val="16"/>
              </w:rPr>
              <w:t>х</w:t>
            </w:r>
            <w:r>
              <w:rPr>
                <w:i/>
                <w:sz w:val="16"/>
                <w:szCs w:val="16"/>
              </w:rPr>
              <w:t>ся  категорий 5 и 6</w:t>
            </w:r>
            <w:r>
              <w:rPr>
                <w:i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МСКО</w:t>
            </w:r>
            <w:proofErr w:type="spellEnd"/>
            <w:r>
              <w:rPr>
                <w:i/>
                <w:sz w:val="16"/>
                <w:szCs w:val="16"/>
              </w:rPr>
              <w:t>, всего</w:t>
            </w:r>
          </w:p>
        </w:tc>
        <w:tc>
          <w:tcPr>
            <w:tcW w:w="1228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Индекс </w:t>
            </w:r>
            <w:proofErr w:type="spellStart"/>
            <w:r>
              <w:rPr>
                <w:i/>
                <w:sz w:val="16"/>
                <w:szCs w:val="16"/>
              </w:rPr>
              <w:t>гендерного</w:t>
            </w:r>
            <w:proofErr w:type="spellEnd"/>
            <w:r>
              <w:rPr>
                <w:i/>
                <w:sz w:val="16"/>
                <w:szCs w:val="16"/>
              </w:rPr>
              <w:t xml:space="preserve"> раве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i/>
                <w:sz w:val="16"/>
                <w:szCs w:val="16"/>
              </w:rPr>
              <w:t>ства</w:t>
            </w:r>
            <w:r>
              <w:rPr>
                <w:i/>
                <w:sz w:val="16"/>
                <w:szCs w:val="16"/>
              </w:rPr>
              <w:br/>
              <w:t>с учетом валовой доли учащихся,</w:t>
            </w:r>
            <w:r>
              <w:rPr>
                <w:i/>
                <w:sz w:val="16"/>
                <w:szCs w:val="16"/>
              </w:rPr>
              <w:br/>
              <w:t>высшее образ</w:t>
            </w:r>
            <w:r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вание</w:t>
            </w:r>
          </w:p>
        </w:tc>
      </w:tr>
      <w:tr w:rsidR="00000000">
        <w:trPr>
          <w:trHeight w:val="240"/>
          <w:tblHeader/>
          <w:tblCellSpacing w:w="0" w:type="dxa"/>
          <w:jc w:val="center"/>
        </w:trPr>
        <w:tc>
          <w:tcPr>
            <w:tcW w:w="509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000000">
        <w:trPr>
          <w:trHeight w:val="240"/>
          <w:tblHeader/>
          <w:tblCellSpacing w:w="0" w:type="dxa"/>
          <w:jc w:val="center"/>
        </w:trPr>
        <w:tc>
          <w:tcPr>
            <w:tcW w:w="509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9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Бангл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деш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55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9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37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9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Израиль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9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Кения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9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Лихте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штейн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(*)25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(*)20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(*)18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(*)48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(*)41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(*)42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(*)37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(*)31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(*)30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44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9" w:type="pct"/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А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рика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000000">
        <w:trPr>
          <w:trHeight w:val="240"/>
          <w:tblCellSpacing w:w="0" w:type="dxa"/>
          <w:jc w:val="center"/>
        </w:trPr>
        <w:tc>
          <w:tcPr>
            <w:tcW w:w="509" w:type="pct"/>
            <w:tcBorders>
              <w:bottom w:val="single" w:sz="12" w:space="0" w:color="auto"/>
            </w:tcBorders>
            <w:shd w:val="clear" w:color="auto" w:fill="auto"/>
          </w:tcPr>
          <w:p w:rsidR="00000000" w:rsidRDefault="00000000">
            <w:pPr>
              <w:spacing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Шри-Ланка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3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9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after="40" w:line="220" w:lineRule="exact"/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 w:rsidR="00000000" w:rsidRDefault="00000000">
      <w:pPr>
        <w:spacing w:line="200" w:lineRule="atLeast"/>
        <w:ind w:left="284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</w:rPr>
        <w:t>(*) По национальным оценкам</w:t>
      </w:r>
      <w:r>
        <w:rPr>
          <w:i/>
          <w:iCs/>
          <w:sz w:val="16"/>
          <w:szCs w:val="16"/>
          <w:lang w:val="en-US"/>
        </w:rPr>
        <w:t>.</w:t>
      </w:r>
    </w:p>
    <w:p w:rsidR="00000000" w:rsidRDefault="00000000">
      <w:pPr>
        <w:spacing w:line="200" w:lineRule="atLeast"/>
        <w:ind w:left="28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(**) По оценкам Института статистики (</w:t>
      </w:r>
      <w:proofErr w:type="spellStart"/>
      <w:r>
        <w:rPr>
          <w:i/>
          <w:iCs/>
          <w:sz w:val="16"/>
          <w:szCs w:val="16"/>
        </w:rPr>
        <w:t>ИС</w:t>
      </w:r>
      <w:proofErr w:type="spellEnd"/>
      <w:r>
        <w:rPr>
          <w:i/>
          <w:iCs/>
          <w:sz w:val="16"/>
          <w:szCs w:val="16"/>
        </w:rPr>
        <w:t>) ЮНЕСКО.</w:t>
      </w:r>
    </w:p>
    <w:p w:rsidR="00000000" w:rsidRDefault="00000000">
      <w:pPr>
        <w:spacing w:line="200" w:lineRule="atLeast"/>
        <w:ind w:left="28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 Данные отсутствуют.</w:t>
      </w:r>
    </w:p>
    <w:p w:rsidR="00000000" w:rsidRDefault="00000000">
      <w:pPr>
        <w:spacing w:line="200" w:lineRule="atLeast"/>
        <w:ind w:left="28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Источник: Институт статистики ЮНЕСКО (http://www.uis.unesco.org), последний доступ 24/11/2010.</w:t>
      </w:r>
    </w:p>
    <w:p w:rsidR="00000000" w:rsidRDefault="00000000">
      <w:pPr>
        <w:spacing w:line="20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0000">
      <w:headerReference w:type="default" r:id="rId16"/>
      <w:footerReference w:type="default" r:id="rId17"/>
      <w:pgSz w:w="16840" w:h="11907" w:orient="landscape" w:code="9"/>
      <w:pgMar w:top="1134" w:right="1701" w:bottom="1134" w:left="226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lang w:val="en-US"/>
      </w:rPr>
      <w:tab/>
      <w:t>GE.11-40203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lang w:val="en-US"/>
      </w:rPr>
      <w:t>GE.11-40203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sz w:val="20"/>
        <w:lang w:val="en-US"/>
      </w:rPr>
    </w:pPr>
    <w:r>
      <w:rPr>
        <w:sz w:val="20"/>
        <w:lang w:val="en-US"/>
      </w:rPr>
      <w:t>GE.11-40203  (R)  170211  170211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  <w:footnote w:id="1">
    <w:p w:rsidR="00000000" w:rsidRDefault="00000000">
      <w:pPr>
        <w:pStyle w:val="FootnoteText"/>
        <w:rPr>
          <w:sz w:val="20"/>
          <w:lang w:val="ru-RU"/>
        </w:rPr>
      </w:pPr>
      <w:r>
        <w:tab/>
      </w:r>
      <w:r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  <w:t>Настоящий документ был представлен позже установленного срока ввиду несвоевременного получения материалов из других источников.</w:t>
      </w:r>
    </w:p>
  </w:footnote>
  <w:footnote w:id="2">
    <w:p w:rsidR="00000000" w:rsidRDefault="0000000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hyperlink r:id="rId1" w:history="1">
        <w:r>
          <w:rPr>
            <w:rStyle w:val="Hyperlink"/>
            <w:u w:val="none"/>
            <w:lang w:val="en-US"/>
          </w:rPr>
          <w:t>http</w:t>
        </w:r>
        <w:r>
          <w:rPr>
            <w:rStyle w:val="Hyperlink"/>
            <w:u w:val="none"/>
            <w:lang w:val="ru-RU"/>
          </w:rPr>
          <w:t>://</w:t>
        </w:r>
        <w:r>
          <w:rPr>
            <w:rStyle w:val="Hyperlink"/>
            <w:u w:val="none"/>
            <w:lang w:val="en-US"/>
          </w:rPr>
          <w:t>www</w:t>
        </w:r>
        <w:r>
          <w:rPr>
            <w:rStyle w:val="Hyperlink"/>
            <w:u w:val="none"/>
            <w:lang w:val="ru-RU"/>
          </w:rPr>
          <w:t>.</w:t>
        </w:r>
        <w:r>
          <w:rPr>
            <w:rStyle w:val="Hyperlink"/>
            <w:u w:val="none"/>
            <w:lang w:val="en-US"/>
          </w:rPr>
          <w:t>right</w:t>
        </w:r>
        <w:r>
          <w:rPr>
            <w:rStyle w:val="Hyperlink"/>
            <w:u w:val="none"/>
            <w:lang w:val="ru-RU"/>
          </w:rPr>
          <w:t>-</w:t>
        </w:r>
        <w:r>
          <w:rPr>
            <w:rStyle w:val="Hyperlink"/>
            <w:u w:val="none"/>
            <w:lang w:val="en-US"/>
          </w:rPr>
          <w:t>to</w:t>
        </w:r>
        <w:r>
          <w:rPr>
            <w:rStyle w:val="Hyperlink"/>
            <w:u w:val="none"/>
            <w:lang w:val="ru-RU"/>
          </w:rPr>
          <w:t>-</w:t>
        </w:r>
        <w:r>
          <w:rPr>
            <w:rStyle w:val="Hyperlink"/>
            <w:u w:val="none"/>
            <w:lang w:val="en-US"/>
          </w:rPr>
          <w:t>education</w:t>
        </w:r>
        <w:r>
          <w:rPr>
            <w:rStyle w:val="Hyperlink"/>
            <w:u w:val="none"/>
            <w:lang w:val="ru-RU"/>
          </w:rPr>
          <w:t>.</w:t>
        </w:r>
        <w:r>
          <w:rPr>
            <w:rStyle w:val="Hyperlink"/>
            <w:u w:val="none"/>
            <w:lang w:val="en-US"/>
          </w:rPr>
          <w:t>org</w:t>
        </w:r>
        <w:r>
          <w:rPr>
            <w:rStyle w:val="Hyperlink"/>
            <w:u w:val="none"/>
            <w:lang w:val="ru-RU"/>
          </w:rPr>
          <w:t>/</w:t>
        </w:r>
        <w:r>
          <w:rPr>
            <w:rStyle w:val="Hyperlink"/>
            <w:u w:val="none"/>
            <w:lang w:val="en-US"/>
          </w:rPr>
          <w:t>country</w:t>
        </w:r>
        <w:r>
          <w:rPr>
            <w:rStyle w:val="Hyperlink"/>
            <w:u w:val="none"/>
            <w:lang w:val="ru-RU"/>
          </w:rPr>
          <w:t>-</w:t>
        </w:r>
        <w:r>
          <w:rPr>
            <w:rStyle w:val="Hyperlink"/>
            <w:u w:val="none"/>
            <w:lang w:val="en-US"/>
          </w:rPr>
          <w:t>node</w:t>
        </w:r>
        <w:r>
          <w:rPr>
            <w:rStyle w:val="Hyperlink"/>
            <w:u w:val="none"/>
            <w:lang w:val="ru-RU"/>
          </w:rPr>
          <w:t>/302/</w:t>
        </w:r>
        <w:r>
          <w:rPr>
            <w:rStyle w:val="Hyperlink"/>
            <w:u w:val="none"/>
            <w:lang w:val="en-US"/>
          </w:rPr>
          <w:t>country</w:t>
        </w:r>
        <w:r>
          <w:rPr>
            <w:rStyle w:val="Hyperlink"/>
            <w:u w:val="none"/>
            <w:lang w:val="ru-RU"/>
          </w:rPr>
          <w:t>-</w:t>
        </w:r>
        <w:r>
          <w:rPr>
            <w:rStyle w:val="Hyperlink"/>
            <w:u w:val="none"/>
            <w:lang w:val="en-US"/>
          </w:rPr>
          <w:t>constitutional</w:t>
        </w:r>
      </w:hyperlink>
      <w:r>
        <w:rPr>
          <w:lang w:val="ru-RU"/>
        </w:rPr>
        <w:t xml:space="preserve"> (доступ 15/11/2010).</w:t>
      </w:r>
    </w:p>
  </w:footnote>
  <w:footnote w:id="3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hyperlink r:id="rId2" w:history="1">
        <w:r>
          <w:rPr>
            <w:rStyle w:val="Hyperlink"/>
            <w:u w:val="none"/>
            <w:lang w:val="ru-RU"/>
          </w:rPr>
          <w:t>http://www.ibe.unesco.org/fr/dans-le-monde/regions-de-lunesco/asie-et-pacifique/bangladesh/profile-of-education.html</w:t>
        </w:r>
      </w:hyperlink>
      <w:r>
        <w:rPr>
          <w:lang w:val="ru-RU"/>
        </w:rPr>
        <w:t xml:space="preserve"> (доступ 15/11/2010).</w:t>
      </w:r>
    </w:p>
  </w:footnote>
  <w:footnote w:id="4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hyperlink r:id="rId3" w:history="1">
        <w:r>
          <w:rPr>
            <w:rStyle w:val="Hyperlink"/>
            <w:u w:val="none"/>
            <w:lang w:val="ru-RU"/>
          </w:rPr>
          <w:t>http://www.sai.uni-heidelberg.de/workgroups/bdlaw</w:t>
        </w:r>
        <w:r>
          <w:rPr>
            <w:rStyle w:val="Hyperlink"/>
            <w:u w:val="none"/>
            <w:lang w:val="ru-RU"/>
          </w:rPr>
          <w:t>/</w:t>
        </w:r>
        <w:r>
          <w:rPr>
            <w:rStyle w:val="Hyperlink"/>
            <w:u w:val="none"/>
            <w:lang w:val="ru-RU"/>
          </w:rPr>
          <w:t>1992-a34.htm</w:t>
        </w:r>
      </w:hyperlink>
      <w:r>
        <w:rPr>
          <w:lang w:val="ru-RU"/>
        </w:rPr>
        <w:t>.</w:t>
      </w:r>
    </w:p>
  </w:footnote>
  <w:footnote w:id="5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Медресе были аккредитованы на основании Указа об обучении в медресе 1978 года (Указ № </w:t>
      </w:r>
      <w:r>
        <w:rPr>
          <w:lang w:val="en-US"/>
        </w:rPr>
        <w:t>IX</w:t>
      </w:r>
      <w:r>
        <w:rPr>
          <w:lang w:val="ru-RU"/>
        </w:rPr>
        <w:t xml:space="preserve"> 1978 года).</w:t>
      </w:r>
    </w:p>
  </w:footnote>
  <w:footnote w:id="6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Презентация информации из Национального плана действий на 2003−2015 годы / </w:t>
      </w:r>
      <w:r>
        <w:rPr>
          <w:lang w:val="ru-RU"/>
        </w:rPr>
        <w:br/>
      </w:r>
      <w:r>
        <w:rPr>
          <w:lang w:val="en-US"/>
        </w:rPr>
        <w:t>NPA</w:t>
      </w:r>
      <w:r>
        <w:rPr>
          <w:lang w:val="ru-RU"/>
        </w:rPr>
        <w:t>-</w:t>
      </w:r>
      <w:r>
        <w:rPr>
          <w:lang w:val="en-US"/>
        </w:rPr>
        <w:t>II</w:t>
      </w:r>
      <w:r>
        <w:rPr>
          <w:lang w:val="ru-RU"/>
        </w:rPr>
        <w:t xml:space="preserve">, </w:t>
      </w:r>
      <w:r>
        <w:rPr>
          <w:lang w:val="en-US"/>
        </w:rPr>
        <w:t>p</w:t>
      </w:r>
      <w:r>
        <w:rPr>
          <w:lang w:val="ru-RU"/>
        </w:rPr>
        <w:t xml:space="preserve">. 15, </w:t>
      </w:r>
      <w:hyperlink r:id="rId4" w:history="1">
        <w:r>
          <w:rPr>
            <w:rStyle w:val="Hyperlink"/>
            <w:u w:val="none"/>
            <w:lang w:val="en-US"/>
          </w:rPr>
          <w:t>http</w:t>
        </w:r>
        <w:r>
          <w:rPr>
            <w:rStyle w:val="Hyperlink"/>
            <w:u w:val="none"/>
            <w:lang w:val="ru-RU"/>
          </w:rPr>
          <w:t>://</w:t>
        </w:r>
        <w:r>
          <w:rPr>
            <w:rStyle w:val="Hyperlink"/>
            <w:u w:val="none"/>
            <w:lang w:val="en-US"/>
          </w:rPr>
          <w:t>www</w:t>
        </w:r>
        <w:r>
          <w:rPr>
            <w:rStyle w:val="Hyperlink"/>
            <w:u w:val="none"/>
            <w:lang w:val="ru-RU"/>
          </w:rPr>
          <w:t>.</w:t>
        </w:r>
        <w:r>
          <w:rPr>
            <w:rStyle w:val="Hyperlink"/>
            <w:u w:val="none"/>
            <w:lang w:val="en-US"/>
          </w:rPr>
          <w:t>dpe</w:t>
        </w:r>
        <w:r>
          <w:rPr>
            <w:rStyle w:val="Hyperlink"/>
            <w:u w:val="none"/>
            <w:lang w:val="ru-RU"/>
          </w:rPr>
          <w:t>.</w:t>
        </w:r>
        <w:r>
          <w:rPr>
            <w:rStyle w:val="Hyperlink"/>
            <w:u w:val="none"/>
            <w:lang w:val="en-US"/>
          </w:rPr>
          <w:t>gov</w:t>
        </w:r>
        <w:r>
          <w:rPr>
            <w:rStyle w:val="Hyperlink"/>
            <w:u w:val="none"/>
            <w:lang w:val="ru-RU"/>
          </w:rPr>
          <w:t>.</w:t>
        </w:r>
        <w:r>
          <w:rPr>
            <w:rStyle w:val="Hyperlink"/>
            <w:u w:val="none"/>
            <w:lang w:val="en-US"/>
          </w:rPr>
          <w:t>bd</w:t>
        </w:r>
        <w:r>
          <w:rPr>
            <w:rStyle w:val="Hyperlink"/>
            <w:u w:val="none"/>
            <w:lang w:val="ru-RU"/>
          </w:rPr>
          <w:t>/</w:t>
        </w:r>
        <w:r>
          <w:rPr>
            <w:rStyle w:val="Hyperlink"/>
            <w:u w:val="none"/>
            <w:lang w:val="en-US"/>
          </w:rPr>
          <w:t>pdf</w:t>
        </w:r>
        <w:r>
          <w:rPr>
            <w:rStyle w:val="Hyperlink"/>
            <w:u w:val="none"/>
            <w:lang w:val="ru-RU"/>
          </w:rPr>
          <w:t>/</w:t>
        </w:r>
        <w:r>
          <w:rPr>
            <w:rStyle w:val="Hyperlink"/>
            <w:u w:val="none"/>
            <w:lang w:val="en-US"/>
          </w:rPr>
          <w:t>Npa</w:t>
        </w:r>
        <w:r>
          <w:rPr>
            <w:rStyle w:val="Hyperlink"/>
            <w:u w:val="none"/>
            <w:lang w:val="ru-RU"/>
          </w:rPr>
          <w:t>2.</w:t>
        </w:r>
        <w:r>
          <w:rPr>
            <w:rStyle w:val="Hyperlink"/>
            <w:u w:val="none"/>
            <w:lang w:val="en-US"/>
          </w:rPr>
          <w:t>pdf</w:t>
        </w:r>
      </w:hyperlink>
      <w:r>
        <w:rPr>
          <w:lang w:val="ru-RU"/>
        </w:rPr>
        <w:t>.</w:t>
      </w:r>
    </w:p>
  </w:footnote>
  <w:footnote w:id="7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В нем, в частности, признается коренное население, проживающее в основном в Читтагонгском горном регионе (ЧТР) и в некоторых частях Силхета и северной части Бангладеш / доклад для седьмой консультации, </w:t>
      </w:r>
      <w:r>
        <w:rPr>
          <w:lang w:val="en-US"/>
        </w:rPr>
        <w:t>op</w:t>
      </w:r>
      <w:r>
        <w:rPr>
          <w:lang w:val="ru-RU"/>
        </w:rPr>
        <w:t>.</w:t>
      </w:r>
      <w:r>
        <w:rPr>
          <w:lang w:val="en-US"/>
        </w:rPr>
        <w:t>cit</w:t>
      </w:r>
      <w:r>
        <w:rPr>
          <w:lang w:val="ru-RU"/>
        </w:rPr>
        <w:t xml:space="preserve">. </w:t>
      </w:r>
      <w:r>
        <w:rPr>
          <w:lang w:val="en-US"/>
        </w:rPr>
        <w:t>p</w:t>
      </w:r>
      <w:r>
        <w:rPr>
          <w:lang w:val="ru-RU"/>
        </w:rPr>
        <w:t>. 7.</w:t>
      </w:r>
    </w:p>
  </w:footnote>
  <w:footnote w:id="8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r>
        <w:rPr>
          <w:lang w:val="en-US"/>
        </w:rPr>
        <w:t>http</w:t>
      </w:r>
      <w:r>
        <w:rPr>
          <w:lang w:val="ru-RU"/>
        </w:rPr>
        <w:t>://</w:t>
      </w:r>
      <w:r>
        <w:rPr>
          <w:lang w:val="en-US"/>
        </w:rPr>
        <w:t>www</w:t>
      </w:r>
      <w:r>
        <w:rPr>
          <w:lang w:val="ru-RU"/>
        </w:rPr>
        <w:t>.</w:t>
      </w:r>
      <w:r>
        <w:rPr>
          <w:lang w:val="en-US"/>
        </w:rPr>
        <w:t>worldbank</w:t>
      </w:r>
      <w:r>
        <w:rPr>
          <w:lang w:val="ru-RU"/>
        </w:rPr>
        <w:t>.</w:t>
      </w:r>
      <w:r>
        <w:rPr>
          <w:lang w:val="en-US"/>
        </w:rPr>
        <w:t>org</w:t>
      </w:r>
      <w:r>
        <w:rPr>
          <w:lang w:val="ru-RU"/>
        </w:rPr>
        <w:t>.</w:t>
      </w:r>
      <w:r>
        <w:rPr>
          <w:lang w:val="en-US"/>
        </w:rPr>
        <w:t>bd</w:t>
      </w:r>
      <w:r>
        <w:rPr>
          <w:lang w:val="ru-RU"/>
        </w:rPr>
        <w:t>/</w:t>
      </w:r>
      <w:r>
        <w:rPr>
          <w:lang w:val="en-US"/>
        </w:rPr>
        <w:t>WBSITE</w:t>
      </w:r>
      <w:r>
        <w:rPr>
          <w:lang w:val="ru-RU"/>
        </w:rPr>
        <w:t>/</w:t>
      </w:r>
      <w:r>
        <w:rPr>
          <w:lang w:val="en-US"/>
        </w:rPr>
        <w:t>EXTERNAL</w:t>
      </w:r>
      <w:r>
        <w:rPr>
          <w:lang w:val="ru-RU"/>
        </w:rPr>
        <w:t>/</w:t>
      </w:r>
      <w:r>
        <w:rPr>
          <w:lang w:val="en-US"/>
        </w:rPr>
        <w:t>COUNTRIES</w:t>
      </w:r>
      <w:r>
        <w:rPr>
          <w:lang w:val="ru-RU"/>
        </w:rPr>
        <w:t>/</w:t>
      </w:r>
      <w:r>
        <w:rPr>
          <w:lang w:val="en-US"/>
        </w:rPr>
        <w:t>SOUTHASIAEXT</w:t>
      </w:r>
      <w:r>
        <w:rPr>
          <w:lang w:val="ru-RU"/>
        </w:rPr>
        <w:t xml:space="preserve">/ </w:t>
      </w:r>
      <w:r>
        <w:rPr>
          <w:lang w:val="en-US"/>
        </w:rPr>
        <w:t>BANGLADESHEXTN</w:t>
      </w:r>
      <w:r>
        <w:rPr>
          <w:lang w:val="ru-RU"/>
        </w:rPr>
        <w:t>/0,,</w:t>
      </w:r>
      <w:r>
        <w:rPr>
          <w:lang w:val="en-US"/>
        </w:rPr>
        <w:t>contentMDK</w:t>
      </w:r>
      <w:r>
        <w:rPr>
          <w:lang w:val="ru-RU"/>
        </w:rPr>
        <w:t>:20215488~</w:t>
      </w:r>
      <w:r>
        <w:rPr>
          <w:lang w:val="en-US"/>
        </w:rPr>
        <w:t>menuPK</w:t>
      </w:r>
      <w:r>
        <w:rPr>
          <w:lang w:val="ru-RU"/>
        </w:rPr>
        <w:t>:64282138~</w:t>
      </w:r>
      <w:r>
        <w:rPr>
          <w:lang w:val="en-US"/>
        </w:rPr>
        <w:t>pagePK</w:t>
      </w:r>
      <w:r>
        <w:rPr>
          <w:lang w:val="ru-RU"/>
        </w:rPr>
        <w:t>:41367~</w:t>
      </w:r>
      <w:r>
        <w:rPr>
          <w:lang w:val="ru-RU"/>
        </w:rPr>
        <w:br/>
      </w:r>
      <w:r>
        <w:rPr>
          <w:lang w:val="en-US"/>
        </w:rPr>
        <w:t>piPK</w:t>
      </w:r>
      <w:r>
        <w:rPr>
          <w:lang w:val="ru-RU"/>
        </w:rPr>
        <w:t>:279616~</w:t>
      </w:r>
      <w:r>
        <w:rPr>
          <w:lang w:val="en-US"/>
        </w:rPr>
        <w:t>theSitePK</w:t>
      </w:r>
      <w:r>
        <w:rPr>
          <w:lang w:val="ru-RU"/>
        </w:rPr>
        <w:t>:295760,00.</w:t>
      </w:r>
      <w:r>
        <w:rPr>
          <w:lang w:val="en-US"/>
        </w:rPr>
        <w:t>htm</w:t>
      </w:r>
      <w:r>
        <w:rPr>
          <w:lang w:val="ru-RU"/>
        </w:rPr>
        <w:t>.</w:t>
      </w:r>
    </w:p>
  </w:footnote>
  <w:footnote w:id="9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Доклад для седьмой консультации, </w:t>
      </w:r>
      <w:r>
        <w:rPr>
          <w:lang w:val="en-US"/>
        </w:rPr>
        <w:t>op</w:t>
      </w:r>
      <w:r>
        <w:rPr>
          <w:lang w:val="ru-RU"/>
        </w:rPr>
        <w:t>.</w:t>
      </w:r>
      <w:r>
        <w:rPr>
          <w:lang w:val="en-US"/>
        </w:rPr>
        <w:t>cit</w:t>
      </w:r>
      <w:r>
        <w:rPr>
          <w:lang w:val="ru-RU"/>
        </w:rPr>
        <w:t xml:space="preserve">. </w:t>
      </w:r>
      <w:r>
        <w:rPr>
          <w:lang w:val="en-US"/>
        </w:rPr>
        <w:t>p</w:t>
      </w:r>
      <w:r>
        <w:rPr>
          <w:lang w:val="ru-RU"/>
        </w:rPr>
        <w:t>. 7.</w:t>
      </w:r>
    </w:p>
  </w:footnote>
  <w:footnote w:id="10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В</w:t>
      </w:r>
      <w:r>
        <w:rPr>
          <w:rFonts w:cs="Arial"/>
          <w:szCs w:val="18"/>
          <w:lang w:val="ru-RU"/>
        </w:rPr>
        <w:t xml:space="preserve"> 2006 году общий показатель зачисления в школу среди мальчиков и девочек составлял соответственно 87% и 90% в системе начальных школ и 43% и 45% на уровне средних школ (</w:t>
      </w:r>
      <w:r>
        <w:rPr>
          <w:rFonts w:ascii="TimesNewRoman" w:hAnsi="TimesNewRoman" w:cs="TimesNewRoman"/>
          <w:spacing w:val="0"/>
          <w:w w:val="100"/>
          <w:kern w:val="0"/>
          <w:lang w:val="ru-RU"/>
        </w:rPr>
        <w:t>доклад о мониторинге в области ОДВ за</w:t>
      </w:r>
      <w:r>
        <w:rPr>
          <w:rFonts w:cs="Arial"/>
          <w:szCs w:val="18"/>
          <w:lang w:val="ru-RU"/>
        </w:rPr>
        <w:t xml:space="preserve"> 2009 год).</w:t>
      </w:r>
    </w:p>
  </w:footnote>
  <w:footnote w:id="11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См. </w:t>
      </w:r>
      <w:r>
        <w:t>http</w:t>
      </w:r>
      <w:r>
        <w:rPr>
          <w:lang w:val="ru-RU"/>
        </w:rPr>
        <w:t>://</w:t>
      </w:r>
      <w:r>
        <w:t>www</w:t>
      </w:r>
      <w:r>
        <w:rPr>
          <w:lang w:val="ru-RU"/>
        </w:rPr>
        <w:t>.</w:t>
      </w:r>
      <w:r>
        <w:t>law</w:t>
      </w:r>
      <w:r>
        <w:rPr>
          <w:lang w:val="ru-RU"/>
        </w:rPr>
        <w:t>.</w:t>
      </w:r>
      <w:r>
        <w:t>by</w:t>
      </w:r>
      <w:r>
        <w:rPr>
          <w:lang w:val="ru-RU"/>
        </w:rPr>
        <w:t>/</w:t>
      </w:r>
      <w:r>
        <w:t>work</w:t>
      </w:r>
      <w:r>
        <w:rPr>
          <w:lang w:val="ru-RU"/>
        </w:rPr>
        <w:t>/</w:t>
      </w:r>
      <w:r>
        <w:t>EnglPortal</w:t>
      </w:r>
      <w:r>
        <w:rPr>
          <w:lang w:val="ru-RU"/>
        </w:rPr>
        <w:t>.</w:t>
      </w:r>
      <w:r>
        <w:t>nsf</w:t>
      </w:r>
      <w:r>
        <w:rPr>
          <w:lang w:val="ru-RU"/>
        </w:rPr>
        <w:t>/6</w:t>
      </w:r>
      <w:r>
        <w:t>e</w:t>
      </w:r>
      <w:r>
        <w:rPr>
          <w:lang w:val="ru-RU"/>
        </w:rPr>
        <w:t>1</w:t>
      </w:r>
      <w:r>
        <w:t>a</w:t>
      </w:r>
      <w:r>
        <w:rPr>
          <w:lang w:val="ru-RU"/>
        </w:rPr>
        <w:t>652</w:t>
      </w:r>
      <w:r>
        <w:t>fbefce</w:t>
      </w:r>
      <w:r>
        <w:rPr>
          <w:lang w:val="ru-RU"/>
        </w:rPr>
        <w:t>34</w:t>
      </w:r>
      <w:r>
        <w:t>ac</w:t>
      </w:r>
      <w:r>
        <w:rPr>
          <w:lang w:val="ru-RU"/>
        </w:rPr>
        <w:t>2256</w:t>
      </w:r>
      <w:r>
        <w:t>d</w:t>
      </w:r>
      <w:r>
        <w:rPr>
          <w:lang w:val="ru-RU"/>
        </w:rPr>
        <w:t>910056</w:t>
      </w:r>
      <w:r>
        <w:t>d</w:t>
      </w:r>
      <w:r>
        <w:rPr>
          <w:lang w:val="ru-RU"/>
        </w:rPr>
        <w:t>559/</w:t>
      </w:r>
      <w:r>
        <w:t>d</w:t>
      </w:r>
      <w:r>
        <w:rPr>
          <w:lang w:val="ru-RU"/>
        </w:rPr>
        <w:t>93</w:t>
      </w:r>
      <w:r>
        <w:t>bc</w:t>
      </w:r>
      <w:r>
        <w:rPr>
          <w:lang w:val="ru-RU"/>
        </w:rPr>
        <w:t>51590</w:t>
      </w:r>
      <w:r>
        <w:t>cf</w:t>
      </w:r>
      <w:r>
        <w:rPr>
          <w:lang w:val="ru-RU"/>
        </w:rPr>
        <w:t>7</w:t>
      </w:r>
      <w:r>
        <w:t>f</w:t>
      </w:r>
      <w:r>
        <w:rPr>
          <w:lang w:val="ru-RU"/>
        </w:rPr>
        <w:t>49</w:t>
      </w:r>
      <w:r>
        <w:t>c</w:t>
      </w:r>
      <w:r>
        <w:rPr>
          <w:lang w:val="ru-RU"/>
        </w:rPr>
        <w:t>2256</w:t>
      </w:r>
      <w:r>
        <w:t>dc</w:t>
      </w:r>
      <w:r>
        <w:rPr>
          <w:lang w:val="ru-RU"/>
        </w:rPr>
        <w:t>0004601</w:t>
      </w:r>
      <w:r>
        <w:t>db</w:t>
      </w:r>
      <w:r>
        <w:rPr>
          <w:lang w:val="ru-RU"/>
        </w:rPr>
        <w:t>?</w:t>
      </w:r>
      <w:r>
        <w:t>OpenDocument</w:t>
      </w:r>
      <w:r>
        <w:rPr>
          <w:lang w:val="ru-RU"/>
        </w:rPr>
        <w:t>.</w:t>
      </w:r>
    </w:p>
  </w:footnote>
  <w:footnote w:id="12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rFonts w:cs="Arial"/>
          <w:szCs w:val="18"/>
        </w:rPr>
        <w:t>N</w:t>
      </w:r>
      <w:r>
        <w:rPr>
          <w:rFonts w:cs="Arial"/>
          <w:szCs w:val="18"/>
          <w:lang w:val="ru-RU"/>
        </w:rPr>
        <w:t>° 1202-</w:t>
      </w:r>
      <w:r>
        <w:rPr>
          <w:rFonts w:cs="Arial"/>
          <w:szCs w:val="18"/>
        </w:rPr>
        <w:t>XII</w:t>
      </w:r>
      <w:r>
        <w:rPr>
          <w:rFonts w:cs="Arial"/>
          <w:szCs w:val="18"/>
          <w:lang w:val="ru-RU"/>
        </w:rPr>
        <w:t xml:space="preserve">, "Закон Республики Беларусь", </w:t>
      </w:r>
      <w:hyperlink r:id="rId5" w:history="1">
        <w:r>
          <w:rPr>
            <w:rStyle w:val="Hyperlink"/>
            <w:rFonts w:cs="Arial"/>
            <w:szCs w:val="18"/>
            <w:u w:val="none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</w:rPr>
          <w:t>pravo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</w:rPr>
          <w:t>by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</w:rPr>
          <w:t>webnpa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</w:rPr>
          <w:t>text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</w:rPr>
          <w:t>asp</w:t>
        </w:r>
        <w:r>
          <w:rPr>
            <w:rStyle w:val="Hyperlink"/>
            <w:rFonts w:cs="Arial"/>
            <w:szCs w:val="18"/>
            <w:u w:val="none"/>
            <w:lang w:val="ru-RU"/>
          </w:rPr>
          <w:t>?</w:t>
        </w:r>
        <w:r>
          <w:rPr>
            <w:rStyle w:val="Hyperlink"/>
            <w:rFonts w:cs="Arial"/>
            <w:szCs w:val="18"/>
            <w:u w:val="none"/>
          </w:rPr>
          <w:t>start</w:t>
        </w:r>
        <w:r>
          <w:rPr>
            <w:rStyle w:val="Hyperlink"/>
            <w:rFonts w:cs="Arial"/>
            <w:szCs w:val="18"/>
            <w:u w:val="none"/>
            <w:lang w:val="ru-RU"/>
          </w:rPr>
          <w:t>=1&amp;</w:t>
        </w:r>
        <w:r>
          <w:rPr>
            <w:rStyle w:val="Hyperlink"/>
            <w:rFonts w:cs="Arial"/>
            <w:szCs w:val="18"/>
            <w:u w:val="none"/>
          </w:rPr>
          <w:t>RN</w:t>
        </w:r>
        <w:r>
          <w:rPr>
            <w:rStyle w:val="Hyperlink"/>
            <w:rFonts w:cs="Arial"/>
            <w:szCs w:val="18"/>
            <w:u w:val="none"/>
            <w:lang w:val="ru-RU"/>
          </w:rPr>
          <w:t>=</w:t>
        </w:r>
        <w:r>
          <w:rPr>
            <w:rStyle w:val="Hyperlink"/>
            <w:rFonts w:cs="Arial"/>
            <w:szCs w:val="18"/>
            <w:u w:val="none"/>
          </w:rPr>
          <w:t>V</w:t>
        </w:r>
        <w:r>
          <w:rPr>
            <w:rStyle w:val="Hyperlink"/>
            <w:rFonts w:cs="Arial"/>
            <w:szCs w:val="18"/>
            <w:u w:val="none"/>
            <w:lang w:val="ru-RU"/>
          </w:rPr>
          <w:t>19101202</w:t>
        </w:r>
      </w:hyperlink>
      <w:r>
        <w:rPr>
          <w:rFonts w:cs="Arial"/>
          <w:szCs w:val="18"/>
          <w:lang w:val="ru-RU"/>
        </w:rPr>
        <w:t xml:space="preserve"> (только на русском языке).</w:t>
      </w:r>
    </w:p>
  </w:footnote>
  <w:footnote w:id="13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rFonts w:cs="Arial"/>
          <w:szCs w:val="18"/>
          <w:lang w:val="ru-RU"/>
        </w:rPr>
        <w:t>Структура: в статьях 2-12 перечисляются основные задачи законодательства и принципы государственной политики в сфере образования; приводится список целей образования; описываются права граждан с точки зрения образования и языков обучения и воспитания и прослеживается законодательная связь между образованием и культурой, наукой, экологией, общественным здравоохранением, сферой производства и политической деятельностью. В статьях 14-23 дается определение структуры системы образования и задач и информационного наполнения ее различных уровней (дошкольное, общее среднее, заочное, профессионально-техническое, среднее специальное, высшее образование, подготовка преподавательского состава и научно-технических кадров, повышение квалификации и переподготовка старших сотрудников, образование для взрослых). В статьях 24-29 описываются функции системы образования и статус учебных заведений, включая негосударственные учебные заведения, а также оговаривается механизм управления образованием, его содержание и организация учебного процесса. В статьях 30-35 определяются права и обязанности всех участников процесса образования: учеников, студентов, родителей и учителей. Статьи 36 и 37 посвящены материально-технической базе системы образования и механизмам, используемым для финансирования этой системы (вебсайт Международного бюро по вопросам образования).</w:t>
      </w:r>
    </w:p>
  </w:footnote>
  <w:footnote w:id="14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szCs w:val="18"/>
          <w:vertAlign w:val="superscript"/>
          <w:lang w:val="ru-RU"/>
        </w:rPr>
        <w:footnoteRef/>
      </w:r>
      <w:r>
        <w:rPr>
          <w:szCs w:val="18"/>
          <w:lang w:val="ru-RU"/>
        </w:rPr>
        <w:t xml:space="preserve"> </w:t>
      </w:r>
      <w:r>
        <w:rPr>
          <w:lang w:val="ru-RU"/>
        </w:rPr>
        <w:tab/>
        <w:t xml:space="preserve">Неофициальный перевод Национального доклада о развитии системы образования в Беларуси, </w:t>
      </w:r>
      <w:hyperlink r:id="rId6" w:history="1">
        <w:r>
          <w:rPr>
            <w:rStyle w:val="Hyperlink"/>
            <w:rFonts w:cs="Arial"/>
            <w:szCs w:val="18"/>
            <w:u w:val="none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</w:rPr>
          <w:t>ibe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</w:rPr>
          <w:t>unesco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</w:rPr>
          <w:t>org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</w:rPr>
          <w:t>National</w:t>
        </w:r>
        <w:r>
          <w:rPr>
            <w:rStyle w:val="Hyperlink"/>
            <w:rFonts w:cs="Arial"/>
            <w:szCs w:val="18"/>
            <w:u w:val="none"/>
            <w:lang w:val="ru-RU"/>
          </w:rPr>
          <w:t>_</w:t>
        </w:r>
        <w:r>
          <w:rPr>
            <w:rStyle w:val="Hyperlink"/>
            <w:rFonts w:cs="Arial"/>
            <w:szCs w:val="18"/>
            <w:u w:val="none"/>
          </w:rPr>
          <w:t>Reports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</w:rPr>
          <w:t>ICE</w:t>
        </w:r>
        <w:r>
          <w:rPr>
            <w:rStyle w:val="Hyperlink"/>
            <w:rFonts w:cs="Arial"/>
            <w:szCs w:val="18"/>
            <w:u w:val="none"/>
            <w:lang w:val="ru-RU"/>
          </w:rPr>
          <w:t>_2008/</w:t>
        </w:r>
        <w:r>
          <w:rPr>
            <w:rStyle w:val="Hyperlink"/>
            <w:rFonts w:cs="Arial"/>
            <w:szCs w:val="18"/>
            <w:u w:val="none"/>
          </w:rPr>
          <w:t>belarus</w:t>
        </w:r>
        <w:r>
          <w:rPr>
            <w:rStyle w:val="Hyperlink"/>
            <w:rFonts w:cs="Arial"/>
            <w:szCs w:val="18"/>
            <w:u w:val="none"/>
            <w:lang w:val="ru-RU"/>
          </w:rPr>
          <w:t>_</w:t>
        </w:r>
        <w:r>
          <w:rPr>
            <w:rStyle w:val="Hyperlink"/>
            <w:rFonts w:cs="Arial"/>
            <w:szCs w:val="18"/>
            <w:u w:val="none"/>
          </w:rPr>
          <w:t>NR</w:t>
        </w:r>
        <w:r>
          <w:rPr>
            <w:rStyle w:val="Hyperlink"/>
            <w:rFonts w:cs="Arial"/>
            <w:szCs w:val="18"/>
            <w:u w:val="none"/>
            <w:lang w:val="ru-RU"/>
          </w:rPr>
          <w:t>08_</w:t>
        </w:r>
        <w:r>
          <w:rPr>
            <w:rStyle w:val="Hyperlink"/>
            <w:rFonts w:cs="Arial"/>
            <w:szCs w:val="18"/>
            <w:u w:val="none"/>
          </w:rPr>
          <w:t>rus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</w:rPr>
          <w:t>pdf</w:t>
        </w:r>
      </w:hyperlink>
      <w:r>
        <w:rPr>
          <w:lang w:val="ru-RU"/>
        </w:rPr>
        <w:t>.</w:t>
      </w:r>
    </w:p>
  </w:footnote>
  <w:footnote w:id="15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ИСПР</w:t>
      </w:r>
      <w:r>
        <w:rPr>
          <w:rFonts w:cs="Arial"/>
          <w:szCs w:val="18"/>
          <w:lang w:val="ru-RU"/>
        </w:rPr>
        <w:t xml:space="preserve">, Беларусь: Ссылки на права детей в универсальном периодическом обзоре </w:t>
      </w:r>
      <w:hyperlink r:id="rId7" w:history="1">
        <w:r>
          <w:rPr>
            <w:rStyle w:val="Hyperlink"/>
            <w:rFonts w:cs="Arial"/>
            <w:szCs w:val="18"/>
            <w:u w:val="none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</w:rPr>
          <w:t>crin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</w:rPr>
          <w:t>org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</w:rPr>
          <w:t>enoc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</w:rPr>
          <w:t>resources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</w:rPr>
          <w:t>infodetail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</w:rPr>
          <w:t>asp</w:t>
        </w:r>
        <w:r>
          <w:rPr>
            <w:rStyle w:val="Hyperlink"/>
            <w:rFonts w:cs="Arial"/>
            <w:szCs w:val="18"/>
            <w:u w:val="none"/>
            <w:lang w:val="ru-RU"/>
          </w:rPr>
          <w:t>?</w:t>
        </w:r>
        <w:r>
          <w:rPr>
            <w:rStyle w:val="Hyperlink"/>
            <w:rFonts w:cs="Arial"/>
            <w:szCs w:val="18"/>
            <w:u w:val="none"/>
          </w:rPr>
          <w:t>id</w:t>
        </w:r>
        <w:r>
          <w:rPr>
            <w:rStyle w:val="Hyperlink"/>
            <w:rFonts w:cs="Arial"/>
            <w:szCs w:val="18"/>
            <w:u w:val="none"/>
            <w:lang w:val="ru-RU"/>
          </w:rPr>
          <w:t>=22307</w:t>
        </w:r>
      </w:hyperlink>
      <w:r>
        <w:rPr>
          <w:rFonts w:cs="Arial"/>
          <w:szCs w:val="18"/>
          <w:lang w:val="ru-RU"/>
        </w:rPr>
        <w:t>.</w:t>
      </w:r>
    </w:p>
  </w:footnote>
  <w:footnote w:id="16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Неофициальный перевод Национального доклада о развития системы образования в Беларуси</w:t>
      </w:r>
      <w:r>
        <w:rPr>
          <w:rFonts w:cs="Arial"/>
          <w:bCs/>
          <w:szCs w:val="18"/>
          <w:lang w:val="ru-RU"/>
        </w:rPr>
        <w:t xml:space="preserve">, </w:t>
      </w:r>
      <w:r>
        <w:rPr>
          <w:rFonts w:cs="Arial"/>
          <w:bCs/>
          <w:szCs w:val="18"/>
          <w:lang w:val="en"/>
        </w:rPr>
        <w:t>op</w:t>
      </w:r>
      <w:r>
        <w:rPr>
          <w:rFonts w:cs="Arial"/>
          <w:bCs/>
          <w:szCs w:val="18"/>
          <w:lang w:val="ru-RU"/>
        </w:rPr>
        <w:t>. с</w:t>
      </w:r>
      <w:r>
        <w:rPr>
          <w:rFonts w:cs="Arial"/>
          <w:bCs/>
          <w:szCs w:val="18"/>
          <w:lang w:val="en"/>
        </w:rPr>
        <w:t>it</w:t>
      </w:r>
      <w:r>
        <w:rPr>
          <w:rFonts w:cs="Arial"/>
          <w:bCs/>
          <w:szCs w:val="18"/>
          <w:lang w:val="ru-RU"/>
        </w:rPr>
        <w:t>.</w:t>
      </w:r>
    </w:p>
  </w:footnote>
  <w:footnote w:id="17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См. </w:t>
      </w:r>
      <w:hyperlink r:id="rId8" w:history="1">
        <w:r>
          <w:rPr>
            <w:rStyle w:val="Hyperlink"/>
            <w:rFonts w:cs="Arial"/>
            <w:bCs/>
            <w:szCs w:val="18"/>
            <w:u w:val="none"/>
            <w:lang w:val="en-US"/>
          </w:rPr>
          <w:t>http</w:t>
        </w:r>
        <w:r>
          <w:rPr>
            <w:rStyle w:val="Hyperlink"/>
            <w:rFonts w:cs="Arial"/>
            <w:bCs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bCs/>
            <w:szCs w:val="18"/>
            <w:u w:val="none"/>
            <w:lang w:val="en-US"/>
          </w:rPr>
          <w:t>www</w:t>
        </w:r>
        <w:r>
          <w:rPr>
            <w:rStyle w:val="Hyperlink"/>
            <w:rFonts w:cs="Arial"/>
            <w:bCs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bCs/>
            <w:szCs w:val="18"/>
            <w:u w:val="none"/>
            <w:lang w:val="en-US"/>
          </w:rPr>
          <w:t>servat</w:t>
        </w:r>
        <w:r>
          <w:rPr>
            <w:rStyle w:val="Hyperlink"/>
            <w:rFonts w:cs="Arial"/>
            <w:bCs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bCs/>
            <w:szCs w:val="18"/>
            <w:u w:val="none"/>
            <w:lang w:val="en-US"/>
          </w:rPr>
          <w:t>unibe</w:t>
        </w:r>
        <w:r>
          <w:rPr>
            <w:rStyle w:val="Hyperlink"/>
            <w:rFonts w:cs="Arial"/>
            <w:bCs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bCs/>
            <w:szCs w:val="18"/>
            <w:u w:val="none"/>
            <w:lang w:val="en-US"/>
          </w:rPr>
          <w:t>ch</w:t>
        </w:r>
        <w:r>
          <w:rPr>
            <w:rStyle w:val="Hyperlink"/>
            <w:rFonts w:cs="Arial"/>
            <w:bCs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bCs/>
            <w:szCs w:val="18"/>
            <w:u w:val="none"/>
            <w:lang w:val="en-US"/>
          </w:rPr>
          <w:t>icl</w:t>
        </w:r>
        <w:r>
          <w:rPr>
            <w:rStyle w:val="Hyperlink"/>
            <w:rFonts w:cs="Arial"/>
            <w:bCs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bCs/>
            <w:szCs w:val="18"/>
            <w:u w:val="none"/>
            <w:lang w:val="en-US"/>
          </w:rPr>
          <w:t>is</w:t>
        </w:r>
        <w:r>
          <w:rPr>
            <w:rStyle w:val="Hyperlink"/>
            <w:rFonts w:cs="Arial"/>
            <w:bCs/>
            <w:szCs w:val="18"/>
            <w:u w:val="none"/>
            <w:lang w:val="ru-RU"/>
          </w:rPr>
          <w:t>__</w:t>
        </w:r>
        <w:r>
          <w:rPr>
            <w:rStyle w:val="Hyperlink"/>
            <w:rFonts w:cs="Arial"/>
            <w:bCs/>
            <w:szCs w:val="18"/>
            <w:u w:val="none"/>
            <w:lang w:val="en-US"/>
          </w:rPr>
          <w:t>indx</w:t>
        </w:r>
        <w:r>
          <w:rPr>
            <w:rStyle w:val="Hyperlink"/>
            <w:rFonts w:cs="Arial"/>
            <w:bCs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bCs/>
            <w:szCs w:val="18"/>
            <w:u w:val="none"/>
            <w:lang w:val="en-US"/>
          </w:rPr>
          <w:t>html</w:t>
        </w:r>
      </w:hyperlink>
      <w:r>
        <w:rPr>
          <w:rFonts w:cs="Arial"/>
          <w:szCs w:val="18"/>
          <w:lang w:val="ru-RU"/>
        </w:rPr>
        <w:t xml:space="preserve"> и </w:t>
      </w:r>
      <w:hyperlink r:id="rId9" w:history="1">
        <w:r>
          <w:rPr>
            <w:rStyle w:val="Hyperlink"/>
            <w:rFonts w:cs="Arial"/>
            <w:szCs w:val="18"/>
            <w:u w:val="none"/>
            <w:lang w:val="en-US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  <w:lang w:val="en-US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knesset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gov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il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description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eng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eng</w:t>
        </w:r>
        <w:r>
          <w:rPr>
            <w:rStyle w:val="Hyperlink"/>
            <w:rFonts w:cs="Arial"/>
            <w:szCs w:val="18"/>
            <w:u w:val="none"/>
            <w:lang w:val="ru-RU"/>
          </w:rPr>
          <w:t>_</w:t>
        </w:r>
        <w:r>
          <w:rPr>
            <w:rStyle w:val="Hyperlink"/>
            <w:rFonts w:cs="Arial"/>
            <w:szCs w:val="18"/>
            <w:u w:val="none"/>
            <w:lang w:val="en-US"/>
          </w:rPr>
          <w:t>mimshal</w:t>
        </w:r>
        <w:r>
          <w:rPr>
            <w:rStyle w:val="Hyperlink"/>
            <w:rFonts w:cs="Arial"/>
            <w:szCs w:val="18"/>
            <w:u w:val="none"/>
            <w:lang w:val="ru-RU"/>
          </w:rPr>
          <w:t>_</w:t>
        </w:r>
        <w:r>
          <w:rPr>
            <w:rStyle w:val="Hyperlink"/>
            <w:rFonts w:cs="Arial"/>
            <w:szCs w:val="18"/>
            <w:u w:val="none"/>
            <w:lang w:val="en-US"/>
          </w:rPr>
          <w:t>yesod</w:t>
        </w:r>
        <w:r>
          <w:rPr>
            <w:rStyle w:val="Hyperlink"/>
            <w:rFonts w:cs="Arial"/>
            <w:szCs w:val="18"/>
            <w:u w:val="none"/>
            <w:lang w:val="ru-RU"/>
          </w:rPr>
          <w:t>1.</w:t>
        </w:r>
        <w:r>
          <w:rPr>
            <w:rStyle w:val="Hyperlink"/>
            <w:rFonts w:cs="Arial"/>
            <w:szCs w:val="18"/>
            <w:u w:val="none"/>
            <w:lang w:val="en-US"/>
          </w:rPr>
          <w:t>htm</w:t>
        </w:r>
      </w:hyperlink>
      <w:r>
        <w:rPr>
          <w:rFonts w:cs="Arial"/>
          <w:szCs w:val="18"/>
          <w:lang w:val="ru-RU"/>
        </w:rPr>
        <w:t>.</w:t>
      </w:r>
    </w:p>
  </w:footnote>
  <w:footnote w:id="18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rFonts w:cs="Arial"/>
          <w:szCs w:val="18"/>
          <w:lang w:val="ru-RU"/>
        </w:rPr>
        <w:t xml:space="preserve">МБО, Обзор системы образования в Израиле, </w:t>
      </w:r>
      <w:hyperlink r:id="rId10" w:history="1">
        <w:r>
          <w:rPr>
            <w:rStyle w:val="Hyperlink"/>
            <w:rFonts w:cs="Arial"/>
            <w:szCs w:val="18"/>
            <w:u w:val="none"/>
            <w:lang w:val="en-US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  <w:lang w:val="en-US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ibe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unesco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org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fr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dans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le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monde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europe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et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amerique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du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nord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israel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profile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of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education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html</w:t>
        </w:r>
      </w:hyperlink>
      <w:r>
        <w:rPr>
          <w:rFonts w:cs="Arial"/>
          <w:szCs w:val="18"/>
          <w:lang w:val="ru-RU"/>
        </w:rPr>
        <w:t>.</w:t>
      </w:r>
    </w:p>
  </w:footnote>
  <w:footnote w:id="19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rFonts w:cs="Arial"/>
          <w:szCs w:val="18"/>
          <w:lang w:val="ru-RU"/>
        </w:rPr>
        <w:t xml:space="preserve">Международная организация труда, </w:t>
      </w:r>
      <w:hyperlink r:id="rId11" w:history="1">
        <w:r>
          <w:rPr>
            <w:rStyle w:val="Hyperlink"/>
            <w:rFonts w:cs="Arial"/>
            <w:szCs w:val="18"/>
            <w:u w:val="none"/>
            <w:lang w:val="fr-FR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  <w:lang w:val="fr-FR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fr-FR"/>
          </w:rPr>
          <w:t>ilo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fr-FR"/>
          </w:rPr>
          <w:t>org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fr-FR"/>
          </w:rPr>
          <w:t>public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fr-FR"/>
          </w:rPr>
          <w:t>english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fr-FR"/>
          </w:rPr>
          <w:t>dialogue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fr-FR"/>
          </w:rPr>
          <w:t>ifpdial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fr-FR"/>
          </w:rPr>
          <w:t>info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fr-FR"/>
          </w:rPr>
          <w:t>national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fr-FR"/>
          </w:rPr>
          <w:t>is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fr-FR"/>
          </w:rPr>
          <w:t>htm</w:t>
        </w:r>
      </w:hyperlink>
      <w:r>
        <w:rPr>
          <w:lang w:val="ru-RU"/>
        </w:rPr>
        <w:t>.</w:t>
      </w:r>
    </w:p>
  </w:footnote>
  <w:footnote w:id="20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См. </w:t>
      </w:r>
      <w:r>
        <w:rPr>
          <w:rFonts w:cs="Arial"/>
          <w:szCs w:val="18"/>
          <w:lang w:val="en-US"/>
        </w:rPr>
        <w:t>http</w:t>
      </w:r>
      <w:r>
        <w:rPr>
          <w:rFonts w:cs="Arial"/>
          <w:szCs w:val="18"/>
          <w:lang w:val="ru-RU"/>
        </w:rPr>
        <w:t>://</w:t>
      </w:r>
      <w:r>
        <w:rPr>
          <w:rFonts w:cs="Arial"/>
          <w:szCs w:val="18"/>
          <w:lang w:val="en-US"/>
        </w:rPr>
        <w:t>kenya</w:t>
      </w:r>
      <w:r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en-US"/>
        </w:rPr>
        <w:t>rcbowen</w:t>
      </w:r>
      <w:r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en-US"/>
        </w:rPr>
        <w:t>com</w:t>
      </w:r>
      <w:r>
        <w:rPr>
          <w:rFonts w:cs="Arial"/>
          <w:szCs w:val="18"/>
          <w:lang w:val="ru-RU"/>
        </w:rPr>
        <w:t>/</w:t>
      </w:r>
      <w:r>
        <w:rPr>
          <w:rFonts w:cs="Arial"/>
          <w:szCs w:val="18"/>
          <w:lang w:val="en-US"/>
        </w:rPr>
        <w:t>constitution</w:t>
      </w:r>
      <w:r>
        <w:rPr>
          <w:rFonts w:cs="Arial"/>
          <w:szCs w:val="18"/>
          <w:lang w:val="ru-RU"/>
        </w:rPr>
        <w:t>/ (доступ 15/11/2010).</w:t>
      </w:r>
    </w:p>
  </w:footnote>
  <w:footnote w:id="21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См. </w:t>
      </w:r>
      <w:hyperlink r:id="rId12" w:history="1">
        <w:r>
          <w:rPr>
            <w:rStyle w:val="Hyperlink"/>
            <w:rFonts w:cs="Arial"/>
            <w:szCs w:val="18"/>
            <w:u w:val="none"/>
            <w:lang w:val="en-US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  <w:lang w:val="en-US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ibe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unesco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org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fr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dans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le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monde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regions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de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lunesco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afrique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kenya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profile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of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education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htm</w:t>
        </w:r>
      </w:hyperlink>
      <w:r>
        <w:rPr>
          <w:rFonts w:cs="Arial"/>
          <w:szCs w:val="18"/>
          <w:lang w:val="ru-RU"/>
        </w:rPr>
        <w:t xml:space="preserve"> (доступ 15/11/2010).</w:t>
      </w:r>
    </w:p>
  </w:footnote>
  <w:footnote w:id="22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См. </w:t>
      </w:r>
      <w:hyperlink r:id="rId13" w:history="1">
        <w:r>
          <w:rPr>
            <w:rStyle w:val="Hyperlink"/>
            <w:rFonts w:cs="Arial"/>
            <w:szCs w:val="18"/>
            <w:u w:val="none"/>
            <w:lang w:val="en-US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  <w:lang w:val="en-US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ling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lancs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ac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uk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groups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crile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docs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crile</w:t>
        </w:r>
        <w:r>
          <w:rPr>
            <w:rStyle w:val="Hyperlink"/>
            <w:rFonts w:cs="Arial"/>
            <w:szCs w:val="18"/>
            <w:u w:val="none"/>
            <w:lang w:val="ru-RU"/>
          </w:rPr>
          <w:t>54</w:t>
        </w:r>
        <w:r>
          <w:rPr>
            <w:rStyle w:val="Hyperlink"/>
            <w:rFonts w:cs="Arial"/>
            <w:szCs w:val="18"/>
            <w:u w:val="none"/>
            <w:lang w:val="en-US"/>
          </w:rPr>
          <w:t>kitetu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pdf</w:t>
        </w:r>
      </w:hyperlink>
      <w:r>
        <w:rPr>
          <w:rFonts w:cs="Arial"/>
          <w:szCs w:val="18"/>
          <w:lang w:val="ru-RU"/>
        </w:rPr>
        <w:t xml:space="preserve"> (доступ 15/11/2010).</w:t>
      </w:r>
    </w:p>
  </w:footnote>
  <w:footnote w:id="23">
    <w:p w:rsidR="00000000" w:rsidRDefault="00000000">
      <w:pPr>
        <w:pStyle w:val="FootnoteText"/>
        <w:rPr>
          <w:lang w:val="en-US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>
        <w:t xml:space="preserve">См. </w:t>
      </w:r>
      <w:r>
        <w:rPr>
          <w:lang w:val="en-US"/>
        </w:rPr>
        <w:t>http://www.nation.co.ke/News/Kenya%20 bridging%20gap%20on%20gender%20 divide%20in%20learning%20/-/1056/952758/-/hgax29/-/index.html. (доступ 15/11/2010).</w:t>
      </w:r>
    </w:p>
  </w:footnote>
  <w:footnote w:id="24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См. </w:t>
      </w:r>
      <w:hyperlink r:id="rId14" w:history="1">
        <w:r>
          <w:rPr>
            <w:rStyle w:val="Hyperlink"/>
            <w:rFonts w:cs="Arial"/>
            <w:szCs w:val="18"/>
            <w:u w:val="none"/>
            <w:lang w:val="en-US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  <w:lang w:val="en-US"/>
          </w:rPr>
          <w:t>ipsnews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net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africa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nota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asp</w:t>
        </w:r>
        <w:r>
          <w:rPr>
            <w:rStyle w:val="Hyperlink"/>
            <w:rFonts w:cs="Arial"/>
            <w:szCs w:val="18"/>
            <w:u w:val="none"/>
            <w:lang w:val="ru-RU"/>
          </w:rPr>
          <w:t>?</w:t>
        </w:r>
        <w:r>
          <w:rPr>
            <w:rStyle w:val="Hyperlink"/>
            <w:rFonts w:cs="Arial"/>
            <w:szCs w:val="18"/>
            <w:u w:val="none"/>
            <w:lang w:val="en-US"/>
          </w:rPr>
          <w:t>idnews</w:t>
        </w:r>
        <w:r>
          <w:rPr>
            <w:rStyle w:val="Hyperlink"/>
            <w:rFonts w:cs="Arial"/>
            <w:szCs w:val="18"/>
            <w:u w:val="none"/>
            <w:lang w:val="ru-RU"/>
          </w:rPr>
          <w:t>=34137</w:t>
        </w:r>
      </w:hyperlink>
      <w:r>
        <w:rPr>
          <w:rFonts w:cs="Arial"/>
          <w:szCs w:val="18"/>
          <w:lang w:val="ru-RU"/>
        </w:rPr>
        <w:t xml:space="preserve"> (доступ 16/11/2010).</w:t>
      </w:r>
    </w:p>
  </w:footnote>
  <w:footnote w:id="25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См. </w:t>
      </w:r>
      <w:hyperlink r:id="rId15" w:history="1">
        <w:r>
          <w:rPr>
            <w:rStyle w:val="Hyperlink"/>
            <w:rFonts w:cs="Arial"/>
            <w:szCs w:val="18"/>
            <w:u w:val="none"/>
            <w:lang w:val="en-US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  <w:lang w:val="en-US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ibe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unesco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org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International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ICE</w:t>
        </w:r>
        <w:r>
          <w:rPr>
            <w:rStyle w:val="Hyperlink"/>
            <w:rFonts w:cs="Arial"/>
            <w:szCs w:val="18"/>
            <w:u w:val="none"/>
            <w:lang w:val="ru-RU"/>
          </w:rPr>
          <w:t>47/</w:t>
        </w:r>
        <w:r>
          <w:rPr>
            <w:rStyle w:val="Hyperlink"/>
            <w:rFonts w:cs="Arial"/>
            <w:szCs w:val="18"/>
            <w:u w:val="none"/>
            <w:lang w:val="en-US"/>
          </w:rPr>
          <w:t>English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Natreps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reports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kenya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pdf</w:t>
        </w:r>
      </w:hyperlink>
      <w:r>
        <w:rPr>
          <w:rFonts w:cs="Arial"/>
          <w:szCs w:val="18"/>
          <w:lang w:val="ru-RU"/>
        </w:rPr>
        <w:t xml:space="preserve"> (доступ 15/11/2010).</w:t>
      </w:r>
    </w:p>
  </w:footnote>
  <w:footnote w:id="26">
    <w:p w:rsidR="00000000" w:rsidRDefault="0000000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hyperlink r:id="rId16" w:history="1">
        <w:r>
          <w:rPr>
            <w:rStyle w:val="Hyperlink"/>
            <w:u w:val="none"/>
            <w:lang w:val="en-US"/>
          </w:rPr>
          <w:t>http</w:t>
        </w:r>
        <w:r>
          <w:rPr>
            <w:rStyle w:val="Hyperlink"/>
            <w:u w:val="none"/>
            <w:lang w:val="ru-RU"/>
          </w:rPr>
          <w:t>://</w:t>
        </w:r>
        <w:r>
          <w:rPr>
            <w:rStyle w:val="Hyperlink"/>
            <w:u w:val="none"/>
            <w:lang w:val="en-US"/>
          </w:rPr>
          <w:t>www</w:t>
        </w:r>
        <w:r>
          <w:rPr>
            <w:rStyle w:val="Hyperlink"/>
            <w:u w:val="none"/>
            <w:lang w:val="ru-RU"/>
          </w:rPr>
          <w:t>.</w:t>
        </w:r>
        <w:r>
          <w:rPr>
            <w:rStyle w:val="Hyperlink"/>
            <w:u w:val="none"/>
            <w:lang w:val="en-US"/>
          </w:rPr>
          <w:t>info</w:t>
        </w:r>
        <w:r>
          <w:rPr>
            <w:rStyle w:val="Hyperlink"/>
            <w:u w:val="none"/>
            <w:lang w:val="ru-RU"/>
          </w:rPr>
          <w:t>.</w:t>
        </w:r>
        <w:r>
          <w:rPr>
            <w:rStyle w:val="Hyperlink"/>
            <w:u w:val="none"/>
            <w:lang w:val="en-US"/>
          </w:rPr>
          <w:t>gov</w:t>
        </w:r>
        <w:r>
          <w:rPr>
            <w:rStyle w:val="Hyperlink"/>
            <w:u w:val="none"/>
            <w:lang w:val="ru-RU"/>
          </w:rPr>
          <w:t>.</w:t>
        </w:r>
        <w:r>
          <w:rPr>
            <w:rStyle w:val="Hyperlink"/>
            <w:u w:val="none"/>
            <w:lang w:val="en-US"/>
          </w:rPr>
          <w:t>za</w:t>
        </w:r>
        <w:r>
          <w:rPr>
            <w:rStyle w:val="Hyperlink"/>
            <w:u w:val="none"/>
            <w:lang w:val="ru-RU"/>
          </w:rPr>
          <w:t>/</w:t>
        </w:r>
        <w:r>
          <w:rPr>
            <w:rStyle w:val="Hyperlink"/>
            <w:u w:val="none"/>
            <w:lang w:val="en-US"/>
          </w:rPr>
          <w:t>documents</w:t>
        </w:r>
        <w:r>
          <w:rPr>
            <w:rStyle w:val="Hyperlink"/>
            <w:u w:val="none"/>
            <w:lang w:val="ru-RU"/>
          </w:rPr>
          <w:t>/</w:t>
        </w:r>
        <w:r>
          <w:rPr>
            <w:rStyle w:val="Hyperlink"/>
            <w:u w:val="none"/>
            <w:lang w:val="en-US"/>
          </w:rPr>
          <w:t>constitution</w:t>
        </w:r>
        <w:r>
          <w:rPr>
            <w:rStyle w:val="Hyperlink"/>
            <w:u w:val="none"/>
            <w:lang w:val="ru-RU"/>
          </w:rPr>
          <w:t>/1996/</w:t>
        </w:r>
        <w:r>
          <w:rPr>
            <w:rStyle w:val="Hyperlink"/>
            <w:u w:val="none"/>
            <w:lang w:val="en-US"/>
          </w:rPr>
          <w:t>index</w:t>
        </w:r>
        <w:r>
          <w:rPr>
            <w:rStyle w:val="Hyperlink"/>
            <w:u w:val="none"/>
            <w:lang w:val="ru-RU"/>
          </w:rPr>
          <w:t>.</w:t>
        </w:r>
        <w:r>
          <w:rPr>
            <w:rStyle w:val="Hyperlink"/>
            <w:u w:val="none"/>
            <w:lang w:val="en-US"/>
          </w:rPr>
          <w:t>htm</w:t>
        </w:r>
      </w:hyperlink>
      <w:r>
        <w:rPr>
          <w:lang w:val="ru-RU"/>
        </w:rPr>
        <w:t xml:space="preserve"> (доступ 12/11/2010).</w:t>
      </w:r>
    </w:p>
  </w:footnote>
  <w:footnote w:id="27">
    <w:p w:rsidR="00000000" w:rsidRDefault="0000000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hyperlink r:id="rId17" w:history="1">
        <w:r>
          <w:rPr>
            <w:rStyle w:val="Hyperlink"/>
            <w:rFonts w:cs="Arial"/>
            <w:szCs w:val="18"/>
            <w:u w:val="none"/>
            <w:lang w:val="en-US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  <w:lang w:val="en-US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ibe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unesco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org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fr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dans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le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monde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regions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de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lunesco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afrique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afrique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du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sud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profile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of</w:t>
        </w:r>
        <w:r>
          <w:rPr>
            <w:rStyle w:val="Hyperlink"/>
            <w:rFonts w:cs="Arial"/>
            <w:szCs w:val="18"/>
            <w:u w:val="none"/>
            <w:lang w:val="ru-RU"/>
          </w:rPr>
          <w:t>-</w:t>
        </w:r>
        <w:r>
          <w:rPr>
            <w:rStyle w:val="Hyperlink"/>
            <w:rFonts w:cs="Arial"/>
            <w:szCs w:val="18"/>
            <w:u w:val="none"/>
            <w:lang w:val="en-US"/>
          </w:rPr>
          <w:t>education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html</w:t>
        </w:r>
      </w:hyperlink>
      <w:r>
        <w:rPr>
          <w:rFonts w:cs="Arial"/>
          <w:szCs w:val="18"/>
          <w:lang w:val="ru-RU"/>
        </w:rPr>
        <w:t xml:space="preserve"> (доступ 15/11/2010).</w:t>
      </w:r>
    </w:p>
  </w:footnote>
  <w:footnote w:id="28">
    <w:p w:rsidR="00000000" w:rsidRDefault="0000000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hyperlink r:id="rId18" w:history="1">
        <w:r>
          <w:rPr>
            <w:rStyle w:val="Hyperlink"/>
            <w:rFonts w:cs="Arial"/>
            <w:szCs w:val="18"/>
            <w:u w:val="none"/>
            <w:lang w:val="en-US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  <w:lang w:val="en-US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info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gov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za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acts</w:t>
        </w:r>
        <w:r>
          <w:rPr>
            <w:rStyle w:val="Hyperlink"/>
            <w:rFonts w:cs="Arial"/>
            <w:szCs w:val="18"/>
            <w:u w:val="none"/>
            <w:lang w:val="ru-RU"/>
          </w:rPr>
          <w:t>/1996/</w:t>
        </w:r>
        <w:r>
          <w:rPr>
            <w:rStyle w:val="Hyperlink"/>
            <w:rFonts w:cs="Arial"/>
            <w:szCs w:val="18"/>
            <w:u w:val="none"/>
            <w:lang w:val="en-US"/>
          </w:rPr>
          <w:t>a</w:t>
        </w:r>
        <w:r>
          <w:rPr>
            <w:rStyle w:val="Hyperlink"/>
            <w:rFonts w:cs="Arial"/>
            <w:szCs w:val="18"/>
            <w:u w:val="none"/>
            <w:lang w:val="ru-RU"/>
          </w:rPr>
          <w:t>27-96.</w:t>
        </w:r>
        <w:r>
          <w:rPr>
            <w:rStyle w:val="Hyperlink"/>
            <w:rFonts w:cs="Arial"/>
            <w:szCs w:val="18"/>
            <w:u w:val="none"/>
            <w:lang w:val="en-US"/>
          </w:rPr>
          <w:t>pdf</w:t>
        </w:r>
      </w:hyperlink>
      <w:r>
        <w:rPr>
          <w:rFonts w:cs="Arial"/>
          <w:szCs w:val="18"/>
          <w:lang w:val="ru-RU"/>
        </w:rPr>
        <w:t xml:space="preserve"> (доступ 12/11/2010).</w:t>
      </w:r>
    </w:p>
  </w:footnote>
  <w:footnote w:id="29">
    <w:p w:rsidR="00000000" w:rsidRDefault="0000000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hyperlink r:id="rId19" w:history="1">
        <w:r>
          <w:rPr>
            <w:rStyle w:val="Hyperlink"/>
            <w:rFonts w:cs="Arial"/>
            <w:szCs w:val="18"/>
            <w:u w:val="none"/>
            <w:lang w:val="en-US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  <w:lang w:val="en-US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info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gov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za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acts</w:t>
        </w:r>
        <w:r>
          <w:rPr>
            <w:rStyle w:val="Hyperlink"/>
            <w:rFonts w:cs="Arial"/>
            <w:szCs w:val="18"/>
            <w:u w:val="none"/>
            <w:lang w:val="ru-RU"/>
          </w:rPr>
          <w:t>/1996/</w:t>
        </w:r>
        <w:r>
          <w:rPr>
            <w:rStyle w:val="Hyperlink"/>
            <w:rFonts w:cs="Arial"/>
            <w:szCs w:val="18"/>
            <w:u w:val="none"/>
            <w:lang w:val="en-US"/>
          </w:rPr>
          <w:t>a</w:t>
        </w:r>
        <w:r>
          <w:rPr>
            <w:rStyle w:val="Hyperlink"/>
            <w:rFonts w:cs="Arial"/>
            <w:szCs w:val="18"/>
            <w:u w:val="none"/>
            <w:lang w:val="ru-RU"/>
          </w:rPr>
          <w:t>84-96.</w:t>
        </w:r>
        <w:r>
          <w:rPr>
            <w:rStyle w:val="Hyperlink"/>
            <w:rFonts w:cs="Arial"/>
            <w:szCs w:val="18"/>
            <w:u w:val="none"/>
            <w:lang w:val="en-US"/>
          </w:rPr>
          <w:t>pdf</w:t>
        </w:r>
      </w:hyperlink>
      <w:r>
        <w:rPr>
          <w:rFonts w:cs="Arial"/>
          <w:szCs w:val="18"/>
          <w:lang w:val="ru-RU"/>
        </w:rPr>
        <w:t xml:space="preserve"> (доступ 12/11/2010).</w:t>
      </w:r>
    </w:p>
  </w:footnote>
  <w:footnote w:id="30">
    <w:p w:rsidR="00000000" w:rsidRDefault="0000000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hyperlink r:id="rId20" w:history="1">
        <w:r>
          <w:rPr>
            <w:rStyle w:val="Hyperlink"/>
            <w:rFonts w:cs="Arial"/>
            <w:szCs w:val="18"/>
            <w:u w:val="none"/>
            <w:lang w:val="en-US"/>
          </w:rPr>
          <w:t>http</w:t>
        </w:r>
        <w:r>
          <w:rPr>
            <w:rStyle w:val="Hyperlink"/>
            <w:rFonts w:cs="Arial"/>
            <w:szCs w:val="18"/>
            <w:u w:val="none"/>
            <w:lang w:val="ru-RU"/>
          </w:rPr>
          <w:t>://</w:t>
        </w:r>
        <w:r>
          <w:rPr>
            <w:rStyle w:val="Hyperlink"/>
            <w:rFonts w:cs="Arial"/>
            <w:szCs w:val="18"/>
            <w:u w:val="none"/>
            <w:lang w:val="en-US"/>
          </w:rPr>
          <w:t>www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unicef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org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southafrica</w:t>
        </w:r>
        <w:r>
          <w:rPr>
            <w:rStyle w:val="Hyperlink"/>
            <w:rFonts w:cs="Arial"/>
            <w:szCs w:val="18"/>
            <w:u w:val="none"/>
            <w:lang w:val="ru-RU"/>
          </w:rPr>
          <w:t>/</w:t>
        </w:r>
        <w:r>
          <w:rPr>
            <w:rStyle w:val="Hyperlink"/>
            <w:rFonts w:cs="Arial"/>
            <w:szCs w:val="18"/>
            <w:u w:val="none"/>
            <w:lang w:val="en-US"/>
          </w:rPr>
          <w:t>education</w:t>
        </w:r>
        <w:r>
          <w:rPr>
            <w:rStyle w:val="Hyperlink"/>
            <w:rFonts w:cs="Arial"/>
            <w:szCs w:val="18"/>
            <w:u w:val="none"/>
            <w:lang w:val="ru-RU"/>
          </w:rPr>
          <w:t>.</w:t>
        </w:r>
        <w:r>
          <w:rPr>
            <w:rStyle w:val="Hyperlink"/>
            <w:rFonts w:cs="Arial"/>
            <w:szCs w:val="18"/>
            <w:u w:val="none"/>
            <w:lang w:val="en-US"/>
          </w:rPr>
          <w:t>html</w:t>
        </w:r>
      </w:hyperlink>
      <w:r>
        <w:rPr>
          <w:rFonts w:cs="Arial"/>
          <w:szCs w:val="18"/>
          <w:lang w:val="ru-RU"/>
        </w:rPr>
        <w:t xml:space="preserve"> (доступ 12/11/2010).</w:t>
      </w:r>
    </w:p>
  </w:footnote>
  <w:footnote w:id="31">
    <w:p w:rsidR="00000000" w:rsidRDefault="0000000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Данные предоставлены Международным бюро по вопросам образования (МБО) ЮНЕСКО, </w:t>
      </w:r>
      <w:r>
        <w:rPr>
          <w:lang w:val="en-US"/>
        </w:rPr>
        <w:t>http</w:t>
      </w:r>
      <w:r>
        <w:rPr>
          <w:lang w:val="ru-RU"/>
        </w:rPr>
        <w:t>://</w:t>
      </w:r>
      <w:r>
        <w:rPr>
          <w:lang w:val="en-US"/>
        </w:rPr>
        <w:t>www</w:t>
      </w:r>
      <w:r>
        <w:rPr>
          <w:lang w:val="ru-RU"/>
        </w:rPr>
        <w:t>.</w:t>
      </w:r>
      <w:r>
        <w:rPr>
          <w:lang w:val="en-US"/>
        </w:rPr>
        <w:t>ibe</w:t>
      </w:r>
      <w:r>
        <w:rPr>
          <w:lang w:val="ru-RU"/>
        </w:rPr>
        <w:t>.</w:t>
      </w:r>
      <w:r>
        <w:rPr>
          <w:lang w:val="en-US"/>
        </w:rPr>
        <w:t>unesco</w:t>
      </w:r>
      <w:r>
        <w:rPr>
          <w:lang w:val="ru-RU"/>
        </w:rPr>
        <w:t>.</w:t>
      </w:r>
      <w:r>
        <w:rPr>
          <w:lang w:val="en-US"/>
        </w:rPr>
        <w:t>org</w:t>
      </w:r>
      <w:r>
        <w:rPr>
          <w:lang w:val="ru-RU"/>
        </w:rPr>
        <w:t>/</w:t>
      </w:r>
      <w:r>
        <w:rPr>
          <w:lang w:val="en-US"/>
        </w:rPr>
        <w:t>en</w:t>
      </w:r>
      <w:r>
        <w:rPr>
          <w:lang w:val="ru-RU"/>
        </w:rPr>
        <w:t>/</w:t>
      </w:r>
      <w:r>
        <w:rPr>
          <w:lang w:val="en-US"/>
        </w:rPr>
        <w:t>access</w:t>
      </w:r>
      <w:r>
        <w:rPr>
          <w:lang w:val="ru-RU"/>
        </w:rPr>
        <w:t>-</w:t>
      </w:r>
      <w:r>
        <w:rPr>
          <w:lang w:val="en-US"/>
        </w:rPr>
        <w:t>by</w:t>
      </w:r>
      <w:r>
        <w:rPr>
          <w:lang w:val="ru-RU"/>
        </w:rPr>
        <w:t>-</w:t>
      </w:r>
      <w:r>
        <w:rPr>
          <w:lang w:val="en-US"/>
        </w:rPr>
        <w:t>country</w:t>
      </w:r>
      <w:r>
        <w:rPr>
          <w:lang w:val="ru-RU"/>
        </w:rPr>
        <w:t>/</w:t>
      </w:r>
      <w:r>
        <w:rPr>
          <w:lang w:val="en-US"/>
        </w:rPr>
        <w:t>asia</w:t>
      </w:r>
      <w:r>
        <w:rPr>
          <w:lang w:val="ru-RU"/>
        </w:rPr>
        <w:t>-</w:t>
      </w:r>
      <w:r>
        <w:rPr>
          <w:lang w:val="en-US"/>
        </w:rPr>
        <w:t>and</w:t>
      </w:r>
      <w:r>
        <w:rPr>
          <w:lang w:val="ru-RU"/>
        </w:rPr>
        <w:t>-</w:t>
      </w:r>
      <w:r>
        <w:rPr>
          <w:lang w:val="en-US"/>
        </w:rPr>
        <w:t>the</w:t>
      </w:r>
      <w:r>
        <w:rPr>
          <w:lang w:val="ru-RU"/>
        </w:rPr>
        <w:t>-</w:t>
      </w:r>
      <w:r>
        <w:rPr>
          <w:lang w:val="en-US"/>
        </w:rPr>
        <w:t>pacific</w:t>
      </w:r>
      <w:r>
        <w:rPr>
          <w:lang w:val="ru-RU"/>
        </w:rPr>
        <w:t>/</w:t>
      </w:r>
      <w:r>
        <w:rPr>
          <w:lang w:val="en-US"/>
        </w:rPr>
        <w:t>sri</w:t>
      </w:r>
      <w:r>
        <w:rPr>
          <w:lang w:val="ru-RU"/>
        </w:rPr>
        <w:t>-</w:t>
      </w:r>
      <w:r>
        <w:rPr>
          <w:lang w:val="en-US"/>
        </w:rPr>
        <w:t>lanka</w:t>
      </w:r>
      <w:r>
        <w:rPr>
          <w:lang w:val="ru-RU"/>
        </w:rPr>
        <w:t>/</w:t>
      </w:r>
      <w:r>
        <w:rPr>
          <w:lang w:val="en-US"/>
        </w:rPr>
        <w:t>profile</w:t>
      </w:r>
      <w:r>
        <w:rPr>
          <w:lang w:val="ru-RU"/>
        </w:rPr>
        <w:t>-</w:t>
      </w:r>
      <w:r>
        <w:rPr>
          <w:lang w:val="en-US"/>
        </w:rPr>
        <w:t>of</w:t>
      </w:r>
      <w:r>
        <w:rPr>
          <w:lang w:val="ru-RU"/>
        </w:rPr>
        <w:t>-</w:t>
      </w:r>
      <w:r>
        <w:rPr>
          <w:lang w:val="en-US"/>
        </w:rPr>
        <w:t>education</w:t>
      </w:r>
      <w:r>
        <w:rPr>
          <w:lang w:val="ru-RU"/>
        </w:rPr>
        <w:t>.</w:t>
      </w:r>
      <w:r>
        <w:rPr>
          <w:lang w:val="en-US"/>
        </w:rPr>
        <w:t>html</w:t>
      </w:r>
      <w:r>
        <w:rPr>
          <w:lang w:val="ru-RU"/>
        </w:rPr>
        <w:t>.</w:t>
      </w:r>
    </w:p>
  </w:footnote>
  <w:footnote w:id="32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Данные предоставлены Международным бюро по вопросам образования (МБО) ЮНЕСКО, </w:t>
      </w:r>
      <w:r>
        <w:rPr>
          <w:lang w:val="en-US"/>
        </w:rPr>
        <w:t>http</w:t>
      </w:r>
      <w:r>
        <w:rPr>
          <w:lang w:val="ru-RU"/>
        </w:rPr>
        <w:t>://</w:t>
      </w:r>
      <w:r>
        <w:rPr>
          <w:lang w:val="en-US"/>
        </w:rPr>
        <w:t>www</w:t>
      </w:r>
      <w:r>
        <w:rPr>
          <w:lang w:val="ru-RU"/>
        </w:rPr>
        <w:t>.</w:t>
      </w:r>
      <w:r>
        <w:rPr>
          <w:lang w:val="en-US"/>
        </w:rPr>
        <w:t>ibe</w:t>
      </w:r>
      <w:r>
        <w:rPr>
          <w:lang w:val="ru-RU"/>
        </w:rPr>
        <w:t>.</w:t>
      </w:r>
      <w:r>
        <w:rPr>
          <w:lang w:val="en-US"/>
        </w:rPr>
        <w:t>unesco</w:t>
      </w:r>
      <w:r>
        <w:rPr>
          <w:lang w:val="ru-RU"/>
        </w:rPr>
        <w:t>.</w:t>
      </w:r>
      <w:r>
        <w:rPr>
          <w:lang w:val="en-US"/>
        </w:rPr>
        <w:t>org</w:t>
      </w:r>
      <w:r>
        <w:rPr>
          <w:lang w:val="ru-RU"/>
        </w:rPr>
        <w:t>/</w:t>
      </w:r>
      <w:r>
        <w:rPr>
          <w:lang w:val="en-US"/>
        </w:rPr>
        <w:t>en</w:t>
      </w:r>
      <w:r>
        <w:rPr>
          <w:lang w:val="ru-RU"/>
        </w:rPr>
        <w:t>/</w:t>
      </w:r>
      <w:r>
        <w:rPr>
          <w:lang w:val="en-US"/>
        </w:rPr>
        <w:t>access</w:t>
      </w:r>
      <w:r>
        <w:rPr>
          <w:lang w:val="ru-RU"/>
        </w:rPr>
        <w:t>-</w:t>
      </w:r>
      <w:r>
        <w:rPr>
          <w:lang w:val="en-US"/>
        </w:rPr>
        <w:t>by</w:t>
      </w:r>
      <w:r>
        <w:rPr>
          <w:lang w:val="ru-RU"/>
        </w:rPr>
        <w:t>-</w:t>
      </w:r>
      <w:r>
        <w:rPr>
          <w:lang w:val="en-US"/>
        </w:rPr>
        <w:t>country</w:t>
      </w:r>
      <w:r>
        <w:rPr>
          <w:lang w:val="ru-RU"/>
        </w:rPr>
        <w:t>/</w:t>
      </w:r>
      <w:r>
        <w:rPr>
          <w:lang w:val="en-US"/>
        </w:rPr>
        <w:t>asia</w:t>
      </w:r>
      <w:r>
        <w:rPr>
          <w:lang w:val="ru-RU"/>
        </w:rPr>
        <w:t>-</w:t>
      </w:r>
      <w:r>
        <w:rPr>
          <w:lang w:val="en-US"/>
        </w:rPr>
        <w:t>and</w:t>
      </w:r>
      <w:r>
        <w:rPr>
          <w:lang w:val="ru-RU"/>
        </w:rPr>
        <w:t>-</w:t>
      </w:r>
      <w:r>
        <w:rPr>
          <w:lang w:val="en-US"/>
        </w:rPr>
        <w:t>the</w:t>
      </w:r>
      <w:r>
        <w:rPr>
          <w:lang w:val="ru-RU"/>
        </w:rPr>
        <w:t>-</w:t>
      </w:r>
      <w:r>
        <w:rPr>
          <w:lang w:val="en-US"/>
        </w:rPr>
        <w:t>pacific</w:t>
      </w:r>
      <w:r>
        <w:rPr>
          <w:lang w:val="ru-RU"/>
        </w:rPr>
        <w:t>/</w:t>
      </w:r>
      <w:r>
        <w:rPr>
          <w:lang w:val="en-US"/>
        </w:rPr>
        <w:t>sri</w:t>
      </w:r>
      <w:r>
        <w:rPr>
          <w:lang w:val="ru-RU"/>
        </w:rPr>
        <w:t>-</w:t>
      </w:r>
      <w:r>
        <w:rPr>
          <w:lang w:val="en-US"/>
        </w:rPr>
        <w:t>lanka</w:t>
      </w:r>
      <w:r>
        <w:rPr>
          <w:lang w:val="ru-RU"/>
        </w:rPr>
        <w:t>/</w:t>
      </w:r>
      <w:r>
        <w:rPr>
          <w:lang w:val="en-US"/>
        </w:rPr>
        <w:t>profile</w:t>
      </w:r>
      <w:r>
        <w:rPr>
          <w:lang w:val="ru-RU"/>
        </w:rPr>
        <w:t>-</w:t>
      </w:r>
      <w:r>
        <w:rPr>
          <w:lang w:val="en-US"/>
        </w:rPr>
        <w:t>of</w:t>
      </w:r>
      <w:r>
        <w:rPr>
          <w:lang w:val="ru-RU"/>
        </w:rPr>
        <w:t>-</w:t>
      </w:r>
      <w:r>
        <w:rPr>
          <w:lang w:val="en-US"/>
        </w:rPr>
        <w:t>education</w:t>
      </w:r>
      <w:r>
        <w:rPr>
          <w:lang w:val="ru-RU"/>
        </w:rPr>
        <w:t>.</w:t>
      </w:r>
      <w:r>
        <w:rPr>
          <w:lang w:val="en-US"/>
        </w:rPr>
        <w:t>html</w:t>
      </w:r>
      <w:r>
        <w:rPr>
          <w:lang w:val="ru-RU"/>
        </w:rPr>
        <w:t>.</w:t>
      </w:r>
    </w:p>
  </w:footnote>
  <w:footnote w:id="33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CEDAW/C/48/3/Add.1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ab/>
      <w:t>CEDAW/C/48/3/Add.1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r>
      <w:rPr>
        <w:noProof/>
        <w:w w:val="10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pt;margin-top:0;width:17pt;height:481.9pt;z-index:2;mso-position-horizontal-relative:margin;mso-position-vertical-relative:margin" stroked="f">
          <v:textbox style="layout-flow:vertical;mso-next-textbox:#_x0000_s2050" inset="0,0,0,0">
            <w:txbxContent>
              <w:p w:rsidR="00000000" w:rsidRDefault="00000000">
                <w:pPr>
                  <w:pStyle w:val="Footer"/>
                  <w:tabs>
                    <w:tab w:val="clear" w:pos="9639"/>
                    <w:tab w:val="right" w:pos="9638"/>
                  </w:tabs>
                  <w:rPr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24</w:t>
                </w:r>
                <w:r>
                  <w:rPr>
                    <w:rStyle w:val="PageNumber"/>
                  </w:rPr>
                  <w:fldChar w:fldCharType="end"/>
                </w:r>
                <w:r>
                  <w:rPr>
                    <w:lang w:val="en-US"/>
                  </w:rPr>
                  <w:tab/>
                  <w:t>GE.11-40203</w:t>
                </w:r>
              </w:p>
              <w:p w:rsidR="00000000" w:rsidRDefault="00000000"/>
            </w:txbxContent>
          </v:textbox>
        </v:shape>
      </w:pict>
    </w:r>
    <w:r>
      <w:rPr>
        <w:noProof/>
        <w:w w:val="100"/>
        <w:lang w:eastAsia="ru-RU"/>
      </w:rPr>
      <w:pict>
        <v:shape id="_x0000_s2049" type="#_x0000_t202" style="position:absolute;margin-left:771pt;margin-top:0;width:17pt;height:481.9pt;z-index:1;mso-position-horizontal-relative:page;mso-position-vertical-relative:margin" stroked="f">
          <v:textbox style="layout-flow:vertical;mso-next-textbox:#_x0000_s2049" inset="0,0,0,0">
            <w:txbxContent>
              <w:p w:rsidR="00000000" w:rsidRDefault="00000000">
                <w:pPr>
                  <w:pStyle w:val="Header"/>
                  <w:rPr>
                    <w:lang w:val="en-US"/>
                  </w:rPr>
                </w:pPr>
                <w:r>
                  <w:rPr>
                    <w:lang w:val="en-US"/>
                  </w:rPr>
                  <w:t>CEDAW/C/48/3/Add.1</w:t>
                </w:r>
              </w:p>
              <w:p w:rsidR="00000000" w:rsidRDefault="00000000"/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r>
      <w:rPr>
        <w:noProof/>
        <w:w w:val="10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4pt;margin-top:0;width:17pt;height:481.9pt;z-index:4;mso-position-horizontal-relative:margin;mso-position-vertical-relative:margin" stroked="f">
          <v:textbox style="layout-flow:vertical;mso-next-textbox:#_x0000_s2054" inset="0,0,0,0">
            <w:txbxContent>
              <w:p w:rsidR="00000000" w:rsidRDefault="00000000">
                <w:pPr>
                  <w:pStyle w:val="Footer"/>
                  <w:rPr>
                    <w:lang w:val="en-US"/>
                  </w:rPr>
                </w:pPr>
                <w:r>
                  <w:rPr>
                    <w:lang w:val="en-US"/>
                  </w:rPr>
                  <w:t>GE.11-40203</w:t>
                </w:r>
                <w:r>
                  <w:rPr>
                    <w:lang w:val="en-US"/>
                  </w:rPr>
                  <w:tab/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25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000000" w:rsidRDefault="00000000"/>
            </w:txbxContent>
          </v:textbox>
        </v:shape>
      </w:pict>
    </w:r>
    <w:r>
      <w:rPr>
        <w:noProof/>
        <w:w w:val="100"/>
        <w:lang w:eastAsia="ru-RU"/>
      </w:rPr>
      <w:pict>
        <v:shape id="_x0000_s2053" type="#_x0000_t202" style="position:absolute;margin-left:771pt;margin-top:0;width:17pt;height:481.9pt;z-index:3;mso-position-horizontal-relative:page;mso-position-vertical-relative:margin" stroked="f">
          <v:textbox style="layout-flow:vertical;mso-next-textbox:#_x0000_s2053" inset="0,0,0,0">
            <w:txbxContent>
              <w:p w:rsidR="00000000" w:rsidRDefault="00000000">
                <w:pPr>
                  <w:pStyle w:val="Header"/>
                  <w:rPr>
                    <w:lang w:val="en-US"/>
                  </w:rPr>
                </w:pPr>
                <w:r>
                  <w:rPr>
                    <w:lang w:val="en-US"/>
                  </w:rPr>
                  <w:tab/>
                  <w:t>CEDAW/C/48/3/Add.1</w:t>
                </w:r>
              </w:p>
              <w:p w:rsidR="00000000" w:rsidRDefault="00000000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drawingGridHorizontalSpacing w:val="2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link w:val="Bullet1GR0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,5_G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llet1GR0">
    <w:name w:val="_Bullet 1_GR Знак"/>
    <w:link w:val="Bullet1GR"/>
    <w:rPr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at.unibe.ch/icl/is__indx.html" TargetMode="External"/><Relationship Id="rId13" Type="http://schemas.openxmlformats.org/officeDocument/2006/relationships/hyperlink" Target="http://www.ling.lancs.ac.uk/groups/crile/docs/crile54kitetu.pdf" TargetMode="External"/><Relationship Id="rId18" Type="http://schemas.openxmlformats.org/officeDocument/2006/relationships/hyperlink" Target="http://www.info.gov.za/acts/1996/a27-96.pdf" TargetMode="External"/><Relationship Id="rId3" Type="http://schemas.openxmlformats.org/officeDocument/2006/relationships/hyperlink" Target="http://www.sai.uni-heidelberg.de/workgroups/bdlaw/1992-a34.htm" TargetMode="External"/><Relationship Id="rId7" Type="http://schemas.openxmlformats.org/officeDocument/2006/relationships/hyperlink" Target="http://www.crin.org/enoc/resources/infodetail.asp?id=22307" TargetMode="External"/><Relationship Id="rId12" Type="http://schemas.openxmlformats.org/officeDocument/2006/relationships/hyperlink" Target="http://www.ibe.unesco.org/fr/dans-le-monde/regions-de-lunesco/afrique/kenya/profile-of-education.htm" TargetMode="External"/><Relationship Id="rId17" Type="http://schemas.openxmlformats.org/officeDocument/2006/relationships/hyperlink" Target="http://www.ibe.unesco.org/fr/dans-le-monde/regions-de-lunesco/afrique/afrique-du-sud/profile-of-education.html" TargetMode="External"/><Relationship Id="rId2" Type="http://schemas.openxmlformats.org/officeDocument/2006/relationships/hyperlink" Target="http://www.ibe.unesco.org/fr/dans-le-monde/regions-de-lunesco/asie-et-pacifique/bangladesh/profile-of-education.html" TargetMode="External"/><Relationship Id="rId16" Type="http://schemas.openxmlformats.org/officeDocument/2006/relationships/hyperlink" Target="http://www.info.gov.za/documents/constitution/1996/index.htm" TargetMode="External"/><Relationship Id="rId20" Type="http://schemas.openxmlformats.org/officeDocument/2006/relationships/hyperlink" Target="http://www.unicef.org/southafrica/education.html" TargetMode="External"/><Relationship Id="rId1" Type="http://schemas.openxmlformats.org/officeDocument/2006/relationships/hyperlink" Target="http://www.right-to-education.org/country-node/302/country-constitutional" TargetMode="External"/><Relationship Id="rId6" Type="http://schemas.openxmlformats.org/officeDocument/2006/relationships/hyperlink" Target="http://www.ibe.unesco.org/National_Reports/ICE_2008/belarus_NR08_rus.pdf" TargetMode="External"/><Relationship Id="rId11" Type="http://schemas.openxmlformats.org/officeDocument/2006/relationships/hyperlink" Target="http://www.ilo.org/public/english/dialogue/ifpdial/info/national/is.htm" TargetMode="External"/><Relationship Id="rId5" Type="http://schemas.openxmlformats.org/officeDocument/2006/relationships/hyperlink" Target="http://www.pravo.by/webnpa/text.asp?start=1&amp;RN=V19101202" TargetMode="External"/><Relationship Id="rId15" Type="http://schemas.openxmlformats.org/officeDocument/2006/relationships/hyperlink" Target="http://www.ibe.unesco.org/International/ICE47/English/Natreps/reports/kenya.pdf" TargetMode="External"/><Relationship Id="rId10" Type="http://schemas.openxmlformats.org/officeDocument/2006/relationships/hyperlink" Target="http://www.ibe.unesco.org/fr/dans-le-monde/europe-et-amerique-du-nord/israel/profile-of-education.html" TargetMode="External"/><Relationship Id="rId19" Type="http://schemas.openxmlformats.org/officeDocument/2006/relationships/hyperlink" Target="http://www.info.gov.za/acts/1996/a84-96.pdf" TargetMode="External"/><Relationship Id="rId4" Type="http://schemas.openxmlformats.org/officeDocument/2006/relationships/hyperlink" Target="http://www.dpe.gov.bd/pdf/Npa2.pdf" TargetMode="External"/><Relationship Id="rId9" Type="http://schemas.openxmlformats.org/officeDocument/2006/relationships/hyperlink" Target="http://www.knesset.gov.il/description/eng/eng_mimshal_yesod1.htm" TargetMode="External"/><Relationship Id="rId14" Type="http://schemas.openxmlformats.org/officeDocument/2006/relationships/hyperlink" Target="http://ipsnews.net/africa/nota.asp?idnews=341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25</Pages>
  <Words>9659</Words>
  <Characters>55059</Characters>
  <Application>Microsoft Office Word</Application>
  <DocSecurity>4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1040203</vt:lpstr>
    </vt:vector>
  </TitlesOfParts>
  <Company>CSD</Company>
  <LinksUpToDate>false</LinksUpToDate>
  <CharactersWithSpaces>64589</CharactersWithSpaces>
  <SharedDoc>false</SharedDoc>
  <HLinks>
    <vt:vector size="120" baseType="variant">
      <vt:variant>
        <vt:i4>5177408</vt:i4>
      </vt:variant>
      <vt:variant>
        <vt:i4>57</vt:i4>
      </vt:variant>
      <vt:variant>
        <vt:i4>0</vt:i4>
      </vt:variant>
      <vt:variant>
        <vt:i4>5</vt:i4>
      </vt:variant>
      <vt:variant>
        <vt:lpwstr>http://www.unicef.org/southafrica/education.html</vt:lpwstr>
      </vt:variant>
      <vt:variant>
        <vt:lpwstr/>
      </vt:variant>
      <vt:variant>
        <vt:i4>3735665</vt:i4>
      </vt:variant>
      <vt:variant>
        <vt:i4>54</vt:i4>
      </vt:variant>
      <vt:variant>
        <vt:i4>0</vt:i4>
      </vt:variant>
      <vt:variant>
        <vt:i4>5</vt:i4>
      </vt:variant>
      <vt:variant>
        <vt:lpwstr>http://www.info.gov.za/acts/1996/a84-96.pdf</vt:lpwstr>
      </vt:variant>
      <vt:variant>
        <vt:lpwstr/>
      </vt:variant>
      <vt:variant>
        <vt:i4>3801211</vt:i4>
      </vt:variant>
      <vt:variant>
        <vt:i4>51</vt:i4>
      </vt:variant>
      <vt:variant>
        <vt:i4>0</vt:i4>
      </vt:variant>
      <vt:variant>
        <vt:i4>5</vt:i4>
      </vt:variant>
      <vt:variant>
        <vt:lpwstr>http://www.info.gov.za/acts/1996/a27-96.pdf</vt:lpwstr>
      </vt:variant>
      <vt:variant>
        <vt:lpwstr/>
      </vt:variant>
      <vt:variant>
        <vt:i4>7733311</vt:i4>
      </vt:variant>
      <vt:variant>
        <vt:i4>48</vt:i4>
      </vt:variant>
      <vt:variant>
        <vt:i4>0</vt:i4>
      </vt:variant>
      <vt:variant>
        <vt:i4>5</vt:i4>
      </vt:variant>
      <vt:variant>
        <vt:lpwstr>http://www.ibe.unesco.org/fr/dans-le-monde/regions-de-lunesco/afrique/afrique-du-sud/profile-of-education.html</vt:lpwstr>
      </vt:variant>
      <vt:variant>
        <vt:lpwstr/>
      </vt:variant>
      <vt:variant>
        <vt:i4>1769536</vt:i4>
      </vt:variant>
      <vt:variant>
        <vt:i4>45</vt:i4>
      </vt:variant>
      <vt:variant>
        <vt:i4>0</vt:i4>
      </vt:variant>
      <vt:variant>
        <vt:i4>5</vt:i4>
      </vt:variant>
      <vt:variant>
        <vt:lpwstr>http://www.info.gov.za/documents/constitution/1996/index.htm</vt:lpwstr>
      </vt:variant>
      <vt:variant>
        <vt:lpwstr/>
      </vt:variant>
      <vt:variant>
        <vt:i4>7995424</vt:i4>
      </vt:variant>
      <vt:variant>
        <vt:i4>42</vt:i4>
      </vt:variant>
      <vt:variant>
        <vt:i4>0</vt:i4>
      </vt:variant>
      <vt:variant>
        <vt:i4>5</vt:i4>
      </vt:variant>
      <vt:variant>
        <vt:lpwstr>http://www.ibe.unesco.org/International/ICE47/English/Natreps/reports/kenya.pdf</vt:lpwstr>
      </vt:variant>
      <vt:variant>
        <vt:lpwstr/>
      </vt:variant>
      <vt:variant>
        <vt:i4>3604578</vt:i4>
      </vt:variant>
      <vt:variant>
        <vt:i4>39</vt:i4>
      </vt:variant>
      <vt:variant>
        <vt:i4>0</vt:i4>
      </vt:variant>
      <vt:variant>
        <vt:i4>5</vt:i4>
      </vt:variant>
      <vt:variant>
        <vt:lpwstr>http://ipsnews.net/africa/nota.asp?idnews=34137</vt:lpwstr>
      </vt:variant>
      <vt:variant>
        <vt:lpwstr/>
      </vt:variant>
      <vt:variant>
        <vt:i4>2818083</vt:i4>
      </vt:variant>
      <vt:variant>
        <vt:i4>36</vt:i4>
      </vt:variant>
      <vt:variant>
        <vt:i4>0</vt:i4>
      </vt:variant>
      <vt:variant>
        <vt:i4>5</vt:i4>
      </vt:variant>
      <vt:variant>
        <vt:lpwstr>http://www.ling.lancs.ac.uk/groups/crile/docs/crile54kitetu.pdf</vt:lpwstr>
      </vt:variant>
      <vt:variant>
        <vt:lpwstr/>
      </vt:variant>
      <vt:variant>
        <vt:i4>4915224</vt:i4>
      </vt:variant>
      <vt:variant>
        <vt:i4>33</vt:i4>
      </vt:variant>
      <vt:variant>
        <vt:i4>0</vt:i4>
      </vt:variant>
      <vt:variant>
        <vt:i4>5</vt:i4>
      </vt:variant>
      <vt:variant>
        <vt:lpwstr>http://www.ibe.unesco.org/fr/dans-le-monde/regions-de-lunesco/afrique/kenya/profile-of-education.htm</vt:lpwstr>
      </vt:variant>
      <vt:variant>
        <vt:lpwstr/>
      </vt:variant>
      <vt:variant>
        <vt:i4>2949227</vt:i4>
      </vt:variant>
      <vt:variant>
        <vt:i4>30</vt:i4>
      </vt:variant>
      <vt:variant>
        <vt:i4>0</vt:i4>
      </vt:variant>
      <vt:variant>
        <vt:i4>5</vt:i4>
      </vt:variant>
      <vt:variant>
        <vt:lpwstr>http://www.ilo.org/public/english/dialogue/ifpdial/info/national/is.htm</vt:lpwstr>
      </vt:variant>
      <vt:variant>
        <vt:lpwstr/>
      </vt:variant>
      <vt:variant>
        <vt:i4>3735607</vt:i4>
      </vt:variant>
      <vt:variant>
        <vt:i4>27</vt:i4>
      </vt:variant>
      <vt:variant>
        <vt:i4>0</vt:i4>
      </vt:variant>
      <vt:variant>
        <vt:i4>5</vt:i4>
      </vt:variant>
      <vt:variant>
        <vt:lpwstr>http://www.ibe.unesco.org/fr/dans-le-monde/europe-et-amerique-du-nord/israel/profile-of-education.html</vt:lpwstr>
      </vt:variant>
      <vt:variant>
        <vt:lpwstr/>
      </vt:variant>
      <vt:variant>
        <vt:i4>4456457</vt:i4>
      </vt:variant>
      <vt:variant>
        <vt:i4>24</vt:i4>
      </vt:variant>
      <vt:variant>
        <vt:i4>0</vt:i4>
      </vt:variant>
      <vt:variant>
        <vt:i4>5</vt:i4>
      </vt:variant>
      <vt:variant>
        <vt:lpwstr>http://www.knesset.gov.il/description/eng/eng_mimshal_yesod1.htm</vt:lpwstr>
      </vt:variant>
      <vt:variant>
        <vt:lpwstr/>
      </vt:variant>
      <vt:variant>
        <vt:i4>2556017</vt:i4>
      </vt:variant>
      <vt:variant>
        <vt:i4>21</vt:i4>
      </vt:variant>
      <vt:variant>
        <vt:i4>0</vt:i4>
      </vt:variant>
      <vt:variant>
        <vt:i4>5</vt:i4>
      </vt:variant>
      <vt:variant>
        <vt:lpwstr>http://www.servat.unibe.ch/icl/is__indx.html</vt:lpwstr>
      </vt:variant>
      <vt:variant>
        <vt:lpwstr/>
      </vt:variant>
      <vt:variant>
        <vt:i4>8192125</vt:i4>
      </vt:variant>
      <vt:variant>
        <vt:i4>18</vt:i4>
      </vt:variant>
      <vt:variant>
        <vt:i4>0</vt:i4>
      </vt:variant>
      <vt:variant>
        <vt:i4>5</vt:i4>
      </vt:variant>
      <vt:variant>
        <vt:lpwstr>http://www.crin.org/enoc/resources/infodetail.asp?id=22307</vt:lpwstr>
      </vt:variant>
      <vt:variant>
        <vt:lpwstr/>
      </vt:variant>
      <vt:variant>
        <vt:i4>8126585</vt:i4>
      </vt:variant>
      <vt:variant>
        <vt:i4>15</vt:i4>
      </vt:variant>
      <vt:variant>
        <vt:i4>0</vt:i4>
      </vt:variant>
      <vt:variant>
        <vt:i4>5</vt:i4>
      </vt:variant>
      <vt:variant>
        <vt:lpwstr>http://www.ibe.unesco.org/National_Reports/ICE_2008/belarus_NR08_rus.pdf</vt:lpwstr>
      </vt:variant>
      <vt:variant>
        <vt:lpwstr/>
      </vt:variant>
      <vt:variant>
        <vt:i4>1048656</vt:i4>
      </vt:variant>
      <vt:variant>
        <vt:i4>12</vt:i4>
      </vt:variant>
      <vt:variant>
        <vt:i4>0</vt:i4>
      </vt:variant>
      <vt:variant>
        <vt:i4>5</vt:i4>
      </vt:variant>
      <vt:variant>
        <vt:lpwstr>http://www.pravo.by/webnpa/text.asp?start=1&amp;RN=V19101202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http://www.dpe.gov.bd/pdf/Npa2.pdf</vt:lpwstr>
      </vt:variant>
      <vt:variant>
        <vt:lpwstr/>
      </vt:variant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http://www.sai.uni-heidelberg.de/workgroups/bdlaw/1992-a34.htm</vt:lpwstr>
      </vt:variant>
      <vt:variant>
        <vt:lpwstr/>
      </vt:variant>
      <vt:variant>
        <vt:i4>1638468</vt:i4>
      </vt:variant>
      <vt:variant>
        <vt:i4>3</vt:i4>
      </vt:variant>
      <vt:variant>
        <vt:i4>0</vt:i4>
      </vt:variant>
      <vt:variant>
        <vt:i4>5</vt:i4>
      </vt:variant>
      <vt:variant>
        <vt:lpwstr>http://www.ibe.unesco.org/fr/dans-le-monde/regions-de-lunesco/asie-et-pacifique/bangladesh/profile-of-education.html</vt:lpwstr>
      </vt:variant>
      <vt:variant>
        <vt:lpwstr/>
      </vt:variant>
      <vt:variant>
        <vt:i4>4522005</vt:i4>
      </vt:variant>
      <vt:variant>
        <vt:i4>0</vt:i4>
      </vt:variant>
      <vt:variant>
        <vt:i4>0</vt:i4>
      </vt:variant>
      <vt:variant>
        <vt:i4>5</vt:i4>
      </vt:variant>
      <vt:variant>
        <vt:lpwstr>http://www.right-to-education.org/country-node/302/country-constitutional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1040203</dc:title>
  <dc:subject/>
  <dc:creator>Chvets</dc:creator>
  <cp:keywords/>
  <dc:description/>
  <cp:lastModifiedBy>Tatiana Chvets</cp:lastModifiedBy>
  <cp:revision>2</cp:revision>
  <cp:lastPrinted>2011-02-17T12:01:00Z</cp:lastPrinted>
  <dcterms:created xsi:type="dcterms:W3CDTF">2011-02-17T12:16:00Z</dcterms:created>
  <dcterms:modified xsi:type="dcterms:W3CDTF">2011-02-17T12:16:00Z</dcterms:modified>
</cp:coreProperties>
</file>