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A0" w:rsidRPr="00227928" w:rsidRDefault="00FD59A0" w:rsidP="00FD59A0">
      <w:pPr>
        <w:spacing w:line="240" w:lineRule="auto"/>
        <w:rPr>
          <w:sz w:val="6"/>
          <w:lang w:val="fr-FR"/>
        </w:rPr>
        <w:sectPr w:rsidR="00FD59A0" w:rsidRPr="00227928" w:rsidSect="00FD59A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227928">
        <w:rPr>
          <w:rStyle w:val="CommentReference"/>
          <w:lang w:val="fr-FR"/>
        </w:rPr>
        <w:commentReference w:id="0"/>
      </w:r>
    </w:p>
    <w:p w:rsidR="00E248F7" w:rsidRPr="00227928" w:rsidRDefault="00E248F7" w:rsidP="00E248F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27928">
        <w:rPr>
          <w:lang w:val="fr-FR"/>
        </w:rPr>
        <w:t>Comité pour l</w:t>
      </w:r>
      <w:r w:rsidR="001B5526">
        <w:rPr>
          <w:lang w:val="fr-FR"/>
        </w:rPr>
        <w:t>’</w:t>
      </w:r>
      <w:r w:rsidRPr="00227928">
        <w:rPr>
          <w:lang w:val="fr-FR"/>
        </w:rPr>
        <w:t xml:space="preserve">élimination de la discrimination </w:t>
      </w:r>
      <w:r w:rsidRPr="00227928">
        <w:rPr>
          <w:lang w:val="fr-FR"/>
        </w:rPr>
        <w:br/>
        <w:t>à l</w:t>
      </w:r>
      <w:r w:rsidR="001B5526">
        <w:rPr>
          <w:lang w:val="fr-FR"/>
        </w:rPr>
        <w:t>’</w:t>
      </w:r>
      <w:r w:rsidRPr="00227928">
        <w:rPr>
          <w:lang w:val="fr-FR"/>
        </w:rPr>
        <w:t>égard des femmes</w:t>
      </w:r>
    </w:p>
    <w:p w:rsidR="00E248F7" w:rsidRPr="00227928" w:rsidRDefault="00E248F7" w:rsidP="00E24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FR"/>
        </w:rPr>
      </w:pPr>
      <w:r w:rsidRPr="00227928">
        <w:rPr>
          <w:b/>
          <w:lang w:val="fr-FR"/>
        </w:rPr>
        <w:t>Quarante-deuxième session</w:t>
      </w:r>
    </w:p>
    <w:p w:rsidR="00E248F7" w:rsidRPr="00227928" w:rsidRDefault="00E248F7" w:rsidP="00E24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227928">
        <w:rPr>
          <w:lang w:val="fr-FR"/>
        </w:rPr>
        <w:t>20 octobre-7 novembre 2008</w:t>
      </w:r>
    </w:p>
    <w:p w:rsidR="00E248F7" w:rsidRPr="00227928" w:rsidRDefault="00E248F7" w:rsidP="00E24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E248F7" w:rsidRPr="00227928" w:rsidRDefault="00E248F7" w:rsidP="00E24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E248F7" w:rsidRPr="00227928" w:rsidRDefault="00E248F7" w:rsidP="00E24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bookmarkStart w:id="1" w:name="insstart"/>
      <w:bookmarkEnd w:id="1"/>
    </w:p>
    <w:p w:rsidR="00E248F7" w:rsidRPr="00227928" w:rsidRDefault="00E248F7" w:rsidP="00E248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27928">
        <w:rPr>
          <w:lang w:val="fr-FR"/>
        </w:rPr>
        <w:tab/>
      </w:r>
      <w:r w:rsidRPr="00227928">
        <w:rPr>
          <w:lang w:val="fr-FR"/>
        </w:rPr>
        <w:tab/>
        <w:t>Décision du Comité pour l</w:t>
      </w:r>
      <w:r w:rsidR="001B5526">
        <w:rPr>
          <w:lang w:val="fr-FR"/>
        </w:rPr>
        <w:t>’</w:t>
      </w:r>
      <w:r w:rsidRPr="00227928">
        <w:rPr>
          <w:lang w:val="fr-FR"/>
        </w:rPr>
        <w:t>élimination de la discrimination à l</w:t>
      </w:r>
      <w:r w:rsidR="001B5526">
        <w:rPr>
          <w:lang w:val="fr-FR"/>
        </w:rPr>
        <w:t>’</w:t>
      </w:r>
      <w:r w:rsidRPr="00227928">
        <w:rPr>
          <w:lang w:val="fr-FR"/>
        </w:rPr>
        <w:t xml:space="preserve">égard des femmes en vertu du Protocole facultatif </w:t>
      </w:r>
      <w:r w:rsidR="001B5526">
        <w:rPr>
          <w:lang w:val="fr-FR"/>
        </w:rPr>
        <w:br/>
      </w:r>
      <w:r w:rsidRPr="00227928">
        <w:rPr>
          <w:lang w:val="fr-FR"/>
        </w:rPr>
        <w:t>à la Convent</w:t>
      </w:r>
      <w:r w:rsidR="001B5526">
        <w:rPr>
          <w:lang w:val="fr-FR"/>
        </w:rPr>
        <w:t xml:space="preserve">ion </w:t>
      </w:r>
      <w:r w:rsidRPr="00227928">
        <w:rPr>
          <w:lang w:val="fr-FR"/>
        </w:rPr>
        <w:t>sur l</w:t>
      </w:r>
      <w:r w:rsidR="001B5526">
        <w:rPr>
          <w:lang w:val="fr-FR"/>
        </w:rPr>
        <w:t>’</w:t>
      </w:r>
      <w:r w:rsidRPr="00227928">
        <w:rPr>
          <w:lang w:val="fr-FR"/>
        </w:rPr>
        <w:t xml:space="preserve">élimination de toutes les formes </w:t>
      </w:r>
      <w:r w:rsidRPr="00227928">
        <w:rPr>
          <w:lang w:val="fr-FR"/>
        </w:rPr>
        <w:br/>
        <w:t>de discrimination à l</w:t>
      </w:r>
      <w:r w:rsidR="001B5526">
        <w:rPr>
          <w:lang w:val="fr-FR"/>
        </w:rPr>
        <w:t>’</w:t>
      </w:r>
      <w:r w:rsidRPr="00227928">
        <w:rPr>
          <w:lang w:val="fr-FR"/>
        </w:rPr>
        <w:t>égard des femmes</w:t>
      </w:r>
    </w:p>
    <w:p w:rsidR="00E248F7" w:rsidRPr="00227928" w:rsidRDefault="00E248F7" w:rsidP="00E248F7">
      <w:pPr>
        <w:pStyle w:val="SingleTxt"/>
        <w:spacing w:after="0" w:line="120" w:lineRule="exact"/>
        <w:rPr>
          <w:sz w:val="10"/>
          <w:lang w:val="fr-FR"/>
        </w:rPr>
      </w:pPr>
    </w:p>
    <w:p w:rsidR="00E248F7" w:rsidRPr="00227928" w:rsidRDefault="00E248F7" w:rsidP="00E248F7">
      <w:pPr>
        <w:pStyle w:val="SingleTxt"/>
        <w:spacing w:after="0" w:line="120" w:lineRule="exact"/>
        <w:rPr>
          <w:sz w:val="10"/>
          <w:lang w:val="fr-FR"/>
        </w:rPr>
      </w:pPr>
    </w:p>
    <w:p w:rsidR="00E248F7" w:rsidRPr="00227928" w:rsidRDefault="00E248F7" w:rsidP="00E24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27928">
        <w:rPr>
          <w:lang w:val="fr-FR"/>
        </w:rPr>
        <w:tab/>
      </w:r>
      <w:r w:rsidRPr="00227928">
        <w:rPr>
          <w:lang w:val="fr-FR"/>
        </w:rPr>
        <w:tab/>
        <w:t>Communication n</w:t>
      </w:r>
      <w:r w:rsidR="0093338E" w:rsidRPr="00227928">
        <w:rPr>
          <w:vertAlign w:val="superscript"/>
          <w:lang w:val="fr-FR"/>
        </w:rPr>
        <w:t>o</w:t>
      </w:r>
      <w:r w:rsidR="001B5526">
        <w:rPr>
          <w:vertAlign w:val="superscript"/>
          <w:lang w:val="fr-FR"/>
        </w:rPr>
        <w:t> </w:t>
      </w:r>
      <w:r w:rsidRPr="00227928">
        <w:rPr>
          <w:lang w:val="fr-FR"/>
        </w:rPr>
        <w:t>15/2007</w:t>
      </w:r>
      <w:r w:rsidR="008A57B7" w:rsidRPr="00227928">
        <w:rPr>
          <w:b w:val="0"/>
          <w:lang w:val="fr-FR"/>
        </w:rPr>
        <w:t>*</w:t>
      </w:r>
      <w:r w:rsidR="00036E97" w:rsidRPr="00227928">
        <w:rPr>
          <w:b w:val="0"/>
          <w:lang w:val="fr-FR"/>
        </w:rPr>
        <w:t>*</w:t>
      </w:r>
      <w:r w:rsidR="008A57B7" w:rsidRPr="00227928">
        <w:rPr>
          <w:b w:val="0"/>
          <w:lang w:val="fr-FR"/>
        </w:rPr>
        <w:t>*</w:t>
      </w:r>
      <w:r w:rsidR="00B9324E">
        <w:rPr>
          <w:b w:val="0"/>
          <w:lang w:val="fr-FR"/>
        </w:rPr>
        <w:t>*</w:t>
      </w:r>
      <w:r w:rsidR="006C6886" w:rsidRPr="00227928">
        <w:rPr>
          <w:rStyle w:val="FootnoteReference"/>
          <w:lang w:val="fr-FR"/>
        </w:rPr>
        <w:footnoteReference w:id="1"/>
      </w:r>
    </w:p>
    <w:p w:rsidR="00E248F7" w:rsidRPr="00227928" w:rsidRDefault="00E248F7" w:rsidP="00E248F7">
      <w:pPr>
        <w:pStyle w:val="SingleTxt"/>
        <w:spacing w:after="0" w:line="120" w:lineRule="exact"/>
        <w:rPr>
          <w:sz w:val="10"/>
          <w:lang w:val="fr-FR"/>
        </w:rPr>
      </w:pPr>
    </w:p>
    <w:p w:rsidR="00E248F7" w:rsidRPr="00227928" w:rsidRDefault="00E248F7" w:rsidP="00E248F7">
      <w:pPr>
        <w:pStyle w:val="SingleTxt"/>
        <w:spacing w:after="0" w:line="120" w:lineRule="exact"/>
        <w:rPr>
          <w:sz w:val="10"/>
          <w:lang w:val="fr-FR"/>
        </w:rPr>
      </w:pPr>
    </w:p>
    <w:p w:rsidR="00F97C72" w:rsidRPr="00227928" w:rsidRDefault="00E248F7" w:rsidP="006C6886">
      <w:pPr>
        <w:pStyle w:val="SingleTxt"/>
        <w:tabs>
          <w:tab w:val="clear" w:pos="1267"/>
          <w:tab w:val="clear" w:pos="1742"/>
          <w:tab w:val="clear" w:pos="2218"/>
          <w:tab w:val="clear" w:pos="2693"/>
          <w:tab w:val="clear" w:pos="3182"/>
          <w:tab w:val="clear" w:pos="3658"/>
          <w:tab w:val="clear" w:pos="4622"/>
          <w:tab w:val="clear" w:pos="5098"/>
          <w:tab w:val="clear" w:pos="5573"/>
          <w:tab w:val="clear" w:pos="6048"/>
        </w:tabs>
        <w:ind w:left="4158" w:hanging="2891"/>
        <w:jc w:val="left"/>
        <w:rPr>
          <w:lang w:val="fr-FR"/>
        </w:rPr>
      </w:pPr>
      <w:r w:rsidRPr="00227928">
        <w:rPr>
          <w:i/>
          <w:lang w:val="fr-FR"/>
        </w:rPr>
        <w:t>Présentée par</w:t>
      </w:r>
      <w:r w:rsidR="0093338E" w:rsidRPr="00227928">
        <w:rPr>
          <w:lang w:val="fr-FR"/>
        </w:rPr>
        <w:t> :</w:t>
      </w:r>
      <w:r w:rsidRPr="00227928">
        <w:rPr>
          <w:lang w:val="fr-FR"/>
        </w:rPr>
        <w:tab/>
        <w:t>M</w:t>
      </w:r>
      <w:r w:rsidRPr="00227928">
        <w:rPr>
          <w:vertAlign w:val="superscript"/>
          <w:lang w:val="fr-FR"/>
        </w:rPr>
        <w:t>me</w:t>
      </w:r>
      <w:r w:rsidR="001B5526">
        <w:rPr>
          <w:vertAlign w:val="superscript"/>
          <w:lang w:val="fr-FR"/>
        </w:rPr>
        <w:t> </w:t>
      </w:r>
      <w:r w:rsidRPr="00227928">
        <w:rPr>
          <w:lang w:val="fr-FR"/>
        </w:rPr>
        <w:t xml:space="preserve">Zhen Zhen Zheng (représentée par un conseil, </w:t>
      </w:r>
      <w:r w:rsidR="0093338E" w:rsidRPr="00227928">
        <w:rPr>
          <w:lang w:val="fr-FR"/>
        </w:rPr>
        <w:t>M. </w:t>
      </w:r>
      <w:r w:rsidRPr="00227928">
        <w:rPr>
          <w:lang w:val="fr-FR"/>
        </w:rPr>
        <w:t>Michel Arnold Collet)</w:t>
      </w:r>
    </w:p>
    <w:p w:rsidR="00DE6AAE" w:rsidRPr="00227928" w:rsidRDefault="00E248F7" w:rsidP="006C6886">
      <w:pPr>
        <w:pStyle w:val="SingleTxt"/>
        <w:tabs>
          <w:tab w:val="clear" w:pos="1267"/>
          <w:tab w:val="clear" w:pos="1742"/>
          <w:tab w:val="clear" w:pos="2218"/>
          <w:tab w:val="clear" w:pos="2693"/>
          <w:tab w:val="clear" w:pos="3182"/>
          <w:tab w:val="clear" w:pos="3658"/>
          <w:tab w:val="clear" w:pos="4622"/>
          <w:tab w:val="clear" w:pos="5098"/>
          <w:tab w:val="clear" w:pos="5573"/>
          <w:tab w:val="clear" w:pos="6048"/>
        </w:tabs>
        <w:ind w:left="4158" w:hanging="2891"/>
        <w:jc w:val="left"/>
        <w:rPr>
          <w:lang w:val="fr-FR"/>
        </w:rPr>
      </w:pPr>
      <w:r w:rsidRPr="00227928">
        <w:rPr>
          <w:i/>
          <w:lang w:val="fr-FR"/>
        </w:rPr>
        <w:t>Au nom de</w:t>
      </w:r>
      <w:r w:rsidR="0093338E" w:rsidRPr="00227928">
        <w:rPr>
          <w:lang w:val="fr-FR"/>
        </w:rPr>
        <w:t> :</w:t>
      </w:r>
      <w:r w:rsidRPr="00227928">
        <w:rPr>
          <w:lang w:val="fr-FR"/>
        </w:rPr>
        <w:tab/>
        <w:t>L</w:t>
      </w:r>
      <w:r w:rsidR="001B5526">
        <w:rPr>
          <w:lang w:val="fr-FR"/>
        </w:rPr>
        <w:t>’</w:t>
      </w:r>
      <w:r w:rsidRPr="00227928">
        <w:rPr>
          <w:lang w:val="fr-FR"/>
        </w:rPr>
        <w:t>auteur</w:t>
      </w:r>
    </w:p>
    <w:p w:rsidR="009324DD" w:rsidRPr="00227928" w:rsidRDefault="00E248F7" w:rsidP="009324DD">
      <w:pPr>
        <w:pStyle w:val="SingleTxt"/>
        <w:tabs>
          <w:tab w:val="clear" w:pos="1267"/>
          <w:tab w:val="clear" w:pos="1742"/>
          <w:tab w:val="clear" w:pos="2218"/>
          <w:tab w:val="clear" w:pos="2693"/>
          <w:tab w:val="clear" w:pos="3182"/>
          <w:tab w:val="clear" w:pos="3658"/>
          <w:tab w:val="clear" w:pos="4622"/>
          <w:tab w:val="clear" w:pos="5098"/>
          <w:tab w:val="clear" w:pos="5573"/>
          <w:tab w:val="clear" w:pos="6048"/>
        </w:tabs>
        <w:ind w:left="4158" w:hanging="2891"/>
        <w:jc w:val="left"/>
        <w:rPr>
          <w:lang w:val="fr-FR"/>
        </w:rPr>
      </w:pPr>
      <w:r w:rsidRPr="00227928">
        <w:rPr>
          <w:i/>
          <w:lang w:val="fr-FR"/>
        </w:rPr>
        <w:t>État partie</w:t>
      </w:r>
      <w:r w:rsidR="0093338E" w:rsidRPr="00227928">
        <w:rPr>
          <w:lang w:val="fr-FR"/>
        </w:rPr>
        <w:t> :</w:t>
      </w:r>
      <w:r w:rsidRPr="00227928">
        <w:rPr>
          <w:lang w:val="fr-FR"/>
        </w:rPr>
        <w:tab/>
        <w:t>Pays-Bas</w:t>
      </w:r>
    </w:p>
    <w:p w:rsidR="00DE6AAE" w:rsidRPr="00227928" w:rsidRDefault="00E248F7" w:rsidP="009324DD">
      <w:pPr>
        <w:pStyle w:val="SingleTxt"/>
        <w:tabs>
          <w:tab w:val="clear" w:pos="1267"/>
          <w:tab w:val="clear" w:pos="1742"/>
          <w:tab w:val="clear" w:pos="2218"/>
          <w:tab w:val="clear" w:pos="2693"/>
          <w:tab w:val="clear" w:pos="3182"/>
          <w:tab w:val="clear" w:pos="3658"/>
          <w:tab w:val="clear" w:pos="4622"/>
          <w:tab w:val="clear" w:pos="5098"/>
          <w:tab w:val="clear" w:pos="5573"/>
          <w:tab w:val="clear" w:pos="6048"/>
        </w:tabs>
        <w:ind w:left="4158" w:hanging="2891"/>
        <w:jc w:val="left"/>
        <w:rPr>
          <w:lang w:val="fr-FR"/>
        </w:rPr>
      </w:pPr>
      <w:r w:rsidRPr="00227928">
        <w:rPr>
          <w:i/>
          <w:lang w:val="fr-FR"/>
        </w:rPr>
        <w:t>Date de la communication</w:t>
      </w:r>
      <w:r w:rsidR="0093338E" w:rsidRPr="00227928">
        <w:rPr>
          <w:lang w:val="fr-FR"/>
        </w:rPr>
        <w:t> :</w:t>
      </w:r>
      <w:r w:rsidRPr="00227928">
        <w:rPr>
          <w:lang w:val="fr-FR"/>
        </w:rPr>
        <w:tab/>
        <w:t>22 janvier 2007 (date de la lettre initiale)</w:t>
      </w:r>
    </w:p>
    <w:p w:rsidR="00E248F7" w:rsidRPr="00227928" w:rsidRDefault="00E248F7" w:rsidP="006C6886">
      <w:pPr>
        <w:pStyle w:val="SingleTxt"/>
        <w:tabs>
          <w:tab w:val="clear" w:pos="1742"/>
          <w:tab w:val="clear" w:pos="2218"/>
          <w:tab w:val="clear" w:pos="2693"/>
          <w:tab w:val="clear" w:pos="3182"/>
        </w:tabs>
        <w:ind w:left="4133" w:hanging="2866"/>
        <w:jc w:val="left"/>
        <w:rPr>
          <w:lang w:val="fr-FR"/>
        </w:rPr>
      </w:pPr>
      <w:r w:rsidRPr="00227928">
        <w:rPr>
          <w:i/>
          <w:lang w:val="fr-FR"/>
        </w:rPr>
        <w:t>Références</w:t>
      </w:r>
      <w:r w:rsidR="0093338E" w:rsidRPr="00227928">
        <w:rPr>
          <w:lang w:val="fr-FR"/>
        </w:rPr>
        <w:t> :</w:t>
      </w:r>
      <w:r w:rsidR="00DE6AAE" w:rsidRPr="00227928">
        <w:rPr>
          <w:lang w:val="fr-FR"/>
        </w:rPr>
        <w:tab/>
      </w:r>
      <w:r w:rsidRPr="00227928">
        <w:rPr>
          <w:lang w:val="fr-FR"/>
        </w:rPr>
        <w:tab/>
        <w:t>Transmises à l</w:t>
      </w:r>
      <w:r w:rsidR="001B5526">
        <w:rPr>
          <w:lang w:val="fr-FR"/>
        </w:rPr>
        <w:t>’</w:t>
      </w:r>
      <w:r w:rsidRPr="00227928">
        <w:rPr>
          <w:lang w:val="fr-FR"/>
        </w:rPr>
        <w:t>État partie le 7 juin 2007 (non publiées sous forme de document)</w:t>
      </w:r>
    </w:p>
    <w:p w:rsidR="00E248F7" w:rsidRPr="00227928" w:rsidRDefault="006C6886" w:rsidP="00E248F7">
      <w:pPr>
        <w:pStyle w:val="SingleTxt"/>
        <w:rPr>
          <w:lang w:val="fr-FR"/>
        </w:rPr>
      </w:pPr>
      <w:r w:rsidRPr="00227928">
        <w:rPr>
          <w:lang w:val="fr-FR"/>
        </w:rPr>
        <w:tab/>
      </w:r>
      <w:r w:rsidR="00E248F7" w:rsidRPr="00227928">
        <w:rPr>
          <w:i/>
          <w:lang w:val="fr-FR"/>
        </w:rPr>
        <w:t>Le Comité pour l</w:t>
      </w:r>
      <w:r w:rsidR="001B5526">
        <w:rPr>
          <w:i/>
          <w:lang w:val="fr-FR"/>
        </w:rPr>
        <w:t>’</w:t>
      </w:r>
      <w:r w:rsidR="00E248F7" w:rsidRPr="00227928">
        <w:rPr>
          <w:i/>
          <w:lang w:val="fr-FR"/>
        </w:rPr>
        <w:t>élimination de la discrimination à l</w:t>
      </w:r>
      <w:r w:rsidR="001B5526">
        <w:rPr>
          <w:i/>
          <w:lang w:val="fr-FR"/>
        </w:rPr>
        <w:t>’</w:t>
      </w:r>
      <w:r w:rsidR="00E248F7" w:rsidRPr="00227928">
        <w:rPr>
          <w:i/>
          <w:lang w:val="fr-FR"/>
        </w:rPr>
        <w:t>égard des femmes</w:t>
      </w:r>
      <w:r w:rsidR="00E248F7" w:rsidRPr="00227928">
        <w:rPr>
          <w:lang w:val="fr-FR"/>
        </w:rPr>
        <w:t>, créé en vertu de l</w:t>
      </w:r>
      <w:r w:rsidR="001B5526">
        <w:rPr>
          <w:lang w:val="fr-FR"/>
        </w:rPr>
        <w:t>’</w:t>
      </w:r>
      <w:r w:rsidR="00E248F7" w:rsidRPr="00227928">
        <w:rPr>
          <w:lang w:val="fr-FR"/>
        </w:rPr>
        <w:t>article 17 de la Convention sur l</w:t>
      </w:r>
      <w:r w:rsidR="001B5526">
        <w:rPr>
          <w:lang w:val="fr-FR"/>
        </w:rPr>
        <w:t>’</w:t>
      </w:r>
      <w:r w:rsidR="00E248F7" w:rsidRPr="00227928">
        <w:rPr>
          <w:lang w:val="fr-FR"/>
        </w:rPr>
        <w:t>élimination de toutes les formes de discrimination à l</w:t>
      </w:r>
      <w:r w:rsidR="001B5526">
        <w:rPr>
          <w:lang w:val="fr-FR"/>
        </w:rPr>
        <w:t>’</w:t>
      </w:r>
      <w:r w:rsidR="00E248F7" w:rsidRPr="00227928">
        <w:rPr>
          <w:lang w:val="fr-FR"/>
        </w:rPr>
        <w:t xml:space="preserve">égard des femmes, </w:t>
      </w:r>
    </w:p>
    <w:p w:rsidR="00E84D07" w:rsidRPr="00227928" w:rsidRDefault="0093338E" w:rsidP="00E84D07">
      <w:pPr>
        <w:pStyle w:val="SingleTxt"/>
        <w:jc w:val="left"/>
        <w:rPr>
          <w:lang w:val="fr-FR"/>
        </w:rPr>
      </w:pPr>
      <w:r w:rsidRPr="00227928">
        <w:rPr>
          <w:i/>
          <w:lang w:val="fr-FR"/>
        </w:rPr>
        <w:tab/>
      </w:r>
      <w:r w:rsidR="00E248F7" w:rsidRPr="00227928">
        <w:rPr>
          <w:i/>
          <w:lang w:val="fr-FR"/>
        </w:rPr>
        <w:t>Réuni le</w:t>
      </w:r>
      <w:r w:rsidR="00C12160">
        <w:rPr>
          <w:lang w:val="fr-FR"/>
        </w:rPr>
        <w:t xml:space="preserve"> 27 </w:t>
      </w:r>
      <w:r w:rsidR="00E248F7" w:rsidRPr="00227928">
        <w:rPr>
          <w:lang w:val="fr-FR"/>
        </w:rPr>
        <w:t>octobre 200</w:t>
      </w:r>
      <w:r w:rsidR="008A57B7" w:rsidRPr="00227928">
        <w:rPr>
          <w:lang w:val="fr-FR"/>
        </w:rPr>
        <w:t>8,</w:t>
      </w:r>
    </w:p>
    <w:p w:rsidR="00E248F7" w:rsidRPr="00227928" w:rsidRDefault="0093338E" w:rsidP="00E84D07">
      <w:pPr>
        <w:pStyle w:val="SingleTxt"/>
        <w:jc w:val="left"/>
        <w:rPr>
          <w:lang w:val="fr-FR"/>
        </w:rPr>
      </w:pPr>
      <w:r w:rsidRPr="00227928">
        <w:rPr>
          <w:i/>
          <w:lang w:val="fr-FR"/>
        </w:rPr>
        <w:tab/>
      </w:r>
      <w:r w:rsidR="00E248F7" w:rsidRPr="00227928">
        <w:rPr>
          <w:i/>
          <w:lang w:val="fr-FR"/>
        </w:rPr>
        <w:t>Adopte</w:t>
      </w:r>
      <w:r w:rsidR="00E248F7" w:rsidRPr="00227928">
        <w:rPr>
          <w:lang w:val="fr-FR"/>
        </w:rPr>
        <w:t xml:space="preserve"> ce qui suit</w:t>
      </w:r>
      <w:r w:rsidRPr="00227928">
        <w:rPr>
          <w:lang w:val="fr-FR"/>
        </w:rPr>
        <w:t> :</w:t>
      </w:r>
    </w:p>
    <w:p w:rsidR="006C6886" w:rsidRPr="00227928" w:rsidRDefault="006C6886" w:rsidP="006C6886">
      <w:pPr>
        <w:pStyle w:val="SingleTxt"/>
        <w:spacing w:after="0" w:line="120" w:lineRule="exact"/>
        <w:rPr>
          <w:sz w:val="10"/>
          <w:lang w:val="fr-FR"/>
        </w:rPr>
      </w:pPr>
    </w:p>
    <w:p w:rsidR="006C6886" w:rsidRPr="00227928" w:rsidRDefault="006C6886" w:rsidP="006C6886">
      <w:pPr>
        <w:pStyle w:val="SingleTxt"/>
        <w:spacing w:after="0" w:line="120" w:lineRule="exact"/>
        <w:rPr>
          <w:sz w:val="10"/>
          <w:lang w:val="fr-FR"/>
        </w:rPr>
      </w:pPr>
    </w:p>
    <w:p w:rsidR="00E248F7" w:rsidRPr="00227928" w:rsidRDefault="006C6886" w:rsidP="006C68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27928">
        <w:rPr>
          <w:lang w:val="fr-FR"/>
        </w:rPr>
        <w:tab/>
      </w:r>
      <w:r w:rsidRPr="00227928">
        <w:rPr>
          <w:lang w:val="fr-FR"/>
        </w:rPr>
        <w:tab/>
      </w:r>
      <w:r w:rsidR="00E248F7" w:rsidRPr="00227928">
        <w:rPr>
          <w:lang w:val="fr-FR"/>
        </w:rPr>
        <w:t>Décision relative à la recevabilité</w:t>
      </w:r>
    </w:p>
    <w:p w:rsidR="006C6886" w:rsidRPr="00227928" w:rsidRDefault="006C6886" w:rsidP="006C6886">
      <w:pPr>
        <w:pStyle w:val="SingleTxt"/>
        <w:spacing w:after="0" w:line="120" w:lineRule="exact"/>
        <w:rPr>
          <w:sz w:val="10"/>
          <w:lang w:val="fr-FR"/>
        </w:rPr>
      </w:pPr>
    </w:p>
    <w:p w:rsidR="006C6886" w:rsidRPr="00227928" w:rsidRDefault="006C6886" w:rsidP="006C6886">
      <w:pPr>
        <w:pStyle w:val="SingleTxt"/>
        <w:spacing w:after="0" w:line="120" w:lineRule="exact"/>
        <w:rPr>
          <w:sz w:val="10"/>
          <w:lang w:val="fr-FR"/>
        </w:rPr>
      </w:pPr>
    </w:p>
    <w:p w:rsidR="00E248F7" w:rsidRPr="00227928" w:rsidRDefault="00E248F7" w:rsidP="006C6886">
      <w:pPr>
        <w:pStyle w:val="SingleTxt"/>
        <w:numPr>
          <w:ilvl w:val="0"/>
          <w:numId w:val="1"/>
        </w:numPr>
        <w:rPr>
          <w:lang w:val="fr-FR"/>
        </w:rPr>
      </w:pPr>
      <w:r w:rsidRPr="00227928">
        <w:rPr>
          <w:lang w:val="fr-FR"/>
        </w:rPr>
        <w:t>L</w:t>
      </w:r>
      <w:r w:rsidR="001B5526">
        <w:rPr>
          <w:lang w:val="fr-FR"/>
        </w:rPr>
        <w:t>’</w:t>
      </w:r>
      <w:r w:rsidRPr="00227928">
        <w:rPr>
          <w:lang w:val="fr-FR"/>
        </w:rPr>
        <w:t>auteur de la communication datée du 22 janvier 2007 avec informations supplémentaires datées du 12 mars 2007 est M</w:t>
      </w:r>
      <w:r w:rsidRPr="00227928">
        <w:rPr>
          <w:vertAlign w:val="superscript"/>
          <w:lang w:val="fr-FR"/>
        </w:rPr>
        <w:t>me</w:t>
      </w:r>
      <w:r w:rsidR="001B5526">
        <w:rPr>
          <w:vertAlign w:val="superscript"/>
          <w:lang w:val="fr-FR"/>
        </w:rPr>
        <w:t> </w:t>
      </w:r>
      <w:r w:rsidRPr="00227928">
        <w:rPr>
          <w:lang w:val="fr-FR"/>
        </w:rPr>
        <w:t>Zhen Zhen Zheng, une demandeuse d</w:t>
      </w:r>
      <w:r w:rsidR="001B5526">
        <w:rPr>
          <w:lang w:val="fr-FR"/>
        </w:rPr>
        <w:t>’</w:t>
      </w:r>
      <w:r w:rsidRPr="00227928">
        <w:rPr>
          <w:lang w:val="fr-FR"/>
        </w:rPr>
        <w:t>asile chinoise vivant actuellement à Deventer, aux Pays-Bas. M</w:t>
      </w:r>
      <w:r w:rsidRPr="00227928">
        <w:rPr>
          <w:vertAlign w:val="superscript"/>
          <w:lang w:val="fr-FR"/>
        </w:rPr>
        <w:t>me</w:t>
      </w:r>
      <w:r w:rsidR="001B5526">
        <w:rPr>
          <w:vertAlign w:val="superscript"/>
          <w:lang w:val="fr-FR"/>
        </w:rPr>
        <w:t> </w:t>
      </w:r>
      <w:r w:rsidRPr="00227928">
        <w:rPr>
          <w:lang w:val="fr-FR"/>
        </w:rPr>
        <w:t>Zheng se dit victime d</w:t>
      </w:r>
      <w:r w:rsidR="001B5526">
        <w:rPr>
          <w:lang w:val="fr-FR"/>
        </w:rPr>
        <w:t>’</w:t>
      </w:r>
      <w:r w:rsidRPr="00227928">
        <w:rPr>
          <w:lang w:val="fr-FR"/>
        </w:rPr>
        <w:t>une violation par les Pays-Bas de l</w:t>
      </w:r>
      <w:r w:rsidR="001B5526">
        <w:rPr>
          <w:lang w:val="fr-FR"/>
        </w:rPr>
        <w:t>’</w:t>
      </w:r>
      <w:r w:rsidRPr="00227928">
        <w:rPr>
          <w:lang w:val="fr-FR"/>
        </w:rPr>
        <w:t>article 6 de la Convention sur l</w:t>
      </w:r>
      <w:r w:rsidR="001B5526">
        <w:rPr>
          <w:lang w:val="fr-FR"/>
        </w:rPr>
        <w:t>’</w:t>
      </w:r>
      <w:r w:rsidRPr="00227928">
        <w:rPr>
          <w:lang w:val="fr-FR"/>
        </w:rPr>
        <w:t>élimination de toutes les formes de discrimination à l</w:t>
      </w:r>
      <w:r w:rsidR="001B5526">
        <w:rPr>
          <w:lang w:val="fr-FR"/>
        </w:rPr>
        <w:t>’</w:t>
      </w:r>
      <w:r w:rsidRPr="00227928">
        <w:rPr>
          <w:lang w:val="fr-FR"/>
        </w:rPr>
        <w:t xml:space="preserve">égard des femmes. Elle est représentée par un conseil, </w:t>
      </w:r>
      <w:r w:rsidR="0093338E" w:rsidRPr="00227928">
        <w:rPr>
          <w:lang w:val="fr-FR"/>
        </w:rPr>
        <w:t>M. </w:t>
      </w:r>
      <w:r w:rsidRPr="00227928">
        <w:rPr>
          <w:lang w:val="fr-FR"/>
        </w:rPr>
        <w:t>Michel Arnold Collet. La Convention et son Protocole facultatif sont entrés en vigueur pour l</w:t>
      </w:r>
      <w:r w:rsidR="001B5526">
        <w:rPr>
          <w:lang w:val="fr-FR"/>
        </w:rPr>
        <w:t>’</w:t>
      </w:r>
      <w:r w:rsidRPr="00227928">
        <w:rPr>
          <w:lang w:val="fr-FR"/>
        </w:rPr>
        <w:t>État partie le 22 août 1991 et le 22</w:t>
      </w:r>
      <w:r w:rsidR="000C46AA" w:rsidRPr="00227928">
        <w:rPr>
          <w:lang w:val="fr-FR"/>
        </w:rPr>
        <w:t> </w:t>
      </w:r>
      <w:r w:rsidRPr="00227928">
        <w:rPr>
          <w:lang w:val="fr-FR"/>
        </w:rPr>
        <w:t>août 2002, respectivement.</w:t>
      </w:r>
    </w:p>
    <w:p w:rsidR="006C6886" w:rsidRPr="00227928" w:rsidRDefault="006C6886" w:rsidP="006C6886">
      <w:pPr>
        <w:pStyle w:val="SingleTxt"/>
        <w:spacing w:after="0" w:line="120" w:lineRule="exact"/>
        <w:rPr>
          <w:sz w:val="10"/>
          <w:lang w:val="fr-FR"/>
        </w:rPr>
      </w:pPr>
    </w:p>
    <w:p w:rsidR="00E248F7" w:rsidRPr="00227928" w:rsidRDefault="006C6886" w:rsidP="006C68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27928">
        <w:rPr>
          <w:lang w:val="fr-FR"/>
        </w:rPr>
        <w:tab/>
      </w:r>
      <w:r w:rsidRPr="00227928">
        <w:rPr>
          <w:lang w:val="fr-FR"/>
        </w:rPr>
        <w:tab/>
      </w:r>
      <w:r w:rsidR="00E248F7" w:rsidRPr="00227928">
        <w:rPr>
          <w:lang w:val="fr-FR"/>
        </w:rPr>
        <w:t>Rappel des faits présentés par l</w:t>
      </w:r>
      <w:r w:rsidR="001B5526">
        <w:rPr>
          <w:lang w:val="fr-FR"/>
        </w:rPr>
        <w:t>’</w:t>
      </w:r>
      <w:r w:rsidR="00E248F7" w:rsidRPr="00227928">
        <w:rPr>
          <w:lang w:val="fr-FR"/>
        </w:rPr>
        <w:t>auteur</w:t>
      </w:r>
    </w:p>
    <w:p w:rsidR="006C6886" w:rsidRPr="00227928" w:rsidRDefault="006C6886" w:rsidP="006C6886">
      <w:pPr>
        <w:pStyle w:val="SingleTxt"/>
        <w:spacing w:after="0" w:line="120" w:lineRule="exact"/>
        <w:rPr>
          <w:sz w:val="10"/>
          <w:lang w:val="fr-FR"/>
        </w:rPr>
      </w:pPr>
    </w:p>
    <w:p w:rsidR="00E248F7" w:rsidRPr="00EA301C" w:rsidRDefault="00E248F7" w:rsidP="006C6886">
      <w:pPr>
        <w:pStyle w:val="SingleTxt"/>
        <w:numPr>
          <w:ilvl w:val="0"/>
          <w:numId w:val="2"/>
        </w:numPr>
        <w:rPr>
          <w:spacing w:val="2"/>
          <w:w w:val="100"/>
          <w:lang w:val="fr-FR"/>
        </w:rPr>
      </w:pPr>
      <w:r w:rsidRPr="00EA301C">
        <w:rPr>
          <w:spacing w:val="2"/>
          <w:w w:val="100"/>
          <w:lang w:val="fr-FR"/>
        </w:rPr>
        <w:t>L</w:t>
      </w:r>
      <w:r w:rsidR="001B5526" w:rsidRPr="00EA301C">
        <w:rPr>
          <w:spacing w:val="2"/>
          <w:w w:val="100"/>
          <w:lang w:val="fr-FR"/>
        </w:rPr>
        <w:t>’</w:t>
      </w:r>
      <w:r w:rsidRPr="00EA301C">
        <w:rPr>
          <w:spacing w:val="2"/>
          <w:w w:val="100"/>
          <w:lang w:val="fr-FR"/>
        </w:rPr>
        <w:t>auteur est née le 3 mars 1986 dans la province chinoise de Sichuan. Elle a mené en Chine une vie pénible. Elle n</w:t>
      </w:r>
      <w:r w:rsidR="001B5526" w:rsidRPr="00EA301C">
        <w:rPr>
          <w:spacing w:val="2"/>
          <w:w w:val="100"/>
          <w:lang w:val="fr-FR"/>
        </w:rPr>
        <w:t>’</w:t>
      </w:r>
      <w:r w:rsidRPr="00EA301C">
        <w:rPr>
          <w:spacing w:val="2"/>
          <w:w w:val="100"/>
          <w:lang w:val="fr-FR"/>
        </w:rPr>
        <w:t>a guère reçu d</w:t>
      </w:r>
      <w:r w:rsidR="001B5526" w:rsidRPr="00EA301C">
        <w:rPr>
          <w:spacing w:val="2"/>
          <w:w w:val="100"/>
          <w:lang w:val="fr-FR"/>
        </w:rPr>
        <w:t>’</w:t>
      </w:r>
      <w:r w:rsidRPr="00EA301C">
        <w:rPr>
          <w:spacing w:val="2"/>
          <w:w w:val="100"/>
          <w:lang w:val="fr-FR"/>
        </w:rPr>
        <w:t>instruction. À la mort de sa grand-mère, elle a vécu dans la rue. Elle a été maltraitée, violée et for</w:t>
      </w:r>
      <w:r w:rsidR="00EA301C" w:rsidRPr="00EA301C">
        <w:rPr>
          <w:spacing w:val="2"/>
          <w:w w:val="100"/>
          <w:lang w:val="fr-FR"/>
        </w:rPr>
        <w:t>cée à la prostitution en Chine.</w:t>
      </w:r>
    </w:p>
    <w:p w:rsidR="00E248F7" w:rsidRPr="00227928" w:rsidRDefault="00E248F7" w:rsidP="006C6886">
      <w:pPr>
        <w:pStyle w:val="SingleTxt"/>
        <w:numPr>
          <w:ilvl w:val="0"/>
          <w:numId w:val="2"/>
        </w:numPr>
        <w:rPr>
          <w:lang w:val="fr-FR"/>
        </w:rPr>
      </w:pPr>
      <w:r w:rsidRPr="00227928">
        <w:rPr>
          <w:lang w:val="fr-FR"/>
        </w:rPr>
        <w:t>L</w:t>
      </w:r>
      <w:r w:rsidR="001B5526">
        <w:rPr>
          <w:lang w:val="fr-FR"/>
        </w:rPr>
        <w:t>’</w:t>
      </w:r>
      <w:r w:rsidRPr="00227928">
        <w:rPr>
          <w:lang w:val="fr-FR"/>
        </w:rPr>
        <w:t>auteur a été emmenée aux Pays-Bas avec plusieurs autres personnes par des trafiquants qui voulaient les prostituer. On les a conduites dans une maison d</w:t>
      </w:r>
      <w:r w:rsidR="001B5526">
        <w:rPr>
          <w:lang w:val="fr-FR"/>
        </w:rPr>
        <w:t>’</w:t>
      </w:r>
      <w:r w:rsidRPr="00227928">
        <w:rPr>
          <w:lang w:val="fr-FR"/>
        </w:rPr>
        <w:t>où elles ont fui. M</w:t>
      </w:r>
      <w:r w:rsidRPr="00227928">
        <w:rPr>
          <w:vertAlign w:val="superscript"/>
          <w:lang w:val="fr-FR"/>
        </w:rPr>
        <w:t>me</w:t>
      </w:r>
      <w:r w:rsidR="001B5526">
        <w:rPr>
          <w:vertAlign w:val="superscript"/>
          <w:lang w:val="fr-FR"/>
        </w:rPr>
        <w:t> </w:t>
      </w:r>
      <w:r w:rsidRPr="00227928">
        <w:rPr>
          <w:lang w:val="fr-FR"/>
        </w:rPr>
        <w:t>Zheng est restée une nuit chez un jeune homme. Une Chinoise l</w:t>
      </w:r>
      <w:r w:rsidR="001B5526">
        <w:rPr>
          <w:lang w:val="fr-FR"/>
        </w:rPr>
        <w:t>’</w:t>
      </w:r>
      <w:r w:rsidRPr="00227928">
        <w:rPr>
          <w:lang w:val="fr-FR"/>
        </w:rPr>
        <w:t>a ensuite hébergée et lui a fait faire de durs travaux ménagers. Environ huit mois plus tard, sa grossesse est devenue manifeste et elle a été jetée à la rue. Le 22 juin 2003, elle a donné naissance à une fille.</w:t>
      </w:r>
    </w:p>
    <w:p w:rsidR="00E248F7" w:rsidRPr="00227928" w:rsidRDefault="00E248F7" w:rsidP="006C6886">
      <w:pPr>
        <w:pStyle w:val="SingleTxt"/>
        <w:numPr>
          <w:ilvl w:val="0"/>
          <w:numId w:val="2"/>
        </w:numPr>
        <w:rPr>
          <w:lang w:val="fr-FR"/>
        </w:rPr>
      </w:pPr>
      <w:r w:rsidRPr="00227928">
        <w:rPr>
          <w:lang w:val="fr-FR"/>
        </w:rPr>
        <w:t>M</w:t>
      </w:r>
      <w:r w:rsidRPr="00227928">
        <w:rPr>
          <w:vertAlign w:val="superscript"/>
          <w:lang w:val="fr-FR"/>
        </w:rPr>
        <w:t>me</w:t>
      </w:r>
      <w:r w:rsidR="001B5526">
        <w:rPr>
          <w:vertAlign w:val="superscript"/>
          <w:lang w:val="fr-FR"/>
        </w:rPr>
        <w:t> </w:t>
      </w:r>
      <w:r w:rsidR="0093338E" w:rsidRPr="00227928">
        <w:rPr>
          <w:lang w:val="fr-FR"/>
        </w:rPr>
        <w:t>Zheng a demandé l</w:t>
      </w:r>
      <w:r w:rsidR="001B5526">
        <w:rPr>
          <w:lang w:val="fr-FR"/>
        </w:rPr>
        <w:t>’</w:t>
      </w:r>
      <w:r w:rsidR="0093338E" w:rsidRPr="00227928">
        <w:rPr>
          <w:lang w:val="fr-FR"/>
        </w:rPr>
        <w:t>asile le 28 </w:t>
      </w:r>
      <w:r w:rsidRPr="00227928">
        <w:rPr>
          <w:lang w:val="fr-FR"/>
        </w:rPr>
        <w:t>avril 2003, alors qu</w:t>
      </w:r>
      <w:r w:rsidR="001B5526">
        <w:rPr>
          <w:lang w:val="fr-FR"/>
        </w:rPr>
        <w:t>’</w:t>
      </w:r>
      <w:r w:rsidRPr="00227928">
        <w:rPr>
          <w:lang w:val="fr-FR"/>
        </w:rPr>
        <w:t>elle était enceinte. Pendant la seconde audition, elle a parlé des mauvais traitements qu</w:t>
      </w:r>
      <w:r w:rsidR="001B5526">
        <w:rPr>
          <w:lang w:val="fr-FR"/>
        </w:rPr>
        <w:t>’</w:t>
      </w:r>
      <w:r w:rsidRPr="00227928">
        <w:rPr>
          <w:lang w:val="fr-FR"/>
        </w:rPr>
        <w:t>elle avait subis, notamment l</w:t>
      </w:r>
      <w:r w:rsidR="001B5526">
        <w:rPr>
          <w:lang w:val="fr-FR"/>
        </w:rPr>
        <w:t>’</w:t>
      </w:r>
      <w:r w:rsidRPr="00227928">
        <w:rPr>
          <w:lang w:val="fr-FR"/>
        </w:rPr>
        <w:t xml:space="preserve">intimidation et le viol. </w:t>
      </w:r>
    </w:p>
    <w:p w:rsidR="00E248F7" w:rsidRPr="00227928" w:rsidRDefault="00E248F7" w:rsidP="006C6886">
      <w:pPr>
        <w:pStyle w:val="SingleTxt"/>
        <w:numPr>
          <w:ilvl w:val="0"/>
          <w:numId w:val="2"/>
        </w:numPr>
        <w:rPr>
          <w:lang w:val="fr-FR"/>
        </w:rPr>
      </w:pPr>
      <w:r w:rsidRPr="00227928">
        <w:rPr>
          <w:lang w:val="fr-FR"/>
        </w:rPr>
        <w:t>Le 1</w:t>
      </w:r>
      <w:r w:rsidRPr="00227928">
        <w:rPr>
          <w:vertAlign w:val="superscript"/>
          <w:lang w:val="fr-FR"/>
        </w:rPr>
        <w:t>er</w:t>
      </w:r>
      <w:r w:rsidRPr="00227928">
        <w:rPr>
          <w:lang w:val="fr-FR"/>
        </w:rPr>
        <w:t xml:space="preserve"> mai 2003, le Service de l</w:t>
      </w:r>
      <w:r w:rsidR="001B5526">
        <w:rPr>
          <w:lang w:val="fr-FR"/>
        </w:rPr>
        <w:t>’</w:t>
      </w:r>
      <w:r w:rsidRPr="00227928">
        <w:rPr>
          <w:lang w:val="fr-FR"/>
        </w:rPr>
        <w:t>immigration et des naturalisations a rejeté la demande d</w:t>
      </w:r>
      <w:r w:rsidR="001B5526">
        <w:rPr>
          <w:lang w:val="fr-FR"/>
        </w:rPr>
        <w:t>’</w:t>
      </w:r>
      <w:r w:rsidRPr="00227928">
        <w:rPr>
          <w:lang w:val="fr-FR"/>
        </w:rPr>
        <w:t>asile de l</w:t>
      </w:r>
      <w:r w:rsidR="001B5526">
        <w:rPr>
          <w:lang w:val="fr-FR"/>
        </w:rPr>
        <w:t>’</w:t>
      </w:r>
      <w:r w:rsidRPr="00227928">
        <w:rPr>
          <w:lang w:val="fr-FR"/>
        </w:rPr>
        <w:t>auteur car elle ne pouvait pas donner de précisions concernant son voyage de Chine aux Pays-Bas, n</w:t>
      </w:r>
      <w:r w:rsidR="001B5526">
        <w:rPr>
          <w:lang w:val="fr-FR"/>
        </w:rPr>
        <w:t>’</w:t>
      </w:r>
      <w:r w:rsidRPr="00227928">
        <w:rPr>
          <w:lang w:val="fr-FR"/>
        </w:rPr>
        <w:t>avait pas de pièces d</w:t>
      </w:r>
      <w:r w:rsidR="001B5526">
        <w:rPr>
          <w:lang w:val="fr-FR"/>
        </w:rPr>
        <w:t>’</w:t>
      </w:r>
      <w:r w:rsidRPr="00227928">
        <w:rPr>
          <w:lang w:val="fr-FR"/>
        </w:rPr>
        <w:t>identité et avait attendu huit mois avant de demander l</w:t>
      </w:r>
      <w:r w:rsidR="001B5526">
        <w:rPr>
          <w:lang w:val="fr-FR"/>
        </w:rPr>
        <w:t>’</w:t>
      </w:r>
      <w:r w:rsidRPr="00227928">
        <w:rPr>
          <w:lang w:val="fr-FR"/>
        </w:rPr>
        <w:t xml:space="preserve">asile. Le 27 mai 2003, le </w:t>
      </w:r>
      <w:r w:rsidR="0093338E" w:rsidRPr="00227928">
        <w:rPr>
          <w:lang w:val="fr-FR"/>
        </w:rPr>
        <w:t>tribunal du district</w:t>
      </w:r>
      <w:r w:rsidRPr="00227928">
        <w:rPr>
          <w:lang w:val="fr-FR"/>
        </w:rPr>
        <w:t xml:space="preserve"> de La Haye, sis à Zwolle, l</w:t>
      </w:r>
      <w:r w:rsidR="001B5526">
        <w:rPr>
          <w:lang w:val="fr-FR"/>
        </w:rPr>
        <w:t>’</w:t>
      </w:r>
      <w:r w:rsidRPr="00227928">
        <w:rPr>
          <w:lang w:val="fr-FR"/>
        </w:rPr>
        <w:t>a déboutée de son appel au motif qu</w:t>
      </w:r>
      <w:r w:rsidR="001B5526">
        <w:rPr>
          <w:lang w:val="fr-FR"/>
        </w:rPr>
        <w:t>’</w:t>
      </w:r>
      <w:r w:rsidRPr="00227928">
        <w:rPr>
          <w:lang w:val="fr-FR"/>
        </w:rPr>
        <w:t>elle ne serait pas en danger si elle retournait en Chine.</w:t>
      </w:r>
    </w:p>
    <w:p w:rsidR="00E248F7" w:rsidRPr="00227928" w:rsidRDefault="00E248F7" w:rsidP="006C6886">
      <w:pPr>
        <w:pStyle w:val="SingleTxt"/>
        <w:numPr>
          <w:ilvl w:val="0"/>
          <w:numId w:val="2"/>
        </w:numPr>
        <w:rPr>
          <w:lang w:val="fr-FR"/>
        </w:rPr>
      </w:pPr>
      <w:r w:rsidRPr="00227928">
        <w:rPr>
          <w:lang w:val="fr-FR"/>
        </w:rPr>
        <w:t>Le 1</w:t>
      </w:r>
      <w:r w:rsidRPr="00227928">
        <w:rPr>
          <w:vertAlign w:val="superscript"/>
          <w:lang w:val="fr-FR"/>
        </w:rPr>
        <w:t>er</w:t>
      </w:r>
      <w:r w:rsidRPr="00227928">
        <w:rPr>
          <w:lang w:val="fr-FR"/>
        </w:rPr>
        <w:t xml:space="preserve"> mai 2003, le Service de l</w:t>
      </w:r>
      <w:r w:rsidR="001B5526">
        <w:rPr>
          <w:lang w:val="fr-FR"/>
        </w:rPr>
        <w:t>’</w:t>
      </w:r>
      <w:r w:rsidRPr="00227928">
        <w:rPr>
          <w:lang w:val="fr-FR"/>
        </w:rPr>
        <w:t>immigration a refusé de lui accorder un permis de séjour pour cause de minorité ou de maternité au motif que la Chine offrait suffisamment de soins aux mineurs et avait les moyens de s</w:t>
      </w:r>
      <w:r w:rsidR="001B5526">
        <w:rPr>
          <w:lang w:val="fr-FR"/>
        </w:rPr>
        <w:t>’</w:t>
      </w:r>
      <w:r w:rsidRPr="00227928">
        <w:rPr>
          <w:lang w:val="fr-FR"/>
        </w:rPr>
        <w:t>occuper des mères célibataires et de leurs enfants. Le 19 août 2003, la demande en révision formée par l</w:t>
      </w:r>
      <w:r w:rsidR="001B5526">
        <w:rPr>
          <w:lang w:val="fr-FR"/>
        </w:rPr>
        <w:t>’</w:t>
      </w:r>
      <w:r w:rsidRPr="00227928">
        <w:rPr>
          <w:lang w:val="fr-FR"/>
        </w:rPr>
        <w:t xml:space="preserve">auteur a été déclaré infondée. Le 16 septembre 2003, elle a interjeté appel auprès du </w:t>
      </w:r>
      <w:r w:rsidR="0093338E" w:rsidRPr="00227928">
        <w:rPr>
          <w:lang w:val="fr-FR"/>
        </w:rPr>
        <w:t>tribunal du district</w:t>
      </w:r>
      <w:r w:rsidRPr="00227928">
        <w:rPr>
          <w:lang w:val="fr-FR"/>
        </w:rPr>
        <w:t>, qui l</w:t>
      </w:r>
      <w:r w:rsidR="001B5526">
        <w:rPr>
          <w:lang w:val="fr-FR"/>
        </w:rPr>
        <w:t>’</w:t>
      </w:r>
      <w:r w:rsidRPr="00227928">
        <w:rPr>
          <w:lang w:val="fr-FR"/>
        </w:rPr>
        <w:t>a déboutée le 13 février 2006 en refusant toute mesure provisoire. Le Tribunal s</w:t>
      </w:r>
      <w:r w:rsidR="001B5526">
        <w:rPr>
          <w:lang w:val="fr-FR"/>
        </w:rPr>
        <w:t>’</w:t>
      </w:r>
      <w:r w:rsidRPr="00227928">
        <w:rPr>
          <w:lang w:val="fr-FR"/>
        </w:rPr>
        <w:t>est fondé uniquement sur une publication du Ministère des affaires étrangères selon laquelle la Chine fournissait des soins suffisants aux mineurs et aux mères célibataires. Le 13 mars 2006, l</w:t>
      </w:r>
      <w:r w:rsidR="001B5526">
        <w:rPr>
          <w:lang w:val="fr-FR"/>
        </w:rPr>
        <w:t>’</w:t>
      </w:r>
      <w:r w:rsidRPr="00227928">
        <w:rPr>
          <w:lang w:val="fr-FR"/>
        </w:rPr>
        <w:t>auteur s</w:t>
      </w:r>
      <w:r w:rsidR="001B5526">
        <w:rPr>
          <w:lang w:val="fr-FR"/>
        </w:rPr>
        <w:t>’</w:t>
      </w:r>
      <w:r w:rsidRPr="00227928">
        <w:rPr>
          <w:lang w:val="fr-FR"/>
        </w:rPr>
        <w:t>est pourvue devant le Conseil d</w:t>
      </w:r>
      <w:r w:rsidR="001B5526">
        <w:rPr>
          <w:lang w:val="fr-FR"/>
        </w:rPr>
        <w:t>’</w:t>
      </w:r>
      <w:r w:rsidRPr="00227928">
        <w:rPr>
          <w:lang w:val="fr-FR"/>
        </w:rPr>
        <w:t>État. Son pourvoi a été rejeté le 24 juillet 2006.</w:t>
      </w:r>
    </w:p>
    <w:p w:rsidR="00E248F7" w:rsidRPr="00227928" w:rsidRDefault="00E248F7" w:rsidP="006C6886">
      <w:pPr>
        <w:pStyle w:val="SingleTxt"/>
        <w:numPr>
          <w:ilvl w:val="0"/>
          <w:numId w:val="2"/>
        </w:numPr>
        <w:rPr>
          <w:lang w:val="fr-FR"/>
        </w:rPr>
      </w:pPr>
      <w:r w:rsidRPr="00227928">
        <w:rPr>
          <w:lang w:val="fr-FR"/>
        </w:rPr>
        <w:t>Le 17 août 2006, l</w:t>
      </w:r>
      <w:r w:rsidR="001B5526">
        <w:rPr>
          <w:lang w:val="fr-FR"/>
        </w:rPr>
        <w:t>’</w:t>
      </w:r>
      <w:r w:rsidRPr="00227928">
        <w:rPr>
          <w:lang w:val="fr-FR"/>
        </w:rPr>
        <w:t>auteur a présenté au Service de l</w:t>
      </w:r>
      <w:r w:rsidR="001B5526">
        <w:rPr>
          <w:lang w:val="fr-FR"/>
        </w:rPr>
        <w:t>’</w:t>
      </w:r>
      <w:r w:rsidRPr="00227928">
        <w:rPr>
          <w:lang w:val="fr-FR"/>
        </w:rPr>
        <w:t>immigration une demande exceptionnelle, invoquant la durée de son séjour aux Pays-Bas et son adaptation à la culture néerlandaise. Le permis de séjour lui a été refusé par une décision du 26</w:t>
      </w:r>
      <w:r w:rsidR="000C46AA" w:rsidRPr="00227928">
        <w:rPr>
          <w:lang w:val="fr-FR"/>
        </w:rPr>
        <w:t> </w:t>
      </w:r>
      <w:r w:rsidRPr="00227928">
        <w:rPr>
          <w:lang w:val="fr-FR"/>
        </w:rPr>
        <w:t xml:space="preserve">septembre 2006 et elle a fait un appel. Elle a été déboutée le 16 mai 2007. Son pourvoi en révision du 11 juin 2007 est encore en instance au </w:t>
      </w:r>
      <w:r w:rsidR="0093338E" w:rsidRPr="00227928">
        <w:rPr>
          <w:lang w:val="fr-FR"/>
        </w:rPr>
        <w:t>tribunal du district</w:t>
      </w:r>
      <w:r w:rsidRPr="00227928">
        <w:rPr>
          <w:lang w:val="fr-FR"/>
        </w:rPr>
        <w:t xml:space="preserve">. </w:t>
      </w:r>
    </w:p>
    <w:p w:rsidR="000C46AA" w:rsidRPr="00227928" w:rsidRDefault="000C46AA" w:rsidP="000C46AA">
      <w:pPr>
        <w:pStyle w:val="SingleTxt"/>
        <w:spacing w:after="0" w:line="120" w:lineRule="exact"/>
        <w:rPr>
          <w:sz w:val="10"/>
          <w:lang w:val="fr-FR"/>
        </w:rPr>
      </w:pPr>
    </w:p>
    <w:p w:rsidR="00E248F7" w:rsidRPr="00227928" w:rsidRDefault="000C46AA" w:rsidP="000C46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27928">
        <w:rPr>
          <w:lang w:val="fr-FR"/>
        </w:rPr>
        <w:tab/>
      </w:r>
      <w:r w:rsidRPr="00227928">
        <w:rPr>
          <w:lang w:val="fr-FR"/>
        </w:rPr>
        <w:tab/>
      </w:r>
      <w:r w:rsidR="00E248F7" w:rsidRPr="00227928">
        <w:rPr>
          <w:lang w:val="fr-FR"/>
        </w:rPr>
        <w:t>Teneur de la plainte</w:t>
      </w:r>
    </w:p>
    <w:p w:rsidR="000C46AA" w:rsidRPr="00227928" w:rsidRDefault="000C46AA" w:rsidP="000C46AA">
      <w:pPr>
        <w:pStyle w:val="SingleTxt"/>
        <w:spacing w:after="0" w:line="120" w:lineRule="exact"/>
        <w:rPr>
          <w:sz w:val="10"/>
          <w:lang w:val="fr-FR"/>
        </w:rPr>
      </w:pPr>
    </w:p>
    <w:p w:rsidR="00E248F7" w:rsidRPr="00227928" w:rsidRDefault="00E248F7" w:rsidP="000C46AA">
      <w:pPr>
        <w:pStyle w:val="SingleTxt"/>
        <w:numPr>
          <w:ilvl w:val="0"/>
          <w:numId w:val="3"/>
        </w:numPr>
        <w:rPr>
          <w:lang w:val="fr-FR"/>
        </w:rPr>
      </w:pPr>
      <w:r w:rsidRPr="00227928">
        <w:rPr>
          <w:lang w:val="fr-FR"/>
        </w:rPr>
        <w:t>L</w:t>
      </w:r>
      <w:r w:rsidR="001B5526">
        <w:rPr>
          <w:lang w:val="fr-FR"/>
        </w:rPr>
        <w:t>’</w:t>
      </w:r>
      <w:r w:rsidRPr="00227928">
        <w:rPr>
          <w:lang w:val="fr-FR"/>
        </w:rPr>
        <w:t>auteur se plaint d</w:t>
      </w:r>
      <w:r w:rsidR="001B5526">
        <w:rPr>
          <w:lang w:val="fr-FR"/>
        </w:rPr>
        <w:t>’</w:t>
      </w:r>
      <w:r w:rsidRPr="00227928">
        <w:rPr>
          <w:lang w:val="fr-FR"/>
        </w:rPr>
        <w:t>être victime d</w:t>
      </w:r>
      <w:r w:rsidR="001B5526">
        <w:rPr>
          <w:lang w:val="fr-FR"/>
        </w:rPr>
        <w:t>’</w:t>
      </w:r>
      <w:r w:rsidRPr="00227928">
        <w:rPr>
          <w:lang w:val="fr-FR"/>
        </w:rPr>
        <w:t>une violation par l</w:t>
      </w:r>
      <w:r w:rsidR="001B5526">
        <w:rPr>
          <w:lang w:val="fr-FR"/>
        </w:rPr>
        <w:t>’</w:t>
      </w:r>
      <w:r w:rsidRPr="00227928">
        <w:rPr>
          <w:lang w:val="fr-FR"/>
        </w:rPr>
        <w:t>État partie de l</w:t>
      </w:r>
      <w:r w:rsidR="001B5526">
        <w:rPr>
          <w:lang w:val="fr-FR"/>
        </w:rPr>
        <w:t>’</w:t>
      </w:r>
      <w:r w:rsidRPr="00227928">
        <w:rPr>
          <w:lang w:val="fr-FR"/>
        </w:rPr>
        <w:t>article</w:t>
      </w:r>
      <w:r w:rsidR="000C46AA" w:rsidRPr="00227928">
        <w:rPr>
          <w:lang w:val="fr-FR"/>
        </w:rPr>
        <w:t> </w:t>
      </w:r>
      <w:r w:rsidRPr="00227928">
        <w:rPr>
          <w:lang w:val="fr-FR"/>
        </w:rPr>
        <w:t>6 de la Convention sur l</w:t>
      </w:r>
      <w:r w:rsidR="001B5526">
        <w:rPr>
          <w:lang w:val="fr-FR"/>
        </w:rPr>
        <w:t>’</w:t>
      </w:r>
      <w:r w:rsidRPr="00227928">
        <w:rPr>
          <w:lang w:val="fr-FR"/>
        </w:rPr>
        <w:t>élimination de toutes les formes de discrimination à l</w:t>
      </w:r>
      <w:r w:rsidR="001B5526">
        <w:rPr>
          <w:lang w:val="fr-FR"/>
        </w:rPr>
        <w:t>’</w:t>
      </w:r>
      <w:r w:rsidRPr="00227928">
        <w:rPr>
          <w:lang w:val="fr-FR"/>
        </w:rPr>
        <w:t>égard des femmes. Elle souligne que cet article protège les femmes contre la traite et la prostitution forcée. Elle affirme que, bien que l</w:t>
      </w:r>
      <w:r w:rsidR="001B5526">
        <w:rPr>
          <w:lang w:val="fr-FR"/>
        </w:rPr>
        <w:t>’</w:t>
      </w:r>
      <w:r w:rsidRPr="00227928">
        <w:rPr>
          <w:lang w:val="fr-FR"/>
        </w:rPr>
        <w:t>État partie en ait conscience dans une certaine mesure et veuille tout faire pour réprimer ce crime, il a tendance à en oublier la nature et à agir d</w:t>
      </w:r>
      <w:r w:rsidR="001B5526">
        <w:rPr>
          <w:lang w:val="fr-FR"/>
        </w:rPr>
        <w:t>’</w:t>
      </w:r>
      <w:r w:rsidRPr="00227928">
        <w:rPr>
          <w:lang w:val="fr-FR"/>
        </w:rPr>
        <w:t>une manière contraire à l</w:t>
      </w:r>
      <w:r w:rsidR="001B5526">
        <w:rPr>
          <w:lang w:val="fr-FR"/>
        </w:rPr>
        <w:t>’</w:t>
      </w:r>
      <w:r w:rsidRPr="00227928">
        <w:rPr>
          <w:lang w:val="fr-FR"/>
        </w:rPr>
        <w:t xml:space="preserve">article 6 de la Convention. </w:t>
      </w:r>
    </w:p>
    <w:p w:rsidR="00E248F7" w:rsidRPr="00227928" w:rsidRDefault="00E248F7" w:rsidP="000C46AA">
      <w:pPr>
        <w:pStyle w:val="SingleTxt"/>
        <w:numPr>
          <w:ilvl w:val="0"/>
          <w:numId w:val="3"/>
        </w:numPr>
        <w:rPr>
          <w:lang w:val="fr-FR"/>
        </w:rPr>
      </w:pPr>
      <w:r w:rsidRPr="00227928">
        <w:rPr>
          <w:lang w:val="fr-FR"/>
        </w:rPr>
        <w:t>L</w:t>
      </w:r>
      <w:r w:rsidR="001B5526">
        <w:rPr>
          <w:lang w:val="fr-FR"/>
        </w:rPr>
        <w:t>’</w:t>
      </w:r>
      <w:r w:rsidRPr="00227928">
        <w:rPr>
          <w:lang w:val="fr-FR"/>
        </w:rPr>
        <w:t>auteur affirme que, bien qu</w:t>
      </w:r>
      <w:r w:rsidR="001B5526">
        <w:rPr>
          <w:lang w:val="fr-FR"/>
        </w:rPr>
        <w:t>’</w:t>
      </w:r>
      <w:r w:rsidRPr="00227928">
        <w:rPr>
          <w:lang w:val="fr-FR"/>
        </w:rPr>
        <w:t>on sache communément que de nombreuses femmes sont victimes de la traite en Chine, il est difficile de déterminer comment les trafiquants opèrent étant donné qu</w:t>
      </w:r>
      <w:r w:rsidR="001B5526">
        <w:rPr>
          <w:lang w:val="fr-FR"/>
        </w:rPr>
        <w:t>’</w:t>
      </w:r>
      <w:r w:rsidRPr="00227928">
        <w:rPr>
          <w:lang w:val="fr-FR"/>
        </w:rPr>
        <w:t>un vaste réseau de personnes travaillent en secret. Elle affirme qu</w:t>
      </w:r>
      <w:r w:rsidR="001B5526">
        <w:rPr>
          <w:lang w:val="fr-FR"/>
        </w:rPr>
        <w:t>’</w:t>
      </w:r>
      <w:r w:rsidRPr="00227928">
        <w:rPr>
          <w:lang w:val="fr-FR"/>
        </w:rPr>
        <w:t>il est difficile, voire impossible, de poursuivre les responsables, qu</w:t>
      </w:r>
      <w:r w:rsidR="001B5526">
        <w:rPr>
          <w:lang w:val="fr-FR"/>
        </w:rPr>
        <w:t>’</w:t>
      </w:r>
      <w:r w:rsidRPr="00227928">
        <w:rPr>
          <w:lang w:val="fr-FR"/>
        </w:rPr>
        <w:t>on ne sait où trouver, et que le témoignage d</w:t>
      </w:r>
      <w:r w:rsidR="001B5526">
        <w:rPr>
          <w:lang w:val="fr-FR"/>
        </w:rPr>
        <w:t>’</w:t>
      </w:r>
      <w:r w:rsidRPr="00227928">
        <w:rPr>
          <w:lang w:val="fr-FR"/>
        </w:rPr>
        <w:t xml:space="preserve">une seule personne ne suffit pas pour détruire un réseau et poursuivre les responsables. </w:t>
      </w:r>
    </w:p>
    <w:p w:rsidR="00E248F7" w:rsidRPr="00227928" w:rsidRDefault="00E248F7" w:rsidP="000C46AA">
      <w:pPr>
        <w:pStyle w:val="SingleTxt"/>
        <w:numPr>
          <w:ilvl w:val="0"/>
          <w:numId w:val="3"/>
        </w:numPr>
        <w:rPr>
          <w:lang w:val="fr-FR"/>
        </w:rPr>
      </w:pPr>
      <w:r w:rsidRPr="00227928">
        <w:rPr>
          <w:lang w:val="fr-FR"/>
        </w:rPr>
        <w:t>L</w:t>
      </w:r>
      <w:r w:rsidR="001B5526">
        <w:rPr>
          <w:lang w:val="fr-FR"/>
        </w:rPr>
        <w:t>’</w:t>
      </w:r>
      <w:r w:rsidRPr="00227928">
        <w:rPr>
          <w:lang w:val="fr-FR"/>
        </w:rPr>
        <w:t>auteur indique qu</w:t>
      </w:r>
      <w:r w:rsidR="001B5526">
        <w:rPr>
          <w:lang w:val="fr-FR"/>
        </w:rPr>
        <w:t>’</w:t>
      </w:r>
      <w:r w:rsidRPr="00227928">
        <w:rPr>
          <w:lang w:val="fr-FR"/>
        </w:rPr>
        <w:t>en droit néerlandais, une femme peut obtenir un permis de séjour si elle signale à la police qu</w:t>
      </w:r>
      <w:r w:rsidR="001B5526">
        <w:rPr>
          <w:lang w:val="fr-FR"/>
        </w:rPr>
        <w:t>’</w:t>
      </w:r>
      <w:r w:rsidRPr="00227928">
        <w:rPr>
          <w:lang w:val="fr-FR"/>
        </w:rPr>
        <w:t>elle a été victime de la traite et si la police ouvre une enquête judiciaire pour trouver les responsables.</w:t>
      </w:r>
    </w:p>
    <w:p w:rsidR="00E248F7" w:rsidRPr="00227928" w:rsidRDefault="00E248F7" w:rsidP="000C46AA">
      <w:pPr>
        <w:pStyle w:val="SingleTxt"/>
        <w:numPr>
          <w:ilvl w:val="0"/>
          <w:numId w:val="3"/>
        </w:numPr>
        <w:rPr>
          <w:lang w:val="fr-FR"/>
        </w:rPr>
      </w:pPr>
      <w:r w:rsidRPr="00227928">
        <w:rPr>
          <w:lang w:val="fr-FR"/>
        </w:rPr>
        <w:t>L</w:t>
      </w:r>
      <w:r w:rsidR="001B5526">
        <w:rPr>
          <w:lang w:val="fr-FR"/>
        </w:rPr>
        <w:t>’</w:t>
      </w:r>
      <w:r w:rsidRPr="00227928">
        <w:rPr>
          <w:lang w:val="fr-FR"/>
        </w:rPr>
        <w:t>auteur affirme que les agents de l</w:t>
      </w:r>
      <w:r w:rsidR="001B5526">
        <w:rPr>
          <w:lang w:val="fr-FR"/>
        </w:rPr>
        <w:t>’</w:t>
      </w:r>
      <w:r w:rsidRPr="00227928">
        <w:rPr>
          <w:lang w:val="fr-FR"/>
        </w:rPr>
        <w:t>immigration ont omis de lui dire qu</w:t>
      </w:r>
      <w:r w:rsidR="001B5526">
        <w:rPr>
          <w:lang w:val="fr-FR"/>
        </w:rPr>
        <w:t>’</w:t>
      </w:r>
      <w:r w:rsidRPr="00227928">
        <w:rPr>
          <w:lang w:val="fr-FR"/>
        </w:rPr>
        <w:t>elle pouvait signaler à la police qu</w:t>
      </w:r>
      <w:r w:rsidR="001B5526">
        <w:rPr>
          <w:lang w:val="fr-FR"/>
        </w:rPr>
        <w:t>’</w:t>
      </w:r>
      <w:r w:rsidRPr="00227928">
        <w:rPr>
          <w:lang w:val="fr-FR"/>
        </w:rPr>
        <w:t>elle avait subi des mauvais traitements et obtenir de ce fait un permis de séjour spécial. Elle ajoute qu</w:t>
      </w:r>
      <w:r w:rsidR="001B5526">
        <w:rPr>
          <w:lang w:val="fr-FR"/>
        </w:rPr>
        <w:t>’</w:t>
      </w:r>
      <w:r w:rsidRPr="00227928">
        <w:rPr>
          <w:lang w:val="fr-FR"/>
        </w:rPr>
        <w:t>ils auraient dû réaliser à la deuxième audition qu</w:t>
      </w:r>
      <w:r w:rsidR="001B5526">
        <w:rPr>
          <w:lang w:val="fr-FR"/>
        </w:rPr>
        <w:t>’</w:t>
      </w:r>
      <w:r w:rsidRPr="00227928">
        <w:rPr>
          <w:lang w:val="fr-FR"/>
        </w:rPr>
        <w:t>elle avait été victime d</w:t>
      </w:r>
      <w:r w:rsidR="001B5526">
        <w:rPr>
          <w:lang w:val="fr-FR"/>
        </w:rPr>
        <w:t>’</w:t>
      </w:r>
      <w:r w:rsidRPr="00227928">
        <w:rPr>
          <w:lang w:val="fr-FR"/>
        </w:rPr>
        <w:t>esclavage et de prostitution; son dossier médical indiquait qu</w:t>
      </w:r>
      <w:r w:rsidR="001B5526">
        <w:rPr>
          <w:lang w:val="fr-FR"/>
        </w:rPr>
        <w:t>’</w:t>
      </w:r>
      <w:r w:rsidRPr="00227928">
        <w:rPr>
          <w:lang w:val="fr-FR"/>
        </w:rPr>
        <w:t>elle avait été traumatisée. Enfin, ils auraient dû s</w:t>
      </w:r>
      <w:r w:rsidR="001B5526">
        <w:rPr>
          <w:lang w:val="fr-FR"/>
        </w:rPr>
        <w:t>’</w:t>
      </w:r>
      <w:r w:rsidRPr="00227928">
        <w:rPr>
          <w:lang w:val="fr-FR"/>
        </w:rPr>
        <w:t>inquiéter des signes d</w:t>
      </w:r>
      <w:r w:rsidR="001B5526">
        <w:rPr>
          <w:lang w:val="fr-FR"/>
        </w:rPr>
        <w:t>’</w:t>
      </w:r>
      <w:r w:rsidRPr="00227928">
        <w:rPr>
          <w:lang w:val="fr-FR"/>
        </w:rPr>
        <w:t>oppression évidents qu</w:t>
      </w:r>
      <w:r w:rsidR="001B5526">
        <w:rPr>
          <w:lang w:val="fr-FR"/>
        </w:rPr>
        <w:t>’</w:t>
      </w:r>
      <w:r w:rsidRPr="00227928">
        <w:rPr>
          <w:lang w:val="fr-FR"/>
        </w:rPr>
        <w:t xml:space="preserve">elle présentait. </w:t>
      </w:r>
    </w:p>
    <w:p w:rsidR="00E248F7" w:rsidRPr="00227928" w:rsidRDefault="00E248F7" w:rsidP="000C46AA">
      <w:pPr>
        <w:pStyle w:val="SingleTxt"/>
        <w:numPr>
          <w:ilvl w:val="0"/>
          <w:numId w:val="3"/>
        </w:numPr>
        <w:rPr>
          <w:lang w:val="fr-FR"/>
        </w:rPr>
      </w:pPr>
      <w:r w:rsidRPr="00227928">
        <w:rPr>
          <w:lang w:val="fr-FR"/>
        </w:rPr>
        <w:t>L</w:t>
      </w:r>
      <w:r w:rsidR="001B5526">
        <w:rPr>
          <w:lang w:val="fr-FR"/>
        </w:rPr>
        <w:t>’</w:t>
      </w:r>
      <w:r w:rsidRPr="00227928">
        <w:rPr>
          <w:lang w:val="fr-FR"/>
        </w:rPr>
        <w:t>auteur souligne qu</w:t>
      </w:r>
      <w:r w:rsidR="001B5526">
        <w:rPr>
          <w:lang w:val="fr-FR"/>
        </w:rPr>
        <w:t>’</w:t>
      </w:r>
      <w:r w:rsidRPr="00227928">
        <w:rPr>
          <w:lang w:val="fr-FR"/>
        </w:rPr>
        <w:t>il importe de se rappeler que toute victime évoquant son cas auprès d</w:t>
      </w:r>
      <w:r w:rsidR="001B5526">
        <w:rPr>
          <w:lang w:val="fr-FR"/>
        </w:rPr>
        <w:t>’</w:t>
      </w:r>
      <w:r w:rsidRPr="00227928">
        <w:rPr>
          <w:lang w:val="fr-FR"/>
        </w:rPr>
        <w:t>un organisme public tel que le Service de l</w:t>
      </w:r>
      <w:r w:rsidR="001B5526">
        <w:rPr>
          <w:lang w:val="fr-FR"/>
        </w:rPr>
        <w:t>’</w:t>
      </w:r>
      <w:r w:rsidRPr="00227928">
        <w:rPr>
          <w:lang w:val="fr-FR"/>
        </w:rPr>
        <w:t>immigration se rend très vulnérable, notamment parce que le risque est grand qu</w:t>
      </w:r>
      <w:r w:rsidR="001B5526">
        <w:rPr>
          <w:lang w:val="fr-FR"/>
        </w:rPr>
        <w:t>’</w:t>
      </w:r>
      <w:r w:rsidRPr="00227928">
        <w:rPr>
          <w:lang w:val="fr-FR"/>
        </w:rPr>
        <w:t>un membre du réseau de trafiquants apprenne qu</w:t>
      </w:r>
      <w:r w:rsidR="001B5526">
        <w:rPr>
          <w:lang w:val="fr-FR"/>
        </w:rPr>
        <w:t>’</w:t>
      </w:r>
      <w:r w:rsidRPr="00227928">
        <w:rPr>
          <w:lang w:val="fr-FR"/>
        </w:rPr>
        <w:t>elle s</w:t>
      </w:r>
      <w:r w:rsidR="001B5526">
        <w:rPr>
          <w:lang w:val="fr-FR"/>
        </w:rPr>
        <w:t>’</w:t>
      </w:r>
      <w:r w:rsidRPr="00227928">
        <w:rPr>
          <w:lang w:val="fr-FR"/>
        </w:rPr>
        <w:t xml:space="preserve">est adressée aux autorités. </w:t>
      </w:r>
    </w:p>
    <w:p w:rsidR="00E248F7" w:rsidRPr="00227928" w:rsidRDefault="00E248F7" w:rsidP="000C46AA">
      <w:pPr>
        <w:pStyle w:val="SingleTxt"/>
        <w:numPr>
          <w:ilvl w:val="0"/>
          <w:numId w:val="3"/>
        </w:numPr>
        <w:rPr>
          <w:lang w:val="fr-FR"/>
        </w:rPr>
      </w:pPr>
      <w:r w:rsidRPr="00227928">
        <w:rPr>
          <w:lang w:val="fr-FR"/>
        </w:rPr>
        <w:t>L</w:t>
      </w:r>
      <w:r w:rsidR="001B5526">
        <w:rPr>
          <w:lang w:val="fr-FR"/>
        </w:rPr>
        <w:t>’</w:t>
      </w:r>
      <w:r w:rsidRPr="00227928">
        <w:rPr>
          <w:lang w:val="fr-FR"/>
        </w:rPr>
        <w:t>auteur affirme que l</w:t>
      </w:r>
      <w:r w:rsidR="001B5526">
        <w:rPr>
          <w:lang w:val="fr-FR"/>
        </w:rPr>
        <w:t>’</w:t>
      </w:r>
      <w:r w:rsidRPr="00227928">
        <w:rPr>
          <w:lang w:val="fr-FR"/>
        </w:rPr>
        <w:t>État partie a violé l</w:t>
      </w:r>
      <w:r w:rsidR="001B5526">
        <w:rPr>
          <w:lang w:val="fr-FR"/>
        </w:rPr>
        <w:t>’</w:t>
      </w:r>
      <w:r w:rsidRPr="00227928">
        <w:rPr>
          <w:lang w:val="fr-FR"/>
        </w:rPr>
        <w:t>article 6 de la Convention en n</w:t>
      </w:r>
      <w:r w:rsidR="001B5526">
        <w:rPr>
          <w:lang w:val="fr-FR"/>
        </w:rPr>
        <w:t>’</w:t>
      </w:r>
      <w:r w:rsidRPr="00227928">
        <w:rPr>
          <w:lang w:val="fr-FR"/>
        </w:rPr>
        <w:t>accordant pas l</w:t>
      </w:r>
      <w:r w:rsidR="001B5526">
        <w:rPr>
          <w:lang w:val="fr-FR"/>
        </w:rPr>
        <w:t>’</w:t>
      </w:r>
      <w:r w:rsidRPr="00227928">
        <w:rPr>
          <w:lang w:val="fr-FR"/>
        </w:rPr>
        <w:t>attention voulue à sa demande d</w:t>
      </w:r>
      <w:r w:rsidR="001B5526">
        <w:rPr>
          <w:lang w:val="fr-FR"/>
        </w:rPr>
        <w:t>’</w:t>
      </w:r>
      <w:r w:rsidRPr="00227928">
        <w:rPr>
          <w:lang w:val="fr-FR"/>
        </w:rPr>
        <w:t>asile alors qu</w:t>
      </w:r>
      <w:r w:rsidR="001B5526">
        <w:rPr>
          <w:lang w:val="fr-FR"/>
        </w:rPr>
        <w:t>’</w:t>
      </w:r>
      <w:r w:rsidRPr="00227928">
        <w:rPr>
          <w:lang w:val="fr-FR"/>
        </w:rPr>
        <w:t>elle était encore mineure et en ne lui apportant ni l</w:t>
      </w:r>
      <w:r w:rsidR="001B5526">
        <w:rPr>
          <w:lang w:val="fr-FR"/>
        </w:rPr>
        <w:t>’</w:t>
      </w:r>
      <w:r w:rsidRPr="00227928">
        <w:rPr>
          <w:lang w:val="fr-FR"/>
        </w:rPr>
        <w:t>aide juridique spécialisée ni la protection ni le soutien dont elle avait besoin. Elle ajoute que les agents de l</w:t>
      </w:r>
      <w:r w:rsidR="001B5526">
        <w:rPr>
          <w:lang w:val="fr-FR"/>
        </w:rPr>
        <w:t>’</w:t>
      </w:r>
      <w:r w:rsidRPr="00227928">
        <w:rPr>
          <w:lang w:val="fr-FR"/>
        </w:rPr>
        <w:t>immigration n</w:t>
      </w:r>
      <w:r w:rsidR="001B5526">
        <w:rPr>
          <w:lang w:val="fr-FR"/>
        </w:rPr>
        <w:t>’</w:t>
      </w:r>
      <w:r w:rsidRPr="00227928">
        <w:rPr>
          <w:lang w:val="fr-FR"/>
        </w:rPr>
        <w:t>ont pas tenu compte de son faible niveau d</w:t>
      </w:r>
      <w:r w:rsidR="001B5526">
        <w:rPr>
          <w:lang w:val="fr-FR"/>
        </w:rPr>
        <w:t>’</w:t>
      </w:r>
      <w:r w:rsidRPr="00227928">
        <w:rPr>
          <w:lang w:val="fr-FR"/>
        </w:rPr>
        <w:t>instruction ni du fait qu</w:t>
      </w:r>
      <w:r w:rsidR="001B5526">
        <w:rPr>
          <w:lang w:val="fr-FR"/>
        </w:rPr>
        <w:t>’</w:t>
      </w:r>
      <w:r w:rsidRPr="00227928">
        <w:rPr>
          <w:lang w:val="fr-FR"/>
        </w:rPr>
        <w:t>elle était mineure. De ce fait, elle n</w:t>
      </w:r>
      <w:r w:rsidR="001B5526">
        <w:rPr>
          <w:lang w:val="fr-FR"/>
        </w:rPr>
        <w:t>’</w:t>
      </w:r>
      <w:r w:rsidRPr="00227928">
        <w:rPr>
          <w:lang w:val="fr-FR"/>
        </w:rPr>
        <w:t>a pu préciser comment elle était arrivée aux Pays-Bas ni de quelle localité de Chine elle venait. Ils ne lui ont pas non plus conseillé d</w:t>
      </w:r>
      <w:r w:rsidR="001B5526">
        <w:rPr>
          <w:lang w:val="fr-FR"/>
        </w:rPr>
        <w:t>’</w:t>
      </w:r>
      <w:r w:rsidRPr="00227928">
        <w:rPr>
          <w:lang w:val="fr-FR"/>
        </w:rPr>
        <w:t>aller signaler à la police ce qu</w:t>
      </w:r>
      <w:r w:rsidR="001B5526">
        <w:rPr>
          <w:lang w:val="fr-FR"/>
        </w:rPr>
        <w:t>’</w:t>
      </w:r>
      <w:r w:rsidRPr="00227928">
        <w:rPr>
          <w:lang w:val="fr-FR"/>
        </w:rPr>
        <w:t xml:space="preserve">elle avait subi. </w:t>
      </w:r>
    </w:p>
    <w:p w:rsidR="00E248F7" w:rsidRPr="00227928" w:rsidRDefault="00E248F7" w:rsidP="000C46AA">
      <w:pPr>
        <w:pStyle w:val="SingleTxt"/>
        <w:numPr>
          <w:ilvl w:val="0"/>
          <w:numId w:val="3"/>
        </w:numPr>
        <w:rPr>
          <w:lang w:val="fr-FR"/>
        </w:rPr>
      </w:pPr>
      <w:r w:rsidRPr="00227928">
        <w:rPr>
          <w:lang w:val="fr-FR"/>
        </w:rPr>
        <w:t>Par la faute de l</w:t>
      </w:r>
      <w:r w:rsidR="001B5526">
        <w:rPr>
          <w:lang w:val="fr-FR"/>
        </w:rPr>
        <w:t>’</w:t>
      </w:r>
      <w:r w:rsidRPr="00227928">
        <w:rPr>
          <w:lang w:val="fr-FR"/>
        </w:rPr>
        <w:t>État partie, l</w:t>
      </w:r>
      <w:r w:rsidR="001B5526">
        <w:rPr>
          <w:lang w:val="fr-FR"/>
        </w:rPr>
        <w:t>’</w:t>
      </w:r>
      <w:r w:rsidRPr="00227928">
        <w:rPr>
          <w:lang w:val="fr-FR"/>
        </w:rPr>
        <w:t>auteur a été traumatisée pendant la procédure d</w:t>
      </w:r>
      <w:r w:rsidR="001B5526">
        <w:rPr>
          <w:lang w:val="fr-FR"/>
        </w:rPr>
        <w:t>’</w:t>
      </w:r>
      <w:r w:rsidRPr="00227928">
        <w:rPr>
          <w:lang w:val="fr-FR"/>
        </w:rPr>
        <w:t>asile et est devenue suicidaire à cause de la précarité de sa situation. Elle soutient que la politique de l</w:t>
      </w:r>
      <w:r w:rsidR="001B5526">
        <w:rPr>
          <w:lang w:val="fr-FR"/>
        </w:rPr>
        <w:t>’</w:t>
      </w:r>
      <w:r w:rsidRPr="00227928">
        <w:rPr>
          <w:lang w:val="fr-FR"/>
        </w:rPr>
        <w:t>immigration de l</w:t>
      </w:r>
      <w:r w:rsidR="001B5526">
        <w:rPr>
          <w:lang w:val="fr-FR"/>
        </w:rPr>
        <w:t>’</w:t>
      </w:r>
      <w:r w:rsidRPr="00227928">
        <w:rPr>
          <w:lang w:val="fr-FR"/>
        </w:rPr>
        <w:t>État partie revient à incriminer la victime de la traite parce qu</w:t>
      </w:r>
      <w:r w:rsidR="001B5526">
        <w:rPr>
          <w:lang w:val="fr-FR"/>
        </w:rPr>
        <w:t>’</w:t>
      </w:r>
      <w:r w:rsidRPr="00227928">
        <w:rPr>
          <w:lang w:val="fr-FR"/>
        </w:rPr>
        <w:t>elle ne peut décrire son parcours ou présenter une pièce d</w:t>
      </w:r>
      <w:r w:rsidR="001B5526">
        <w:rPr>
          <w:lang w:val="fr-FR"/>
        </w:rPr>
        <w:t>’</w:t>
      </w:r>
      <w:r w:rsidRPr="00227928">
        <w:rPr>
          <w:lang w:val="fr-FR"/>
        </w:rPr>
        <w:t xml:space="preserve">identité. </w:t>
      </w:r>
    </w:p>
    <w:p w:rsidR="000C46AA" w:rsidRPr="00227928" w:rsidRDefault="000C46AA" w:rsidP="000C46AA">
      <w:pPr>
        <w:pStyle w:val="SingleTxt"/>
        <w:spacing w:after="0" w:line="120" w:lineRule="exact"/>
        <w:rPr>
          <w:sz w:val="10"/>
          <w:lang w:val="fr-FR"/>
        </w:rPr>
      </w:pPr>
    </w:p>
    <w:p w:rsidR="00E248F7" w:rsidRPr="00227928" w:rsidRDefault="000C46AA" w:rsidP="001B552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227928">
        <w:rPr>
          <w:lang w:val="fr-FR"/>
        </w:rPr>
        <w:tab/>
      </w:r>
      <w:r w:rsidRPr="00227928">
        <w:rPr>
          <w:lang w:val="fr-FR"/>
        </w:rPr>
        <w:tab/>
      </w:r>
      <w:r w:rsidR="00E248F7" w:rsidRPr="00227928">
        <w:rPr>
          <w:lang w:val="fr-FR"/>
        </w:rPr>
        <w:t>Observations de l</w:t>
      </w:r>
      <w:r w:rsidR="001B5526">
        <w:rPr>
          <w:lang w:val="fr-FR"/>
        </w:rPr>
        <w:t>’</w:t>
      </w:r>
      <w:r w:rsidR="00E248F7" w:rsidRPr="00227928">
        <w:rPr>
          <w:lang w:val="fr-FR"/>
        </w:rPr>
        <w:t>État partie sur la recevabilité et sur le fond</w:t>
      </w:r>
    </w:p>
    <w:p w:rsidR="000C46AA" w:rsidRPr="00227928" w:rsidRDefault="000C46AA" w:rsidP="001B5526">
      <w:pPr>
        <w:pStyle w:val="SingleTxt"/>
        <w:spacing w:after="0" w:line="120" w:lineRule="exact"/>
        <w:ind w:left="1264"/>
        <w:rPr>
          <w:sz w:val="10"/>
          <w:lang w:val="fr-FR"/>
        </w:rPr>
      </w:pPr>
    </w:p>
    <w:p w:rsidR="00E248F7" w:rsidRPr="00227928" w:rsidRDefault="00E248F7" w:rsidP="000C46AA">
      <w:pPr>
        <w:pStyle w:val="SingleTxt"/>
        <w:numPr>
          <w:ilvl w:val="0"/>
          <w:numId w:val="4"/>
        </w:numPr>
        <w:rPr>
          <w:lang w:val="fr-FR"/>
        </w:rPr>
      </w:pPr>
      <w:r w:rsidRPr="00227928">
        <w:rPr>
          <w:lang w:val="fr-FR"/>
        </w:rPr>
        <w:t>Dans sa réponse du 7 août 2007, l</w:t>
      </w:r>
      <w:r w:rsidR="001B5526">
        <w:rPr>
          <w:lang w:val="fr-FR"/>
        </w:rPr>
        <w:t>’</w:t>
      </w:r>
      <w:r w:rsidRPr="00227928">
        <w:rPr>
          <w:lang w:val="fr-FR"/>
        </w:rPr>
        <w:t>État partie soutient que la communication n</w:t>
      </w:r>
      <w:r w:rsidR="001B5526">
        <w:rPr>
          <w:lang w:val="fr-FR"/>
        </w:rPr>
        <w:t>’</w:t>
      </w:r>
      <w:r w:rsidRPr="00227928">
        <w:rPr>
          <w:lang w:val="fr-FR"/>
        </w:rPr>
        <w:t>est pas recevable parce que l</w:t>
      </w:r>
      <w:r w:rsidR="001B5526">
        <w:rPr>
          <w:lang w:val="fr-FR"/>
        </w:rPr>
        <w:t>’</w:t>
      </w:r>
      <w:r w:rsidRPr="00227928">
        <w:rPr>
          <w:lang w:val="fr-FR"/>
        </w:rPr>
        <w:t>auteur n</w:t>
      </w:r>
      <w:r w:rsidR="001B5526">
        <w:rPr>
          <w:lang w:val="fr-FR"/>
        </w:rPr>
        <w:t>’</w:t>
      </w:r>
      <w:r w:rsidRPr="00227928">
        <w:rPr>
          <w:lang w:val="fr-FR"/>
        </w:rPr>
        <w:t>a pas épuisé tous les recours internes ni apporté suffisamment d</w:t>
      </w:r>
      <w:r w:rsidR="001B5526">
        <w:rPr>
          <w:lang w:val="fr-FR"/>
        </w:rPr>
        <w:t>’</w:t>
      </w:r>
      <w:r w:rsidRPr="00227928">
        <w:rPr>
          <w:lang w:val="fr-FR"/>
        </w:rPr>
        <w:t>éléments à l</w:t>
      </w:r>
      <w:r w:rsidR="001B5526">
        <w:rPr>
          <w:lang w:val="fr-FR"/>
        </w:rPr>
        <w:t>’</w:t>
      </w:r>
      <w:r w:rsidRPr="00227928">
        <w:rPr>
          <w:lang w:val="fr-FR"/>
        </w:rPr>
        <w:t>appui de ses dires.</w:t>
      </w:r>
    </w:p>
    <w:p w:rsidR="00E248F7" w:rsidRPr="00227928" w:rsidRDefault="00E248F7" w:rsidP="000C46AA">
      <w:pPr>
        <w:pStyle w:val="SingleTxt"/>
        <w:numPr>
          <w:ilvl w:val="0"/>
          <w:numId w:val="4"/>
        </w:numPr>
        <w:rPr>
          <w:lang w:val="fr-FR"/>
        </w:rPr>
      </w:pPr>
      <w:r w:rsidRPr="00227928">
        <w:rPr>
          <w:lang w:val="fr-FR"/>
        </w:rPr>
        <w:t>S</w:t>
      </w:r>
      <w:r w:rsidR="001B5526">
        <w:rPr>
          <w:lang w:val="fr-FR"/>
        </w:rPr>
        <w:t>’</w:t>
      </w:r>
      <w:r w:rsidRPr="00227928">
        <w:rPr>
          <w:lang w:val="fr-FR"/>
        </w:rPr>
        <w:t>agissant de l</w:t>
      </w:r>
      <w:r w:rsidR="001B5526">
        <w:rPr>
          <w:lang w:val="fr-FR"/>
        </w:rPr>
        <w:t>’</w:t>
      </w:r>
      <w:r w:rsidRPr="00227928">
        <w:rPr>
          <w:lang w:val="fr-FR"/>
        </w:rPr>
        <w:t>épuisement des recours internes concernant la procédure d</w:t>
      </w:r>
      <w:r w:rsidR="001B5526">
        <w:rPr>
          <w:lang w:val="fr-FR"/>
        </w:rPr>
        <w:t>’</w:t>
      </w:r>
      <w:r w:rsidRPr="00227928">
        <w:rPr>
          <w:lang w:val="fr-FR"/>
        </w:rPr>
        <w:t>asile, l</w:t>
      </w:r>
      <w:r w:rsidR="001B5526">
        <w:rPr>
          <w:lang w:val="fr-FR"/>
        </w:rPr>
        <w:t>’</w:t>
      </w:r>
      <w:r w:rsidRPr="00227928">
        <w:rPr>
          <w:lang w:val="fr-FR"/>
        </w:rPr>
        <w:t>État partie soutient que l</w:t>
      </w:r>
      <w:r w:rsidR="001B5526">
        <w:rPr>
          <w:lang w:val="fr-FR"/>
        </w:rPr>
        <w:t>’</w:t>
      </w:r>
      <w:r w:rsidRPr="00227928">
        <w:rPr>
          <w:lang w:val="fr-FR"/>
        </w:rPr>
        <w:t xml:space="preserve">auteur aurait pu faire appel du jugement rendu le 27 mai 2003 par le </w:t>
      </w:r>
      <w:r w:rsidR="0093338E" w:rsidRPr="00227928">
        <w:rPr>
          <w:lang w:val="fr-FR"/>
        </w:rPr>
        <w:t>tribunal du district</w:t>
      </w:r>
      <w:r w:rsidRPr="00227928">
        <w:rPr>
          <w:lang w:val="fr-FR"/>
        </w:rPr>
        <w:t xml:space="preserve"> de La Haye devant la Division de la juridiction administrative du Conseil d</w:t>
      </w:r>
      <w:r w:rsidR="001B5526">
        <w:rPr>
          <w:lang w:val="fr-FR"/>
        </w:rPr>
        <w:t>’</w:t>
      </w:r>
      <w:r w:rsidRPr="00227928">
        <w:rPr>
          <w:lang w:val="fr-FR"/>
        </w:rPr>
        <w:t>État (</w:t>
      </w:r>
      <w:r w:rsidRPr="00227928">
        <w:rPr>
          <w:i/>
          <w:lang w:val="fr-FR"/>
        </w:rPr>
        <w:t>Afdeling bestuursrechtspraak van de Raad van State</w:t>
      </w:r>
      <w:r w:rsidRPr="00227928">
        <w:rPr>
          <w:lang w:val="fr-FR"/>
        </w:rPr>
        <w:t>). Il soutient aussi que l</w:t>
      </w:r>
      <w:r w:rsidR="001B5526">
        <w:rPr>
          <w:lang w:val="fr-FR"/>
        </w:rPr>
        <w:t>’</w:t>
      </w:r>
      <w:r w:rsidRPr="00227928">
        <w:rPr>
          <w:lang w:val="fr-FR"/>
        </w:rPr>
        <w:t>auteur n</w:t>
      </w:r>
      <w:r w:rsidR="001B5526">
        <w:rPr>
          <w:lang w:val="fr-FR"/>
        </w:rPr>
        <w:t>’</w:t>
      </w:r>
      <w:r w:rsidRPr="00227928">
        <w:rPr>
          <w:lang w:val="fr-FR"/>
        </w:rPr>
        <w:t>a pas saisi les tribunaux internes sur le fond en ce qui concerne la prétendue violation de l</w:t>
      </w:r>
      <w:r w:rsidR="001B5526">
        <w:rPr>
          <w:lang w:val="fr-FR"/>
        </w:rPr>
        <w:t>’</w:t>
      </w:r>
      <w:r w:rsidRPr="00227928">
        <w:rPr>
          <w:lang w:val="fr-FR"/>
        </w:rPr>
        <w:t>article 6 de la Convention, lui ôtant ainsi la possibilité d</w:t>
      </w:r>
      <w:r w:rsidR="001B5526">
        <w:rPr>
          <w:lang w:val="fr-FR"/>
        </w:rPr>
        <w:t>’</w:t>
      </w:r>
      <w:r w:rsidRPr="00227928">
        <w:rPr>
          <w:lang w:val="fr-FR"/>
        </w:rPr>
        <w:t>y remédier. L</w:t>
      </w:r>
      <w:r w:rsidR="001B5526">
        <w:rPr>
          <w:lang w:val="fr-FR"/>
        </w:rPr>
        <w:t>’</w:t>
      </w:r>
      <w:r w:rsidRPr="00227928">
        <w:rPr>
          <w:lang w:val="fr-FR"/>
        </w:rPr>
        <w:t>État partie rappelle à cet égard la décision du Comité dans l</w:t>
      </w:r>
      <w:r w:rsidR="001B5526">
        <w:rPr>
          <w:lang w:val="fr-FR"/>
        </w:rPr>
        <w:t>’</w:t>
      </w:r>
      <w:r w:rsidRPr="00227928">
        <w:rPr>
          <w:lang w:val="fr-FR"/>
        </w:rPr>
        <w:t xml:space="preserve">affaire </w:t>
      </w:r>
      <w:r w:rsidRPr="00227928">
        <w:rPr>
          <w:i/>
          <w:lang w:val="fr-FR"/>
        </w:rPr>
        <w:t>Constance Ragan Salgado</w:t>
      </w:r>
      <w:r w:rsidRPr="00227928">
        <w:rPr>
          <w:lang w:val="fr-FR"/>
        </w:rPr>
        <w:t xml:space="preserve"> c. </w:t>
      </w:r>
      <w:r w:rsidRPr="00227928">
        <w:rPr>
          <w:i/>
          <w:lang w:val="fr-FR"/>
        </w:rPr>
        <w:t>Royaume-Uni de Grande-Bretagne et d</w:t>
      </w:r>
      <w:r w:rsidR="001B5526">
        <w:rPr>
          <w:i/>
          <w:lang w:val="fr-FR"/>
        </w:rPr>
        <w:t>’</w:t>
      </w:r>
      <w:r w:rsidRPr="00227928">
        <w:rPr>
          <w:i/>
          <w:lang w:val="fr-FR"/>
        </w:rPr>
        <w:t>Irlande du Nord</w:t>
      </w:r>
      <w:r w:rsidRPr="00227928">
        <w:rPr>
          <w:lang w:val="fr-FR"/>
        </w:rPr>
        <w:t xml:space="preserve"> (communication n</w:t>
      </w:r>
      <w:r w:rsidR="000C46AA" w:rsidRPr="00227928">
        <w:rPr>
          <w:vertAlign w:val="superscript"/>
          <w:lang w:val="fr-FR"/>
        </w:rPr>
        <w:t>o</w:t>
      </w:r>
      <w:r w:rsidR="001B5526">
        <w:rPr>
          <w:vertAlign w:val="superscript"/>
          <w:lang w:val="fr-FR"/>
        </w:rPr>
        <w:t> </w:t>
      </w:r>
      <w:r w:rsidRPr="00227928">
        <w:rPr>
          <w:lang w:val="fr-FR"/>
        </w:rPr>
        <w:t xml:space="preserve">11/2006). </w:t>
      </w:r>
    </w:p>
    <w:p w:rsidR="00E248F7" w:rsidRPr="00227928" w:rsidRDefault="00E248F7" w:rsidP="000C46AA">
      <w:pPr>
        <w:pStyle w:val="SingleTxt"/>
        <w:numPr>
          <w:ilvl w:val="0"/>
          <w:numId w:val="4"/>
        </w:numPr>
        <w:rPr>
          <w:lang w:val="fr-FR"/>
        </w:rPr>
      </w:pPr>
      <w:r w:rsidRPr="00227928">
        <w:rPr>
          <w:lang w:val="fr-FR"/>
        </w:rPr>
        <w:t>L</w:t>
      </w:r>
      <w:r w:rsidR="001B5526">
        <w:rPr>
          <w:lang w:val="fr-FR"/>
        </w:rPr>
        <w:t>’</w:t>
      </w:r>
      <w:r w:rsidRPr="00227928">
        <w:rPr>
          <w:lang w:val="fr-FR"/>
        </w:rPr>
        <w:t>État partie note aussi que l</w:t>
      </w:r>
      <w:r w:rsidR="001B5526">
        <w:rPr>
          <w:lang w:val="fr-FR"/>
        </w:rPr>
        <w:t>’</w:t>
      </w:r>
      <w:r w:rsidRPr="00227928">
        <w:rPr>
          <w:lang w:val="fr-FR"/>
        </w:rPr>
        <w:t>appel de l</w:t>
      </w:r>
      <w:r w:rsidR="001B5526">
        <w:rPr>
          <w:lang w:val="fr-FR"/>
        </w:rPr>
        <w:t>’</w:t>
      </w:r>
      <w:r w:rsidRPr="00227928">
        <w:rPr>
          <w:lang w:val="fr-FR"/>
        </w:rPr>
        <w:t>auteur contre la décision du 26</w:t>
      </w:r>
      <w:r w:rsidR="000C46AA" w:rsidRPr="00227928">
        <w:rPr>
          <w:lang w:val="fr-FR"/>
        </w:rPr>
        <w:t> </w:t>
      </w:r>
      <w:r w:rsidRPr="00227928">
        <w:rPr>
          <w:lang w:val="fr-FR"/>
        </w:rPr>
        <w:t xml:space="preserve">septembre 2006 lui refusant un permis de séjour a été rejeté le 16 mai 2007 et que son pourvoi en révision du 11 juin 2007 est encore en instance au </w:t>
      </w:r>
      <w:r w:rsidR="0093338E" w:rsidRPr="00227928">
        <w:rPr>
          <w:lang w:val="fr-FR"/>
        </w:rPr>
        <w:t>tribunal du district</w:t>
      </w:r>
      <w:r w:rsidRPr="00227928">
        <w:rPr>
          <w:lang w:val="fr-FR"/>
        </w:rPr>
        <w:t xml:space="preserve">. </w:t>
      </w:r>
    </w:p>
    <w:p w:rsidR="00E248F7" w:rsidRPr="00227928" w:rsidRDefault="00E248F7" w:rsidP="000C46AA">
      <w:pPr>
        <w:pStyle w:val="SingleTxt"/>
        <w:numPr>
          <w:ilvl w:val="0"/>
          <w:numId w:val="4"/>
        </w:numPr>
        <w:rPr>
          <w:lang w:val="fr-FR"/>
        </w:rPr>
      </w:pPr>
      <w:r w:rsidRPr="00227928">
        <w:rPr>
          <w:lang w:val="fr-FR"/>
        </w:rPr>
        <w:t>De plus, l</w:t>
      </w:r>
      <w:r w:rsidR="001B5526">
        <w:rPr>
          <w:lang w:val="fr-FR"/>
        </w:rPr>
        <w:t>’</w:t>
      </w:r>
      <w:r w:rsidRPr="00227928">
        <w:rPr>
          <w:lang w:val="fr-FR"/>
        </w:rPr>
        <w:t>État partie affirme que la présente communication n</w:t>
      </w:r>
      <w:r w:rsidR="001B5526">
        <w:rPr>
          <w:lang w:val="fr-FR"/>
        </w:rPr>
        <w:t>’</w:t>
      </w:r>
      <w:r w:rsidRPr="00227928">
        <w:rPr>
          <w:lang w:val="fr-FR"/>
        </w:rPr>
        <w:t>a pas été motivée aux fins de sa recevabilité. L</w:t>
      </w:r>
      <w:r w:rsidR="001B5526">
        <w:rPr>
          <w:lang w:val="fr-FR"/>
        </w:rPr>
        <w:t>’</w:t>
      </w:r>
      <w:r w:rsidRPr="00227928">
        <w:rPr>
          <w:lang w:val="fr-FR"/>
        </w:rPr>
        <w:t>auteur évoque l</w:t>
      </w:r>
      <w:r w:rsidR="001B5526">
        <w:rPr>
          <w:lang w:val="fr-FR"/>
        </w:rPr>
        <w:t>’</w:t>
      </w:r>
      <w:r w:rsidRPr="00227928">
        <w:rPr>
          <w:lang w:val="fr-FR"/>
        </w:rPr>
        <w:t>article 6 de la Convention en termes très généraux sans indiquer en quoi il a été violé en l</w:t>
      </w:r>
      <w:r w:rsidR="001B5526">
        <w:rPr>
          <w:lang w:val="fr-FR"/>
        </w:rPr>
        <w:t>’</w:t>
      </w:r>
      <w:r w:rsidRPr="00227928">
        <w:rPr>
          <w:lang w:val="fr-FR"/>
        </w:rPr>
        <w:t>espèce.</w:t>
      </w:r>
    </w:p>
    <w:p w:rsidR="00E248F7" w:rsidRPr="00227928" w:rsidRDefault="00E248F7" w:rsidP="000C46AA">
      <w:pPr>
        <w:pStyle w:val="SingleTxt"/>
        <w:numPr>
          <w:ilvl w:val="0"/>
          <w:numId w:val="4"/>
        </w:numPr>
        <w:rPr>
          <w:lang w:val="fr-FR"/>
        </w:rPr>
      </w:pPr>
      <w:r w:rsidRPr="00227928">
        <w:rPr>
          <w:lang w:val="fr-FR"/>
        </w:rPr>
        <w:t>Pour ces raisons, l</w:t>
      </w:r>
      <w:r w:rsidR="001B5526">
        <w:rPr>
          <w:lang w:val="fr-FR"/>
        </w:rPr>
        <w:t>’</w:t>
      </w:r>
      <w:r w:rsidRPr="00227928">
        <w:rPr>
          <w:lang w:val="fr-FR"/>
        </w:rPr>
        <w:t>État partie soutient que la communication est irrecevable en vertu des paragraphes 1 et 2 c) de l</w:t>
      </w:r>
      <w:r w:rsidR="001B5526">
        <w:rPr>
          <w:lang w:val="fr-FR"/>
        </w:rPr>
        <w:t>’</w:t>
      </w:r>
      <w:r w:rsidRPr="00227928">
        <w:rPr>
          <w:lang w:val="fr-FR"/>
        </w:rPr>
        <w:t>article 4 du Protocole facultatif.</w:t>
      </w:r>
    </w:p>
    <w:p w:rsidR="00E84D07" w:rsidRPr="00227928" w:rsidRDefault="00E248F7" w:rsidP="00E84D07">
      <w:pPr>
        <w:pStyle w:val="SingleTxt"/>
        <w:numPr>
          <w:ilvl w:val="0"/>
          <w:numId w:val="4"/>
        </w:numPr>
        <w:rPr>
          <w:lang w:val="fr-FR"/>
        </w:rPr>
      </w:pPr>
      <w:r w:rsidRPr="00227928">
        <w:rPr>
          <w:lang w:val="fr-FR"/>
        </w:rPr>
        <w:t>Tout en se réservant le droit de faire plus tard des observations complémentaires sur le fond, l</w:t>
      </w:r>
      <w:r w:rsidR="001B5526">
        <w:rPr>
          <w:lang w:val="fr-FR"/>
        </w:rPr>
        <w:t>’</w:t>
      </w:r>
      <w:r w:rsidRPr="00227928">
        <w:rPr>
          <w:lang w:val="fr-FR"/>
        </w:rPr>
        <w:t>État partie estime infondée l</w:t>
      </w:r>
      <w:r w:rsidR="001B5526">
        <w:rPr>
          <w:lang w:val="fr-FR"/>
        </w:rPr>
        <w:t>’</w:t>
      </w:r>
      <w:r w:rsidRPr="00227928">
        <w:rPr>
          <w:lang w:val="fr-FR"/>
        </w:rPr>
        <w:t>assertion selon laquelle le Service de l</w:t>
      </w:r>
      <w:r w:rsidR="001B5526">
        <w:rPr>
          <w:lang w:val="fr-FR"/>
        </w:rPr>
        <w:t>’</w:t>
      </w:r>
      <w:r w:rsidRPr="00227928">
        <w:rPr>
          <w:lang w:val="fr-FR"/>
        </w:rPr>
        <w:t>immigration aurait fait preuve de négligence en ne disant pas à l</w:t>
      </w:r>
      <w:r w:rsidR="001B5526">
        <w:rPr>
          <w:lang w:val="fr-FR"/>
        </w:rPr>
        <w:t>’</w:t>
      </w:r>
      <w:r w:rsidRPr="00227928">
        <w:rPr>
          <w:lang w:val="fr-FR"/>
        </w:rPr>
        <w:t>auteur qu</w:t>
      </w:r>
      <w:r w:rsidR="001B5526">
        <w:rPr>
          <w:lang w:val="fr-FR"/>
        </w:rPr>
        <w:t>’</w:t>
      </w:r>
      <w:r w:rsidRPr="00227928">
        <w:rPr>
          <w:lang w:val="fr-FR"/>
        </w:rPr>
        <w:t>elle pouvait signaler aux autorités de police qu</w:t>
      </w:r>
      <w:r w:rsidR="001B5526">
        <w:rPr>
          <w:lang w:val="fr-FR"/>
        </w:rPr>
        <w:t>’</w:t>
      </w:r>
      <w:r w:rsidRPr="00227928">
        <w:rPr>
          <w:lang w:val="fr-FR"/>
        </w:rPr>
        <w:t xml:space="preserve">elle avait été victime de la traite et faire ainsi valoir ses droits dans le cadre du système spécial de protection des victimes, des témoins et des informateurs (le </w:t>
      </w:r>
      <w:r w:rsidR="001B5526">
        <w:rPr>
          <w:lang w:val="fr-FR"/>
        </w:rPr>
        <w:t>« </w:t>
      </w:r>
      <w:r w:rsidRPr="00227928">
        <w:rPr>
          <w:lang w:val="fr-FR"/>
        </w:rPr>
        <w:t>système B9</w:t>
      </w:r>
      <w:r w:rsidR="001B5526">
        <w:rPr>
          <w:lang w:val="fr-FR"/>
        </w:rPr>
        <w:t> »</w:t>
      </w:r>
      <w:r w:rsidRPr="00227928">
        <w:rPr>
          <w:lang w:val="fr-FR"/>
        </w:rPr>
        <w:t>). L</w:t>
      </w:r>
      <w:r w:rsidR="001B5526">
        <w:rPr>
          <w:lang w:val="fr-FR"/>
        </w:rPr>
        <w:t>’</w:t>
      </w:r>
      <w:r w:rsidRPr="00227928">
        <w:rPr>
          <w:lang w:val="fr-FR"/>
        </w:rPr>
        <w:t>État partie indique que ce système permet aux victimes de la traite qui ont saisi les autorités de police de recevoir, pour la durée de l</w:t>
      </w:r>
      <w:r w:rsidR="001B5526">
        <w:rPr>
          <w:lang w:val="fr-FR"/>
        </w:rPr>
        <w:t>’</w:t>
      </w:r>
      <w:r w:rsidRPr="00227928">
        <w:rPr>
          <w:lang w:val="fr-FR"/>
        </w:rPr>
        <w:t>enquête et de l</w:t>
      </w:r>
      <w:r w:rsidR="001B5526">
        <w:rPr>
          <w:lang w:val="fr-FR"/>
        </w:rPr>
        <w:t>’</w:t>
      </w:r>
      <w:r w:rsidRPr="00227928">
        <w:rPr>
          <w:lang w:val="fr-FR"/>
        </w:rPr>
        <w:t>action pénale contre les suspects, un permis de séjour temporaire susceptible d</w:t>
      </w:r>
      <w:r w:rsidR="001B5526">
        <w:rPr>
          <w:lang w:val="fr-FR"/>
        </w:rPr>
        <w:t>’</w:t>
      </w:r>
      <w:r w:rsidRPr="00227928">
        <w:rPr>
          <w:lang w:val="fr-FR"/>
        </w:rPr>
        <w:t>être ensuite converti en permis permanent si d</w:t>
      </w:r>
      <w:r w:rsidR="001B5526">
        <w:rPr>
          <w:lang w:val="fr-FR"/>
        </w:rPr>
        <w:t>’</w:t>
      </w:r>
      <w:r w:rsidRPr="00227928">
        <w:rPr>
          <w:lang w:val="fr-FR"/>
        </w:rPr>
        <w:t>impérieuses raisons humanitaires le justifient. Il soutient que l</w:t>
      </w:r>
      <w:r w:rsidR="001B5526">
        <w:rPr>
          <w:lang w:val="fr-FR"/>
        </w:rPr>
        <w:t>’</w:t>
      </w:r>
      <w:r w:rsidRPr="00227928">
        <w:rPr>
          <w:lang w:val="fr-FR"/>
        </w:rPr>
        <w:t>auteur n</w:t>
      </w:r>
      <w:r w:rsidR="001B5526">
        <w:rPr>
          <w:lang w:val="fr-FR"/>
        </w:rPr>
        <w:t>’</w:t>
      </w:r>
      <w:r w:rsidRPr="00227928">
        <w:rPr>
          <w:lang w:val="fr-FR"/>
        </w:rPr>
        <w:t>a fait aucune déclaration probante ni présenté aucun document à l</w:t>
      </w:r>
      <w:r w:rsidR="001B5526">
        <w:rPr>
          <w:lang w:val="fr-FR"/>
        </w:rPr>
        <w:t>’</w:t>
      </w:r>
      <w:r w:rsidRPr="00227928">
        <w:rPr>
          <w:lang w:val="fr-FR"/>
        </w:rPr>
        <w:t>appui de sa demande d</w:t>
      </w:r>
      <w:r w:rsidR="001B5526">
        <w:rPr>
          <w:lang w:val="fr-FR"/>
        </w:rPr>
        <w:t>’</w:t>
      </w:r>
      <w:r w:rsidRPr="00227928">
        <w:rPr>
          <w:lang w:val="fr-FR"/>
        </w:rPr>
        <w:t>asile. Il note qu</w:t>
      </w:r>
      <w:r w:rsidR="001B5526">
        <w:rPr>
          <w:lang w:val="fr-FR"/>
        </w:rPr>
        <w:t>’</w:t>
      </w:r>
      <w:r w:rsidRPr="00227928">
        <w:rPr>
          <w:lang w:val="fr-FR"/>
        </w:rPr>
        <w:t>elle n</w:t>
      </w:r>
      <w:r w:rsidR="001B5526">
        <w:rPr>
          <w:lang w:val="fr-FR"/>
        </w:rPr>
        <w:t>’</w:t>
      </w:r>
      <w:r w:rsidRPr="00227928">
        <w:rPr>
          <w:lang w:val="fr-FR"/>
        </w:rPr>
        <w:t>a guère pu donner d</w:t>
      </w:r>
      <w:r w:rsidR="001B5526">
        <w:rPr>
          <w:lang w:val="fr-FR"/>
        </w:rPr>
        <w:t>’</w:t>
      </w:r>
      <w:r w:rsidRPr="00227928">
        <w:rPr>
          <w:lang w:val="fr-FR"/>
        </w:rPr>
        <w:t>informations sur son identité, sur les membres de sa famille, sur son passé ni sur la façon dont elle est arrivée aux Pays-Bas. Il note aussi qu</w:t>
      </w:r>
      <w:r w:rsidR="001B5526">
        <w:rPr>
          <w:lang w:val="fr-FR"/>
        </w:rPr>
        <w:t>’</w:t>
      </w:r>
      <w:r w:rsidRPr="00227928">
        <w:rPr>
          <w:lang w:val="fr-FR"/>
        </w:rPr>
        <w:t>elle n</w:t>
      </w:r>
      <w:r w:rsidR="001B5526">
        <w:rPr>
          <w:lang w:val="fr-FR"/>
        </w:rPr>
        <w:t>’</w:t>
      </w:r>
      <w:r w:rsidRPr="00227928">
        <w:rPr>
          <w:lang w:val="fr-FR"/>
        </w:rPr>
        <w:t>a pas pu donner les noms de ses parents ni de la grand-mère par laquelle elle dit avoir été élevée, ni indiquer de quelle ville de Chine elle était partie, quels pays elle avait traversés ou par quels moyens de transport elle était arrivée aux Pays-Bas. Elle n</w:t>
      </w:r>
      <w:r w:rsidR="001B5526">
        <w:rPr>
          <w:lang w:val="fr-FR"/>
        </w:rPr>
        <w:t>’</w:t>
      </w:r>
      <w:r w:rsidRPr="00227928">
        <w:rPr>
          <w:lang w:val="fr-FR"/>
        </w:rPr>
        <w:t>a pas pu non plus indiquer qui l</w:t>
      </w:r>
      <w:r w:rsidR="001B5526">
        <w:rPr>
          <w:lang w:val="fr-FR"/>
        </w:rPr>
        <w:t>’</w:t>
      </w:r>
      <w:r w:rsidRPr="00227928">
        <w:rPr>
          <w:lang w:val="fr-FR"/>
        </w:rPr>
        <w:t>avait accompagnée dans son voyage, ni où et avec qui elle avait résidé pendant huit mois environ avant de faire sa demande d</w:t>
      </w:r>
      <w:r w:rsidR="001B5526">
        <w:rPr>
          <w:lang w:val="fr-FR"/>
        </w:rPr>
        <w:t>’</w:t>
      </w:r>
      <w:r w:rsidRPr="00227928">
        <w:rPr>
          <w:lang w:val="fr-FR"/>
        </w:rPr>
        <w:t>asile. L</w:t>
      </w:r>
      <w:r w:rsidR="001B5526">
        <w:rPr>
          <w:lang w:val="fr-FR"/>
        </w:rPr>
        <w:t>’</w:t>
      </w:r>
      <w:r w:rsidRPr="00227928">
        <w:rPr>
          <w:lang w:val="fr-FR"/>
        </w:rPr>
        <w:t>auteur n</w:t>
      </w:r>
      <w:r w:rsidR="001B5526">
        <w:rPr>
          <w:lang w:val="fr-FR"/>
        </w:rPr>
        <w:t>’</w:t>
      </w:r>
      <w:r w:rsidRPr="00227928">
        <w:rPr>
          <w:lang w:val="fr-FR"/>
        </w:rPr>
        <w:t>a pas donné d</w:t>
      </w:r>
      <w:r w:rsidR="001B5526">
        <w:rPr>
          <w:lang w:val="fr-FR"/>
        </w:rPr>
        <w:t>’</w:t>
      </w:r>
      <w:r w:rsidRPr="00227928">
        <w:rPr>
          <w:lang w:val="fr-FR"/>
        </w:rPr>
        <w:t>autres informations lors des phases ultérieures de la procédure, c</w:t>
      </w:r>
      <w:r w:rsidR="001B5526">
        <w:rPr>
          <w:lang w:val="fr-FR"/>
        </w:rPr>
        <w:t>’</w:t>
      </w:r>
      <w:r w:rsidRPr="00227928">
        <w:rPr>
          <w:lang w:val="fr-FR"/>
        </w:rPr>
        <w:t>est-à-dire lorsqu</w:t>
      </w:r>
      <w:r w:rsidR="001B5526">
        <w:rPr>
          <w:lang w:val="fr-FR"/>
        </w:rPr>
        <w:t>’</w:t>
      </w:r>
      <w:r w:rsidRPr="00227928">
        <w:rPr>
          <w:lang w:val="fr-FR"/>
        </w:rPr>
        <w:t>elle a eu l</w:t>
      </w:r>
      <w:r w:rsidR="001B5526">
        <w:rPr>
          <w:lang w:val="fr-FR"/>
        </w:rPr>
        <w:t>’</w:t>
      </w:r>
      <w:r w:rsidRPr="00227928">
        <w:rPr>
          <w:lang w:val="fr-FR"/>
        </w:rPr>
        <w:t>occasion de réagir à la notification du 1</w:t>
      </w:r>
      <w:r w:rsidRPr="00227928">
        <w:rPr>
          <w:vertAlign w:val="superscript"/>
          <w:lang w:val="fr-FR"/>
        </w:rPr>
        <w:t>er</w:t>
      </w:r>
      <w:r w:rsidRPr="00227928">
        <w:rPr>
          <w:lang w:val="fr-FR"/>
        </w:rPr>
        <w:t xml:space="preserve"> mai 2003 lui signifiant que sa demande d</w:t>
      </w:r>
      <w:r w:rsidR="001B5526">
        <w:rPr>
          <w:lang w:val="fr-FR"/>
        </w:rPr>
        <w:t>’</w:t>
      </w:r>
      <w:r w:rsidRPr="00227928">
        <w:rPr>
          <w:lang w:val="fr-FR"/>
        </w:rPr>
        <w:t>asile allait être rejetée, ou dans l</w:t>
      </w:r>
      <w:r w:rsidR="001B5526">
        <w:rPr>
          <w:lang w:val="fr-FR"/>
        </w:rPr>
        <w:t>’</w:t>
      </w:r>
      <w:r w:rsidRPr="00227928">
        <w:rPr>
          <w:lang w:val="fr-FR"/>
        </w:rPr>
        <w:t>avis d</w:t>
      </w:r>
      <w:r w:rsidR="001B5526">
        <w:rPr>
          <w:lang w:val="fr-FR"/>
        </w:rPr>
        <w:t>’</w:t>
      </w:r>
      <w:r w:rsidRPr="00227928">
        <w:rPr>
          <w:lang w:val="fr-FR"/>
        </w:rPr>
        <w:t>objection qu</w:t>
      </w:r>
      <w:r w:rsidR="001B5526">
        <w:rPr>
          <w:lang w:val="fr-FR"/>
        </w:rPr>
        <w:t>’</w:t>
      </w:r>
      <w:r w:rsidRPr="00227928">
        <w:rPr>
          <w:lang w:val="fr-FR"/>
        </w:rPr>
        <w:t>elle a présenté le 7 mai 2003 dans le cadre de la procédure menée pour obtenir un permis de séjour. L</w:t>
      </w:r>
      <w:r w:rsidR="001B5526">
        <w:rPr>
          <w:lang w:val="fr-FR"/>
        </w:rPr>
        <w:t>’</w:t>
      </w:r>
      <w:r w:rsidRPr="00227928">
        <w:rPr>
          <w:lang w:val="fr-FR"/>
        </w:rPr>
        <w:t>État partie conclut donc que rien dans les déclarations de l</w:t>
      </w:r>
      <w:r w:rsidR="001B5526">
        <w:rPr>
          <w:lang w:val="fr-FR"/>
        </w:rPr>
        <w:t>’</w:t>
      </w:r>
      <w:r w:rsidRPr="00227928">
        <w:rPr>
          <w:lang w:val="fr-FR"/>
        </w:rPr>
        <w:t>auteur n</w:t>
      </w:r>
      <w:r w:rsidR="001B5526">
        <w:rPr>
          <w:lang w:val="fr-FR"/>
        </w:rPr>
        <w:t>’</w:t>
      </w:r>
      <w:r w:rsidRPr="00227928">
        <w:rPr>
          <w:lang w:val="fr-FR"/>
        </w:rPr>
        <w:t>aurait dû amener le Service d</w:t>
      </w:r>
      <w:r w:rsidR="0093338E" w:rsidRPr="00227928">
        <w:rPr>
          <w:lang w:val="fr-FR"/>
        </w:rPr>
        <w:t>e l</w:t>
      </w:r>
      <w:r w:rsidR="001B5526">
        <w:rPr>
          <w:lang w:val="fr-FR"/>
        </w:rPr>
        <w:t>’</w:t>
      </w:r>
      <w:r w:rsidR="0093338E" w:rsidRPr="00227928">
        <w:rPr>
          <w:lang w:val="fr-FR"/>
        </w:rPr>
        <w:t>immigration à lui dire qu</w:t>
      </w:r>
      <w:r w:rsidR="001B5526">
        <w:rPr>
          <w:lang w:val="fr-FR"/>
        </w:rPr>
        <w:t>’</w:t>
      </w:r>
      <w:r w:rsidRPr="00227928">
        <w:rPr>
          <w:lang w:val="fr-FR"/>
        </w:rPr>
        <w:t>elle pouvait signaler aux autorités de police qu</w:t>
      </w:r>
      <w:r w:rsidR="001B5526">
        <w:rPr>
          <w:lang w:val="fr-FR"/>
        </w:rPr>
        <w:t>’</w:t>
      </w:r>
      <w:r w:rsidRPr="00227928">
        <w:rPr>
          <w:lang w:val="fr-FR"/>
        </w:rPr>
        <w:t>elle avait été victime de la traite. Même si elle l</w:t>
      </w:r>
      <w:r w:rsidR="001B5526">
        <w:rPr>
          <w:lang w:val="fr-FR"/>
        </w:rPr>
        <w:t>’</w:t>
      </w:r>
      <w:r w:rsidRPr="00227928">
        <w:rPr>
          <w:lang w:val="fr-FR"/>
        </w:rPr>
        <w:t xml:space="preserve">avait fait, il est peu probable que les autorités aient décidé de faire une enquête, pour les mêmes raisons. </w:t>
      </w:r>
    </w:p>
    <w:p w:rsidR="00E84D07" w:rsidRPr="00227928" w:rsidRDefault="00E84D07" w:rsidP="00E84D07">
      <w:pPr>
        <w:pStyle w:val="SingleTxt"/>
        <w:tabs>
          <w:tab w:val="clear" w:pos="1742"/>
        </w:tabs>
        <w:rPr>
          <w:lang w:val="fr-FR"/>
        </w:rPr>
        <w:sectPr w:rsidR="00E84D07" w:rsidRPr="00227928" w:rsidSect="00E84D07">
          <w:footnotePr>
            <w:numFmt w:val="chicago"/>
            <w:numStart w:val="2"/>
          </w:footnotePr>
          <w:type w:val="continuous"/>
          <w:pgSz w:w="12240" w:h="15840" w:code="1"/>
          <w:pgMar w:top="1741" w:right="1196" w:bottom="1899" w:left="1196" w:header="578" w:footer="1032" w:gutter="0"/>
          <w:cols w:space="708"/>
          <w:noEndnote/>
          <w:docGrid w:linePitch="360"/>
        </w:sectPr>
      </w:pPr>
    </w:p>
    <w:p w:rsidR="00E248F7" w:rsidRPr="00227928" w:rsidRDefault="00E248F7" w:rsidP="009A6119">
      <w:pPr>
        <w:pStyle w:val="SingleTxt"/>
        <w:keepNext/>
        <w:keepLines/>
        <w:numPr>
          <w:ilvl w:val="0"/>
          <w:numId w:val="4"/>
        </w:numPr>
        <w:rPr>
          <w:lang w:val="fr-FR"/>
        </w:rPr>
      </w:pPr>
      <w:r w:rsidRPr="00227928">
        <w:rPr>
          <w:lang w:val="fr-FR"/>
        </w:rPr>
        <w:t>L</w:t>
      </w:r>
      <w:r w:rsidR="001B5526">
        <w:rPr>
          <w:lang w:val="fr-FR"/>
        </w:rPr>
        <w:t>’</w:t>
      </w:r>
      <w:r w:rsidRPr="00227928">
        <w:rPr>
          <w:lang w:val="fr-FR"/>
        </w:rPr>
        <w:t>État partie souligne que l</w:t>
      </w:r>
      <w:r w:rsidR="001B5526">
        <w:rPr>
          <w:lang w:val="fr-FR"/>
        </w:rPr>
        <w:t>’</w:t>
      </w:r>
      <w:r w:rsidRPr="00227928">
        <w:rPr>
          <w:lang w:val="fr-FR"/>
        </w:rPr>
        <w:t>auteur a été assistée dans ses recours internes par un conseiller juridique qui, s</w:t>
      </w:r>
      <w:r w:rsidR="001B5526">
        <w:rPr>
          <w:lang w:val="fr-FR"/>
        </w:rPr>
        <w:t>’</w:t>
      </w:r>
      <w:r w:rsidRPr="00227928">
        <w:rPr>
          <w:lang w:val="fr-FR"/>
        </w:rPr>
        <w:t>il y avait eu lieu de le faire, lui aurait probablement dit qu</w:t>
      </w:r>
      <w:r w:rsidR="001B5526">
        <w:rPr>
          <w:lang w:val="fr-FR"/>
        </w:rPr>
        <w:t>’</w:t>
      </w:r>
      <w:r w:rsidRPr="00227928">
        <w:rPr>
          <w:lang w:val="fr-FR"/>
        </w:rPr>
        <w:t>elle pouvait s</w:t>
      </w:r>
      <w:r w:rsidR="001B5526">
        <w:rPr>
          <w:lang w:val="fr-FR"/>
        </w:rPr>
        <w:t>’</w:t>
      </w:r>
      <w:r w:rsidRPr="00227928">
        <w:rPr>
          <w:lang w:val="fr-FR"/>
        </w:rPr>
        <w:t xml:space="preserve">adresser aux autorités de police et demander la protection prévue dans le cadre du système B9. </w:t>
      </w:r>
    </w:p>
    <w:p w:rsidR="007D763E" w:rsidRPr="00227928" w:rsidRDefault="00E248F7" w:rsidP="000C46AA">
      <w:pPr>
        <w:pStyle w:val="SingleTxt"/>
        <w:numPr>
          <w:ilvl w:val="0"/>
          <w:numId w:val="4"/>
        </w:numPr>
        <w:rPr>
          <w:lang w:val="fr-FR"/>
        </w:rPr>
      </w:pPr>
      <w:r w:rsidRPr="00227928">
        <w:rPr>
          <w:lang w:val="fr-FR"/>
        </w:rPr>
        <w:t>Enfin, l</w:t>
      </w:r>
      <w:r w:rsidR="001B5526">
        <w:rPr>
          <w:lang w:val="fr-FR"/>
        </w:rPr>
        <w:t>’</w:t>
      </w:r>
      <w:r w:rsidRPr="00227928">
        <w:rPr>
          <w:lang w:val="fr-FR"/>
        </w:rPr>
        <w:t>État partie indique que même lorsque l</w:t>
      </w:r>
      <w:r w:rsidR="001B5526">
        <w:rPr>
          <w:lang w:val="fr-FR"/>
        </w:rPr>
        <w:t>’</w:t>
      </w:r>
      <w:r w:rsidRPr="00227928">
        <w:rPr>
          <w:lang w:val="fr-FR"/>
        </w:rPr>
        <w:t>auteur a su qu</w:t>
      </w:r>
      <w:r w:rsidR="001B5526">
        <w:rPr>
          <w:lang w:val="fr-FR"/>
        </w:rPr>
        <w:t>’</w:t>
      </w:r>
      <w:r w:rsidRPr="00227928">
        <w:rPr>
          <w:lang w:val="fr-FR"/>
        </w:rPr>
        <w:t>elle pouvait signaler aux autorités de police qu</w:t>
      </w:r>
      <w:r w:rsidR="001B5526">
        <w:rPr>
          <w:lang w:val="fr-FR"/>
        </w:rPr>
        <w:t>’</w:t>
      </w:r>
      <w:r w:rsidRPr="00227928">
        <w:rPr>
          <w:lang w:val="fr-FR"/>
        </w:rPr>
        <w:t>elle avait été victime de la traite, elle ne l</w:t>
      </w:r>
      <w:r w:rsidR="001B5526">
        <w:rPr>
          <w:lang w:val="fr-FR"/>
        </w:rPr>
        <w:t>’</w:t>
      </w:r>
      <w:r w:rsidRPr="00227928">
        <w:rPr>
          <w:lang w:val="fr-FR"/>
        </w:rPr>
        <w:t>a pas fait.</w:t>
      </w:r>
    </w:p>
    <w:p w:rsidR="007D763E" w:rsidRPr="00227928" w:rsidRDefault="007D763E" w:rsidP="007D763E">
      <w:pPr>
        <w:pStyle w:val="SingleTxt"/>
        <w:numPr>
          <w:ilvl w:val="0"/>
          <w:numId w:val="4"/>
        </w:numPr>
        <w:rPr>
          <w:lang w:val="fr-FR"/>
        </w:rPr>
      </w:pPr>
      <w:r w:rsidRPr="00227928">
        <w:rPr>
          <w:lang w:val="fr-FR"/>
        </w:rPr>
        <w:t>L</w:t>
      </w:r>
      <w:r w:rsidR="001B5526">
        <w:rPr>
          <w:lang w:val="fr-FR"/>
        </w:rPr>
        <w:t>’</w:t>
      </w:r>
      <w:r w:rsidRPr="00227928">
        <w:rPr>
          <w:lang w:val="fr-FR"/>
        </w:rPr>
        <w:t xml:space="preserve">État partie conclut que, si le Comité jugeait la communication recevable, sa décision serait infondée. </w:t>
      </w:r>
    </w:p>
    <w:p w:rsidR="007D763E" w:rsidRPr="00227928" w:rsidRDefault="007D763E" w:rsidP="007D763E">
      <w:pPr>
        <w:pStyle w:val="SingleTxt"/>
        <w:spacing w:after="0" w:line="120" w:lineRule="exact"/>
        <w:rPr>
          <w:sz w:val="10"/>
          <w:lang w:val="fr-FR"/>
        </w:rPr>
      </w:pPr>
    </w:p>
    <w:p w:rsidR="007D763E" w:rsidRPr="00227928" w:rsidRDefault="007D763E" w:rsidP="007D7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27928">
        <w:rPr>
          <w:lang w:val="fr-FR"/>
        </w:rPr>
        <w:tab/>
      </w:r>
      <w:r w:rsidRPr="00227928">
        <w:rPr>
          <w:lang w:val="fr-FR"/>
        </w:rPr>
        <w:tab/>
        <w:t>Commentaires de l</w:t>
      </w:r>
      <w:r w:rsidR="001B5526">
        <w:rPr>
          <w:lang w:val="fr-FR"/>
        </w:rPr>
        <w:t>’</w:t>
      </w:r>
      <w:r w:rsidRPr="00227928">
        <w:rPr>
          <w:lang w:val="fr-FR"/>
        </w:rPr>
        <w:t>auteur sur les observations de l</w:t>
      </w:r>
      <w:r w:rsidR="001B5526">
        <w:rPr>
          <w:lang w:val="fr-FR"/>
        </w:rPr>
        <w:t>’</w:t>
      </w:r>
      <w:r w:rsidRPr="00227928">
        <w:rPr>
          <w:lang w:val="fr-FR"/>
        </w:rPr>
        <w:t xml:space="preserve">État partie </w:t>
      </w:r>
      <w:r w:rsidRPr="00227928">
        <w:rPr>
          <w:lang w:val="fr-FR"/>
        </w:rPr>
        <w:br/>
        <w:t>concernant la recevabilité et le fond</w:t>
      </w:r>
    </w:p>
    <w:p w:rsidR="007D763E" w:rsidRPr="00227928" w:rsidRDefault="007D763E" w:rsidP="007D763E">
      <w:pPr>
        <w:pStyle w:val="SingleTxt"/>
        <w:spacing w:after="0" w:line="120" w:lineRule="exact"/>
        <w:rPr>
          <w:sz w:val="10"/>
          <w:lang w:val="fr-FR"/>
        </w:rPr>
      </w:pPr>
    </w:p>
    <w:p w:rsidR="007D763E" w:rsidRPr="00227928" w:rsidRDefault="007D763E" w:rsidP="00C26501">
      <w:pPr>
        <w:pStyle w:val="SingleTxt"/>
        <w:numPr>
          <w:ilvl w:val="0"/>
          <w:numId w:val="5"/>
        </w:numPr>
        <w:rPr>
          <w:lang w:val="fr-FR"/>
        </w:rPr>
      </w:pPr>
      <w:r w:rsidRPr="00227928">
        <w:rPr>
          <w:lang w:val="fr-FR"/>
        </w:rPr>
        <w:t>Dans sa réplique du 20 septembre 2007, l</w:t>
      </w:r>
      <w:r w:rsidR="001B5526">
        <w:rPr>
          <w:lang w:val="fr-FR"/>
        </w:rPr>
        <w:t>’</w:t>
      </w:r>
      <w:r w:rsidRPr="00227928">
        <w:rPr>
          <w:lang w:val="fr-FR"/>
        </w:rPr>
        <w:t>auteur affirme avoir épuisé les recours internes. Elle explique que l</w:t>
      </w:r>
      <w:r w:rsidR="001B5526">
        <w:rPr>
          <w:lang w:val="fr-FR"/>
        </w:rPr>
        <w:t>’</w:t>
      </w:r>
      <w:r w:rsidRPr="00227928">
        <w:rPr>
          <w:lang w:val="fr-FR"/>
        </w:rPr>
        <w:t xml:space="preserve">État partie fait une distinction nette (un </w:t>
      </w:r>
      <w:r w:rsidR="001B5526">
        <w:rPr>
          <w:lang w:val="fr-FR"/>
        </w:rPr>
        <w:t>« </w:t>
      </w:r>
      <w:r w:rsidRPr="00227928">
        <w:rPr>
          <w:lang w:val="fr-FR"/>
        </w:rPr>
        <w:t>cloisonnement</w:t>
      </w:r>
      <w:r w:rsidR="001B5526">
        <w:rPr>
          <w:lang w:val="fr-FR"/>
        </w:rPr>
        <w:t> »</w:t>
      </w:r>
      <w:r w:rsidRPr="00227928">
        <w:rPr>
          <w:lang w:val="fr-FR"/>
        </w:rPr>
        <w:t>) entre deux groupes de réfugiés, les demandeurs d</w:t>
      </w:r>
      <w:r w:rsidR="001B5526">
        <w:rPr>
          <w:lang w:val="fr-FR"/>
        </w:rPr>
        <w:t>’</w:t>
      </w:r>
      <w:r w:rsidRPr="00227928">
        <w:rPr>
          <w:lang w:val="fr-FR"/>
        </w:rPr>
        <w:t>asile (asiel), qui affirment qu</w:t>
      </w:r>
      <w:r w:rsidR="001B5526">
        <w:rPr>
          <w:lang w:val="fr-FR"/>
        </w:rPr>
        <w:t>’</w:t>
      </w:r>
      <w:r w:rsidRPr="00227928">
        <w:rPr>
          <w:lang w:val="fr-FR"/>
        </w:rPr>
        <w:t>ils auraient à craindre pour leur vie s</w:t>
      </w:r>
      <w:r w:rsidR="001B5526">
        <w:rPr>
          <w:lang w:val="fr-FR"/>
        </w:rPr>
        <w:t>’</w:t>
      </w:r>
      <w:r w:rsidRPr="00227928">
        <w:rPr>
          <w:lang w:val="fr-FR"/>
        </w:rPr>
        <w:t>ils devaient retourner dans leur pays, et les réfugiés ordinaires (régulier), tels que les victimes de la traite qui font une demande de permis de séjour. La Division de la juridiction administrative du Conseil d</w:t>
      </w:r>
      <w:r w:rsidR="001B5526">
        <w:rPr>
          <w:lang w:val="fr-FR"/>
        </w:rPr>
        <w:t>’</w:t>
      </w:r>
      <w:r w:rsidRPr="00227928">
        <w:rPr>
          <w:lang w:val="fr-FR"/>
        </w:rPr>
        <w:t>État appliquerait ce cloisonnement. L</w:t>
      </w:r>
      <w:r w:rsidR="001B5526">
        <w:rPr>
          <w:lang w:val="fr-FR"/>
        </w:rPr>
        <w:t>’</w:t>
      </w:r>
      <w:r w:rsidRPr="00227928">
        <w:rPr>
          <w:lang w:val="fr-FR"/>
        </w:rPr>
        <w:t>auteur soutient donc que la question de l</w:t>
      </w:r>
      <w:r w:rsidR="001B5526">
        <w:rPr>
          <w:lang w:val="fr-FR"/>
        </w:rPr>
        <w:t>’</w:t>
      </w:r>
      <w:r w:rsidRPr="00227928">
        <w:rPr>
          <w:lang w:val="fr-FR"/>
        </w:rPr>
        <w:t>épuisement des recours internes ne se pose pas pour ce qui est de la demande d</w:t>
      </w:r>
      <w:r w:rsidR="001B5526">
        <w:rPr>
          <w:lang w:val="fr-FR"/>
        </w:rPr>
        <w:t>’</w:t>
      </w:r>
      <w:r w:rsidRPr="00227928">
        <w:rPr>
          <w:lang w:val="fr-FR"/>
        </w:rPr>
        <w:t>asile et que, le Conseil d</w:t>
      </w:r>
      <w:r w:rsidR="001B5526">
        <w:rPr>
          <w:lang w:val="fr-FR"/>
        </w:rPr>
        <w:t>’</w:t>
      </w:r>
      <w:r w:rsidRPr="00227928">
        <w:rPr>
          <w:lang w:val="fr-FR"/>
        </w:rPr>
        <w:t xml:space="preserve">État ayant rejeté son pourvoi concernant sa demande de permis de séjour le 24 juillet 2006, tous les recours internes ont été épuisés. </w:t>
      </w:r>
    </w:p>
    <w:p w:rsidR="00C26501" w:rsidRPr="00227928" w:rsidRDefault="007D763E" w:rsidP="007D763E">
      <w:pPr>
        <w:pStyle w:val="SingleTxt"/>
        <w:numPr>
          <w:ilvl w:val="0"/>
          <w:numId w:val="6"/>
        </w:numPr>
        <w:rPr>
          <w:lang w:val="fr-FR"/>
        </w:rPr>
      </w:pPr>
      <w:r w:rsidRPr="00227928">
        <w:rPr>
          <w:lang w:val="fr-FR"/>
        </w:rPr>
        <w:t>L</w:t>
      </w:r>
      <w:r w:rsidR="001B5526">
        <w:rPr>
          <w:lang w:val="fr-FR"/>
        </w:rPr>
        <w:t>’</w:t>
      </w:r>
      <w:r w:rsidRPr="00227928">
        <w:rPr>
          <w:lang w:val="fr-FR"/>
        </w:rPr>
        <w:t>auteur dit avoir clairement indiqué dans sa communication en quoi l</w:t>
      </w:r>
      <w:r w:rsidR="001B5526">
        <w:rPr>
          <w:lang w:val="fr-FR"/>
        </w:rPr>
        <w:t>’</w:t>
      </w:r>
      <w:r w:rsidRPr="00227928">
        <w:rPr>
          <w:lang w:val="fr-FR"/>
        </w:rPr>
        <w:t>article 6 de la Convention a été violé. Elle a dit lors de sa deuxième audition au Service de l</w:t>
      </w:r>
      <w:r w:rsidR="001B5526">
        <w:rPr>
          <w:lang w:val="fr-FR"/>
        </w:rPr>
        <w:t>’</w:t>
      </w:r>
      <w:r w:rsidRPr="00227928">
        <w:rPr>
          <w:lang w:val="fr-FR"/>
        </w:rPr>
        <w:t>immigration qu</w:t>
      </w:r>
      <w:r w:rsidR="001B5526">
        <w:rPr>
          <w:lang w:val="fr-FR"/>
        </w:rPr>
        <w:t>’</w:t>
      </w:r>
      <w:r w:rsidRPr="00227928">
        <w:rPr>
          <w:lang w:val="fr-FR"/>
        </w:rPr>
        <w:t>elle avait été contrainte de coucher avec des hommes, violée à plusieurs reprises et séquestrée. Elle maintient que l</w:t>
      </w:r>
      <w:r w:rsidR="001B5526">
        <w:rPr>
          <w:lang w:val="fr-FR"/>
        </w:rPr>
        <w:t>’</w:t>
      </w:r>
      <w:r w:rsidRPr="00227928">
        <w:rPr>
          <w:lang w:val="fr-FR"/>
        </w:rPr>
        <w:t>absence de réaction de l</w:t>
      </w:r>
      <w:r w:rsidR="001B5526">
        <w:rPr>
          <w:lang w:val="fr-FR"/>
        </w:rPr>
        <w:t>’</w:t>
      </w:r>
      <w:r w:rsidRPr="00227928">
        <w:rPr>
          <w:lang w:val="fr-FR"/>
        </w:rPr>
        <w:t>État partie face aux informations qu</w:t>
      </w:r>
      <w:r w:rsidR="001B5526">
        <w:rPr>
          <w:lang w:val="fr-FR"/>
        </w:rPr>
        <w:t>’</w:t>
      </w:r>
      <w:r w:rsidRPr="00227928">
        <w:rPr>
          <w:lang w:val="fr-FR"/>
        </w:rPr>
        <w:t>elle lui a fournies constitue un manquement aux obligations visées à l</w:t>
      </w:r>
      <w:r w:rsidR="001B5526">
        <w:rPr>
          <w:lang w:val="fr-FR"/>
        </w:rPr>
        <w:t>’</w:t>
      </w:r>
      <w:r w:rsidRPr="00227928">
        <w:rPr>
          <w:lang w:val="fr-FR"/>
        </w:rPr>
        <w:t>article 6 de la Convention. L</w:t>
      </w:r>
      <w:r w:rsidR="001B5526">
        <w:rPr>
          <w:lang w:val="fr-FR"/>
        </w:rPr>
        <w:t>’</w:t>
      </w:r>
      <w:r w:rsidRPr="00227928">
        <w:rPr>
          <w:lang w:val="fr-FR"/>
        </w:rPr>
        <w:t>État partie dispose d</w:t>
      </w:r>
      <w:r w:rsidR="001B5526">
        <w:rPr>
          <w:lang w:val="fr-FR"/>
        </w:rPr>
        <w:t>’</w:t>
      </w:r>
      <w:r w:rsidRPr="00227928">
        <w:rPr>
          <w:lang w:val="fr-FR"/>
        </w:rPr>
        <w:t>équipes spécialisées qui s</w:t>
      </w:r>
      <w:r w:rsidR="001B5526">
        <w:rPr>
          <w:lang w:val="fr-FR"/>
        </w:rPr>
        <w:t>’</w:t>
      </w:r>
      <w:r w:rsidRPr="00227928">
        <w:rPr>
          <w:lang w:val="fr-FR"/>
        </w:rPr>
        <w:t>occupent de la question très délicate de la traite et le Service de l</w:t>
      </w:r>
      <w:r w:rsidR="001B5526">
        <w:rPr>
          <w:lang w:val="fr-FR"/>
        </w:rPr>
        <w:t>’</w:t>
      </w:r>
      <w:r w:rsidRPr="00227928">
        <w:rPr>
          <w:lang w:val="fr-FR"/>
        </w:rPr>
        <w:t>immigration aurait dû au moins signaler à l</w:t>
      </w:r>
      <w:r w:rsidR="001B5526">
        <w:rPr>
          <w:lang w:val="fr-FR"/>
        </w:rPr>
        <w:t>’</w:t>
      </w:r>
      <w:r w:rsidRPr="00227928">
        <w:rPr>
          <w:lang w:val="fr-FR"/>
        </w:rPr>
        <w:t>auteur qu</w:t>
      </w:r>
      <w:r w:rsidR="001B5526">
        <w:rPr>
          <w:lang w:val="fr-FR"/>
        </w:rPr>
        <w:t>’</w:t>
      </w:r>
      <w:r w:rsidRPr="00227928">
        <w:rPr>
          <w:lang w:val="fr-FR"/>
        </w:rPr>
        <w:t>elle pouvait s</w:t>
      </w:r>
      <w:r w:rsidR="001B5526">
        <w:rPr>
          <w:lang w:val="fr-FR"/>
        </w:rPr>
        <w:t>’</w:t>
      </w:r>
      <w:r w:rsidRPr="00227928">
        <w:rPr>
          <w:lang w:val="fr-FR"/>
        </w:rPr>
        <w:t>adresser à la police.</w:t>
      </w:r>
    </w:p>
    <w:p w:rsidR="007D763E" w:rsidRPr="00227928" w:rsidRDefault="007D763E" w:rsidP="007D763E">
      <w:pPr>
        <w:pStyle w:val="SingleTxt"/>
        <w:numPr>
          <w:ilvl w:val="0"/>
          <w:numId w:val="7"/>
        </w:numPr>
        <w:rPr>
          <w:lang w:val="fr-FR"/>
        </w:rPr>
      </w:pPr>
      <w:r w:rsidRPr="00227928">
        <w:rPr>
          <w:lang w:val="fr-FR"/>
        </w:rPr>
        <w:t>L</w:t>
      </w:r>
      <w:r w:rsidR="001B5526">
        <w:rPr>
          <w:lang w:val="fr-FR"/>
        </w:rPr>
        <w:t>’</w:t>
      </w:r>
      <w:r w:rsidRPr="00227928">
        <w:rPr>
          <w:lang w:val="fr-FR"/>
        </w:rPr>
        <w:t>auteur affirme qu</w:t>
      </w:r>
      <w:r w:rsidR="001B5526">
        <w:rPr>
          <w:lang w:val="fr-FR"/>
        </w:rPr>
        <w:t>’</w:t>
      </w:r>
      <w:r w:rsidRPr="00227928">
        <w:rPr>
          <w:lang w:val="fr-FR"/>
        </w:rPr>
        <w:t>elle n</w:t>
      </w:r>
      <w:r w:rsidR="001B5526">
        <w:rPr>
          <w:lang w:val="fr-FR"/>
        </w:rPr>
        <w:t>’</w:t>
      </w:r>
      <w:r w:rsidRPr="00227928">
        <w:rPr>
          <w:lang w:val="fr-FR"/>
        </w:rPr>
        <w:t>était pas à même de donner des informations précises sur ce qui lui était arrivé à cause de son faible niveau d</w:t>
      </w:r>
      <w:r w:rsidR="001B5526">
        <w:rPr>
          <w:lang w:val="fr-FR"/>
        </w:rPr>
        <w:t>’</w:t>
      </w:r>
      <w:r w:rsidRPr="00227928">
        <w:rPr>
          <w:lang w:val="fr-FR"/>
        </w:rPr>
        <w:t>instruction et du traumatisme qu</w:t>
      </w:r>
      <w:r w:rsidR="001B5526">
        <w:rPr>
          <w:lang w:val="fr-FR"/>
        </w:rPr>
        <w:t>’</w:t>
      </w:r>
      <w:r w:rsidRPr="00227928">
        <w:rPr>
          <w:lang w:val="fr-FR"/>
        </w:rPr>
        <w:t>elle avait subi. Elle ajoute qu</w:t>
      </w:r>
      <w:r w:rsidR="001B5526">
        <w:rPr>
          <w:lang w:val="fr-FR"/>
        </w:rPr>
        <w:t>’</w:t>
      </w:r>
      <w:r w:rsidRPr="00227928">
        <w:rPr>
          <w:lang w:val="fr-FR"/>
        </w:rPr>
        <w:t>en tout état de cause ce n</w:t>
      </w:r>
      <w:r w:rsidR="001B5526">
        <w:rPr>
          <w:lang w:val="fr-FR"/>
        </w:rPr>
        <w:t>’</w:t>
      </w:r>
      <w:r w:rsidRPr="00227928">
        <w:rPr>
          <w:lang w:val="fr-FR"/>
        </w:rPr>
        <w:t>est pas au Service de l</w:t>
      </w:r>
      <w:r w:rsidR="001B5526">
        <w:rPr>
          <w:lang w:val="fr-FR"/>
        </w:rPr>
        <w:t>’</w:t>
      </w:r>
      <w:r w:rsidRPr="00227928">
        <w:rPr>
          <w:lang w:val="fr-FR"/>
        </w:rPr>
        <w:t>immigration mais au parquet qu</w:t>
      </w:r>
      <w:r w:rsidR="001B5526">
        <w:rPr>
          <w:lang w:val="fr-FR"/>
        </w:rPr>
        <w:t>’</w:t>
      </w:r>
      <w:r w:rsidRPr="00227928">
        <w:rPr>
          <w:lang w:val="fr-FR"/>
        </w:rPr>
        <w:t>il appartient de décider s</w:t>
      </w:r>
      <w:r w:rsidR="001B5526">
        <w:rPr>
          <w:lang w:val="fr-FR"/>
        </w:rPr>
        <w:t>’</w:t>
      </w:r>
      <w:r w:rsidRPr="00227928">
        <w:rPr>
          <w:lang w:val="fr-FR"/>
        </w:rPr>
        <w:t>il y a suffisamment d</w:t>
      </w:r>
      <w:r w:rsidR="001B5526">
        <w:rPr>
          <w:lang w:val="fr-FR"/>
        </w:rPr>
        <w:t>’</w:t>
      </w:r>
      <w:r w:rsidRPr="00227928">
        <w:rPr>
          <w:lang w:val="fr-FR"/>
        </w:rPr>
        <w:t>éléments pour ouvrir une enquête en cas d</w:t>
      </w:r>
      <w:r w:rsidR="001B5526">
        <w:rPr>
          <w:lang w:val="fr-FR"/>
        </w:rPr>
        <w:t>’</w:t>
      </w:r>
      <w:r w:rsidRPr="00227928">
        <w:rPr>
          <w:lang w:val="fr-FR"/>
        </w:rPr>
        <w:t>allégation de traite. Elle répète qu</w:t>
      </w:r>
      <w:r w:rsidR="001B5526">
        <w:rPr>
          <w:lang w:val="fr-FR"/>
        </w:rPr>
        <w:t>’</w:t>
      </w:r>
      <w:r w:rsidRPr="00227928">
        <w:rPr>
          <w:lang w:val="fr-FR"/>
        </w:rPr>
        <w:t>elle aurait dû bénéficier d</w:t>
      </w:r>
      <w:r w:rsidR="001B5526">
        <w:rPr>
          <w:lang w:val="fr-FR"/>
        </w:rPr>
        <w:t>’</w:t>
      </w:r>
      <w:r w:rsidRPr="00227928">
        <w:rPr>
          <w:lang w:val="fr-FR"/>
        </w:rPr>
        <w:t>une attention particulière de la part d</w:t>
      </w:r>
      <w:r w:rsidR="001B5526">
        <w:rPr>
          <w:lang w:val="fr-FR"/>
        </w:rPr>
        <w:t>’</w:t>
      </w:r>
      <w:r w:rsidRPr="00227928">
        <w:rPr>
          <w:lang w:val="fr-FR"/>
        </w:rPr>
        <w:t>équipes spécialisées qui auraient dû enquêter pour déterminer s</w:t>
      </w:r>
      <w:r w:rsidR="001B5526">
        <w:rPr>
          <w:lang w:val="fr-FR"/>
        </w:rPr>
        <w:t>’</w:t>
      </w:r>
      <w:r w:rsidRPr="00227928">
        <w:rPr>
          <w:lang w:val="fr-FR"/>
        </w:rPr>
        <w:t>il y avait lieu d</w:t>
      </w:r>
      <w:r w:rsidR="001B5526">
        <w:rPr>
          <w:lang w:val="fr-FR"/>
        </w:rPr>
        <w:t>’</w:t>
      </w:r>
      <w:r w:rsidRPr="00227928">
        <w:rPr>
          <w:lang w:val="fr-FR"/>
        </w:rPr>
        <w:t>engager une procédure dans le cadre du système B9.</w:t>
      </w:r>
    </w:p>
    <w:p w:rsidR="007D763E" w:rsidRPr="00227928" w:rsidRDefault="007D763E" w:rsidP="00C26501">
      <w:pPr>
        <w:pStyle w:val="SingleTxt"/>
        <w:numPr>
          <w:ilvl w:val="0"/>
          <w:numId w:val="17"/>
        </w:numPr>
        <w:rPr>
          <w:lang w:val="fr-FR"/>
        </w:rPr>
      </w:pPr>
      <w:r w:rsidRPr="00227928">
        <w:rPr>
          <w:lang w:val="fr-FR"/>
        </w:rPr>
        <w:t>L</w:t>
      </w:r>
      <w:r w:rsidR="001B5526">
        <w:rPr>
          <w:lang w:val="fr-FR"/>
        </w:rPr>
        <w:t>’</w:t>
      </w:r>
      <w:r w:rsidRPr="00227928">
        <w:rPr>
          <w:lang w:val="fr-FR"/>
        </w:rPr>
        <w:t>auteur conteste l</w:t>
      </w:r>
      <w:r w:rsidR="001B5526">
        <w:rPr>
          <w:lang w:val="fr-FR"/>
        </w:rPr>
        <w:t>’</w:t>
      </w:r>
      <w:r w:rsidRPr="00227928">
        <w:rPr>
          <w:lang w:val="fr-FR"/>
        </w:rPr>
        <w:t>interprétation de l</w:t>
      </w:r>
      <w:r w:rsidR="001B5526">
        <w:rPr>
          <w:lang w:val="fr-FR"/>
        </w:rPr>
        <w:t>’</w:t>
      </w:r>
      <w:r w:rsidRPr="00227928">
        <w:rPr>
          <w:lang w:val="fr-FR"/>
        </w:rPr>
        <w:t>État partie selon laquelle son ancien avocat n</w:t>
      </w:r>
      <w:r w:rsidR="001B5526">
        <w:rPr>
          <w:lang w:val="fr-FR"/>
        </w:rPr>
        <w:t>’</w:t>
      </w:r>
      <w:r w:rsidRPr="00227928">
        <w:rPr>
          <w:lang w:val="fr-FR"/>
        </w:rPr>
        <w:t>avait pas engagé de procédure dans le cadre du système B9 parce que ce n</w:t>
      </w:r>
      <w:r w:rsidR="001B5526">
        <w:rPr>
          <w:lang w:val="fr-FR"/>
        </w:rPr>
        <w:t>’</w:t>
      </w:r>
      <w:r w:rsidRPr="00227928">
        <w:rPr>
          <w:lang w:val="fr-FR"/>
        </w:rPr>
        <w:t>était pas nécessaire. Il peut ne pas l</w:t>
      </w:r>
      <w:r w:rsidR="001B5526">
        <w:rPr>
          <w:lang w:val="fr-FR"/>
        </w:rPr>
        <w:t>’</w:t>
      </w:r>
      <w:r w:rsidRPr="00227928">
        <w:rPr>
          <w:lang w:val="fr-FR"/>
        </w:rPr>
        <w:t>avoir fait pour de nombreuses autres raisons, notamment parce qu</w:t>
      </w:r>
      <w:r w:rsidR="001B5526">
        <w:rPr>
          <w:lang w:val="fr-FR"/>
        </w:rPr>
        <w:t>’</w:t>
      </w:r>
      <w:r w:rsidRPr="00227928">
        <w:rPr>
          <w:lang w:val="fr-FR"/>
        </w:rPr>
        <w:t>il y a quelques années, beaucoup d</w:t>
      </w:r>
      <w:r w:rsidR="001B5526">
        <w:rPr>
          <w:lang w:val="fr-FR"/>
        </w:rPr>
        <w:t>’</w:t>
      </w:r>
      <w:r w:rsidRPr="00227928">
        <w:rPr>
          <w:lang w:val="fr-FR"/>
        </w:rPr>
        <w:t>avocats ignoraient encore l</w:t>
      </w:r>
      <w:r w:rsidR="001B5526">
        <w:rPr>
          <w:lang w:val="fr-FR"/>
        </w:rPr>
        <w:t>’</w:t>
      </w:r>
      <w:r w:rsidRPr="00227928">
        <w:rPr>
          <w:lang w:val="fr-FR"/>
        </w:rPr>
        <w:t>existence de cette procédure.</w:t>
      </w:r>
    </w:p>
    <w:p w:rsidR="007D763E" w:rsidRPr="00227928" w:rsidRDefault="007D763E" w:rsidP="007D763E">
      <w:pPr>
        <w:pStyle w:val="SingleTxt"/>
        <w:spacing w:after="0" w:line="120" w:lineRule="exact"/>
        <w:rPr>
          <w:sz w:val="10"/>
          <w:lang w:val="fr-FR"/>
        </w:rPr>
      </w:pPr>
    </w:p>
    <w:p w:rsidR="007D763E" w:rsidRPr="00227928" w:rsidRDefault="007D763E" w:rsidP="00E84D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227928">
        <w:rPr>
          <w:lang w:val="fr-FR"/>
        </w:rPr>
        <w:tab/>
      </w:r>
      <w:r w:rsidRPr="00227928">
        <w:rPr>
          <w:lang w:val="fr-FR"/>
        </w:rPr>
        <w:tab/>
        <w:t>Observations complémentaires de l</w:t>
      </w:r>
      <w:r w:rsidR="001B5526">
        <w:rPr>
          <w:lang w:val="fr-FR"/>
        </w:rPr>
        <w:t>’</w:t>
      </w:r>
      <w:r w:rsidRPr="00227928">
        <w:rPr>
          <w:lang w:val="fr-FR"/>
        </w:rPr>
        <w:t>État partie sur la recevabilité et le fond</w:t>
      </w:r>
    </w:p>
    <w:p w:rsidR="007D763E" w:rsidRPr="00227928" w:rsidRDefault="007D763E" w:rsidP="00E84D07">
      <w:pPr>
        <w:pStyle w:val="SingleTxt"/>
        <w:keepNext/>
        <w:keepLines/>
        <w:spacing w:after="0" w:line="120" w:lineRule="exact"/>
        <w:ind w:left="1264"/>
        <w:rPr>
          <w:sz w:val="10"/>
          <w:lang w:val="fr-FR"/>
        </w:rPr>
      </w:pPr>
    </w:p>
    <w:p w:rsidR="007D763E" w:rsidRPr="00227928" w:rsidRDefault="007D763E" w:rsidP="00E84D07">
      <w:pPr>
        <w:pStyle w:val="SingleTxt"/>
        <w:keepNext/>
        <w:keepLines/>
        <w:numPr>
          <w:ilvl w:val="0"/>
          <w:numId w:val="8"/>
        </w:numPr>
        <w:ind w:left="1264"/>
        <w:rPr>
          <w:lang w:val="fr-FR"/>
        </w:rPr>
      </w:pPr>
      <w:r w:rsidRPr="00227928">
        <w:rPr>
          <w:lang w:val="fr-FR"/>
        </w:rPr>
        <w:t>Tout en prenant note de l</w:t>
      </w:r>
      <w:r w:rsidR="001B5526">
        <w:rPr>
          <w:lang w:val="fr-FR"/>
        </w:rPr>
        <w:t>’</w:t>
      </w:r>
      <w:r w:rsidRPr="00227928">
        <w:rPr>
          <w:lang w:val="fr-FR"/>
        </w:rPr>
        <w:t>argument de l</w:t>
      </w:r>
      <w:r w:rsidR="001B5526">
        <w:rPr>
          <w:lang w:val="fr-FR"/>
        </w:rPr>
        <w:t>’</w:t>
      </w:r>
      <w:r w:rsidRPr="00227928">
        <w:rPr>
          <w:lang w:val="fr-FR"/>
        </w:rPr>
        <w:t>auteur selon lequel il importe peu qu</w:t>
      </w:r>
      <w:r w:rsidR="001B5526">
        <w:rPr>
          <w:lang w:val="fr-FR"/>
        </w:rPr>
        <w:t>’</w:t>
      </w:r>
      <w:r w:rsidRPr="00227928">
        <w:rPr>
          <w:lang w:val="fr-FR"/>
        </w:rPr>
        <w:t>elle n</w:t>
      </w:r>
      <w:r w:rsidR="001B5526">
        <w:rPr>
          <w:lang w:val="fr-FR"/>
        </w:rPr>
        <w:t>’</w:t>
      </w:r>
      <w:r w:rsidRPr="00227928">
        <w:rPr>
          <w:lang w:val="fr-FR"/>
        </w:rPr>
        <w:t>ait pas épuisé tous les recours qu</w:t>
      </w:r>
      <w:r w:rsidR="001B5526">
        <w:rPr>
          <w:lang w:val="fr-FR"/>
        </w:rPr>
        <w:t>’</w:t>
      </w:r>
      <w:r w:rsidRPr="00227928">
        <w:rPr>
          <w:lang w:val="fr-FR"/>
        </w:rPr>
        <w:t>elle pouvait exercer dans le cadre de la procédure d</w:t>
      </w:r>
      <w:r w:rsidR="001B5526">
        <w:rPr>
          <w:lang w:val="fr-FR"/>
        </w:rPr>
        <w:t>’</w:t>
      </w:r>
      <w:r w:rsidRPr="00227928">
        <w:rPr>
          <w:lang w:val="fr-FR"/>
        </w:rPr>
        <w:t>asile parce que le système B9 n</w:t>
      </w:r>
      <w:r w:rsidR="001B5526">
        <w:rPr>
          <w:lang w:val="fr-FR"/>
        </w:rPr>
        <w:t>’</w:t>
      </w:r>
      <w:r w:rsidRPr="00227928">
        <w:rPr>
          <w:lang w:val="fr-FR"/>
        </w:rPr>
        <w:t>en fait pas partie, l</w:t>
      </w:r>
      <w:r w:rsidR="001B5526">
        <w:rPr>
          <w:lang w:val="fr-FR"/>
        </w:rPr>
        <w:t>’</w:t>
      </w:r>
      <w:r w:rsidRPr="00227928">
        <w:rPr>
          <w:lang w:val="fr-FR"/>
        </w:rPr>
        <w:t>État partie estime que cela ne change rien au fait qu</w:t>
      </w:r>
      <w:r w:rsidR="001B5526">
        <w:rPr>
          <w:lang w:val="fr-FR"/>
        </w:rPr>
        <w:t>’</w:t>
      </w:r>
      <w:r w:rsidRPr="00227928">
        <w:rPr>
          <w:lang w:val="fr-FR"/>
        </w:rPr>
        <w:t>elle n</w:t>
      </w:r>
      <w:r w:rsidR="001B5526">
        <w:rPr>
          <w:lang w:val="fr-FR"/>
        </w:rPr>
        <w:t>’</w:t>
      </w:r>
      <w:r w:rsidRPr="00227928">
        <w:rPr>
          <w:lang w:val="fr-FR"/>
        </w:rPr>
        <w:t xml:space="preserve">a pas épuisé ces recours internes. </w:t>
      </w:r>
    </w:p>
    <w:p w:rsidR="007D763E" w:rsidRPr="00227928" w:rsidRDefault="007D763E" w:rsidP="007D763E">
      <w:pPr>
        <w:pStyle w:val="SingleTxt"/>
        <w:numPr>
          <w:ilvl w:val="0"/>
          <w:numId w:val="9"/>
        </w:numPr>
        <w:rPr>
          <w:lang w:val="fr-FR"/>
        </w:rPr>
      </w:pPr>
      <w:r w:rsidRPr="00227928">
        <w:rPr>
          <w:lang w:val="fr-FR"/>
        </w:rPr>
        <w:t>S</w:t>
      </w:r>
      <w:r w:rsidR="001B5526">
        <w:rPr>
          <w:lang w:val="fr-FR"/>
        </w:rPr>
        <w:t>’</w:t>
      </w:r>
      <w:r w:rsidRPr="00227928">
        <w:rPr>
          <w:lang w:val="fr-FR"/>
        </w:rPr>
        <w:t>agissant de la procédure de demande de permis de séjour, l</w:t>
      </w:r>
      <w:r w:rsidR="001B5526">
        <w:rPr>
          <w:lang w:val="fr-FR"/>
        </w:rPr>
        <w:t>’</w:t>
      </w:r>
      <w:r w:rsidRPr="00227928">
        <w:rPr>
          <w:lang w:val="fr-FR"/>
        </w:rPr>
        <w:t>État partie maintient que l</w:t>
      </w:r>
      <w:r w:rsidR="001B5526">
        <w:rPr>
          <w:lang w:val="fr-FR"/>
        </w:rPr>
        <w:t>’</w:t>
      </w:r>
      <w:r w:rsidRPr="00227928">
        <w:rPr>
          <w:lang w:val="fr-FR"/>
        </w:rPr>
        <w:t>auteur n</w:t>
      </w:r>
      <w:r w:rsidR="001B5526">
        <w:rPr>
          <w:lang w:val="fr-FR"/>
        </w:rPr>
        <w:t>’</w:t>
      </w:r>
      <w:r w:rsidRPr="00227928">
        <w:rPr>
          <w:lang w:val="fr-FR"/>
        </w:rPr>
        <w:t>a pas apporté d</w:t>
      </w:r>
      <w:r w:rsidR="001B5526">
        <w:rPr>
          <w:lang w:val="fr-FR"/>
        </w:rPr>
        <w:t>’</w:t>
      </w:r>
      <w:r w:rsidRPr="00227928">
        <w:rPr>
          <w:lang w:val="fr-FR"/>
        </w:rPr>
        <w:t>éléments à l</w:t>
      </w:r>
      <w:r w:rsidR="001B5526">
        <w:rPr>
          <w:lang w:val="fr-FR"/>
        </w:rPr>
        <w:t>’</w:t>
      </w:r>
      <w:r w:rsidRPr="00227928">
        <w:rPr>
          <w:lang w:val="fr-FR"/>
        </w:rPr>
        <w:t>appui de ses griefs en ce qui concerne l</w:t>
      </w:r>
      <w:r w:rsidR="001B5526">
        <w:rPr>
          <w:lang w:val="fr-FR"/>
        </w:rPr>
        <w:t>’</w:t>
      </w:r>
      <w:r w:rsidRPr="00227928">
        <w:rPr>
          <w:lang w:val="fr-FR"/>
        </w:rPr>
        <w:t>article 6 de la Convention. Il rappelle aussi que la nouvelle procédure que l</w:t>
      </w:r>
      <w:r w:rsidR="001B5526">
        <w:rPr>
          <w:lang w:val="fr-FR"/>
        </w:rPr>
        <w:t>’</w:t>
      </w:r>
      <w:r w:rsidRPr="00227928">
        <w:rPr>
          <w:lang w:val="fr-FR"/>
        </w:rPr>
        <w:t>auteur a engagée pour obtenir un permis de séjour temporaire en faisant valoir qu</w:t>
      </w:r>
      <w:r w:rsidR="001B5526">
        <w:rPr>
          <w:lang w:val="fr-FR"/>
        </w:rPr>
        <w:t>’</w:t>
      </w:r>
      <w:r w:rsidRPr="00227928">
        <w:rPr>
          <w:lang w:val="fr-FR"/>
        </w:rPr>
        <w:t>elle avait été victime de la traite est encore en instance et qu</w:t>
      </w:r>
      <w:r w:rsidR="001B5526">
        <w:rPr>
          <w:lang w:val="fr-FR"/>
        </w:rPr>
        <w:t>’</w:t>
      </w:r>
      <w:r w:rsidRPr="00227928">
        <w:rPr>
          <w:lang w:val="fr-FR"/>
        </w:rPr>
        <w:t>elle n</w:t>
      </w:r>
      <w:r w:rsidR="001B5526">
        <w:rPr>
          <w:lang w:val="fr-FR"/>
        </w:rPr>
        <w:t>’</w:t>
      </w:r>
      <w:r w:rsidRPr="00227928">
        <w:rPr>
          <w:lang w:val="fr-FR"/>
        </w:rPr>
        <w:t>a toujours pas signalé son cas à la police, ce qui fait que la procédure prévue dans le cadre du système B9 n</w:t>
      </w:r>
      <w:r w:rsidR="001B5526">
        <w:rPr>
          <w:lang w:val="fr-FR"/>
        </w:rPr>
        <w:t>’</w:t>
      </w:r>
      <w:r w:rsidRPr="00227928">
        <w:rPr>
          <w:lang w:val="fr-FR"/>
        </w:rPr>
        <w:t xml:space="preserve">a pas pu être engagée. </w:t>
      </w:r>
    </w:p>
    <w:p w:rsidR="007D763E" w:rsidRPr="00227928" w:rsidRDefault="007D763E" w:rsidP="007D763E">
      <w:pPr>
        <w:pStyle w:val="SingleTxt"/>
        <w:numPr>
          <w:ilvl w:val="0"/>
          <w:numId w:val="10"/>
        </w:numPr>
        <w:rPr>
          <w:lang w:val="fr-FR"/>
        </w:rPr>
      </w:pPr>
      <w:r w:rsidRPr="00227928">
        <w:rPr>
          <w:lang w:val="fr-FR"/>
        </w:rPr>
        <w:t>Sur le fond de la communication, l</w:t>
      </w:r>
      <w:r w:rsidR="001B5526">
        <w:rPr>
          <w:lang w:val="fr-FR"/>
        </w:rPr>
        <w:t>’</w:t>
      </w:r>
      <w:r w:rsidRPr="00227928">
        <w:rPr>
          <w:lang w:val="fr-FR"/>
        </w:rPr>
        <w:t>État partie répète que l</w:t>
      </w:r>
      <w:r w:rsidR="001B5526">
        <w:rPr>
          <w:lang w:val="fr-FR"/>
        </w:rPr>
        <w:t>’</w:t>
      </w:r>
      <w:r w:rsidRPr="00227928">
        <w:rPr>
          <w:lang w:val="fr-FR"/>
        </w:rPr>
        <w:t>auteur n</w:t>
      </w:r>
      <w:r w:rsidR="001B5526">
        <w:rPr>
          <w:lang w:val="fr-FR"/>
        </w:rPr>
        <w:t>’</w:t>
      </w:r>
      <w:r w:rsidRPr="00227928">
        <w:rPr>
          <w:lang w:val="fr-FR"/>
        </w:rPr>
        <w:t>a pas fourni de preuves à l</w:t>
      </w:r>
      <w:r w:rsidR="001B5526">
        <w:rPr>
          <w:lang w:val="fr-FR"/>
        </w:rPr>
        <w:t>’</w:t>
      </w:r>
      <w:r w:rsidRPr="00227928">
        <w:rPr>
          <w:lang w:val="fr-FR"/>
        </w:rPr>
        <w:t>appui de sa demande d</w:t>
      </w:r>
      <w:r w:rsidR="001B5526">
        <w:rPr>
          <w:lang w:val="fr-FR"/>
        </w:rPr>
        <w:t>’</w:t>
      </w:r>
      <w:r w:rsidRPr="00227928">
        <w:rPr>
          <w:lang w:val="fr-FR"/>
        </w:rPr>
        <w:t>asile. Rien ne permettait donc au Service de l</w:t>
      </w:r>
      <w:r w:rsidR="001B5526">
        <w:rPr>
          <w:lang w:val="fr-FR"/>
        </w:rPr>
        <w:t>’</w:t>
      </w:r>
      <w:r w:rsidRPr="00227928">
        <w:rPr>
          <w:lang w:val="fr-FR"/>
        </w:rPr>
        <w:t>immigration de penser qu</w:t>
      </w:r>
      <w:r w:rsidR="001B5526">
        <w:rPr>
          <w:lang w:val="fr-FR"/>
        </w:rPr>
        <w:t>’</w:t>
      </w:r>
      <w:r w:rsidRPr="00227928">
        <w:rPr>
          <w:lang w:val="fr-FR"/>
        </w:rPr>
        <w:t>il devait lui conseiller de signaler à la police qu</w:t>
      </w:r>
      <w:r w:rsidR="001B5526">
        <w:rPr>
          <w:lang w:val="fr-FR"/>
        </w:rPr>
        <w:t>’</w:t>
      </w:r>
      <w:r w:rsidRPr="00227928">
        <w:rPr>
          <w:lang w:val="fr-FR"/>
        </w:rPr>
        <w:t>elle avait été victime de la traite. L</w:t>
      </w:r>
      <w:r w:rsidR="001B5526">
        <w:rPr>
          <w:lang w:val="fr-FR"/>
        </w:rPr>
        <w:t>’</w:t>
      </w:r>
      <w:r w:rsidRPr="00227928">
        <w:rPr>
          <w:lang w:val="fr-FR"/>
        </w:rPr>
        <w:t>État partie admet que ce n</w:t>
      </w:r>
      <w:r w:rsidR="001B5526">
        <w:rPr>
          <w:lang w:val="fr-FR"/>
        </w:rPr>
        <w:t>’</w:t>
      </w:r>
      <w:r w:rsidRPr="00227928">
        <w:rPr>
          <w:lang w:val="fr-FR"/>
        </w:rPr>
        <w:t>est pas au Service de l</w:t>
      </w:r>
      <w:r w:rsidR="001B5526">
        <w:rPr>
          <w:lang w:val="fr-FR"/>
        </w:rPr>
        <w:t>’</w:t>
      </w:r>
      <w:r w:rsidRPr="00227928">
        <w:rPr>
          <w:lang w:val="fr-FR"/>
        </w:rPr>
        <w:t>immigration mais bien à la police de décider si les informations présentées pourraient donner lieu à une enquête. Il note qu</w:t>
      </w:r>
      <w:r w:rsidR="001B5526">
        <w:rPr>
          <w:lang w:val="fr-FR"/>
        </w:rPr>
        <w:t>’</w:t>
      </w:r>
      <w:r w:rsidRPr="00227928">
        <w:rPr>
          <w:lang w:val="fr-FR"/>
        </w:rPr>
        <w:t>en l</w:t>
      </w:r>
      <w:r w:rsidR="001B5526">
        <w:rPr>
          <w:lang w:val="fr-FR"/>
        </w:rPr>
        <w:t>’</w:t>
      </w:r>
      <w:r w:rsidRPr="00227928">
        <w:rPr>
          <w:lang w:val="fr-FR"/>
        </w:rPr>
        <w:t>espèce l</w:t>
      </w:r>
      <w:r w:rsidR="001B5526">
        <w:rPr>
          <w:lang w:val="fr-FR"/>
        </w:rPr>
        <w:t>’</w:t>
      </w:r>
      <w:r w:rsidRPr="00227928">
        <w:rPr>
          <w:lang w:val="fr-FR"/>
        </w:rPr>
        <w:t>auteur n</w:t>
      </w:r>
      <w:r w:rsidR="001B5526">
        <w:rPr>
          <w:lang w:val="fr-FR"/>
        </w:rPr>
        <w:t>’</w:t>
      </w:r>
      <w:r w:rsidRPr="00227928">
        <w:rPr>
          <w:lang w:val="fr-FR"/>
        </w:rPr>
        <w:t>a pas dit que le Service de l</w:t>
      </w:r>
      <w:r w:rsidR="001B5526">
        <w:rPr>
          <w:lang w:val="fr-FR"/>
        </w:rPr>
        <w:t>’</w:t>
      </w:r>
      <w:r w:rsidRPr="00227928">
        <w:rPr>
          <w:lang w:val="fr-FR"/>
        </w:rPr>
        <w:t>immigration avait pris une telle décision. S</w:t>
      </w:r>
      <w:r w:rsidR="001B5526">
        <w:rPr>
          <w:lang w:val="fr-FR"/>
        </w:rPr>
        <w:t>’</w:t>
      </w:r>
      <w:r w:rsidRPr="00227928">
        <w:rPr>
          <w:lang w:val="fr-FR"/>
        </w:rPr>
        <w:t>agissant de l</w:t>
      </w:r>
      <w:r w:rsidR="001B5526">
        <w:rPr>
          <w:lang w:val="fr-FR"/>
        </w:rPr>
        <w:t>’</w:t>
      </w:r>
      <w:r w:rsidRPr="00227928">
        <w:rPr>
          <w:lang w:val="fr-FR"/>
        </w:rPr>
        <w:t>argument de l</w:t>
      </w:r>
      <w:r w:rsidR="001B5526">
        <w:rPr>
          <w:lang w:val="fr-FR"/>
        </w:rPr>
        <w:t>’</w:t>
      </w:r>
      <w:r w:rsidRPr="00227928">
        <w:rPr>
          <w:lang w:val="fr-FR"/>
        </w:rPr>
        <w:t>auteur selon lequel beaucoup de ceux qui apportent une aide juridique ignorent qu</w:t>
      </w:r>
      <w:r w:rsidR="001B5526">
        <w:rPr>
          <w:lang w:val="fr-FR"/>
        </w:rPr>
        <w:t>’</w:t>
      </w:r>
      <w:r w:rsidRPr="00227928">
        <w:rPr>
          <w:lang w:val="fr-FR"/>
        </w:rPr>
        <w:t>on peut signaler un cas de traite, l</w:t>
      </w:r>
      <w:r w:rsidR="001B5526">
        <w:rPr>
          <w:lang w:val="fr-FR"/>
        </w:rPr>
        <w:t>’</w:t>
      </w:r>
      <w:r w:rsidRPr="00227928">
        <w:rPr>
          <w:lang w:val="fr-FR"/>
        </w:rPr>
        <w:t>État partie note que l</w:t>
      </w:r>
      <w:r w:rsidR="001B5526">
        <w:rPr>
          <w:lang w:val="fr-FR"/>
        </w:rPr>
        <w:t>’</w:t>
      </w:r>
      <w:r w:rsidRPr="00227928">
        <w:rPr>
          <w:lang w:val="fr-FR"/>
        </w:rPr>
        <w:t>auteur, pourtant au fait de cette possibilité désormais, ne s</w:t>
      </w:r>
      <w:r w:rsidR="001B5526">
        <w:rPr>
          <w:lang w:val="fr-FR"/>
        </w:rPr>
        <w:t>’</w:t>
      </w:r>
      <w:r w:rsidRPr="00227928">
        <w:rPr>
          <w:lang w:val="fr-FR"/>
        </w:rPr>
        <w:t>est toujours pas présentée à la police.</w:t>
      </w:r>
    </w:p>
    <w:p w:rsidR="007D763E" w:rsidRPr="00227928" w:rsidRDefault="007D763E" w:rsidP="007D763E">
      <w:pPr>
        <w:pStyle w:val="SingleTxt"/>
        <w:spacing w:after="0" w:line="120" w:lineRule="exact"/>
        <w:rPr>
          <w:sz w:val="10"/>
          <w:lang w:val="fr-FR"/>
        </w:rPr>
      </w:pPr>
    </w:p>
    <w:p w:rsidR="007D763E" w:rsidRPr="00227928" w:rsidRDefault="007D763E" w:rsidP="007D7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27928">
        <w:rPr>
          <w:lang w:val="fr-FR"/>
        </w:rPr>
        <w:tab/>
      </w:r>
      <w:r w:rsidRPr="00227928">
        <w:rPr>
          <w:lang w:val="fr-FR"/>
        </w:rPr>
        <w:tab/>
        <w:t>Examen de la recevabilité</w:t>
      </w:r>
    </w:p>
    <w:p w:rsidR="007D763E" w:rsidRPr="00227928" w:rsidRDefault="007D763E" w:rsidP="007D763E">
      <w:pPr>
        <w:pStyle w:val="SingleTxt"/>
        <w:spacing w:after="0" w:line="120" w:lineRule="exact"/>
        <w:rPr>
          <w:sz w:val="10"/>
          <w:lang w:val="fr-FR"/>
        </w:rPr>
      </w:pPr>
    </w:p>
    <w:p w:rsidR="007D763E" w:rsidRPr="00227928" w:rsidRDefault="007D763E" w:rsidP="007D763E">
      <w:pPr>
        <w:pStyle w:val="SingleTxt"/>
        <w:numPr>
          <w:ilvl w:val="0"/>
          <w:numId w:val="11"/>
        </w:numPr>
        <w:rPr>
          <w:lang w:val="fr-FR"/>
        </w:rPr>
      </w:pPr>
      <w:r w:rsidRPr="00227928">
        <w:rPr>
          <w:lang w:val="fr-FR"/>
        </w:rPr>
        <w:t>Selon l</w:t>
      </w:r>
      <w:r w:rsidR="001B5526">
        <w:rPr>
          <w:lang w:val="fr-FR"/>
        </w:rPr>
        <w:t>’</w:t>
      </w:r>
      <w:r w:rsidRPr="00227928">
        <w:rPr>
          <w:lang w:val="fr-FR"/>
        </w:rPr>
        <w:t>article 64 de son règlement intérieur, le Comité décide si une communication est ou n</w:t>
      </w:r>
      <w:r w:rsidR="001B5526">
        <w:rPr>
          <w:lang w:val="fr-FR"/>
        </w:rPr>
        <w:t>’</w:t>
      </w:r>
      <w:r w:rsidRPr="00227928">
        <w:rPr>
          <w:lang w:val="fr-FR"/>
        </w:rPr>
        <w:t>est pas recevable en vertu du Protocole facultatif.</w:t>
      </w:r>
      <w:r w:rsidR="00EC1301" w:rsidRPr="00227928">
        <w:rPr>
          <w:lang w:val="fr-FR"/>
        </w:rPr>
        <w:t xml:space="preserve"> </w:t>
      </w:r>
      <w:r w:rsidRPr="00227928">
        <w:rPr>
          <w:lang w:val="fr-FR"/>
        </w:rPr>
        <w:t>Selon le paragraphe 4 de l</w:t>
      </w:r>
      <w:r w:rsidR="001B5526">
        <w:rPr>
          <w:lang w:val="fr-FR"/>
        </w:rPr>
        <w:t>’</w:t>
      </w:r>
      <w:r w:rsidRPr="00227928">
        <w:rPr>
          <w:lang w:val="fr-FR"/>
        </w:rPr>
        <w:t xml:space="preserve">article 72 dudit règlement, il le fait avant de se prononcer sur le fond. </w:t>
      </w:r>
    </w:p>
    <w:p w:rsidR="007D763E" w:rsidRPr="00227928" w:rsidRDefault="007D763E" w:rsidP="007D763E">
      <w:pPr>
        <w:pStyle w:val="SingleTxt"/>
        <w:numPr>
          <w:ilvl w:val="0"/>
          <w:numId w:val="12"/>
        </w:numPr>
        <w:rPr>
          <w:lang w:val="fr-FR"/>
        </w:rPr>
      </w:pPr>
      <w:r w:rsidRPr="00227928">
        <w:rPr>
          <w:lang w:val="fr-FR"/>
        </w:rPr>
        <w:t>Le Comité s</w:t>
      </w:r>
      <w:r w:rsidR="001B5526">
        <w:rPr>
          <w:lang w:val="fr-FR"/>
        </w:rPr>
        <w:t>’</w:t>
      </w:r>
      <w:r w:rsidRPr="00227928">
        <w:rPr>
          <w:lang w:val="fr-FR"/>
        </w:rPr>
        <w:t>est assuré que l</w:t>
      </w:r>
      <w:r w:rsidR="001B5526">
        <w:rPr>
          <w:lang w:val="fr-FR"/>
        </w:rPr>
        <w:t>’</w:t>
      </w:r>
      <w:r w:rsidRPr="00227928">
        <w:rPr>
          <w:lang w:val="fr-FR"/>
        </w:rPr>
        <w:t>affaire n</w:t>
      </w:r>
      <w:r w:rsidR="001B5526">
        <w:rPr>
          <w:lang w:val="fr-FR"/>
        </w:rPr>
        <w:t>’</w:t>
      </w:r>
      <w:r w:rsidRPr="00227928">
        <w:rPr>
          <w:lang w:val="fr-FR"/>
        </w:rPr>
        <w:t>était pas déjà en cours d</w:t>
      </w:r>
      <w:r w:rsidR="001B5526">
        <w:rPr>
          <w:lang w:val="fr-FR"/>
        </w:rPr>
        <w:t>’</w:t>
      </w:r>
      <w:r w:rsidRPr="00227928">
        <w:rPr>
          <w:lang w:val="fr-FR"/>
        </w:rPr>
        <w:t>examen devant une autre instance internationale d</w:t>
      </w:r>
      <w:r w:rsidR="001B5526">
        <w:rPr>
          <w:lang w:val="fr-FR"/>
        </w:rPr>
        <w:t>’</w:t>
      </w:r>
      <w:r w:rsidRPr="00227928">
        <w:rPr>
          <w:lang w:val="fr-FR"/>
        </w:rPr>
        <w:t>enquête ou de règlement et n</w:t>
      </w:r>
      <w:r w:rsidR="001B5526">
        <w:rPr>
          <w:lang w:val="fr-FR"/>
        </w:rPr>
        <w:t>’</w:t>
      </w:r>
      <w:r w:rsidRPr="00227928">
        <w:rPr>
          <w:lang w:val="fr-FR"/>
        </w:rPr>
        <w:t>avait pas déjà été examinée.</w:t>
      </w:r>
      <w:r w:rsidR="00EC1301" w:rsidRPr="00227928">
        <w:rPr>
          <w:lang w:val="fr-FR"/>
        </w:rPr>
        <w:t xml:space="preserve"> </w:t>
      </w:r>
    </w:p>
    <w:p w:rsidR="007D763E" w:rsidRPr="00227928" w:rsidRDefault="007D763E" w:rsidP="007D763E">
      <w:pPr>
        <w:pStyle w:val="SingleTxt"/>
        <w:numPr>
          <w:ilvl w:val="0"/>
          <w:numId w:val="13"/>
        </w:numPr>
        <w:rPr>
          <w:lang w:val="fr-FR"/>
        </w:rPr>
      </w:pPr>
      <w:r w:rsidRPr="00227928">
        <w:rPr>
          <w:lang w:val="fr-FR"/>
        </w:rPr>
        <w:t>Le Comité note l</w:t>
      </w:r>
      <w:r w:rsidR="001B5526">
        <w:rPr>
          <w:lang w:val="fr-FR"/>
        </w:rPr>
        <w:t>’</w:t>
      </w:r>
      <w:r w:rsidRPr="00227928">
        <w:rPr>
          <w:lang w:val="fr-FR"/>
        </w:rPr>
        <w:t>argument de l</w:t>
      </w:r>
      <w:r w:rsidR="001B5526">
        <w:rPr>
          <w:lang w:val="fr-FR"/>
        </w:rPr>
        <w:t>’</w:t>
      </w:r>
      <w:r w:rsidRPr="00227928">
        <w:rPr>
          <w:lang w:val="fr-FR"/>
        </w:rPr>
        <w:t>État partie selon lequel la communication devrait être déclarée irrecevable en vertu du paragraphe 1 de l</w:t>
      </w:r>
      <w:r w:rsidR="001B5526">
        <w:rPr>
          <w:lang w:val="fr-FR"/>
        </w:rPr>
        <w:t>’</w:t>
      </w:r>
      <w:r w:rsidRPr="00227928">
        <w:rPr>
          <w:lang w:val="fr-FR"/>
        </w:rPr>
        <w:t>article 4 du Protocole facultatif parce que tous les recours internes n</w:t>
      </w:r>
      <w:r w:rsidR="001B5526">
        <w:rPr>
          <w:lang w:val="fr-FR"/>
        </w:rPr>
        <w:t>’</w:t>
      </w:r>
      <w:r w:rsidRPr="00227928">
        <w:rPr>
          <w:lang w:val="fr-FR"/>
        </w:rPr>
        <w:t>ont pas été épuisés, ni pour ce qui est de l</w:t>
      </w:r>
      <w:r w:rsidR="001B5526">
        <w:rPr>
          <w:lang w:val="fr-FR"/>
        </w:rPr>
        <w:t>’</w:t>
      </w:r>
      <w:r w:rsidRPr="00227928">
        <w:rPr>
          <w:lang w:val="fr-FR"/>
        </w:rPr>
        <w:t>asile, l</w:t>
      </w:r>
      <w:r w:rsidR="001B5526">
        <w:rPr>
          <w:lang w:val="fr-FR"/>
        </w:rPr>
        <w:t>’</w:t>
      </w:r>
      <w:r w:rsidRPr="00227928">
        <w:rPr>
          <w:lang w:val="fr-FR"/>
        </w:rPr>
        <w:t>auteur n</w:t>
      </w:r>
      <w:r w:rsidR="001B5526">
        <w:rPr>
          <w:lang w:val="fr-FR"/>
        </w:rPr>
        <w:t>’</w:t>
      </w:r>
      <w:r w:rsidRPr="00227928">
        <w:rPr>
          <w:lang w:val="fr-FR"/>
        </w:rPr>
        <w:t>ayant pas fait appel de la décision prise le 27 mai 2003 par le Tribunal du district de La Haye devant la Division de la juridiction administrative du Conseil d</w:t>
      </w:r>
      <w:r w:rsidR="001B5526">
        <w:rPr>
          <w:lang w:val="fr-FR"/>
        </w:rPr>
        <w:t>’</w:t>
      </w:r>
      <w:r w:rsidRPr="00227928">
        <w:rPr>
          <w:lang w:val="fr-FR"/>
        </w:rPr>
        <w:t>État, ni pour ce qui est de l</w:t>
      </w:r>
      <w:r w:rsidR="001B5526">
        <w:rPr>
          <w:lang w:val="fr-FR"/>
        </w:rPr>
        <w:t>’</w:t>
      </w:r>
      <w:r w:rsidRPr="00227928">
        <w:rPr>
          <w:lang w:val="fr-FR"/>
        </w:rPr>
        <w:t>obtention du permis de séjour, son pourvoi en révision du 11 juin 2007 étant encore en instance. Le Comité rappelle que le paragraphe 1 de l</w:t>
      </w:r>
      <w:r w:rsidR="001B5526">
        <w:rPr>
          <w:lang w:val="fr-FR"/>
        </w:rPr>
        <w:t>’</w:t>
      </w:r>
      <w:r w:rsidRPr="00227928">
        <w:rPr>
          <w:lang w:val="fr-FR"/>
        </w:rPr>
        <w:t xml:space="preserve">article 4 du Protocole facultatif lui interdit de déclarer une communication recevable sans avoir vérifié que </w:t>
      </w:r>
      <w:r w:rsidR="001B5526">
        <w:rPr>
          <w:lang w:val="fr-FR"/>
        </w:rPr>
        <w:t>« </w:t>
      </w:r>
      <w:r w:rsidRPr="00227928">
        <w:rPr>
          <w:lang w:val="fr-FR"/>
        </w:rPr>
        <w:t>tous les recours internes ont été épuisés, à moins que la procédure de recours n</w:t>
      </w:r>
      <w:r w:rsidR="001B5526">
        <w:rPr>
          <w:lang w:val="fr-FR"/>
        </w:rPr>
        <w:t>’</w:t>
      </w:r>
      <w:r w:rsidRPr="00227928">
        <w:rPr>
          <w:lang w:val="fr-FR"/>
        </w:rPr>
        <w:t>excède des délais raisonnables ou qu</w:t>
      </w:r>
      <w:r w:rsidR="001B5526">
        <w:rPr>
          <w:lang w:val="fr-FR"/>
        </w:rPr>
        <w:t>’</w:t>
      </w:r>
      <w:r w:rsidRPr="00227928">
        <w:rPr>
          <w:lang w:val="fr-FR"/>
        </w:rPr>
        <w:t>il soit improbable que le requérant obtienne réparation par ce moyen</w:t>
      </w:r>
      <w:r w:rsidR="001B5526">
        <w:rPr>
          <w:lang w:val="fr-FR"/>
        </w:rPr>
        <w:t> »</w:t>
      </w:r>
      <w:r w:rsidRPr="00227928">
        <w:rPr>
          <w:lang w:val="fr-FR"/>
        </w:rPr>
        <w:t>. Il note que le seul article de la Convention sur lequel l</w:t>
      </w:r>
      <w:r w:rsidR="001B5526">
        <w:rPr>
          <w:lang w:val="fr-FR"/>
        </w:rPr>
        <w:t>’</w:t>
      </w:r>
      <w:r w:rsidRPr="00227928">
        <w:rPr>
          <w:lang w:val="fr-FR"/>
        </w:rPr>
        <w:t>auteur se fonde concernant les faits de l</w:t>
      </w:r>
      <w:r w:rsidR="001B5526">
        <w:rPr>
          <w:lang w:val="fr-FR"/>
        </w:rPr>
        <w:t>’</w:t>
      </w:r>
      <w:r w:rsidRPr="00227928">
        <w:rPr>
          <w:lang w:val="fr-FR"/>
        </w:rPr>
        <w:t>espèce est l</w:t>
      </w:r>
      <w:r w:rsidR="001B5526">
        <w:rPr>
          <w:lang w:val="fr-FR"/>
        </w:rPr>
        <w:t>’</w:t>
      </w:r>
      <w:r w:rsidRPr="00227928">
        <w:rPr>
          <w:lang w:val="fr-FR"/>
        </w:rPr>
        <w:t>article 6. Il note également que l</w:t>
      </w:r>
      <w:r w:rsidR="001B5526">
        <w:rPr>
          <w:lang w:val="fr-FR"/>
        </w:rPr>
        <w:t>’</w:t>
      </w:r>
      <w:r w:rsidRPr="00227928">
        <w:rPr>
          <w:lang w:val="fr-FR"/>
        </w:rPr>
        <w:t>auteur n</w:t>
      </w:r>
      <w:r w:rsidR="001B5526">
        <w:rPr>
          <w:lang w:val="fr-FR"/>
        </w:rPr>
        <w:t>’</w:t>
      </w:r>
      <w:r w:rsidRPr="00227928">
        <w:rPr>
          <w:lang w:val="fr-FR"/>
        </w:rPr>
        <w:t>a saisi les autorités de l</w:t>
      </w:r>
      <w:r w:rsidR="001B5526">
        <w:rPr>
          <w:lang w:val="fr-FR"/>
        </w:rPr>
        <w:t>’</w:t>
      </w:r>
      <w:r w:rsidRPr="00227928">
        <w:rPr>
          <w:lang w:val="fr-FR"/>
        </w:rPr>
        <w:t>État partie d</w:t>
      </w:r>
      <w:r w:rsidR="001B5526">
        <w:rPr>
          <w:lang w:val="fr-FR"/>
        </w:rPr>
        <w:t>’</w:t>
      </w:r>
      <w:r w:rsidRPr="00227928">
        <w:rPr>
          <w:lang w:val="fr-FR"/>
        </w:rPr>
        <w:t>aucune question relevant de cette disposition et que, sachant que le trafic des êtres humains peut motiver l</w:t>
      </w:r>
      <w:r w:rsidR="001B5526">
        <w:rPr>
          <w:lang w:val="fr-FR"/>
        </w:rPr>
        <w:t>’</w:t>
      </w:r>
      <w:r w:rsidRPr="00227928">
        <w:rPr>
          <w:lang w:val="fr-FR"/>
        </w:rPr>
        <w:t>octroi d</w:t>
      </w:r>
      <w:r w:rsidR="001B5526">
        <w:rPr>
          <w:lang w:val="fr-FR"/>
        </w:rPr>
        <w:t>’</w:t>
      </w:r>
      <w:r w:rsidRPr="00227928">
        <w:rPr>
          <w:lang w:val="fr-FR"/>
        </w:rPr>
        <w:t>un permis de séjour, elle n</w:t>
      </w:r>
      <w:r w:rsidR="001B5526">
        <w:rPr>
          <w:lang w:val="fr-FR"/>
        </w:rPr>
        <w:t>’</w:t>
      </w:r>
      <w:r w:rsidRPr="00227928">
        <w:rPr>
          <w:lang w:val="fr-FR"/>
        </w:rPr>
        <w:t>a pas profité de cette possibilité en s</w:t>
      </w:r>
      <w:r w:rsidR="001B5526">
        <w:rPr>
          <w:lang w:val="fr-FR"/>
        </w:rPr>
        <w:t>’</w:t>
      </w:r>
      <w:r w:rsidRPr="00227928">
        <w:rPr>
          <w:lang w:val="fr-FR"/>
        </w:rPr>
        <w:t>adressant à la police. Le Comité rappelle sa jurisprudence selon laquelle l</w:t>
      </w:r>
      <w:r w:rsidR="001B5526">
        <w:rPr>
          <w:lang w:val="fr-FR"/>
        </w:rPr>
        <w:t>’</w:t>
      </w:r>
      <w:r w:rsidRPr="00227928">
        <w:rPr>
          <w:lang w:val="fr-FR"/>
        </w:rPr>
        <w:t>auteur d</w:t>
      </w:r>
      <w:r w:rsidR="001B5526">
        <w:rPr>
          <w:lang w:val="fr-FR"/>
        </w:rPr>
        <w:t>’</w:t>
      </w:r>
      <w:r w:rsidRPr="00227928">
        <w:rPr>
          <w:lang w:val="fr-FR"/>
        </w:rPr>
        <w:t>une communication doit saisir les tribunaux nationaux sur le fond avant de s</w:t>
      </w:r>
      <w:r w:rsidR="001B5526">
        <w:rPr>
          <w:lang w:val="fr-FR"/>
        </w:rPr>
        <w:t>’</w:t>
      </w:r>
      <w:r w:rsidRPr="00227928">
        <w:rPr>
          <w:lang w:val="fr-FR"/>
        </w:rPr>
        <w:t>adresser au Comité</w:t>
      </w:r>
      <w:r w:rsidR="00BF1383" w:rsidRPr="00227928">
        <w:rPr>
          <w:rStyle w:val="FootnoteReference"/>
          <w:lang w:val="fr-FR"/>
        </w:rPr>
        <w:footnoteReference w:id="2"/>
      </w:r>
      <w:r w:rsidRPr="00227928">
        <w:rPr>
          <w:lang w:val="fr-FR"/>
        </w:rPr>
        <w:t xml:space="preserve"> afin que les autorités et juridictions nationales puissent examiner ses griefs</w:t>
      </w:r>
      <w:r w:rsidR="009324DD" w:rsidRPr="00227928">
        <w:rPr>
          <w:rStyle w:val="FootnoteReference"/>
          <w:lang w:val="fr-FR"/>
        </w:rPr>
        <w:footnoteReference w:id="3"/>
      </w:r>
      <w:r w:rsidRPr="00227928">
        <w:rPr>
          <w:lang w:val="fr-FR"/>
        </w:rPr>
        <w:t>. Le Comité note en outre que le pourvoi en révision de l</w:t>
      </w:r>
      <w:r w:rsidR="001B5526">
        <w:rPr>
          <w:lang w:val="fr-FR"/>
        </w:rPr>
        <w:t>’</w:t>
      </w:r>
      <w:r w:rsidRPr="00227928">
        <w:rPr>
          <w:lang w:val="fr-FR"/>
        </w:rPr>
        <w:t>auteur est encore en instance et qu</w:t>
      </w:r>
      <w:r w:rsidR="001B5526">
        <w:rPr>
          <w:lang w:val="fr-FR"/>
        </w:rPr>
        <w:t>’</w:t>
      </w:r>
      <w:r w:rsidRPr="00227928">
        <w:rPr>
          <w:lang w:val="fr-FR"/>
        </w:rPr>
        <w:t>elle n</w:t>
      </w:r>
      <w:r w:rsidR="001B5526">
        <w:rPr>
          <w:lang w:val="fr-FR"/>
        </w:rPr>
        <w:t>’</w:t>
      </w:r>
      <w:r w:rsidRPr="00227928">
        <w:rPr>
          <w:lang w:val="fr-FR"/>
        </w:rPr>
        <w:t>a pas établi que cette procédure excédait des délais raisonnables ou qu</w:t>
      </w:r>
      <w:r w:rsidR="001B5526">
        <w:rPr>
          <w:lang w:val="fr-FR"/>
        </w:rPr>
        <w:t>’</w:t>
      </w:r>
      <w:r w:rsidRPr="00227928">
        <w:rPr>
          <w:lang w:val="fr-FR"/>
        </w:rPr>
        <w:t>il était improbable qu</w:t>
      </w:r>
      <w:r w:rsidR="001B5526">
        <w:rPr>
          <w:lang w:val="fr-FR"/>
        </w:rPr>
        <w:t>’</w:t>
      </w:r>
      <w:r w:rsidRPr="00227928">
        <w:rPr>
          <w:lang w:val="fr-FR"/>
        </w:rPr>
        <w:t>elle obtienne réparation par ce moyen. Le Comité rappelle la jurisprudence du Comité des droits de l</w:t>
      </w:r>
      <w:r w:rsidR="001B5526">
        <w:rPr>
          <w:lang w:val="fr-FR"/>
        </w:rPr>
        <w:t>’</w:t>
      </w:r>
      <w:r w:rsidRPr="00227928">
        <w:rPr>
          <w:lang w:val="fr-FR"/>
        </w:rPr>
        <w:t>homme selon laquelle un simple doute quant à l</w:t>
      </w:r>
      <w:r w:rsidR="001B5526">
        <w:rPr>
          <w:lang w:val="fr-FR"/>
        </w:rPr>
        <w:t>’</w:t>
      </w:r>
      <w:r w:rsidRPr="00227928">
        <w:rPr>
          <w:lang w:val="fr-FR"/>
        </w:rPr>
        <w:t>efficacité des procédures ne dispense pas l</w:t>
      </w:r>
      <w:r w:rsidR="001B5526">
        <w:rPr>
          <w:lang w:val="fr-FR"/>
        </w:rPr>
        <w:t>’</w:t>
      </w:r>
      <w:r w:rsidRPr="00227928">
        <w:rPr>
          <w:lang w:val="fr-FR"/>
        </w:rPr>
        <w:t>intéressé de l</w:t>
      </w:r>
      <w:r w:rsidR="001B5526">
        <w:rPr>
          <w:lang w:val="fr-FR"/>
        </w:rPr>
        <w:t>’</w:t>
      </w:r>
      <w:r w:rsidRPr="00227928">
        <w:rPr>
          <w:lang w:val="fr-FR"/>
        </w:rPr>
        <w:t>obligation d</w:t>
      </w:r>
      <w:r w:rsidR="001B5526">
        <w:rPr>
          <w:lang w:val="fr-FR"/>
        </w:rPr>
        <w:t>’</w:t>
      </w:r>
      <w:r w:rsidRPr="00227928">
        <w:rPr>
          <w:lang w:val="fr-FR"/>
        </w:rPr>
        <w:t>épuiser les recours internes.</w:t>
      </w:r>
      <w:r w:rsidR="00EC1301" w:rsidRPr="00227928">
        <w:rPr>
          <w:lang w:val="fr-FR"/>
        </w:rPr>
        <w:t xml:space="preserve"> </w:t>
      </w:r>
      <w:r w:rsidRPr="00227928">
        <w:rPr>
          <w:lang w:val="fr-FR"/>
        </w:rPr>
        <w:t>Tout en étant sensible à l</w:t>
      </w:r>
      <w:r w:rsidR="001B5526">
        <w:rPr>
          <w:lang w:val="fr-FR"/>
        </w:rPr>
        <w:t>’</w:t>
      </w:r>
      <w:r w:rsidRPr="00227928">
        <w:rPr>
          <w:lang w:val="fr-FR"/>
        </w:rPr>
        <w:t>impossibilité pour l</w:t>
      </w:r>
      <w:r w:rsidR="001B5526">
        <w:rPr>
          <w:lang w:val="fr-FR"/>
        </w:rPr>
        <w:t>’</w:t>
      </w:r>
      <w:r w:rsidRPr="00227928">
        <w:rPr>
          <w:lang w:val="fr-FR"/>
        </w:rPr>
        <w:t>auteur d</w:t>
      </w:r>
      <w:r w:rsidR="001B5526">
        <w:rPr>
          <w:lang w:val="fr-FR"/>
        </w:rPr>
        <w:t>’</w:t>
      </w:r>
      <w:r w:rsidRPr="00227928">
        <w:rPr>
          <w:lang w:val="fr-FR"/>
        </w:rPr>
        <w:t>expliquer comment elle a pu se rendre de Chine aux Pays-Bas, à son analphabétisme, aux difficultés qu</w:t>
      </w:r>
      <w:r w:rsidR="001B5526">
        <w:rPr>
          <w:lang w:val="fr-FR"/>
        </w:rPr>
        <w:t>’</w:t>
      </w:r>
      <w:r w:rsidRPr="00227928">
        <w:rPr>
          <w:lang w:val="fr-FR"/>
        </w:rPr>
        <w:t>elle a rencontrées en se retrouvant très tôt orpheline et aux conditions de vie pénibles qu</w:t>
      </w:r>
      <w:r w:rsidR="001B5526">
        <w:rPr>
          <w:lang w:val="fr-FR"/>
        </w:rPr>
        <w:t>’</w:t>
      </w:r>
      <w:r w:rsidRPr="00227928">
        <w:rPr>
          <w:lang w:val="fr-FR"/>
        </w:rPr>
        <w:t>elle a connues depuis son arrivée aux Pays-Bas, le Comité ne peut se saisir de l</w:t>
      </w:r>
      <w:r w:rsidR="001B5526">
        <w:rPr>
          <w:lang w:val="fr-FR"/>
        </w:rPr>
        <w:t>’</w:t>
      </w:r>
      <w:r w:rsidRPr="00227928">
        <w:rPr>
          <w:lang w:val="fr-FR"/>
        </w:rPr>
        <w:t>affaire tant que l</w:t>
      </w:r>
      <w:r w:rsidR="001B5526">
        <w:rPr>
          <w:lang w:val="fr-FR"/>
        </w:rPr>
        <w:t>’</w:t>
      </w:r>
      <w:r w:rsidRPr="00227928">
        <w:rPr>
          <w:lang w:val="fr-FR"/>
        </w:rPr>
        <w:t>auteur n</w:t>
      </w:r>
      <w:r w:rsidR="001B5526">
        <w:rPr>
          <w:lang w:val="fr-FR"/>
        </w:rPr>
        <w:t>’</w:t>
      </w:r>
      <w:r w:rsidRPr="00227928">
        <w:rPr>
          <w:lang w:val="fr-FR"/>
        </w:rPr>
        <w:t>a pas recouru à la procédure prévue par la loi néerlandaise. Par ce motif, le Comité pour l</w:t>
      </w:r>
      <w:r w:rsidR="001B5526">
        <w:rPr>
          <w:lang w:val="fr-FR"/>
        </w:rPr>
        <w:t>’</w:t>
      </w:r>
      <w:r w:rsidRPr="00227928">
        <w:rPr>
          <w:lang w:val="fr-FR"/>
        </w:rPr>
        <w:t>élimination de la discrimination à l</w:t>
      </w:r>
      <w:r w:rsidR="001B5526">
        <w:rPr>
          <w:lang w:val="fr-FR"/>
        </w:rPr>
        <w:t>’</w:t>
      </w:r>
      <w:r w:rsidRPr="00227928">
        <w:rPr>
          <w:lang w:val="fr-FR"/>
        </w:rPr>
        <w:t>égard des femmes juge la présente communication irrecevable en vertu du paragraphe 1 de l</w:t>
      </w:r>
      <w:r w:rsidR="001B5526">
        <w:rPr>
          <w:lang w:val="fr-FR"/>
        </w:rPr>
        <w:t>’</w:t>
      </w:r>
      <w:r w:rsidRPr="00227928">
        <w:rPr>
          <w:lang w:val="fr-FR"/>
        </w:rPr>
        <w:t>article 4 du Protocole facultatif, les recours internes n</w:t>
      </w:r>
      <w:r w:rsidR="001B5526">
        <w:rPr>
          <w:lang w:val="fr-FR"/>
        </w:rPr>
        <w:t>’</w:t>
      </w:r>
      <w:r w:rsidRPr="00227928">
        <w:rPr>
          <w:lang w:val="fr-FR"/>
        </w:rPr>
        <w:t>ayant pas été épuisés.</w:t>
      </w:r>
    </w:p>
    <w:p w:rsidR="007D763E" w:rsidRPr="00227928" w:rsidRDefault="007D763E" w:rsidP="00E2723C">
      <w:pPr>
        <w:pStyle w:val="SingleTxt"/>
        <w:numPr>
          <w:ilvl w:val="0"/>
          <w:numId w:val="14"/>
        </w:numPr>
        <w:rPr>
          <w:lang w:val="fr-FR"/>
        </w:rPr>
      </w:pPr>
      <w:r w:rsidRPr="00227928">
        <w:rPr>
          <w:lang w:val="fr-FR"/>
        </w:rPr>
        <w:t>En conséquence, le Comité décide :</w:t>
      </w:r>
    </w:p>
    <w:p w:rsidR="007D763E" w:rsidRPr="00227928" w:rsidRDefault="007D763E" w:rsidP="007D763E">
      <w:pPr>
        <w:pStyle w:val="SingleTxt"/>
        <w:rPr>
          <w:lang w:val="fr-FR"/>
        </w:rPr>
      </w:pPr>
      <w:r w:rsidRPr="00227928">
        <w:rPr>
          <w:lang w:val="fr-FR"/>
        </w:rPr>
        <w:tab/>
        <w:t>a)</w:t>
      </w:r>
      <w:r w:rsidRPr="00227928">
        <w:rPr>
          <w:lang w:val="fr-FR"/>
        </w:rPr>
        <w:tab/>
        <w:t>Que la communication est irrecevable en vertu du paragraphe 1 de l</w:t>
      </w:r>
      <w:r w:rsidR="001B5526">
        <w:rPr>
          <w:lang w:val="fr-FR"/>
        </w:rPr>
        <w:t>’</w:t>
      </w:r>
      <w:r w:rsidRPr="00227928">
        <w:rPr>
          <w:lang w:val="fr-FR"/>
        </w:rPr>
        <w:t>article 4 du Protocole facultatif au motif que tous les recours internes disponibles n</w:t>
      </w:r>
      <w:r w:rsidR="001B5526">
        <w:rPr>
          <w:lang w:val="fr-FR"/>
        </w:rPr>
        <w:t>’</w:t>
      </w:r>
      <w:r w:rsidRPr="00227928">
        <w:rPr>
          <w:lang w:val="fr-FR"/>
        </w:rPr>
        <w:t>ont pas été épuisés;</w:t>
      </w:r>
    </w:p>
    <w:p w:rsidR="007D763E" w:rsidRPr="00227928" w:rsidRDefault="007D763E" w:rsidP="007D763E">
      <w:pPr>
        <w:pStyle w:val="SingleTxt"/>
        <w:rPr>
          <w:lang w:val="fr-FR"/>
        </w:rPr>
      </w:pPr>
      <w:r w:rsidRPr="00227928">
        <w:rPr>
          <w:lang w:val="fr-FR"/>
        </w:rPr>
        <w:tab/>
        <w:t>b)</w:t>
      </w:r>
      <w:r w:rsidRPr="00227928">
        <w:rPr>
          <w:lang w:val="fr-FR"/>
        </w:rPr>
        <w:tab/>
        <w:t>Que la présente décision sera communiquée à l</w:t>
      </w:r>
      <w:r w:rsidR="001B5526">
        <w:rPr>
          <w:lang w:val="fr-FR"/>
        </w:rPr>
        <w:t>’</w:t>
      </w:r>
      <w:r w:rsidRPr="00227928">
        <w:rPr>
          <w:lang w:val="fr-FR"/>
        </w:rPr>
        <w:t>État partie et à l</w:t>
      </w:r>
      <w:r w:rsidR="001B5526">
        <w:rPr>
          <w:lang w:val="fr-FR"/>
        </w:rPr>
        <w:t>’</w:t>
      </w:r>
      <w:r w:rsidRPr="00227928">
        <w:rPr>
          <w:lang w:val="fr-FR"/>
        </w:rPr>
        <w:t>auteur de la communication.</w:t>
      </w:r>
    </w:p>
    <w:p w:rsidR="007D763E" w:rsidRPr="00227928" w:rsidRDefault="007D763E" w:rsidP="007D763E">
      <w:pPr>
        <w:pStyle w:val="SingleTxt"/>
        <w:spacing w:after="0" w:line="120" w:lineRule="exact"/>
        <w:rPr>
          <w:sz w:val="10"/>
          <w:lang w:val="fr-FR"/>
        </w:rPr>
      </w:pPr>
    </w:p>
    <w:p w:rsidR="007D763E" w:rsidRPr="00227928" w:rsidRDefault="007D763E" w:rsidP="007D7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27928">
        <w:rPr>
          <w:lang w:val="fr-FR"/>
        </w:rPr>
        <w:tab/>
      </w:r>
      <w:r w:rsidRPr="00227928">
        <w:rPr>
          <w:lang w:val="fr-FR"/>
        </w:rPr>
        <w:tab/>
        <w:t>Opinion individuelle dissidente de Mary Shanthi Dairiam,</w:t>
      </w:r>
      <w:r w:rsidR="00D14090">
        <w:rPr>
          <w:lang w:val="fr-FR"/>
        </w:rPr>
        <w:br/>
      </w:r>
      <w:r w:rsidRPr="00227928">
        <w:rPr>
          <w:lang w:val="fr-FR"/>
        </w:rPr>
        <w:t>Violeta Neubauer et Silvia Pimentel membres du Comité</w:t>
      </w:r>
    </w:p>
    <w:p w:rsidR="007D763E" w:rsidRPr="00227928" w:rsidRDefault="007D763E" w:rsidP="007D763E">
      <w:pPr>
        <w:pStyle w:val="SingleTxt"/>
        <w:spacing w:after="0" w:line="120" w:lineRule="exact"/>
        <w:rPr>
          <w:sz w:val="10"/>
          <w:lang w:val="fr-FR"/>
        </w:rPr>
      </w:pPr>
    </w:p>
    <w:p w:rsidR="007D763E" w:rsidRPr="00227928" w:rsidRDefault="007D763E" w:rsidP="00E2723C">
      <w:pPr>
        <w:pStyle w:val="SingleTxt"/>
        <w:numPr>
          <w:ilvl w:val="0"/>
          <w:numId w:val="15"/>
        </w:numPr>
        <w:rPr>
          <w:lang w:val="fr-FR"/>
        </w:rPr>
      </w:pPr>
      <w:r w:rsidRPr="00227928">
        <w:rPr>
          <w:lang w:val="fr-FR"/>
        </w:rPr>
        <w:t>Nous estimons que la communication est recevable. Nous notons l</w:t>
      </w:r>
      <w:r w:rsidR="001B5526">
        <w:rPr>
          <w:lang w:val="fr-FR"/>
        </w:rPr>
        <w:t>’</w:t>
      </w:r>
      <w:r w:rsidRPr="00227928">
        <w:rPr>
          <w:lang w:val="fr-FR"/>
        </w:rPr>
        <w:t>argument de l</w:t>
      </w:r>
      <w:r w:rsidR="001B5526">
        <w:rPr>
          <w:lang w:val="fr-FR"/>
        </w:rPr>
        <w:t>’</w:t>
      </w:r>
      <w:r w:rsidRPr="00227928">
        <w:rPr>
          <w:lang w:val="fr-FR"/>
        </w:rPr>
        <w:t>État partie selon lequel la communication devrait être déclarée irrecevable en vertu du paragraphe 1 de l</w:t>
      </w:r>
      <w:r w:rsidR="001B5526">
        <w:rPr>
          <w:lang w:val="fr-FR"/>
        </w:rPr>
        <w:t>’</w:t>
      </w:r>
      <w:r w:rsidRPr="00227928">
        <w:rPr>
          <w:lang w:val="fr-FR"/>
        </w:rPr>
        <w:t>article 4 du Protocole facultatif à la Convention sur l</w:t>
      </w:r>
      <w:r w:rsidR="001B5526">
        <w:rPr>
          <w:lang w:val="fr-FR"/>
        </w:rPr>
        <w:t>’</w:t>
      </w:r>
      <w:r w:rsidRPr="00227928">
        <w:rPr>
          <w:lang w:val="fr-FR"/>
        </w:rPr>
        <w:t>élimination de toutes les formes de discrimination à l</w:t>
      </w:r>
      <w:r w:rsidR="001B5526">
        <w:rPr>
          <w:lang w:val="fr-FR"/>
        </w:rPr>
        <w:t>’</w:t>
      </w:r>
      <w:r w:rsidRPr="00227928">
        <w:rPr>
          <w:lang w:val="fr-FR"/>
        </w:rPr>
        <w:t>égard des femmes parce que tous les recours internes n</w:t>
      </w:r>
      <w:r w:rsidR="001B5526">
        <w:rPr>
          <w:lang w:val="fr-FR"/>
        </w:rPr>
        <w:t>’</w:t>
      </w:r>
      <w:r w:rsidRPr="00227928">
        <w:rPr>
          <w:lang w:val="fr-FR"/>
        </w:rPr>
        <w:t>ont pas été épuisés, ni pour ce qui est de l</w:t>
      </w:r>
      <w:r w:rsidR="001B5526">
        <w:rPr>
          <w:lang w:val="fr-FR"/>
        </w:rPr>
        <w:t>’</w:t>
      </w:r>
      <w:r w:rsidRPr="00227928">
        <w:rPr>
          <w:lang w:val="fr-FR"/>
        </w:rPr>
        <w:t>asile, l</w:t>
      </w:r>
      <w:r w:rsidR="001B5526">
        <w:rPr>
          <w:lang w:val="fr-FR"/>
        </w:rPr>
        <w:t>’</w:t>
      </w:r>
      <w:r w:rsidRPr="00227928">
        <w:rPr>
          <w:lang w:val="fr-FR"/>
        </w:rPr>
        <w:t>auteur n</w:t>
      </w:r>
      <w:r w:rsidR="001B5526">
        <w:rPr>
          <w:lang w:val="fr-FR"/>
        </w:rPr>
        <w:t>’</w:t>
      </w:r>
      <w:r w:rsidRPr="00227928">
        <w:rPr>
          <w:lang w:val="fr-FR"/>
        </w:rPr>
        <w:t>ayant pas fait appel de la décision prise le 27 mai 2003 par le Tribunal du district de La Haye devant la Division de la juridiction administrative du Conseil d</w:t>
      </w:r>
      <w:r w:rsidR="001B5526">
        <w:rPr>
          <w:lang w:val="fr-FR"/>
        </w:rPr>
        <w:t>’</w:t>
      </w:r>
      <w:r w:rsidRPr="00227928">
        <w:rPr>
          <w:lang w:val="fr-FR"/>
        </w:rPr>
        <w:t>État, ni pour ce qui est de l</w:t>
      </w:r>
      <w:r w:rsidR="001B5526">
        <w:rPr>
          <w:lang w:val="fr-FR"/>
        </w:rPr>
        <w:t>’</w:t>
      </w:r>
      <w:r w:rsidRPr="00227928">
        <w:rPr>
          <w:lang w:val="fr-FR"/>
        </w:rPr>
        <w:t>obtention du permis de séjour, le pourvoi en révision du 11 juin 2007 étant encore en instance. Nous rappelons que le paragraphe 1 de l</w:t>
      </w:r>
      <w:r w:rsidR="001B5526">
        <w:rPr>
          <w:lang w:val="fr-FR"/>
        </w:rPr>
        <w:t>’</w:t>
      </w:r>
      <w:r w:rsidRPr="00227928">
        <w:rPr>
          <w:lang w:val="fr-FR"/>
        </w:rPr>
        <w:t xml:space="preserve">article 4 du Protocole facultatif interdit au Comité de déclarer une communication recevable sans avoir vérifié que </w:t>
      </w:r>
      <w:r w:rsidR="001B5526">
        <w:rPr>
          <w:lang w:val="fr-FR"/>
        </w:rPr>
        <w:t>« </w:t>
      </w:r>
      <w:r w:rsidRPr="00227928">
        <w:rPr>
          <w:lang w:val="fr-FR"/>
        </w:rPr>
        <w:t>tous les recours internes ont été épuisés, à moins que la procédure de recours n</w:t>
      </w:r>
      <w:r w:rsidR="001B5526">
        <w:rPr>
          <w:lang w:val="fr-FR"/>
        </w:rPr>
        <w:t>’</w:t>
      </w:r>
      <w:r w:rsidRPr="00227928">
        <w:rPr>
          <w:lang w:val="fr-FR"/>
        </w:rPr>
        <w:t>excède des délais raisonnables ou qu</w:t>
      </w:r>
      <w:r w:rsidR="001B5526">
        <w:rPr>
          <w:lang w:val="fr-FR"/>
        </w:rPr>
        <w:t>’</w:t>
      </w:r>
      <w:r w:rsidRPr="00227928">
        <w:rPr>
          <w:lang w:val="fr-FR"/>
        </w:rPr>
        <w:t>il soit improbable que le requérant obtienne réparation par ce moyen</w:t>
      </w:r>
      <w:r w:rsidR="001B5526">
        <w:rPr>
          <w:lang w:val="fr-FR"/>
        </w:rPr>
        <w:t> »</w:t>
      </w:r>
      <w:r w:rsidRPr="00227928">
        <w:rPr>
          <w:lang w:val="fr-FR"/>
        </w:rPr>
        <w:t>. Nous estimons que la plainte porte sur la question de la traite et que ni la procédure d</w:t>
      </w:r>
      <w:r w:rsidR="001B5526">
        <w:rPr>
          <w:lang w:val="fr-FR"/>
        </w:rPr>
        <w:t>’</w:t>
      </w:r>
      <w:r w:rsidRPr="00227928">
        <w:rPr>
          <w:lang w:val="fr-FR"/>
        </w:rPr>
        <w:t>asile ni celle visant à obtenir permis de séjour, toutes deux engagées pour d</w:t>
      </w:r>
      <w:r w:rsidR="001B5526">
        <w:rPr>
          <w:lang w:val="fr-FR"/>
        </w:rPr>
        <w:t>’</w:t>
      </w:r>
      <w:r w:rsidRPr="00227928">
        <w:rPr>
          <w:lang w:val="fr-FR"/>
        </w:rPr>
        <w:t>autres motifs que la traite, ne sont en cause. Nous estimons que l</w:t>
      </w:r>
      <w:r w:rsidR="001B5526">
        <w:rPr>
          <w:lang w:val="fr-FR"/>
        </w:rPr>
        <w:t>’</w:t>
      </w:r>
      <w:r w:rsidRPr="00227928">
        <w:rPr>
          <w:lang w:val="fr-FR"/>
        </w:rPr>
        <w:t>État partie se doit de protéger les victimes d</w:t>
      </w:r>
      <w:r w:rsidR="001B5526">
        <w:rPr>
          <w:lang w:val="fr-FR"/>
        </w:rPr>
        <w:t>’</w:t>
      </w:r>
      <w:r w:rsidRPr="00227928">
        <w:rPr>
          <w:lang w:val="fr-FR"/>
        </w:rPr>
        <w:t>un crime international tel que la traite des êtres humains et de donner aux agents de l</w:t>
      </w:r>
      <w:r w:rsidR="001B5526">
        <w:rPr>
          <w:lang w:val="fr-FR"/>
        </w:rPr>
        <w:t>’</w:t>
      </w:r>
      <w:r w:rsidRPr="00227928">
        <w:rPr>
          <w:lang w:val="fr-FR"/>
        </w:rPr>
        <w:t>autorité publique une formation leur permettant de reconnaître les victimes de ce crime et de les informer des moyens de protection dont ils disposent. Nous notons aussi que les victimes de la traite se trouvent dans une situation d</w:t>
      </w:r>
      <w:r w:rsidR="001B5526">
        <w:rPr>
          <w:lang w:val="fr-FR"/>
        </w:rPr>
        <w:t>’</w:t>
      </w:r>
      <w:r w:rsidRPr="00227928">
        <w:rPr>
          <w:lang w:val="fr-FR"/>
        </w:rPr>
        <w:t>extrême vulnérabilité et méritent donc de recevoir des indications sur les recours qu</w:t>
      </w:r>
      <w:r w:rsidR="001B5526">
        <w:rPr>
          <w:lang w:val="fr-FR"/>
        </w:rPr>
        <w:t>’</w:t>
      </w:r>
      <w:r w:rsidRPr="00227928">
        <w:rPr>
          <w:lang w:val="fr-FR"/>
        </w:rPr>
        <w:t>il y a lieu d</w:t>
      </w:r>
      <w:r w:rsidR="001B5526">
        <w:rPr>
          <w:lang w:val="fr-FR"/>
        </w:rPr>
        <w:t>’</w:t>
      </w:r>
      <w:r w:rsidRPr="00227928">
        <w:rPr>
          <w:lang w:val="fr-FR"/>
        </w:rPr>
        <w:t xml:space="preserve">exercer. </w:t>
      </w:r>
    </w:p>
    <w:p w:rsidR="007D763E" w:rsidRPr="00227928" w:rsidRDefault="007D763E" w:rsidP="00E2723C">
      <w:pPr>
        <w:pStyle w:val="SingleTxt"/>
        <w:numPr>
          <w:ilvl w:val="0"/>
          <w:numId w:val="16"/>
        </w:numPr>
        <w:rPr>
          <w:lang w:val="fr-FR"/>
        </w:rPr>
      </w:pPr>
      <w:r w:rsidRPr="00227928">
        <w:rPr>
          <w:lang w:val="fr-FR"/>
        </w:rPr>
        <w:t>Nous estimons que les allégations de l</w:t>
      </w:r>
      <w:r w:rsidR="001B5526">
        <w:rPr>
          <w:lang w:val="fr-FR"/>
        </w:rPr>
        <w:t>’</w:t>
      </w:r>
      <w:r w:rsidRPr="00227928">
        <w:rPr>
          <w:lang w:val="fr-FR"/>
        </w:rPr>
        <w:t>auteur se rapportant à l</w:t>
      </w:r>
      <w:r w:rsidR="001B5526">
        <w:rPr>
          <w:lang w:val="fr-FR"/>
        </w:rPr>
        <w:t>’</w:t>
      </w:r>
      <w:r w:rsidRPr="00227928">
        <w:rPr>
          <w:lang w:val="fr-FR"/>
        </w:rPr>
        <w:t>article 6 de la Convention sont suffisamment motivées aux fins de la recevabilité et les déclarons recevables.</w:t>
      </w:r>
    </w:p>
    <w:p w:rsidR="007D763E" w:rsidRPr="00227928" w:rsidRDefault="007D763E" w:rsidP="00913970">
      <w:pPr>
        <w:pStyle w:val="SingleTxt"/>
        <w:numPr>
          <w:ilvl w:val="0"/>
          <w:numId w:val="18"/>
        </w:numPr>
        <w:rPr>
          <w:lang w:val="fr-FR"/>
        </w:rPr>
      </w:pPr>
      <w:r w:rsidRPr="00227928">
        <w:rPr>
          <w:lang w:val="fr-FR"/>
        </w:rPr>
        <w:t>Nous avons examiné la présente communication en tenant compte de toutes les indications communiquées par l</w:t>
      </w:r>
      <w:r w:rsidR="001B5526">
        <w:rPr>
          <w:lang w:val="fr-FR"/>
        </w:rPr>
        <w:t>’</w:t>
      </w:r>
      <w:r w:rsidRPr="00227928">
        <w:rPr>
          <w:lang w:val="fr-FR"/>
        </w:rPr>
        <w:t>auteur et par l</w:t>
      </w:r>
      <w:r w:rsidR="001B5526">
        <w:rPr>
          <w:lang w:val="fr-FR"/>
        </w:rPr>
        <w:t>’</w:t>
      </w:r>
      <w:r w:rsidRPr="00227928">
        <w:rPr>
          <w:lang w:val="fr-FR"/>
        </w:rPr>
        <w:t>État partie, comme le prévoit le paragraphe 1 de l</w:t>
      </w:r>
      <w:r w:rsidR="001B5526">
        <w:rPr>
          <w:lang w:val="fr-FR"/>
        </w:rPr>
        <w:t>’</w:t>
      </w:r>
      <w:r w:rsidRPr="00227928">
        <w:rPr>
          <w:lang w:val="fr-FR"/>
        </w:rPr>
        <w:t xml:space="preserve">article 7 du Protocole facultatif. </w:t>
      </w:r>
    </w:p>
    <w:p w:rsidR="007D763E" w:rsidRPr="00227928" w:rsidRDefault="007D763E" w:rsidP="00913970">
      <w:pPr>
        <w:pStyle w:val="SingleTxt"/>
        <w:numPr>
          <w:ilvl w:val="0"/>
          <w:numId w:val="19"/>
        </w:numPr>
        <w:rPr>
          <w:lang w:val="fr-FR"/>
        </w:rPr>
      </w:pPr>
      <w:r w:rsidRPr="00227928">
        <w:rPr>
          <w:lang w:val="fr-FR"/>
        </w:rPr>
        <w:t>L</w:t>
      </w:r>
      <w:r w:rsidR="001B5526">
        <w:rPr>
          <w:lang w:val="fr-FR"/>
        </w:rPr>
        <w:t>’</w:t>
      </w:r>
      <w:r w:rsidRPr="00227928">
        <w:rPr>
          <w:lang w:val="fr-FR"/>
        </w:rPr>
        <w:t xml:space="preserve">article 6 de la Convention dispose que </w:t>
      </w:r>
      <w:r w:rsidR="001B5526">
        <w:rPr>
          <w:lang w:val="fr-FR"/>
        </w:rPr>
        <w:t>« </w:t>
      </w:r>
      <w:r w:rsidRPr="00227928">
        <w:rPr>
          <w:lang w:val="fr-FR"/>
        </w:rPr>
        <w:t>les États parties prennent toutes les mesures appropriées, y compris des dispositions législatives, pour réprimer, sous toutes leurs formes, le trafic des femmes et l</w:t>
      </w:r>
      <w:r w:rsidR="001B5526">
        <w:rPr>
          <w:lang w:val="fr-FR"/>
        </w:rPr>
        <w:t>’</w:t>
      </w:r>
      <w:r w:rsidRPr="00227928">
        <w:rPr>
          <w:lang w:val="fr-FR"/>
        </w:rPr>
        <w:t>exploitation de la prostitution des femmes</w:t>
      </w:r>
      <w:r w:rsidR="001B5526">
        <w:rPr>
          <w:lang w:val="fr-FR"/>
        </w:rPr>
        <w:t> »</w:t>
      </w:r>
      <w:r w:rsidRPr="00227928">
        <w:rPr>
          <w:lang w:val="fr-FR"/>
        </w:rPr>
        <w:t>.</w:t>
      </w:r>
      <w:r w:rsidR="00EC1301" w:rsidRPr="00227928">
        <w:rPr>
          <w:lang w:val="fr-FR"/>
        </w:rPr>
        <w:t xml:space="preserve"> </w:t>
      </w:r>
    </w:p>
    <w:p w:rsidR="007D763E" w:rsidRPr="00227928" w:rsidRDefault="007D763E" w:rsidP="00913970">
      <w:pPr>
        <w:pStyle w:val="SingleTxt"/>
        <w:numPr>
          <w:ilvl w:val="0"/>
          <w:numId w:val="20"/>
        </w:numPr>
        <w:rPr>
          <w:lang w:val="fr-FR"/>
        </w:rPr>
      </w:pPr>
      <w:r w:rsidRPr="00227928">
        <w:rPr>
          <w:lang w:val="fr-FR"/>
        </w:rPr>
        <w:t>S</w:t>
      </w:r>
      <w:r w:rsidR="001B5526">
        <w:rPr>
          <w:lang w:val="fr-FR"/>
        </w:rPr>
        <w:t>’</w:t>
      </w:r>
      <w:r w:rsidRPr="00227928">
        <w:rPr>
          <w:lang w:val="fr-FR"/>
        </w:rPr>
        <w:t>agissant de l</w:t>
      </w:r>
      <w:r w:rsidR="001B5526">
        <w:rPr>
          <w:lang w:val="fr-FR"/>
        </w:rPr>
        <w:t>’</w:t>
      </w:r>
      <w:r w:rsidRPr="00227928">
        <w:rPr>
          <w:lang w:val="fr-FR"/>
        </w:rPr>
        <w:t>argument de l</w:t>
      </w:r>
      <w:r w:rsidR="001B5526">
        <w:rPr>
          <w:lang w:val="fr-FR"/>
        </w:rPr>
        <w:t>’</w:t>
      </w:r>
      <w:r w:rsidRPr="00227928">
        <w:rPr>
          <w:lang w:val="fr-FR"/>
        </w:rPr>
        <w:t>auteur selon lequel l</w:t>
      </w:r>
      <w:r w:rsidR="001B5526">
        <w:rPr>
          <w:lang w:val="fr-FR"/>
        </w:rPr>
        <w:t>’</w:t>
      </w:r>
      <w:r w:rsidRPr="00227928">
        <w:rPr>
          <w:lang w:val="fr-FR"/>
        </w:rPr>
        <w:t>État partie a violé l</w:t>
      </w:r>
      <w:r w:rsidR="001B5526">
        <w:rPr>
          <w:lang w:val="fr-FR"/>
        </w:rPr>
        <w:t>’</w:t>
      </w:r>
      <w:r w:rsidRPr="00227928">
        <w:rPr>
          <w:lang w:val="fr-FR"/>
        </w:rPr>
        <w:t>article 6 de la Convention, nous notons que l</w:t>
      </w:r>
      <w:r w:rsidR="001B5526">
        <w:rPr>
          <w:lang w:val="fr-FR"/>
        </w:rPr>
        <w:t>’</w:t>
      </w:r>
      <w:r w:rsidRPr="00227928">
        <w:rPr>
          <w:lang w:val="fr-FR"/>
        </w:rPr>
        <w:t>État partie à répondu qu</w:t>
      </w:r>
      <w:r w:rsidR="001B5526">
        <w:rPr>
          <w:lang w:val="fr-FR"/>
        </w:rPr>
        <w:t>’</w:t>
      </w:r>
      <w:r w:rsidRPr="00227928">
        <w:rPr>
          <w:lang w:val="fr-FR"/>
        </w:rPr>
        <w:t>à aucun moment l</w:t>
      </w:r>
      <w:r w:rsidR="001B5526">
        <w:rPr>
          <w:lang w:val="fr-FR"/>
        </w:rPr>
        <w:t>’</w:t>
      </w:r>
      <w:r w:rsidRPr="00227928">
        <w:rPr>
          <w:lang w:val="fr-FR"/>
        </w:rPr>
        <w:t>auteur n</w:t>
      </w:r>
      <w:r w:rsidR="001B5526">
        <w:rPr>
          <w:lang w:val="fr-FR"/>
        </w:rPr>
        <w:t>’</w:t>
      </w:r>
      <w:r w:rsidRPr="00227928">
        <w:rPr>
          <w:lang w:val="fr-FR"/>
        </w:rPr>
        <w:t>avait fermement établi qu</w:t>
      </w:r>
      <w:r w:rsidR="001B5526">
        <w:rPr>
          <w:lang w:val="fr-FR"/>
        </w:rPr>
        <w:t>’</w:t>
      </w:r>
      <w:r w:rsidRPr="00227928">
        <w:rPr>
          <w:lang w:val="fr-FR"/>
        </w:rPr>
        <w:t>elle avait été victime de la traite ni saisi les tribunaux internes sur le fond en ce qui concerne cette violation, le privant ainsi d</w:t>
      </w:r>
      <w:r w:rsidR="001B5526">
        <w:rPr>
          <w:lang w:val="fr-FR"/>
        </w:rPr>
        <w:t>’</w:t>
      </w:r>
      <w:r w:rsidRPr="00227928">
        <w:rPr>
          <w:lang w:val="fr-FR"/>
        </w:rPr>
        <w:t>une possibilité de réparer, et qu</w:t>
      </w:r>
      <w:r w:rsidR="001B5526">
        <w:rPr>
          <w:lang w:val="fr-FR"/>
        </w:rPr>
        <w:t>’</w:t>
      </w:r>
      <w:r w:rsidRPr="00227928">
        <w:rPr>
          <w:lang w:val="fr-FR"/>
        </w:rPr>
        <w:t>elle n</w:t>
      </w:r>
      <w:r w:rsidR="001B5526">
        <w:rPr>
          <w:lang w:val="fr-FR"/>
        </w:rPr>
        <w:t>’</w:t>
      </w:r>
      <w:r w:rsidRPr="00227928">
        <w:rPr>
          <w:lang w:val="fr-FR"/>
        </w:rPr>
        <w:t>avait évoqué l</w:t>
      </w:r>
      <w:r w:rsidR="001B5526">
        <w:rPr>
          <w:lang w:val="fr-FR"/>
        </w:rPr>
        <w:t>’</w:t>
      </w:r>
      <w:r w:rsidRPr="00227928">
        <w:rPr>
          <w:lang w:val="fr-FR"/>
        </w:rPr>
        <w:t>article 6 qu</w:t>
      </w:r>
      <w:r w:rsidR="001B5526">
        <w:rPr>
          <w:lang w:val="fr-FR"/>
        </w:rPr>
        <w:t>’</w:t>
      </w:r>
      <w:r w:rsidRPr="00227928">
        <w:rPr>
          <w:lang w:val="fr-FR"/>
        </w:rPr>
        <w:t>en des termes très généraux. Nous notons que, selon l</w:t>
      </w:r>
      <w:r w:rsidR="001B5526">
        <w:rPr>
          <w:lang w:val="fr-FR"/>
        </w:rPr>
        <w:t>’</w:t>
      </w:r>
      <w:r w:rsidRPr="00227928">
        <w:rPr>
          <w:lang w:val="fr-FR"/>
        </w:rPr>
        <w:t>État partie, l</w:t>
      </w:r>
      <w:r w:rsidR="001B5526">
        <w:rPr>
          <w:lang w:val="fr-FR"/>
        </w:rPr>
        <w:t>’</w:t>
      </w:r>
      <w:r w:rsidRPr="00227928">
        <w:rPr>
          <w:lang w:val="fr-FR"/>
        </w:rPr>
        <w:t>auteur n</w:t>
      </w:r>
      <w:r w:rsidR="001B5526">
        <w:rPr>
          <w:lang w:val="fr-FR"/>
        </w:rPr>
        <w:t>’</w:t>
      </w:r>
      <w:r w:rsidRPr="00227928">
        <w:rPr>
          <w:lang w:val="fr-FR"/>
        </w:rPr>
        <w:t>a donné aucune information, que ce soit lorsqu</w:t>
      </w:r>
      <w:r w:rsidR="001B5526">
        <w:rPr>
          <w:lang w:val="fr-FR"/>
        </w:rPr>
        <w:t>’</w:t>
      </w:r>
      <w:r w:rsidRPr="00227928">
        <w:rPr>
          <w:lang w:val="fr-FR"/>
        </w:rPr>
        <w:t>elle a demandé l</w:t>
      </w:r>
      <w:r w:rsidR="001B5526">
        <w:rPr>
          <w:lang w:val="fr-FR"/>
        </w:rPr>
        <w:t>’</w:t>
      </w:r>
      <w:r w:rsidRPr="00227928">
        <w:rPr>
          <w:lang w:val="fr-FR"/>
        </w:rPr>
        <w:t>asile ou à un stade ultérieur de la procédure, permettant au Service de l</w:t>
      </w:r>
      <w:r w:rsidR="001B5526">
        <w:rPr>
          <w:lang w:val="fr-FR"/>
        </w:rPr>
        <w:t>’</w:t>
      </w:r>
      <w:r w:rsidRPr="00227928">
        <w:rPr>
          <w:lang w:val="fr-FR"/>
        </w:rPr>
        <w:t>immigration de penser qu</w:t>
      </w:r>
      <w:r w:rsidR="001B5526">
        <w:rPr>
          <w:lang w:val="fr-FR"/>
        </w:rPr>
        <w:t>’</w:t>
      </w:r>
      <w:r w:rsidRPr="00227928">
        <w:rPr>
          <w:lang w:val="fr-FR"/>
        </w:rPr>
        <w:t>elle avait été victime de la traite et qu</w:t>
      </w:r>
      <w:r w:rsidR="001B5526">
        <w:rPr>
          <w:lang w:val="fr-FR"/>
        </w:rPr>
        <w:t>’</w:t>
      </w:r>
      <w:r w:rsidRPr="00227928">
        <w:rPr>
          <w:lang w:val="fr-FR"/>
        </w:rPr>
        <w:t>il devait lui faire savoir qu</w:t>
      </w:r>
      <w:r w:rsidR="001B5526">
        <w:rPr>
          <w:lang w:val="fr-FR"/>
        </w:rPr>
        <w:t>’</w:t>
      </w:r>
      <w:r w:rsidRPr="00227928">
        <w:rPr>
          <w:lang w:val="fr-FR"/>
        </w:rPr>
        <w:t>elle pouvait demander la protection prévue dans le cadre du système B9. Nous notons aussi que, selon l</w:t>
      </w:r>
      <w:r w:rsidR="001B5526">
        <w:rPr>
          <w:lang w:val="fr-FR"/>
        </w:rPr>
        <w:t>’</w:t>
      </w:r>
      <w:r w:rsidRPr="00227928">
        <w:rPr>
          <w:lang w:val="fr-FR"/>
        </w:rPr>
        <w:t>État partie, même si l</w:t>
      </w:r>
      <w:r w:rsidR="001B5526">
        <w:rPr>
          <w:lang w:val="fr-FR"/>
        </w:rPr>
        <w:t>’</w:t>
      </w:r>
      <w:r w:rsidRPr="00227928">
        <w:rPr>
          <w:lang w:val="fr-FR"/>
        </w:rPr>
        <w:t>auteur s</w:t>
      </w:r>
      <w:r w:rsidR="001B5526">
        <w:rPr>
          <w:lang w:val="fr-FR"/>
        </w:rPr>
        <w:t>’</w:t>
      </w:r>
      <w:r w:rsidRPr="00227928">
        <w:rPr>
          <w:lang w:val="fr-FR"/>
        </w:rPr>
        <w:t>était adressée à la police, celle-ci n</w:t>
      </w:r>
      <w:r w:rsidR="001B5526">
        <w:rPr>
          <w:lang w:val="fr-FR"/>
        </w:rPr>
        <w:t>’</w:t>
      </w:r>
      <w:r w:rsidRPr="00227928">
        <w:rPr>
          <w:lang w:val="fr-FR"/>
        </w:rPr>
        <w:t>aurait probablement pas ouvert une enquête, faute d</w:t>
      </w:r>
      <w:r w:rsidR="001B5526">
        <w:rPr>
          <w:lang w:val="fr-FR"/>
        </w:rPr>
        <w:t>’</w:t>
      </w:r>
      <w:r w:rsidRPr="00227928">
        <w:rPr>
          <w:lang w:val="fr-FR"/>
        </w:rPr>
        <w:t>informations. Nous notons enfin l</w:t>
      </w:r>
      <w:r w:rsidR="001B5526">
        <w:rPr>
          <w:lang w:val="fr-FR"/>
        </w:rPr>
        <w:t>’</w:t>
      </w:r>
      <w:r w:rsidRPr="00227928">
        <w:rPr>
          <w:lang w:val="fr-FR"/>
        </w:rPr>
        <w:t>argument de l</w:t>
      </w:r>
      <w:r w:rsidR="001B5526">
        <w:rPr>
          <w:lang w:val="fr-FR"/>
        </w:rPr>
        <w:t>’</w:t>
      </w:r>
      <w:r w:rsidRPr="00227928">
        <w:rPr>
          <w:lang w:val="fr-FR"/>
        </w:rPr>
        <w:t>État partie selon lequel l</w:t>
      </w:r>
      <w:r w:rsidR="001B5526">
        <w:rPr>
          <w:lang w:val="fr-FR"/>
        </w:rPr>
        <w:t>’</w:t>
      </w:r>
      <w:r w:rsidRPr="00227928">
        <w:rPr>
          <w:lang w:val="fr-FR"/>
        </w:rPr>
        <w:t>auteur, pourtant informée par son conseil, n</w:t>
      </w:r>
      <w:r w:rsidR="001B5526">
        <w:rPr>
          <w:lang w:val="fr-FR"/>
        </w:rPr>
        <w:t>’</w:t>
      </w:r>
      <w:r w:rsidRPr="00227928">
        <w:rPr>
          <w:lang w:val="fr-FR"/>
        </w:rPr>
        <w:t>a toujours pas engagé de procédure dans le cadre du système B9.</w:t>
      </w:r>
    </w:p>
    <w:p w:rsidR="007D763E" w:rsidRPr="00227928" w:rsidRDefault="007D763E" w:rsidP="00913970">
      <w:pPr>
        <w:pStyle w:val="SingleTxt"/>
        <w:numPr>
          <w:ilvl w:val="0"/>
          <w:numId w:val="21"/>
        </w:numPr>
        <w:rPr>
          <w:lang w:val="fr-FR"/>
        </w:rPr>
      </w:pPr>
      <w:r w:rsidRPr="00227928">
        <w:rPr>
          <w:lang w:val="fr-FR"/>
        </w:rPr>
        <w:t>Nous trouvons toutefois dans les comptes rendus des auditions et dans les rapports joints à la communication de nombreux éléments qui auraient dû amener les agents de l</w:t>
      </w:r>
      <w:r w:rsidR="001B5526">
        <w:rPr>
          <w:lang w:val="fr-FR"/>
        </w:rPr>
        <w:t>’</w:t>
      </w:r>
      <w:r w:rsidRPr="00227928">
        <w:rPr>
          <w:lang w:val="fr-FR"/>
        </w:rPr>
        <w:t>immigration à se douter qu</w:t>
      </w:r>
      <w:r w:rsidR="001B5526">
        <w:rPr>
          <w:lang w:val="fr-FR"/>
        </w:rPr>
        <w:t>’</w:t>
      </w:r>
      <w:r w:rsidRPr="00227928">
        <w:rPr>
          <w:lang w:val="fr-FR"/>
        </w:rPr>
        <w:t>elle avait été victime de la traite. Par exemple, comme l</w:t>
      </w:r>
      <w:r w:rsidR="001B5526">
        <w:rPr>
          <w:lang w:val="fr-FR"/>
        </w:rPr>
        <w:t>’</w:t>
      </w:r>
      <w:r w:rsidRPr="00227928">
        <w:rPr>
          <w:lang w:val="fr-FR"/>
        </w:rPr>
        <w:t>affirme l</w:t>
      </w:r>
      <w:r w:rsidR="001B5526">
        <w:rPr>
          <w:lang w:val="fr-FR"/>
        </w:rPr>
        <w:t>’</w:t>
      </w:r>
      <w:r w:rsidRPr="00227928">
        <w:rPr>
          <w:lang w:val="fr-FR"/>
        </w:rPr>
        <w:t>auteur, ils auraient dû noter à la deuxième audition qu</w:t>
      </w:r>
      <w:r w:rsidR="001B5526">
        <w:rPr>
          <w:lang w:val="fr-FR"/>
        </w:rPr>
        <w:t>’</w:t>
      </w:r>
      <w:r w:rsidRPr="00227928">
        <w:rPr>
          <w:lang w:val="fr-FR"/>
        </w:rPr>
        <w:t>elle avait été victime d</w:t>
      </w:r>
      <w:r w:rsidR="001B5526">
        <w:rPr>
          <w:lang w:val="fr-FR"/>
        </w:rPr>
        <w:t>’</w:t>
      </w:r>
      <w:r w:rsidRPr="00227928">
        <w:rPr>
          <w:lang w:val="fr-FR"/>
        </w:rPr>
        <w:t>esclavage et de prostitution, forcée de coucher avec des hommes, violée à plusieurs reprises et séquestrée. Ce sont des signes évidents que l</w:t>
      </w:r>
      <w:r w:rsidR="001B5526">
        <w:rPr>
          <w:lang w:val="fr-FR"/>
        </w:rPr>
        <w:t>’</w:t>
      </w:r>
      <w:r w:rsidRPr="00227928">
        <w:rPr>
          <w:lang w:val="fr-FR"/>
        </w:rPr>
        <w:t>auteur a été victime de la traite, selon la définition donnée aux paragraphes a) et b) de l</w:t>
      </w:r>
      <w:r w:rsidR="001B5526">
        <w:rPr>
          <w:lang w:val="fr-FR"/>
        </w:rPr>
        <w:t>’</w:t>
      </w:r>
      <w:r w:rsidRPr="00227928">
        <w:rPr>
          <w:lang w:val="fr-FR"/>
        </w:rPr>
        <w:t>article 3 du Protocole additionnel à la Convention des Nations Unies contre la criminalité transnationale organisée visant à prévenir, réprimer et punir la traite des personnes, en particulier des femmes et des enfants (Protocole de Palerme), auquel les Pays-Bas sont devenus partie le 27 juillet 2005. Nous notons également que l</w:t>
      </w:r>
      <w:r w:rsidR="001B5526">
        <w:rPr>
          <w:lang w:val="fr-FR"/>
        </w:rPr>
        <w:t>’</w:t>
      </w:r>
      <w:r w:rsidRPr="00227928">
        <w:rPr>
          <w:lang w:val="fr-FR"/>
        </w:rPr>
        <w:t>auteur a un niveau d</w:t>
      </w:r>
      <w:r w:rsidR="001B5526">
        <w:rPr>
          <w:lang w:val="fr-FR"/>
        </w:rPr>
        <w:t>’</w:t>
      </w:r>
      <w:r w:rsidRPr="00227928">
        <w:rPr>
          <w:lang w:val="fr-FR"/>
        </w:rPr>
        <w:t>instruction limité, au point qu</w:t>
      </w:r>
      <w:r w:rsidR="001B5526">
        <w:rPr>
          <w:lang w:val="fr-FR"/>
        </w:rPr>
        <w:t>’</w:t>
      </w:r>
      <w:r w:rsidRPr="00227928">
        <w:rPr>
          <w:lang w:val="fr-FR"/>
        </w:rPr>
        <w:t>elle ne peut expliquer comment elle a voyagé de Chine aux Pays-Bas, qu</w:t>
      </w:r>
      <w:r w:rsidR="001B5526">
        <w:rPr>
          <w:lang w:val="fr-FR"/>
        </w:rPr>
        <w:t>’</w:t>
      </w:r>
      <w:r w:rsidRPr="00227928">
        <w:rPr>
          <w:lang w:val="fr-FR"/>
        </w:rPr>
        <w:t>elle ne sait pas lire et qu</w:t>
      </w:r>
      <w:r w:rsidR="001B5526">
        <w:rPr>
          <w:lang w:val="fr-FR"/>
        </w:rPr>
        <w:t>’</w:t>
      </w:r>
      <w:r w:rsidRPr="00227928">
        <w:rPr>
          <w:lang w:val="fr-FR"/>
        </w:rPr>
        <w:t>ayant perdu ses parents très jeune, elle a été abandonnée et s</w:t>
      </w:r>
      <w:r w:rsidR="001B5526">
        <w:rPr>
          <w:lang w:val="fr-FR"/>
        </w:rPr>
        <w:t>’</w:t>
      </w:r>
      <w:r w:rsidRPr="00227928">
        <w:rPr>
          <w:lang w:val="fr-FR"/>
        </w:rPr>
        <w:t>est trouvée dans l</w:t>
      </w:r>
      <w:r w:rsidR="001B5526">
        <w:rPr>
          <w:lang w:val="fr-FR"/>
        </w:rPr>
        <w:t>’</w:t>
      </w:r>
      <w:r w:rsidRPr="00227928">
        <w:rPr>
          <w:lang w:val="fr-FR"/>
        </w:rPr>
        <w:t>indigence à la mort de sa grand-mère. Nous notons enfin que le rapport médical joint à la communication confirme que l</w:t>
      </w:r>
      <w:r w:rsidR="001B5526">
        <w:rPr>
          <w:lang w:val="fr-FR"/>
        </w:rPr>
        <w:t>’</w:t>
      </w:r>
      <w:r w:rsidRPr="00227928">
        <w:rPr>
          <w:lang w:val="fr-FR"/>
        </w:rPr>
        <w:t>auteur présente les signes caractéristiques d</w:t>
      </w:r>
      <w:r w:rsidR="001B5526">
        <w:rPr>
          <w:lang w:val="fr-FR"/>
        </w:rPr>
        <w:t>’</w:t>
      </w:r>
      <w:r w:rsidRPr="00227928">
        <w:rPr>
          <w:lang w:val="fr-FR"/>
        </w:rPr>
        <w:t xml:space="preserve">une victime de la traite. </w:t>
      </w:r>
    </w:p>
    <w:p w:rsidR="007D763E" w:rsidRPr="00227928" w:rsidRDefault="007D763E" w:rsidP="00913970">
      <w:pPr>
        <w:pStyle w:val="SingleTxt"/>
        <w:numPr>
          <w:ilvl w:val="0"/>
          <w:numId w:val="22"/>
        </w:numPr>
        <w:rPr>
          <w:lang w:val="fr-FR"/>
        </w:rPr>
      </w:pPr>
      <w:r w:rsidRPr="00227928">
        <w:rPr>
          <w:lang w:val="fr-FR"/>
        </w:rPr>
        <w:t>Vu la nature du crime de la traite et la difficulté pour les victimes, souvent ignorantes et traumatisées, de donner des détails précis sur ce qu</w:t>
      </w:r>
      <w:r w:rsidR="001B5526">
        <w:rPr>
          <w:lang w:val="fr-FR"/>
        </w:rPr>
        <w:t>’</w:t>
      </w:r>
      <w:r w:rsidRPr="00227928">
        <w:rPr>
          <w:lang w:val="fr-FR"/>
        </w:rPr>
        <w:t>elles ont vécu, nous estimons que le Service de l</w:t>
      </w:r>
      <w:r w:rsidR="001B5526">
        <w:rPr>
          <w:lang w:val="fr-FR"/>
        </w:rPr>
        <w:t>’</w:t>
      </w:r>
      <w:r w:rsidRPr="00227928">
        <w:rPr>
          <w:lang w:val="fr-FR"/>
        </w:rPr>
        <w:t>immigration n</w:t>
      </w:r>
      <w:r w:rsidR="001B5526">
        <w:rPr>
          <w:lang w:val="fr-FR"/>
        </w:rPr>
        <w:t>’</w:t>
      </w:r>
      <w:r w:rsidRPr="00227928">
        <w:rPr>
          <w:lang w:val="fr-FR"/>
        </w:rPr>
        <w:t>a pas agi avec la diligence qu</w:t>
      </w:r>
      <w:r w:rsidR="001B5526">
        <w:rPr>
          <w:lang w:val="fr-FR"/>
        </w:rPr>
        <w:t>’</w:t>
      </w:r>
      <w:r w:rsidRPr="00227928">
        <w:rPr>
          <w:lang w:val="fr-FR"/>
        </w:rPr>
        <w:t>exigeait la situation de l</w:t>
      </w:r>
      <w:r w:rsidR="001B5526">
        <w:rPr>
          <w:lang w:val="fr-FR"/>
        </w:rPr>
        <w:t>’</w:t>
      </w:r>
      <w:r w:rsidRPr="00227928">
        <w:rPr>
          <w:lang w:val="fr-FR"/>
        </w:rPr>
        <w:t>auteur lorsque, n</w:t>
      </w:r>
      <w:r w:rsidR="001B5526">
        <w:rPr>
          <w:lang w:val="fr-FR"/>
        </w:rPr>
        <w:t>’</w:t>
      </w:r>
      <w:r w:rsidRPr="00227928">
        <w:rPr>
          <w:lang w:val="fr-FR"/>
        </w:rPr>
        <w:t>ayant pas réalisé qu</w:t>
      </w:r>
      <w:r w:rsidR="001B5526">
        <w:rPr>
          <w:lang w:val="fr-FR"/>
        </w:rPr>
        <w:t>’</w:t>
      </w:r>
      <w:r w:rsidRPr="00227928">
        <w:rPr>
          <w:lang w:val="fr-FR"/>
        </w:rPr>
        <w:t>elle avait peut-être été victime de la traite, il ne l</w:t>
      </w:r>
      <w:r w:rsidR="001B5526">
        <w:rPr>
          <w:lang w:val="fr-FR"/>
        </w:rPr>
        <w:t>’</w:t>
      </w:r>
      <w:r w:rsidRPr="00227928">
        <w:rPr>
          <w:lang w:val="fr-FR"/>
        </w:rPr>
        <w:t>a pas informée de ses droits, notamment de la possibilité d</w:t>
      </w:r>
      <w:r w:rsidR="001B5526">
        <w:rPr>
          <w:lang w:val="fr-FR"/>
        </w:rPr>
        <w:t>’</w:t>
      </w:r>
      <w:r w:rsidRPr="00227928">
        <w:rPr>
          <w:lang w:val="fr-FR"/>
        </w:rPr>
        <w:t>engager une procédure dans le cadre du système B9. En vertu du Protocole de Palerme, cette obligation ressort clairement de l</w:t>
      </w:r>
      <w:r w:rsidR="001B5526">
        <w:rPr>
          <w:lang w:val="fr-FR"/>
        </w:rPr>
        <w:t>’</w:t>
      </w:r>
      <w:r w:rsidRPr="00227928">
        <w:rPr>
          <w:lang w:val="fr-FR"/>
        </w:rPr>
        <w:t>article 6. En outre, nous tenons à rappeler que dans les observations finales adressées à l</w:t>
      </w:r>
      <w:r w:rsidR="001B5526">
        <w:rPr>
          <w:lang w:val="fr-FR"/>
        </w:rPr>
        <w:t>’</w:t>
      </w:r>
      <w:r w:rsidRPr="00227928">
        <w:rPr>
          <w:lang w:val="fr-FR"/>
        </w:rPr>
        <w:t>État partie en 2007, le Comité l</w:t>
      </w:r>
      <w:r w:rsidR="001B5526">
        <w:rPr>
          <w:lang w:val="fr-FR"/>
        </w:rPr>
        <w:t>’</w:t>
      </w:r>
      <w:r w:rsidRPr="00227928">
        <w:rPr>
          <w:lang w:val="fr-FR"/>
        </w:rPr>
        <w:t>a prié instamment de fournir toutes les prestations nécessaires aux victimes de la traite, qu</w:t>
      </w:r>
      <w:r w:rsidR="001B5526">
        <w:rPr>
          <w:lang w:val="fr-FR"/>
        </w:rPr>
        <w:t>’</w:t>
      </w:r>
      <w:r w:rsidRPr="00227928">
        <w:rPr>
          <w:lang w:val="fr-FR"/>
        </w:rPr>
        <w:t>elles soient capables de coopérer ou non</w:t>
      </w:r>
      <w:r w:rsidRPr="00227928">
        <w:rPr>
          <w:rStyle w:val="FootnoteReference"/>
          <w:lang w:val="fr-FR"/>
        </w:rPr>
        <w:footnoteReference w:id="4"/>
      </w:r>
      <w:r w:rsidRPr="00227928">
        <w:rPr>
          <w:lang w:val="fr-FR"/>
        </w:rPr>
        <w:t>.</w:t>
      </w:r>
    </w:p>
    <w:p w:rsidR="007D763E" w:rsidRPr="00227928" w:rsidRDefault="007D763E" w:rsidP="00913970">
      <w:pPr>
        <w:pStyle w:val="SingleTxt"/>
        <w:numPr>
          <w:ilvl w:val="0"/>
          <w:numId w:val="23"/>
        </w:numPr>
        <w:rPr>
          <w:lang w:val="fr-FR"/>
        </w:rPr>
      </w:pPr>
      <w:r w:rsidRPr="00227928">
        <w:rPr>
          <w:lang w:val="fr-FR"/>
        </w:rPr>
        <w:t>En vertu du paragraphe 3 de l</w:t>
      </w:r>
      <w:r w:rsidR="001B5526">
        <w:rPr>
          <w:lang w:val="fr-FR"/>
        </w:rPr>
        <w:t>’</w:t>
      </w:r>
      <w:r w:rsidRPr="00227928">
        <w:rPr>
          <w:lang w:val="fr-FR"/>
        </w:rPr>
        <w:t>article 7 du Protocole facultatif se rapportant à la Convention sur l</w:t>
      </w:r>
      <w:r w:rsidR="001B5526">
        <w:rPr>
          <w:lang w:val="fr-FR"/>
        </w:rPr>
        <w:t>’</w:t>
      </w:r>
      <w:r w:rsidRPr="00227928">
        <w:rPr>
          <w:lang w:val="fr-FR"/>
        </w:rPr>
        <w:t>élimination de toutes les formes de discrimination à l</w:t>
      </w:r>
      <w:r w:rsidR="001B5526">
        <w:rPr>
          <w:lang w:val="fr-FR"/>
        </w:rPr>
        <w:t>’</w:t>
      </w:r>
      <w:r w:rsidRPr="00227928">
        <w:rPr>
          <w:lang w:val="fr-FR"/>
        </w:rPr>
        <w:t>égard des femmes, nous estimons que les faits dont le Comité a été saisi révèlent qu</w:t>
      </w:r>
      <w:r w:rsidR="001B5526">
        <w:rPr>
          <w:lang w:val="fr-FR"/>
        </w:rPr>
        <w:t>’</w:t>
      </w:r>
      <w:r w:rsidRPr="00227928">
        <w:rPr>
          <w:lang w:val="fr-FR"/>
        </w:rPr>
        <w:t>il y a eu violation de l</w:t>
      </w:r>
      <w:r w:rsidR="001B5526">
        <w:rPr>
          <w:lang w:val="fr-FR"/>
        </w:rPr>
        <w:t>’</w:t>
      </w:r>
      <w:r w:rsidRPr="00227928">
        <w:rPr>
          <w:lang w:val="fr-FR"/>
        </w:rPr>
        <w:t>article 6 de la Convention et adressons à l</w:t>
      </w:r>
      <w:r w:rsidR="001B5526">
        <w:rPr>
          <w:lang w:val="fr-FR"/>
        </w:rPr>
        <w:t>’</w:t>
      </w:r>
      <w:r w:rsidRPr="00227928">
        <w:rPr>
          <w:lang w:val="fr-FR"/>
        </w:rPr>
        <w:t>État partie les recommandations suivantes :</w:t>
      </w:r>
    </w:p>
    <w:p w:rsidR="007D763E" w:rsidRPr="00227928" w:rsidRDefault="007D763E" w:rsidP="007D763E">
      <w:pPr>
        <w:pStyle w:val="SingleTxt"/>
        <w:ind w:left="2218" w:hanging="951"/>
        <w:rPr>
          <w:lang w:val="fr-FR"/>
        </w:rPr>
      </w:pPr>
      <w:r w:rsidRPr="00227928">
        <w:rPr>
          <w:lang w:val="fr-FR"/>
        </w:rPr>
        <w:tab/>
        <w:t>I.</w:t>
      </w:r>
      <w:r w:rsidRPr="00227928">
        <w:rPr>
          <w:lang w:val="fr-FR"/>
        </w:rPr>
        <w:tab/>
        <w:t>S</w:t>
      </w:r>
      <w:r w:rsidR="001B5526">
        <w:rPr>
          <w:lang w:val="fr-FR"/>
        </w:rPr>
        <w:t>’</w:t>
      </w:r>
      <w:r w:rsidRPr="00227928">
        <w:rPr>
          <w:lang w:val="fr-FR"/>
        </w:rPr>
        <w:t>agissant de l</w:t>
      </w:r>
      <w:r w:rsidR="001B5526">
        <w:rPr>
          <w:lang w:val="fr-FR"/>
        </w:rPr>
        <w:t>’</w:t>
      </w:r>
      <w:r w:rsidRPr="00227928">
        <w:rPr>
          <w:lang w:val="fr-FR"/>
        </w:rPr>
        <w:t>auteur de la communication : prendre des mesures afin de déterminer si elle a effectivement été victime de la traite et, si c</w:t>
      </w:r>
      <w:r w:rsidR="001B5526">
        <w:rPr>
          <w:lang w:val="fr-FR"/>
        </w:rPr>
        <w:t>’</w:t>
      </w:r>
      <w:r w:rsidRPr="00227928">
        <w:rPr>
          <w:lang w:val="fr-FR"/>
        </w:rPr>
        <w:t>est le cas, prendre en sa faveur les mesures de protection visées à l</w:t>
      </w:r>
      <w:r w:rsidR="001B5526">
        <w:rPr>
          <w:lang w:val="fr-FR"/>
        </w:rPr>
        <w:t>’</w:t>
      </w:r>
      <w:r w:rsidRPr="00227928">
        <w:rPr>
          <w:lang w:val="fr-FR"/>
        </w:rPr>
        <w:t xml:space="preserve">article 6 du Protocole de Palerme. </w:t>
      </w:r>
    </w:p>
    <w:p w:rsidR="007D763E" w:rsidRPr="00227928" w:rsidRDefault="007D763E" w:rsidP="007D763E">
      <w:pPr>
        <w:pStyle w:val="SingleTxt"/>
        <w:rPr>
          <w:lang w:val="fr-FR"/>
        </w:rPr>
      </w:pPr>
      <w:r w:rsidRPr="00227928">
        <w:rPr>
          <w:lang w:val="fr-FR"/>
        </w:rPr>
        <w:tab/>
        <w:t>II.</w:t>
      </w:r>
      <w:r w:rsidRPr="00227928">
        <w:rPr>
          <w:lang w:val="fr-FR"/>
        </w:rPr>
        <w:tab/>
        <w:t>En général :</w:t>
      </w:r>
    </w:p>
    <w:p w:rsidR="007D763E" w:rsidRPr="00227928" w:rsidRDefault="007D763E" w:rsidP="007D763E">
      <w:pPr>
        <w:pStyle w:val="SingleTxt"/>
        <w:ind w:left="1742" w:hanging="475"/>
        <w:rPr>
          <w:lang w:val="fr-FR"/>
        </w:rPr>
      </w:pPr>
      <w:r w:rsidRPr="00227928">
        <w:rPr>
          <w:lang w:val="fr-FR"/>
        </w:rPr>
        <w:tab/>
      </w:r>
      <w:r w:rsidRPr="00227928">
        <w:rPr>
          <w:lang w:val="fr-FR"/>
        </w:rPr>
        <w:tab/>
        <w:t>a)</w:t>
      </w:r>
      <w:r w:rsidRPr="00227928">
        <w:rPr>
          <w:lang w:val="fr-FR"/>
        </w:rPr>
        <w:tab/>
        <w:t>Prendre des mesures pour que les gardes frontière, les policiers et les agents de l</w:t>
      </w:r>
      <w:r w:rsidR="001B5526">
        <w:rPr>
          <w:lang w:val="fr-FR"/>
        </w:rPr>
        <w:t>’</w:t>
      </w:r>
      <w:r w:rsidRPr="00227928">
        <w:rPr>
          <w:lang w:val="fr-FR"/>
        </w:rPr>
        <w:t>immigration reçoivent une formation appropriée de sorte qu</w:t>
      </w:r>
      <w:r w:rsidR="001B5526">
        <w:rPr>
          <w:lang w:val="fr-FR"/>
        </w:rPr>
        <w:t>’</w:t>
      </w:r>
      <w:r w:rsidRPr="00227928">
        <w:rPr>
          <w:lang w:val="fr-FR"/>
        </w:rPr>
        <w:t>ils puissent reconnaître rapidement les victimes de la traite en leur posant les questions adéquates; fournir des instructions afin que les méthodes d</w:t>
      </w:r>
      <w:r w:rsidR="001B5526">
        <w:rPr>
          <w:lang w:val="fr-FR"/>
        </w:rPr>
        <w:t>’</w:t>
      </w:r>
      <w:r w:rsidRPr="00227928">
        <w:rPr>
          <w:lang w:val="fr-FR"/>
        </w:rPr>
        <w:t xml:space="preserve">audition tiennent compte de la vulnérabilité des victimes de la traite souffrant de troubles post-traumatiques. </w:t>
      </w:r>
    </w:p>
    <w:p w:rsidR="007D763E" w:rsidRPr="00227928" w:rsidRDefault="007D763E" w:rsidP="007D763E">
      <w:pPr>
        <w:pStyle w:val="SingleTxt"/>
        <w:ind w:left="1742" w:hanging="475"/>
        <w:rPr>
          <w:lang w:val="fr-FR"/>
        </w:rPr>
      </w:pPr>
      <w:r w:rsidRPr="00227928">
        <w:rPr>
          <w:lang w:val="fr-FR"/>
        </w:rPr>
        <w:tab/>
      </w:r>
      <w:r w:rsidRPr="00227928">
        <w:rPr>
          <w:lang w:val="fr-FR"/>
        </w:rPr>
        <w:tab/>
        <w:t>b)</w:t>
      </w:r>
      <w:r w:rsidRPr="00227928">
        <w:rPr>
          <w:lang w:val="fr-FR"/>
        </w:rPr>
        <w:tab/>
        <w:t xml:space="preserve">Veiller à ce que les victimes présumées de la traite bénéficient de services et de conseils et soient informées des procédures à suivre pour obtenir une protection spéciale. </w:t>
      </w:r>
    </w:p>
    <w:p w:rsidR="007D763E" w:rsidRPr="00227928" w:rsidRDefault="007D763E" w:rsidP="00913970">
      <w:pPr>
        <w:pStyle w:val="SingleTxt"/>
        <w:numPr>
          <w:ilvl w:val="0"/>
          <w:numId w:val="24"/>
        </w:numPr>
        <w:rPr>
          <w:lang w:val="fr-FR"/>
        </w:rPr>
      </w:pPr>
      <w:r w:rsidRPr="00227928">
        <w:rPr>
          <w:lang w:val="fr-FR"/>
        </w:rPr>
        <w:t>Nous tenons en outre à souligner à l</w:t>
      </w:r>
      <w:r w:rsidR="001B5526">
        <w:rPr>
          <w:lang w:val="fr-FR"/>
        </w:rPr>
        <w:t>’</w:t>
      </w:r>
      <w:r w:rsidRPr="00227928">
        <w:rPr>
          <w:lang w:val="fr-FR"/>
        </w:rPr>
        <w:t>intention de l</w:t>
      </w:r>
      <w:r w:rsidR="001B5526">
        <w:rPr>
          <w:lang w:val="fr-FR"/>
        </w:rPr>
        <w:t>’</w:t>
      </w:r>
      <w:r w:rsidRPr="00227928">
        <w:rPr>
          <w:lang w:val="fr-FR"/>
        </w:rPr>
        <w:t>État partie qu</w:t>
      </w:r>
      <w:r w:rsidR="001B5526">
        <w:rPr>
          <w:lang w:val="fr-FR"/>
        </w:rPr>
        <w:t>’</w:t>
      </w:r>
      <w:r w:rsidRPr="00227928">
        <w:rPr>
          <w:lang w:val="fr-FR"/>
        </w:rPr>
        <w:t>un des buts essentiels du Protocole facultatif se rapportant à la Convention, lorsqu</w:t>
      </w:r>
      <w:r w:rsidR="001B5526">
        <w:rPr>
          <w:lang w:val="fr-FR"/>
        </w:rPr>
        <w:t>’</w:t>
      </w:r>
      <w:r w:rsidRPr="00227928">
        <w:rPr>
          <w:lang w:val="fr-FR"/>
        </w:rPr>
        <w:t>il est invoqué par des femmes, est de donner aux États parties l</w:t>
      </w:r>
      <w:r w:rsidR="001B5526">
        <w:rPr>
          <w:lang w:val="fr-FR"/>
        </w:rPr>
        <w:t>’</w:t>
      </w:r>
      <w:r w:rsidRPr="00227928">
        <w:rPr>
          <w:lang w:val="fr-FR"/>
        </w:rPr>
        <w:t>occasion de prendre conscience des lacunes de ses procédures, de ses institutions juridiques et administratives et des processus de mise en œuvre du système juridique qui empêchent les femmes d</w:t>
      </w:r>
      <w:r w:rsidR="001B5526">
        <w:rPr>
          <w:lang w:val="fr-FR"/>
        </w:rPr>
        <w:t>’</w:t>
      </w:r>
      <w:r w:rsidRPr="00227928">
        <w:rPr>
          <w:lang w:val="fr-FR"/>
        </w:rPr>
        <w:t xml:space="preserve">exercer les recours prévus, et donc de prendre des mesures pour remédier à ces lacunes. </w:t>
      </w:r>
    </w:p>
    <w:p w:rsidR="007D763E" w:rsidRPr="00227928" w:rsidRDefault="007D763E" w:rsidP="007D763E">
      <w:pPr>
        <w:pStyle w:val="SingleTxt"/>
        <w:spacing w:after="0" w:line="120" w:lineRule="exact"/>
        <w:rPr>
          <w:sz w:val="10"/>
          <w:lang w:val="fr-FR"/>
        </w:rPr>
      </w:pPr>
    </w:p>
    <w:p w:rsidR="007D763E" w:rsidRPr="00227928" w:rsidRDefault="007D763E" w:rsidP="007D763E">
      <w:pPr>
        <w:pStyle w:val="SingleTxt"/>
        <w:jc w:val="right"/>
        <w:rPr>
          <w:lang w:val="fr-FR"/>
        </w:rPr>
      </w:pPr>
      <w:r w:rsidRPr="00227928">
        <w:rPr>
          <w:lang w:val="fr-FR"/>
        </w:rPr>
        <w:t>(</w:t>
      </w:r>
      <w:r w:rsidRPr="00227928">
        <w:rPr>
          <w:i/>
          <w:lang w:val="fr-FR"/>
        </w:rPr>
        <w:t>Signé</w:t>
      </w:r>
      <w:r w:rsidRPr="00227928">
        <w:rPr>
          <w:lang w:val="fr-FR"/>
        </w:rPr>
        <w:t xml:space="preserve">) Mary Shanti </w:t>
      </w:r>
      <w:r w:rsidRPr="00227928">
        <w:rPr>
          <w:b/>
          <w:lang w:val="fr-FR"/>
        </w:rPr>
        <w:t>Dairiam</w:t>
      </w:r>
      <w:r w:rsidR="00913970" w:rsidRPr="00227928">
        <w:rPr>
          <w:b/>
          <w:lang w:val="fr-FR"/>
        </w:rPr>
        <w:br/>
      </w:r>
      <w:r w:rsidRPr="00227928">
        <w:rPr>
          <w:lang w:val="fr-FR"/>
        </w:rPr>
        <w:t xml:space="preserve">Violeta </w:t>
      </w:r>
      <w:r w:rsidRPr="00227928">
        <w:rPr>
          <w:b/>
          <w:lang w:val="fr-FR"/>
        </w:rPr>
        <w:t>Neubauer</w:t>
      </w:r>
      <w:r w:rsidR="00913970" w:rsidRPr="00227928">
        <w:rPr>
          <w:b/>
          <w:lang w:val="fr-FR"/>
        </w:rPr>
        <w:br/>
      </w:r>
      <w:r w:rsidRPr="00227928">
        <w:rPr>
          <w:lang w:val="fr-FR"/>
        </w:rPr>
        <w:t xml:space="preserve">Silvia </w:t>
      </w:r>
      <w:r w:rsidRPr="00227928">
        <w:rPr>
          <w:b/>
          <w:lang w:val="fr-FR"/>
        </w:rPr>
        <w:t>Pimentel</w:t>
      </w:r>
    </w:p>
    <w:p w:rsidR="007D763E" w:rsidRPr="00227928" w:rsidRDefault="007D763E" w:rsidP="007D763E">
      <w:pPr>
        <w:pStyle w:val="SingleTxt"/>
        <w:spacing w:after="0" w:line="240" w:lineRule="auto"/>
        <w:rPr>
          <w:lang w:val="fr-FR"/>
        </w:rPr>
      </w:pPr>
      <w:r w:rsidRPr="00227928">
        <w:rPr>
          <w:noProof/>
          <w:w w:val="100"/>
          <w:lang w:val="fr-FR" w:eastAsia="fr-FR"/>
        </w:rPr>
        <w:pict>
          <v:line id="_x0000_s1027" style="position:absolute;left:0;text-align:left;z-index:1;mso-position-horizontal-relative:page" from="270pt,24pt" to="342pt,24pt" strokeweight=".25pt">
            <w10:wrap anchorx="page"/>
          </v:line>
        </w:pict>
      </w:r>
    </w:p>
    <w:sectPr w:rsidR="007D763E" w:rsidRPr="00227928" w:rsidSect="00E84D07">
      <w:footnotePr>
        <w:numRestart w:val="eachSect"/>
      </w:footnotePr>
      <w:pgSz w:w="12240" w:h="15840" w:code="1"/>
      <w:pgMar w:top="1741" w:right="1196" w:bottom="1899" w:left="1196" w:header="578" w:footer="1032"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9-02-26T16:41:00Z" w:initials="Start">
    <w:p w:rsidR="00E97735" w:rsidRPr="008B672F" w:rsidRDefault="00E97735">
      <w:pPr>
        <w:pStyle w:val="CommentText"/>
        <w:rPr>
          <w:lang w:val="en-US"/>
        </w:rPr>
      </w:pPr>
      <w:r>
        <w:fldChar w:fldCharType="begin"/>
      </w:r>
      <w:r w:rsidRPr="008B672F">
        <w:rPr>
          <w:rStyle w:val="CommentReference"/>
          <w:lang w:val="en-US"/>
        </w:rPr>
        <w:instrText xml:space="preserve"> </w:instrText>
      </w:r>
      <w:r w:rsidRPr="008B672F">
        <w:rPr>
          <w:lang w:val="en-US"/>
        </w:rPr>
        <w:instrText>PAGE \# "'Page: '#'</w:instrText>
      </w:r>
      <w:r w:rsidRPr="008B672F">
        <w:rPr>
          <w:lang w:val="en-US"/>
        </w:rPr>
        <w:br/>
        <w:instrText>'"</w:instrText>
      </w:r>
      <w:r w:rsidRPr="008B672F">
        <w:rPr>
          <w:rStyle w:val="CommentReference"/>
          <w:lang w:val="en-US"/>
        </w:rPr>
        <w:instrText xml:space="preserve"> </w:instrText>
      </w:r>
      <w:r>
        <w:fldChar w:fldCharType="end"/>
      </w:r>
      <w:r>
        <w:rPr>
          <w:rStyle w:val="CommentReference"/>
        </w:rPr>
        <w:annotationRef/>
      </w:r>
      <w:r w:rsidRPr="008B672F">
        <w:rPr>
          <w:lang w:val="en-US"/>
        </w:rPr>
        <w:t>&lt;&lt;ODS JOB NO&gt;&gt;N0923941F&lt;&lt;ODS JOB NO&gt;&gt;</w:t>
      </w:r>
    </w:p>
    <w:p w:rsidR="00E97735" w:rsidRDefault="00E97735">
      <w:pPr>
        <w:pStyle w:val="CommentText"/>
      </w:pPr>
      <w:r>
        <w:t>&lt;&lt;ODS DOC SYMBOL1&gt;&gt;CEDAW/C/42/D/15/2007&lt;&lt;ODS DOC SYMBOL1&gt;&gt;</w:t>
      </w:r>
    </w:p>
    <w:p w:rsidR="00E97735" w:rsidRDefault="00E9773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FD" w:rsidRPr="000B2641" w:rsidRDefault="00811BFD" w:rsidP="00FD59A0">
      <w:pPr>
        <w:pStyle w:val="Footer"/>
        <w:rPr>
          <w:b w:val="0"/>
          <w:noProof w:val="0"/>
          <w:spacing w:val="4"/>
          <w:w w:val="103"/>
          <w:kern w:val="14"/>
          <w:sz w:val="14"/>
          <w:lang w:val="fr-CA"/>
        </w:rPr>
      </w:pPr>
      <w:r>
        <w:separator/>
      </w:r>
    </w:p>
  </w:endnote>
  <w:endnote w:type="continuationSeparator" w:id="0">
    <w:p w:rsidR="00811BFD" w:rsidRPr="000B2641" w:rsidRDefault="00811BFD" w:rsidP="00FD59A0">
      <w:pPr>
        <w:pStyle w:val="Footer"/>
        <w:rPr>
          <w:b w:val="0"/>
          <w:noProof w:val="0"/>
          <w:spacing w:val="4"/>
          <w:w w:val="103"/>
          <w:kern w:val="14"/>
          <w:sz w:val="14"/>
          <w:lang w:val="fr-C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E97735" w:rsidTr="00FD59A0">
      <w:tblPrEx>
        <w:tblCellMar>
          <w:top w:w="0" w:type="dxa"/>
          <w:bottom w:w="0" w:type="dxa"/>
        </w:tblCellMar>
      </w:tblPrEx>
      <w:tc>
        <w:tcPr>
          <w:tcW w:w="4995" w:type="dxa"/>
          <w:shd w:val="clear" w:color="auto" w:fill="auto"/>
        </w:tcPr>
        <w:p w:rsidR="00E97735" w:rsidRPr="00FD59A0" w:rsidRDefault="00E97735" w:rsidP="00FD59A0">
          <w:pPr>
            <w:pStyle w:val="Footer"/>
            <w:jc w:val="right"/>
            <w:rPr>
              <w:b w:val="0"/>
              <w:w w:val="103"/>
              <w:sz w:val="14"/>
            </w:rPr>
          </w:pPr>
          <w:fldSimple w:instr=" DOCVARIABLE &quot;FooterJN&quot; \* MERGEFORMAT ">
            <w:r w:rsidR="000E6967">
              <w:rPr>
                <w:b w:val="0"/>
                <w:w w:val="103"/>
                <w:sz w:val="14"/>
              </w:rPr>
              <w:t>09-23941</w:t>
            </w:r>
          </w:fldSimple>
        </w:p>
      </w:tc>
      <w:tc>
        <w:tcPr>
          <w:tcW w:w="4995" w:type="dxa"/>
          <w:shd w:val="clear" w:color="auto" w:fill="auto"/>
        </w:tcPr>
        <w:p w:rsidR="00E97735" w:rsidRPr="00FD59A0" w:rsidRDefault="00E97735" w:rsidP="00FD59A0">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E97735" w:rsidRPr="00FD59A0" w:rsidRDefault="00E97735" w:rsidP="00FD5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E97735" w:rsidTr="00FD59A0">
      <w:tblPrEx>
        <w:tblCellMar>
          <w:top w:w="0" w:type="dxa"/>
          <w:bottom w:w="0" w:type="dxa"/>
        </w:tblCellMar>
      </w:tblPrEx>
      <w:tc>
        <w:tcPr>
          <w:tcW w:w="4995" w:type="dxa"/>
          <w:shd w:val="clear" w:color="auto" w:fill="auto"/>
        </w:tcPr>
        <w:p w:rsidR="00E97735" w:rsidRPr="00FD59A0" w:rsidRDefault="00E97735" w:rsidP="00FD59A0">
          <w:pPr>
            <w:pStyle w:val="Footer"/>
            <w:jc w:val="right"/>
            <w:rPr>
              <w:w w:val="103"/>
            </w:rPr>
          </w:pPr>
          <w:r>
            <w:rPr>
              <w:w w:val="103"/>
            </w:rPr>
            <w:fldChar w:fldCharType="begin"/>
          </w:r>
          <w:r>
            <w:rPr>
              <w:w w:val="103"/>
            </w:rPr>
            <w:instrText xml:space="preserve"> PAGE  \* MERGEFORMAT </w:instrText>
          </w:r>
          <w:r>
            <w:rPr>
              <w:w w:val="103"/>
            </w:rPr>
            <w:fldChar w:fldCharType="separate"/>
          </w:r>
          <w:r w:rsidR="000E6967">
            <w:rPr>
              <w:w w:val="103"/>
            </w:rPr>
            <w:t>9</w:t>
          </w:r>
          <w:r>
            <w:rPr>
              <w:w w:val="103"/>
            </w:rPr>
            <w:fldChar w:fldCharType="end"/>
          </w:r>
        </w:p>
      </w:tc>
      <w:tc>
        <w:tcPr>
          <w:tcW w:w="4995" w:type="dxa"/>
          <w:shd w:val="clear" w:color="auto" w:fill="auto"/>
        </w:tcPr>
        <w:p w:rsidR="00E97735" w:rsidRPr="00FD59A0" w:rsidRDefault="00E97735" w:rsidP="00FD59A0">
          <w:pPr>
            <w:pStyle w:val="Footer"/>
            <w:rPr>
              <w:b w:val="0"/>
              <w:w w:val="103"/>
              <w:sz w:val="14"/>
            </w:rPr>
          </w:pPr>
          <w:fldSimple w:instr=" DOCVARIABLE &quot;FooterJN&quot; \* MERGEFORMAT ">
            <w:r w:rsidR="000E6967">
              <w:rPr>
                <w:b w:val="0"/>
                <w:w w:val="103"/>
                <w:sz w:val="14"/>
              </w:rPr>
              <w:t>09-23941</w:t>
            </w:r>
          </w:fldSimple>
        </w:p>
      </w:tc>
    </w:tr>
  </w:tbl>
  <w:p w:rsidR="00E97735" w:rsidRPr="00FD59A0" w:rsidRDefault="00E97735" w:rsidP="00FD5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35" w:rsidRDefault="00E97735">
    <w:pPr>
      <w:pStyle w:val="Footer"/>
    </w:pPr>
  </w:p>
  <w:p w:rsidR="00E97735" w:rsidRDefault="00E97735" w:rsidP="00FD59A0">
    <w:pPr>
      <w:pStyle w:val="Footer"/>
      <w:rPr>
        <w:b w:val="0"/>
        <w:sz w:val="20"/>
      </w:rPr>
    </w:pPr>
    <w:r>
      <w:rPr>
        <w:b w:val="0"/>
        <w:sz w:val="20"/>
      </w:rPr>
      <w:t>09-23941*** (F)    271009    271009</w:t>
    </w:r>
  </w:p>
  <w:p w:rsidR="00E97735" w:rsidRPr="00FD59A0" w:rsidRDefault="00E97735" w:rsidP="00FD59A0">
    <w:pPr>
      <w:pStyle w:val="Footer"/>
      <w:spacing w:before="120" w:line="200" w:lineRule="exact"/>
      <w:rPr>
        <w:rFonts w:ascii="Barcode 3 of 9 by request" w:hAnsi="Barcode 3 of 9 by request"/>
        <w:b w:val="0"/>
        <w:spacing w:val="0"/>
        <w:w w:val="100"/>
        <w:sz w:val="24"/>
      </w:rPr>
    </w:pPr>
    <w:fldSimple w:instr=" DOCVARIABLE &quot;Barcode&quot; \* MERGEFORMAT ">
      <w:r w:rsidR="000E6967">
        <w:rPr>
          <w:rFonts w:ascii="Barcode 3 of 9 by request" w:hAnsi="Barcode 3 of 9 by request"/>
          <w:b w:val="0"/>
          <w:spacing w:val="0"/>
          <w:w w:val="100"/>
          <w:sz w:val="24"/>
        </w:rPr>
        <w:t>*0923941*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FD" w:rsidRPr="00F97C72" w:rsidRDefault="00811BFD" w:rsidP="00F97C72">
      <w:pPr>
        <w:pStyle w:val="Footer"/>
        <w:spacing w:after="80"/>
        <w:ind w:left="792"/>
        <w:rPr>
          <w:sz w:val="16"/>
        </w:rPr>
      </w:pPr>
      <w:r w:rsidRPr="00F97C72">
        <w:rPr>
          <w:sz w:val="16"/>
        </w:rPr>
        <w:t>__________________</w:t>
      </w:r>
    </w:p>
  </w:footnote>
  <w:footnote w:type="continuationSeparator" w:id="0">
    <w:p w:rsidR="00811BFD" w:rsidRPr="00F97C72" w:rsidRDefault="00811BFD" w:rsidP="00F97C72">
      <w:pPr>
        <w:pStyle w:val="Footer"/>
        <w:spacing w:after="80"/>
        <w:ind w:left="792"/>
        <w:rPr>
          <w:sz w:val="16"/>
        </w:rPr>
      </w:pPr>
      <w:r w:rsidRPr="00F97C72">
        <w:rPr>
          <w:sz w:val="16"/>
        </w:rPr>
        <w:t>__________________</w:t>
      </w:r>
    </w:p>
  </w:footnote>
  <w:footnote w:id="1">
    <w:p w:rsidR="00E97735" w:rsidRDefault="00E97735" w:rsidP="006C68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Troisième nouveau tirage pour raisons techniques.</w:t>
      </w:r>
    </w:p>
    <w:p w:rsidR="00E97735" w:rsidRPr="00227928" w:rsidRDefault="00E97735" w:rsidP="006C68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9E4B8D">
        <w:rPr>
          <w:szCs w:val="17"/>
        </w:rPr>
        <w:t>Ont participé à l’examen de la présente communication les membres du Comité ci-après</w:t>
      </w:r>
      <w:r>
        <w:rPr>
          <w:szCs w:val="17"/>
        </w:rPr>
        <w:t> :</w:t>
      </w:r>
      <w:r w:rsidRPr="009E4B8D">
        <w:rPr>
          <w:szCs w:val="17"/>
        </w:rPr>
        <w:t xml:space="preserve"> M</w:t>
      </w:r>
      <w:r w:rsidRPr="009E4B8D">
        <w:rPr>
          <w:szCs w:val="17"/>
          <w:vertAlign w:val="superscript"/>
        </w:rPr>
        <w:t>me </w:t>
      </w:r>
      <w:r w:rsidRPr="009E4B8D">
        <w:rPr>
          <w:szCs w:val="17"/>
        </w:rPr>
        <w:t>Ferdous Ara Begum, M</w:t>
      </w:r>
      <w:r w:rsidRPr="009E4B8D">
        <w:rPr>
          <w:szCs w:val="17"/>
          <w:vertAlign w:val="superscript"/>
        </w:rPr>
        <w:t>me </w:t>
      </w:r>
      <w:r w:rsidRPr="009E4B8D">
        <w:rPr>
          <w:szCs w:val="17"/>
        </w:rPr>
        <w:t>Magalys Arocha Dominguez, M</w:t>
      </w:r>
      <w:r w:rsidRPr="009E4B8D">
        <w:rPr>
          <w:szCs w:val="17"/>
          <w:vertAlign w:val="superscript"/>
        </w:rPr>
        <w:t>me </w:t>
      </w:r>
      <w:r w:rsidRPr="009E4B8D">
        <w:rPr>
          <w:szCs w:val="17"/>
        </w:rPr>
        <w:t>Meriem Belmihoub-Zerdani, M</w:t>
      </w:r>
      <w:r w:rsidRPr="009E4B8D">
        <w:rPr>
          <w:szCs w:val="17"/>
          <w:vertAlign w:val="superscript"/>
        </w:rPr>
        <w:t>me </w:t>
      </w:r>
      <w:r w:rsidRPr="009E4B8D">
        <w:rPr>
          <w:szCs w:val="17"/>
        </w:rPr>
        <w:t>Saisuree Chutikul, M</w:t>
      </w:r>
      <w:r w:rsidRPr="009E4B8D">
        <w:rPr>
          <w:szCs w:val="17"/>
          <w:vertAlign w:val="superscript"/>
        </w:rPr>
        <w:t>me </w:t>
      </w:r>
      <w:r w:rsidRPr="009E4B8D">
        <w:rPr>
          <w:szCs w:val="17"/>
        </w:rPr>
        <w:t>Dorcas Coker-Appiah, M</w:t>
      </w:r>
      <w:r w:rsidRPr="009E4B8D">
        <w:rPr>
          <w:szCs w:val="17"/>
          <w:vertAlign w:val="superscript"/>
        </w:rPr>
        <w:t>me </w:t>
      </w:r>
      <w:r w:rsidRPr="009E4B8D">
        <w:rPr>
          <w:szCs w:val="17"/>
        </w:rPr>
        <w:t>Mary Shanthi Dairiam, M</w:t>
      </w:r>
      <w:r w:rsidRPr="009E4B8D">
        <w:rPr>
          <w:szCs w:val="17"/>
          <w:vertAlign w:val="superscript"/>
        </w:rPr>
        <w:t>me </w:t>
      </w:r>
      <w:r w:rsidRPr="009E4B8D">
        <w:rPr>
          <w:szCs w:val="17"/>
        </w:rPr>
        <w:t>Naela Mohamed Gabr, M</w:t>
      </w:r>
      <w:r w:rsidRPr="009E4B8D">
        <w:rPr>
          <w:szCs w:val="17"/>
          <w:vertAlign w:val="superscript"/>
        </w:rPr>
        <w:t>me </w:t>
      </w:r>
      <w:r w:rsidRPr="009E4B8D">
        <w:rPr>
          <w:szCs w:val="17"/>
        </w:rPr>
        <w:t>Françoise Gaspard, M</w:t>
      </w:r>
      <w:r w:rsidRPr="009E4B8D">
        <w:rPr>
          <w:szCs w:val="17"/>
          <w:vertAlign w:val="superscript"/>
        </w:rPr>
        <w:t>me </w:t>
      </w:r>
      <w:r w:rsidRPr="009E4B8D">
        <w:rPr>
          <w:szCs w:val="17"/>
        </w:rPr>
        <w:t>Ruth Halperin-Kaddari, M</w:t>
      </w:r>
      <w:r w:rsidRPr="009E4B8D">
        <w:rPr>
          <w:szCs w:val="17"/>
          <w:vertAlign w:val="superscript"/>
        </w:rPr>
        <w:t>me </w:t>
      </w:r>
      <w:r w:rsidRPr="009E4B8D">
        <w:rPr>
          <w:szCs w:val="17"/>
        </w:rPr>
        <w:t>Violeta Neubauer, M</w:t>
      </w:r>
      <w:r w:rsidRPr="009E4B8D">
        <w:rPr>
          <w:szCs w:val="17"/>
          <w:vertAlign w:val="superscript"/>
        </w:rPr>
        <w:t>me </w:t>
      </w:r>
      <w:r w:rsidRPr="009E4B8D">
        <w:rPr>
          <w:szCs w:val="17"/>
        </w:rPr>
        <w:t>Pramila Patten, M</w:t>
      </w:r>
      <w:r w:rsidRPr="009E4B8D">
        <w:rPr>
          <w:szCs w:val="17"/>
          <w:vertAlign w:val="superscript"/>
        </w:rPr>
        <w:t>me </w:t>
      </w:r>
      <w:r w:rsidRPr="009E4B8D">
        <w:rPr>
          <w:szCs w:val="17"/>
        </w:rPr>
        <w:t>Silvia Pimentel, M</w:t>
      </w:r>
      <w:r w:rsidRPr="009E4B8D">
        <w:rPr>
          <w:szCs w:val="17"/>
          <w:vertAlign w:val="superscript"/>
        </w:rPr>
        <w:t>me </w:t>
      </w:r>
      <w:r w:rsidRPr="009E4B8D">
        <w:rPr>
          <w:szCs w:val="17"/>
        </w:rPr>
        <w:t>Yoko Hayashi, M</w:t>
      </w:r>
      <w:r w:rsidRPr="009E4B8D">
        <w:rPr>
          <w:szCs w:val="17"/>
          <w:vertAlign w:val="superscript"/>
        </w:rPr>
        <w:t>me </w:t>
      </w:r>
      <w:r w:rsidRPr="009E4B8D">
        <w:rPr>
          <w:szCs w:val="17"/>
        </w:rPr>
        <w:t>Hanna Schöpp-Schilling, M</w:t>
      </w:r>
      <w:r w:rsidRPr="009E4B8D">
        <w:rPr>
          <w:szCs w:val="17"/>
          <w:vertAlign w:val="superscript"/>
        </w:rPr>
        <w:t>me </w:t>
      </w:r>
      <w:r w:rsidRPr="009E4B8D">
        <w:rPr>
          <w:szCs w:val="17"/>
        </w:rPr>
        <w:t>Dubravka Šimonović, M</w:t>
      </w:r>
      <w:r w:rsidRPr="009E4B8D">
        <w:rPr>
          <w:szCs w:val="17"/>
          <w:vertAlign w:val="superscript"/>
        </w:rPr>
        <w:t>me </w:t>
      </w:r>
      <w:r w:rsidRPr="009E4B8D">
        <w:rPr>
          <w:szCs w:val="17"/>
        </w:rPr>
        <w:t xml:space="preserve">Anamah Tan </w:t>
      </w:r>
      <w:r>
        <w:rPr>
          <w:szCs w:val="17"/>
        </w:rPr>
        <w:t>et</w:t>
      </w:r>
      <w:r w:rsidRPr="009E4B8D">
        <w:rPr>
          <w:szCs w:val="17"/>
        </w:rPr>
        <w:t xml:space="preserve"> M</w:t>
      </w:r>
      <w:r w:rsidRPr="009E4B8D">
        <w:rPr>
          <w:szCs w:val="17"/>
          <w:vertAlign w:val="superscript"/>
        </w:rPr>
        <w:t>me </w:t>
      </w:r>
      <w:r w:rsidRPr="009E4B8D">
        <w:rPr>
          <w:szCs w:val="17"/>
        </w:rPr>
        <w:t>Maria Regina Tavares da Silva.</w:t>
      </w:r>
      <w:r>
        <w:rPr>
          <w:szCs w:val="17"/>
        </w:rPr>
        <w:t xml:space="preserve"> Conformément à l’alinéa c) du paragraphe 1 de l’article 60 du Règlement intérieur du comité, M. Cees Flinterman, qui est un ressortissant de l’État partie concerné, n’y a pas participé.</w:t>
      </w:r>
    </w:p>
    <w:p w:rsidR="00E97735" w:rsidRDefault="00E97735" w:rsidP="006C68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9E4B8D">
        <w:rPr>
          <w:szCs w:val="17"/>
        </w:rPr>
        <w:t>Le texte de l’opinion individuelle dissidente de Mary Shanthi Dairiam, Violeta Neubau</w:t>
      </w:r>
      <w:r>
        <w:rPr>
          <w:szCs w:val="17"/>
        </w:rPr>
        <w:t>er et Silvia Pimentel est joint</w:t>
      </w:r>
      <w:r w:rsidRPr="009E4B8D">
        <w:rPr>
          <w:szCs w:val="17"/>
        </w:rPr>
        <w:t xml:space="preserve"> au présent document.</w:t>
      </w:r>
    </w:p>
  </w:footnote>
  <w:footnote w:id="2">
    <w:p w:rsidR="00E97735" w:rsidRDefault="00E97735" w:rsidP="00BF13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Communication n</w:t>
      </w:r>
      <w:r w:rsidRPr="00044A82">
        <w:rPr>
          <w:vertAlign w:val="superscript"/>
        </w:rPr>
        <w:t>o</w:t>
      </w:r>
      <w:r>
        <w:t xml:space="preserve"> 8/2005, </w:t>
      </w:r>
      <w:r w:rsidRPr="00044A82">
        <w:rPr>
          <w:i/>
        </w:rPr>
        <w:t>Kayhan</w:t>
      </w:r>
      <w:r>
        <w:t xml:space="preserve"> c </w:t>
      </w:r>
      <w:r w:rsidRPr="00044A82">
        <w:rPr>
          <w:i/>
        </w:rPr>
        <w:t>Turquie</w:t>
      </w:r>
      <w:r>
        <w:t>, Décision du 22 janvier 2007, par. 7.7.</w:t>
      </w:r>
    </w:p>
  </w:footnote>
  <w:footnote w:id="3">
    <w:p w:rsidR="00E97735" w:rsidRDefault="00E97735" w:rsidP="009324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Communication n</w:t>
      </w:r>
      <w:r w:rsidRPr="00044A82">
        <w:rPr>
          <w:vertAlign w:val="superscript"/>
        </w:rPr>
        <w:t>o</w:t>
      </w:r>
      <w:r>
        <w:t xml:space="preserve"> 10/2005, </w:t>
      </w:r>
      <w:r w:rsidRPr="00044A82">
        <w:rPr>
          <w:i/>
        </w:rPr>
        <w:t>N.S.F</w:t>
      </w:r>
      <w:r>
        <w:t xml:space="preserve">. c. </w:t>
      </w:r>
      <w:r w:rsidRPr="00044A82">
        <w:rPr>
          <w:i/>
        </w:rPr>
        <w:t>Royaume-Uni</w:t>
      </w:r>
      <w:r>
        <w:t>, Décision du 30 mai 2007, par. 7.3.</w:t>
      </w:r>
    </w:p>
  </w:footnote>
  <w:footnote w:id="4">
    <w:p w:rsidR="00E97735" w:rsidRDefault="00E97735" w:rsidP="007D76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CEDAW/C/NLD/CO/4, par.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E97735" w:rsidTr="00FD59A0">
      <w:tblPrEx>
        <w:tblCellMar>
          <w:top w:w="0" w:type="dxa"/>
          <w:bottom w:w="0" w:type="dxa"/>
        </w:tblCellMar>
      </w:tblPrEx>
      <w:trPr>
        <w:trHeight w:hRule="exact" w:val="864"/>
      </w:trPr>
      <w:tc>
        <w:tcPr>
          <w:tcW w:w="4838" w:type="dxa"/>
          <w:shd w:val="clear" w:color="auto" w:fill="auto"/>
          <w:vAlign w:val="bottom"/>
        </w:tcPr>
        <w:p w:rsidR="00E97735" w:rsidRPr="00FD59A0" w:rsidRDefault="00E97735" w:rsidP="00FD59A0">
          <w:pPr>
            <w:pStyle w:val="Header"/>
            <w:spacing w:after="80"/>
            <w:rPr>
              <w:b/>
            </w:rPr>
          </w:pPr>
          <w:fldSimple w:instr=" DOCVARIABLE &quot;sss1&quot; \* MERGEFORMAT ">
            <w:r w:rsidR="000E6967">
              <w:rPr>
                <w:b/>
              </w:rPr>
              <w:t>CEDAW/C/42/D/15/2007</w:t>
            </w:r>
          </w:fldSimple>
        </w:p>
      </w:tc>
      <w:tc>
        <w:tcPr>
          <w:tcW w:w="4995" w:type="dxa"/>
          <w:shd w:val="clear" w:color="auto" w:fill="auto"/>
          <w:vAlign w:val="bottom"/>
        </w:tcPr>
        <w:p w:rsidR="00E97735" w:rsidRDefault="00E97735" w:rsidP="00FD59A0">
          <w:pPr>
            <w:pStyle w:val="Header"/>
          </w:pPr>
        </w:p>
      </w:tc>
    </w:tr>
  </w:tbl>
  <w:p w:rsidR="00E97735" w:rsidRPr="00FD59A0" w:rsidRDefault="00E97735" w:rsidP="00FD5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E97735" w:rsidTr="00FD59A0">
      <w:tblPrEx>
        <w:tblCellMar>
          <w:top w:w="0" w:type="dxa"/>
          <w:bottom w:w="0" w:type="dxa"/>
        </w:tblCellMar>
      </w:tblPrEx>
      <w:trPr>
        <w:trHeight w:hRule="exact" w:val="864"/>
      </w:trPr>
      <w:tc>
        <w:tcPr>
          <w:tcW w:w="4838" w:type="dxa"/>
          <w:shd w:val="clear" w:color="auto" w:fill="auto"/>
          <w:vAlign w:val="bottom"/>
        </w:tcPr>
        <w:p w:rsidR="00E97735" w:rsidRDefault="00E97735" w:rsidP="00FD59A0">
          <w:pPr>
            <w:pStyle w:val="Header"/>
          </w:pPr>
        </w:p>
      </w:tc>
      <w:tc>
        <w:tcPr>
          <w:tcW w:w="4995" w:type="dxa"/>
          <w:shd w:val="clear" w:color="auto" w:fill="auto"/>
          <w:vAlign w:val="bottom"/>
        </w:tcPr>
        <w:p w:rsidR="00E97735" w:rsidRPr="00FD59A0" w:rsidRDefault="00E97735" w:rsidP="00FD59A0">
          <w:pPr>
            <w:pStyle w:val="Header"/>
            <w:spacing w:after="80"/>
            <w:jc w:val="right"/>
            <w:rPr>
              <w:b/>
            </w:rPr>
          </w:pPr>
          <w:fldSimple w:instr=" DOCVARIABLE &quot;sss1&quot; \* MERGEFORMAT ">
            <w:r w:rsidR="000E6967">
              <w:rPr>
                <w:b/>
              </w:rPr>
              <w:t>CEDAW/C/42/D/15/2007</w:t>
            </w:r>
          </w:fldSimple>
        </w:p>
      </w:tc>
    </w:tr>
  </w:tbl>
  <w:p w:rsidR="00E97735" w:rsidRPr="00FD59A0" w:rsidRDefault="00E97735" w:rsidP="00FD5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E97735" w:rsidTr="00FD59A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97735" w:rsidRDefault="00E97735" w:rsidP="00FD59A0">
          <w:pPr>
            <w:pStyle w:val="Header"/>
            <w:spacing w:after="120"/>
          </w:pPr>
        </w:p>
      </w:tc>
      <w:tc>
        <w:tcPr>
          <w:tcW w:w="2059" w:type="dxa"/>
          <w:tcBorders>
            <w:bottom w:val="single" w:sz="4" w:space="0" w:color="auto"/>
          </w:tcBorders>
          <w:shd w:val="clear" w:color="auto" w:fill="auto"/>
          <w:vAlign w:val="bottom"/>
        </w:tcPr>
        <w:p w:rsidR="00E97735" w:rsidRPr="00FD59A0" w:rsidRDefault="00E97735" w:rsidP="00FD59A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E97735" w:rsidRDefault="00E97735" w:rsidP="00FD59A0">
          <w:pPr>
            <w:pStyle w:val="Header"/>
            <w:spacing w:after="120"/>
          </w:pPr>
        </w:p>
      </w:tc>
      <w:tc>
        <w:tcPr>
          <w:tcW w:w="6523" w:type="dxa"/>
          <w:gridSpan w:val="3"/>
          <w:tcBorders>
            <w:bottom w:val="single" w:sz="4" w:space="0" w:color="auto"/>
          </w:tcBorders>
          <w:shd w:val="clear" w:color="auto" w:fill="auto"/>
          <w:vAlign w:val="bottom"/>
        </w:tcPr>
        <w:p w:rsidR="00E97735" w:rsidRPr="00FD59A0" w:rsidRDefault="00E97735" w:rsidP="00FD59A0">
          <w:pPr>
            <w:spacing w:after="80" w:line="240" w:lineRule="auto"/>
            <w:jc w:val="right"/>
            <w:rPr>
              <w:position w:val="-4"/>
            </w:rPr>
          </w:pPr>
          <w:r>
            <w:rPr>
              <w:position w:val="-4"/>
              <w:sz w:val="40"/>
            </w:rPr>
            <w:t>CEDAW</w:t>
          </w:r>
          <w:r>
            <w:rPr>
              <w:position w:val="-4"/>
            </w:rPr>
            <w:t>/C/42/D/15/2007***</w:t>
          </w:r>
        </w:p>
      </w:tc>
    </w:tr>
    <w:tr w:rsidR="00E97735" w:rsidRPr="00FD59A0" w:rsidTr="00FD59A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97735" w:rsidRDefault="00E97735" w:rsidP="00FD59A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97735" w:rsidRPr="00FD59A0" w:rsidRDefault="00E97735" w:rsidP="00FD59A0">
          <w:pPr>
            <w:pStyle w:val="Header"/>
            <w:spacing w:before="880"/>
            <w:ind w:left="-72"/>
          </w:pPr>
        </w:p>
      </w:tc>
      <w:tc>
        <w:tcPr>
          <w:tcW w:w="5227" w:type="dxa"/>
          <w:gridSpan w:val="3"/>
          <w:tcBorders>
            <w:top w:val="single" w:sz="4" w:space="0" w:color="auto"/>
            <w:bottom w:val="single" w:sz="12" w:space="0" w:color="auto"/>
          </w:tcBorders>
          <w:shd w:val="clear" w:color="auto" w:fill="auto"/>
        </w:tcPr>
        <w:p w:rsidR="00E97735" w:rsidRPr="00FD59A0" w:rsidRDefault="00E97735" w:rsidP="00FD59A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E97735" w:rsidRPr="008B672F" w:rsidRDefault="00E97735" w:rsidP="00FD59A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E97735" w:rsidRDefault="00E97735" w:rsidP="00FD59A0">
          <w:pPr>
            <w:spacing w:before="240"/>
          </w:pPr>
          <w:r>
            <w:t>Distr. générale</w:t>
          </w:r>
        </w:p>
        <w:p w:rsidR="00E97735" w:rsidRDefault="00E97735" w:rsidP="00FD59A0">
          <w:r>
            <w:rPr>
              <w:lang w:val="fr-FR"/>
            </w:rPr>
            <w:t xml:space="preserve">26 octobre </w:t>
          </w:r>
          <w:r>
            <w:t>2009</w:t>
          </w:r>
        </w:p>
        <w:p w:rsidR="00E97735" w:rsidRDefault="00E97735" w:rsidP="00FD59A0">
          <w:r>
            <w:t>Français</w:t>
          </w:r>
        </w:p>
        <w:p w:rsidR="00E97735" w:rsidRPr="00FD59A0" w:rsidRDefault="00E97735" w:rsidP="00FD59A0">
          <w:r>
            <w:t>Original : anglais</w:t>
          </w:r>
        </w:p>
      </w:tc>
    </w:tr>
  </w:tbl>
  <w:p w:rsidR="00E97735" w:rsidRPr="008B672F" w:rsidRDefault="00E97735" w:rsidP="00FD59A0">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141"/>
    <w:multiLevelType w:val="singleLevel"/>
    <w:tmpl w:val="FA22AA48"/>
    <w:lvl w:ilvl="0">
      <w:start w:val="5"/>
      <w:numFmt w:val="decimal"/>
      <w:lvlRestart w:val="0"/>
      <w:lvlText w:val="%1.4"/>
      <w:lvlJc w:val="left"/>
      <w:pPr>
        <w:tabs>
          <w:tab w:val="num" w:pos="1742"/>
        </w:tabs>
        <w:ind w:left="1267" w:firstLine="0"/>
      </w:pPr>
      <w:rPr>
        <w:w w:val="100"/>
      </w:rPr>
    </w:lvl>
  </w:abstractNum>
  <w:abstractNum w:abstractNumId="1">
    <w:nsid w:val="024840AF"/>
    <w:multiLevelType w:val="singleLevel"/>
    <w:tmpl w:val="9BEE6B54"/>
    <w:lvl w:ilvl="0">
      <w:start w:val="8"/>
      <w:numFmt w:val="decimal"/>
      <w:lvlRestart w:val="0"/>
      <w:lvlText w:val="%1.2"/>
      <w:lvlJc w:val="left"/>
      <w:pPr>
        <w:tabs>
          <w:tab w:val="num" w:pos="1742"/>
        </w:tabs>
        <w:ind w:left="1267" w:firstLine="0"/>
      </w:pPr>
      <w:rPr>
        <w:w w:val="100"/>
      </w:rPr>
    </w:lvl>
  </w:abstractNum>
  <w:abstractNum w:abstractNumId="2">
    <w:nsid w:val="04D627FC"/>
    <w:multiLevelType w:val="singleLevel"/>
    <w:tmpl w:val="1D860312"/>
    <w:lvl w:ilvl="0">
      <w:start w:val="6"/>
      <w:numFmt w:val="decimal"/>
      <w:lvlRestart w:val="0"/>
      <w:lvlText w:val="%1.1"/>
      <w:lvlJc w:val="left"/>
      <w:pPr>
        <w:tabs>
          <w:tab w:val="num" w:pos="1742"/>
        </w:tabs>
        <w:ind w:left="1267" w:firstLine="0"/>
      </w:pPr>
      <w:rPr>
        <w:w w:val="100"/>
      </w:rPr>
    </w:lvl>
  </w:abstractNum>
  <w:abstractNum w:abstractNumId="3">
    <w:nsid w:val="0823680D"/>
    <w:multiLevelType w:val="singleLevel"/>
    <w:tmpl w:val="8FEA78DC"/>
    <w:lvl w:ilvl="0">
      <w:start w:val="8"/>
      <w:numFmt w:val="decimal"/>
      <w:lvlRestart w:val="0"/>
      <w:lvlText w:val="%1.1"/>
      <w:lvlJc w:val="left"/>
      <w:pPr>
        <w:tabs>
          <w:tab w:val="num" w:pos="1742"/>
        </w:tabs>
        <w:ind w:left="1267" w:firstLine="0"/>
      </w:pPr>
      <w:rPr>
        <w:w w:val="100"/>
      </w:rPr>
    </w:lvl>
  </w:abstractNum>
  <w:abstractNum w:abstractNumId="4">
    <w:nsid w:val="14D97197"/>
    <w:multiLevelType w:val="singleLevel"/>
    <w:tmpl w:val="F2600EEE"/>
    <w:lvl w:ilvl="0">
      <w:start w:val="8"/>
      <w:numFmt w:val="decimal"/>
      <w:lvlRestart w:val="0"/>
      <w:lvlText w:val="%1.5"/>
      <w:lvlJc w:val="left"/>
      <w:pPr>
        <w:tabs>
          <w:tab w:val="num" w:pos="1742"/>
        </w:tabs>
        <w:ind w:left="1267" w:firstLine="0"/>
      </w:pPr>
      <w:rPr>
        <w:w w:val="100"/>
      </w:rPr>
    </w:lvl>
  </w:abstractNum>
  <w:abstractNum w:abstractNumId="5">
    <w:nsid w:val="17750FF9"/>
    <w:multiLevelType w:val="singleLevel"/>
    <w:tmpl w:val="F3687FE6"/>
    <w:lvl w:ilvl="0">
      <w:start w:val="8"/>
      <w:numFmt w:val="decimal"/>
      <w:lvlRestart w:val="0"/>
      <w:lvlText w:val="%1.4"/>
      <w:lvlJc w:val="left"/>
      <w:pPr>
        <w:tabs>
          <w:tab w:val="num" w:pos="1742"/>
        </w:tabs>
        <w:ind w:left="1267" w:firstLine="0"/>
      </w:pPr>
      <w:rPr>
        <w:w w:val="100"/>
      </w:rPr>
    </w:lvl>
  </w:abstractNum>
  <w:abstractNum w:abstractNumId="6">
    <w:nsid w:val="1E5E27C2"/>
    <w:multiLevelType w:val="singleLevel"/>
    <w:tmpl w:val="464C49BC"/>
    <w:lvl w:ilvl="0">
      <w:start w:val="1"/>
      <w:numFmt w:val="decimal"/>
      <w:lvlRestart w:val="0"/>
      <w:lvlText w:val="3.%1"/>
      <w:lvlJc w:val="left"/>
      <w:pPr>
        <w:tabs>
          <w:tab w:val="num" w:pos="1742"/>
        </w:tabs>
        <w:ind w:left="1267" w:firstLine="0"/>
      </w:pPr>
      <w:rPr>
        <w:rFonts w:ascii="Times New Roman" w:hAnsi="Times New Roman" w:hint="default"/>
        <w:b w:val="0"/>
        <w:i w:val="0"/>
        <w:w w:val="100"/>
      </w:rPr>
    </w:lvl>
  </w:abstractNum>
  <w:abstractNum w:abstractNumId="7">
    <w:nsid w:val="1F7D260F"/>
    <w:multiLevelType w:val="singleLevel"/>
    <w:tmpl w:val="0908E866"/>
    <w:lvl w:ilvl="0">
      <w:start w:val="5"/>
      <w:numFmt w:val="decimal"/>
      <w:lvlRestart w:val="0"/>
      <w:lvlText w:val="%1.3"/>
      <w:lvlJc w:val="left"/>
      <w:pPr>
        <w:tabs>
          <w:tab w:val="num" w:pos="1742"/>
        </w:tabs>
        <w:ind w:left="1267" w:firstLine="0"/>
      </w:pPr>
      <w:rPr>
        <w:w w:val="100"/>
      </w:rPr>
    </w:lvl>
  </w:abstractNum>
  <w:abstractNum w:abstractNumId="8">
    <w:nsid w:val="230403A3"/>
    <w:multiLevelType w:val="singleLevel"/>
    <w:tmpl w:val="8D7092D4"/>
    <w:lvl w:ilvl="0">
      <w:start w:val="5"/>
      <w:numFmt w:val="decimal"/>
      <w:lvlRestart w:val="0"/>
      <w:lvlText w:val="%1.2"/>
      <w:lvlJc w:val="left"/>
      <w:pPr>
        <w:tabs>
          <w:tab w:val="num" w:pos="1742"/>
        </w:tabs>
        <w:ind w:left="1267" w:firstLine="0"/>
      </w:pPr>
      <w:rPr>
        <w:w w:val="100"/>
      </w:rPr>
    </w:lvl>
  </w:abstractNum>
  <w:abstractNum w:abstractNumId="9">
    <w:nsid w:val="273B3FC7"/>
    <w:multiLevelType w:val="singleLevel"/>
    <w:tmpl w:val="96D4CFF4"/>
    <w:lvl w:ilvl="0">
      <w:start w:val="6"/>
      <w:numFmt w:val="decimal"/>
      <w:lvlRestart w:val="0"/>
      <w:lvlText w:val="%1.3"/>
      <w:lvlJc w:val="left"/>
      <w:pPr>
        <w:tabs>
          <w:tab w:val="num" w:pos="1742"/>
        </w:tabs>
        <w:ind w:left="1267" w:firstLine="0"/>
      </w:pPr>
      <w:rPr>
        <w:w w:val="100"/>
      </w:rPr>
    </w:lvl>
  </w:abstractNum>
  <w:abstractNum w:abstractNumId="10">
    <w:nsid w:val="299A3ACC"/>
    <w:multiLevelType w:val="singleLevel"/>
    <w:tmpl w:val="64AED900"/>
    <w:lvl w:ilvl="0">
      <w:start w:val="9"/>
      <w:numFmt w:val="decimal"/>
      <w:lvlRestart w:val="0"/>
      <w:lvlText w:val="%1.1"/>
      <w:lvlJc w:val="left"/>
      <w:pPr>
        <w:tabs>
          <w:tab w:val="num" w:pos="1742"/>
        </w:tabs>
        <w:ind w:left="1267" w:firstLine="0"/>
      </w:pPr>
      <w:rPr>
        <w:w w:val="100"/>
      </w:rPr>
    </w:lvl>
  </w:abstractNum>
  <w:abstractNum w:abstractNumId="11">
    <w:nsid w:val="2ABC3B02"/>
    <w:multiLevelType w:val="singleLevel"/>
    <w:tmpl w:val="8B40AF0E"/>
    <w:lvl w:ilvl="0">
      <w:start w:val="7"/>
      <w:numFmt w:val="decimal"/>
      <w:lvlRestart w:val="0"/>
      <w:lvlText w:val="%1.4"/>
      <w:lvlJc w:val="left"/>
      <w:pPr>
        <w:tabs>
          <w:tab w:val="num" w:pos="1742"/>
        </w:tabs>
        <w:ind w:left="1267" w:firstLine="0"/>
      </w:pPr>
      <w:rPr>
        <w:w w:val="100"/>
      </w:rPr>
    </w:lvl>
  </w:abstractNum>
  <w:abstractNum w:abstractNumId="12">
    <w:nsid w:val="2CF74C4D"/>
    <w:multiLevelType w:val="singleLevel"/>
    <w:tmpl w:val="B28AD328"/>
    <w:lvl w:ilvl="0">
      <w:start w:val="7"/>
      <w:numFmt w:val="decimal"/>
      <w:lvlRestart w:val="0"/>
      <w:lvlText w:val="%1.2"/>
      <w:lvlJc w:val="left"/>
      <w:pPr>
        <w:tabs>
          <w:tab w:val="num" w:pos="1742"/>
        </w:tabs>
        <w:ind w:left="1267" w:firstLine="0"/>
      </w:pPr>
      <w:rPr>
        <w:w w:val="100"/>
      </w:rPr>
    </w:lvl>
  </w:abstractNum>
  <w:abstractNum w:abstractNumId="13">
    <w:nsid w:val="31425D8F"/>
    <w:multiLevelType w:val="singleLevel"/>
    <w:tmpl w:val="6AD87A04"/>
    <w:lvl w:ilvl="0">
      <w:start w:val="1"/>
      <w:numFmt w:val="decimal"/>
      <w:lvlRestart w:val="0"/>
      <w:lvlText w:val="4.%1"/>
      <w:lvlJc w:val="left"/>
      <w:pPr>
        <w:tabs>
          <w:tab w:val="num" w:pos="1742"/>
        </w:tabs>
        <w:ind w:left="1267" w:firstLine="0"/>
      </w:pPr>
      <w:rPr>
        <w:rFonts w:ascii="Times New Roman" w:hAnsi="Times New Roman" w:hint="default"/>
        <w:b w:val="0"/>
        <w:i w:val="0"/>
        <w:w w:val="100"/>
      </w:rPr>
    </w:lvl>
  </w:abstractNum>
  <w:abstractNum w:abstractNumId="14">
    <w:nsid w:val="397A2E2C"/>
    <w:multiLevelType w:val="singleLevel"/>
    <w:tmpl w:val="D34C968E"/>
    <w:lvl w:ilvl="0">
      <w:start w:val="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15">
    <w:nsid w:val="3AA80D32"/>
    <w:multiLevelType w:val="singleLevel"/>
    <w:tmpl w:val="78A024DC"/>
    <w:lvl w:ilvl="0">
      <w:start w:val="8"/>
      <w:numFmt w:val="decimal"/>
      <w:lvlRestart w:val="0"/>
      <w:lvlText w:val="%1.6"/>
      <w:lvlJc w:val="left"/>
      <w:pPr>
        <w:tabs>
          <w:tab w:val="num" w:pos="1742"/>
        </w:tabs>
        <w:ind w:left="1267" w:firstLine="0"/>
      </w:pPr>
      <w:rPr>
        <w:w w:val="100"/>
      </w:rPr>
    </w:lvl>
  </w:abstractNum>
  <w:abstractNum w:abstractNumId="16">
    <w:nsid w:val="44B81532"/>
    <w:multiLevelType w:val="singleLevel"/>
    <w:tmpl w:val="B3843B70"/>
    <w:lvl w:ilvl="0">
      <w:start w:val="7"/>
      <w:numFmt w:val="decimal"/>
      <w:lvlRestart w:val="0"/>
      <w:lvlText w:val="%1.1"/>
      <w:lvlJc w:val="left"/>
      <w:pPr>
        <w:tabs>
          <w:tab w:val="num" w:pos="1742"/>
        </w:tabs>
        <w:ind w:left="1267" w:firstLine="0"/>
      </w:pPr>
      <w:rPr>
        <w:w w:val="100"/>
      </w:rPr>
    </w:lvl>
  </w:abstractNum>
  <w:abstractNum w:abstractNumId="17">
    <w:nsid w:val="53900E69"/>
    <w:multiLevelType w:val="singleLevel"/>
    <w:tmpl w:val="2E0A946A"/>
    <w:lvl w:ilvl="0">
      <w:start w:val="1"/>
      <w:numFmt w:val="decimal"/>
      <w:lvlRestart w:val="0"/>
      <w:lvlText w:val="2.%1"/>
      <w:lvlJc w:val="left"/>
      <w:pPr>
        <w:tabs>
          <w:tab w:val="num" w:pos="1742"/>
        </w:tabs>
        <w:ind w:left="1267" w:firstLine="0"/>
      </w:pPr>
      <w:rPr>
        <w:rFonts w:ascii="Times New Roman" w:hAnsi="Times New Roman" w:hint="default"/>
        <w:b w:val="0"/>
        <w:i w:val="0"/>
        <w:w w:val="100"/>
      </w:rPr>
    </w:lvl>
  </w:abstractNum>
  <w:abstractNum w:abstractNumId="18">
    <w:nsid w:val="57B91C83"/>
    <w:multiLevelType w:val="singleLevel"/>
    <w:tmpl w:val="D6C266A2"/>
    <w:lvl w:ilvl="0">
      <w:start w:val="9"/>
      <w:numFmt w:val="decimal"/>
      <w:lvlRestart w:val="0"/>
      <w:lvlText w:val="%1.2"/>
      <w:lvlJc w:val="left"/>
      <w:pPr>
        <w:tabs>
          <w:tab w:val="num" w:pos="1742"/>
        </w:tabs>
        <w:ind w:left="1267" w:firstLine="0"/>
      </w:pPr>
      <w:rPr>
        <w:w w:val="100"/>
      </w:rPr>
    </w:lvl>
  </w:abstractNum>
  <w:abstractNum w:abstractNumId="19">
    <w:nsid w:val="6E0865D0"/>
    <w:multiLevelType w:val="singleLevel"/>
    <w:tmpl w:val="E4CACC44"/>
    <w:lvl w:ilvl="0">
      <w:start w:val="7"/>
      <w:numFmt w:val="decimal"/>
      <w:lvlRestart w:val="0"/>
      <w:lvlText w:val="%1.3"/>
      <w:lvlJc w:val="left"/>
      <w:pPr>
        <w:tabs>
          <w:tab w:val="num" w:pos="1742"/>
        </w:tabs>
        <w:ind w:left="1267" w:firstLine="0"/>
      </w:pPr>
      <w:rPr>
        <w:w w:val="100"/>
      </w:rPr>
    </w:lvl>
  </w:abstractNum>
  <w:abstractNum w:abstractNumId="20">
    <w:nsid w:val="73217924"/>
    <w:multiLevelType w:val="singleLevel"/>
    <w:tmpl w:val="18B405E0"/>
    <w:lvl w:ilvl="0">
      <w:start w:val="8"/>
      <w:numFmt w:val="decimal"/>
      <w:lvlRestart w:val="0"/>
      <w:lvlText w:val="%1.3"/>
      <w:lvlJc w:val="left"/>
      <w:pPr>
        <w:tabs>
          <w:tab w:val="num" w:pos="1742"/>
        </w:tabs>
        <w:ind w:left="1267" w:firstLine="0"/>
      </w:pPr>
      <w:rPr>
        <w:w w:val="100"/>
      </w:rPr>
    </w:lvl>
  </w:abstractNum>
  <w:abstractNum w:abstractNumId="21">
    <w:nsid w:val="76FD0C97"/>
    <w:multiLevelType w:val="singleLevel"/>
    <w:tmpl w:val="5EDC7292"/>
    <w:lvl w:ilvl="0">
      <w:start w:val="6"/>
      <w:numFmt w:val="decimal"/>
      <w:lvlRestart w:val="0"/>
      <w:lvlText w:val="%1.2"/>
      <w:lvlJc w:val="left"/>
      <w:pPr>
        <w:tabs>
          <w:tab w:val="num" w:pos="1742"/>
        </w:tabs>
        <w:ind w:left="1267" w:firstLine="0"/>
      </w:pPr>
      <w:rPr>
        <w:w w:val="100"/>
      </w:rPr>
    </w:lvl>
  </w:abstractNum>
  <w:abstractNum w:abstractNumId="22">
    <w:nsid w:val="7BF07EF2"/>
    <w:multiLevelType w:val="singleLevel"/>
    <w:tmpl w:val="98B6E79C"/>
    <w:lvl w:ilvl="0">
      <w:start w:val="8"/>
      <w:numFmt w:val="decimal"/>
      <w:lvlRestart w:val="0"/>
      <w:lvlText w:val="%1.7"/>
      <w:lvlJc w:val="left"/>
      <w:pPr>
        <w:tabs>
          <w:tab w:val="num" w:pos="1742"/>
        </w:tabs>
        <w:ind w:left="1267" w:firstLine="0"/>
      </w:pPr>
      <w:rPr>
        <w:w w:val="100"/>
      </w:rPr>
    </w:lvl>
  </w:abstractNum>
  <w:abstractNum w:abstractNumId="23">
    <w:nsid w:val="7E2E7CCF"/>
    <w:multiLevelType w:val="singleLevel"/>
    <w:tmpl w:val="F5CE9D02"/>
    <w:lvl w:ilvl="0">
      <w:start w:val="1"/>
      <w:numFmt w:val="decimal"/>
      <w:lvlRestart w:val="0"/>
      <w:lvlText w:val="5.%1"/>
      <w:lvlJc w:val="left"/>
      <w:pPr>
        <w:tabs>
          <w:tab w:val="num" w:pos="1742"/>
        </w:tabs>
        <w:ind w:left="1267" w:firstLine="0"/>
      </w:pPr>
      <w:rPr>
        <w:rFonts w:hint="default"/>
        <w:w w:val="100"/>
      </w:rPr>
    </w:lvl>
  </w:abstractNum>
  <w:num w:numId="1">
    <w:abstractNumId w:val="14"/>
  </w:num>
  <w:num w:numId="2">
    <w:abstractNumId w:val="17"/>
  </w:num>
  <w:num w:numId="3">
    <w:abstractNumId w:val="6"/>
  </w:num>
  <w:num w:numId="4">
    <w:abstractNumId w:val="13"/>
  </w:num>
  <w:num w:numId="5">
    <w:abstractNumId w:val="23"/>
  </w:num>
  <w:num w:numId="6">
    <w:abstractNumId w:val="8"/>
  </w:num>
  <w:num w:numId="7">
    <w:abstractNumId w:val="7"/>
  </w:num>
  <w:num w:numId="8">
    <w:abstractNumId w:val="2"/>
  </w:num>
  <w:num w:numId="9">
    <w:abstractNumId w:val="21"/>
  </w:num>
  <w:num w:numId="10">
    <w:abstractNumId w:val="9"/>
  </w:num>
  <w:num w:numId="11">
    <w:abstractNumId w:val="16"/>
  </w:num>
  <w:num w:numId="12">
    <w:abstractNumId w:val="12"/>
  </w:num>
  <w:num w:numId="13">
    <w:abstractNumId w:val="19"/>
  </w:num>
  <w:num w:numId="14">
    <w:abstractNumId w:val="11"/>
  </w:num>
  <w:num w:numId="15">
    <w:abstractNumId w:val="3"/>
  </w:num>
  <w:num w:numId="16">
    <w:abstractNumId w:val="1"/>
  </w:num>
  <w:num w:numId="17">
    <w:abstractNumId w:val="0"/>
  </w:num>
  <w:num w:numId="18">
    <w:abstractNumId w:val="20"/>
  </w:num>
  <w:num w:numId="19">
    <w:abstractNumId w:val="5"/>
  </w:num>
  <w:num w:numId="20">
    <w:abstractNumId w:val="4"/>
  </w:num>
  <w:num w:numId="21">
    <w:abstractNumId w:val="15"/>
  </w:num>
  <w:num w:numId="22">
    <w:abstractNumId w:val="22"/>
  </w:num>
  <w:num w:numId="23">
    <w:abstractNumId w:val="10"/>
  </w:num>
  <w:num w:numId="24">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923941*"/>
    <w:docVar w:name="CreationDt" w:val="26/02/2009 16:41:44"/>
    <w:docVar w:name="DocCategory" w:val="Doc"/>
    <w:docVar w:name="DocType" w:val="Final"/>
    <w:docVar w:name="FooterJN" w:val="09-23941"/>
    <w:docVar w:name="jobn" w:val="09-23941 (F)"/>
    <w:docVar w:name="jobnDT" w:val="09-23941 (F)   260209"/>
    <w:docVar w:name="jobnDTDT" w:val="09-23941 (F)   260209   260209"/>
    <w:docVar w:name="JobNo" w:val="0923941F"/>
    <w:docVar w:name="OandT" w:val="cmd"/>
    <w:docVar w:name="sss1" w:val="CEDAW/C/42/D/15/2007"/>
    <w:docVar w:name="sss2" w:val="-"/>
    <w:docVar w:name="Symbol1" w:val="CEDAW/C/42/D/15/2007"/>
    <w:docVar w:name="Symbol2" w:val="-"/>
  </w:docVars>
  <w:rsids>
    <w:rsidRoot w:val="00077816"/>
    <w:rsid w:val="00002445"/>
    <w:rsid w:val="00015212"/>
    <w:rsid w:val="000311C6"/>
    <w:rsid w:val="0003141F"/>
    <w:rsid w:val="00036E97"/>
    <w:rsid w:val="00044A82"/>
    <w:rsid w:val="000461C4"/>
    <w:rsid w:val="00055923"/>
    <w:rsid w:val="00066F05"/>
    <w:rsid w:val="00071D7D"/>
    <w:rsid w:val="00075E7A"/>
    <w:rsid w:val="00077816"/>
    <w:rsid w:val="00077F98"/>
    <w:rsid w:val="00085EEC"/>
    <w:rsid w:val="00097EFC"/>
    <w:rsid w:val="000B1C46"/>
    <w:rsid w:val="000C46AA"/>
    <w:rsid w:val="000C5814"/>
    <w:rsid w:val="000C700F"/>
    <w:rsid w:val="000C78F4"/>
    <w:rsid w:val="000E6967"/>
    <w:rsid w:val="00106264"/>
    <w:rsid w:val="00110ECF"/>
    <w:rsid w:val="00160040"/>
    <w:rsid w:val="0016276E"/>
    <w:rsid w:val="00166D06"/>
    <w:rsid w:val="00174407"/>
    <w:rsid w:val="001B5526"/>
    <w:rsid w:val="001B5DA9"/>
    <w:rsid w:val="001C1470"/>
    <w:rsid w:val="001D353E"/>
    <w:rsid w:val="001D5298"/>
    <w:rsid w:val="001D6B24"/>
    <w:rsid w:val="001E04F9"/>
    <w:rsid w:val="001E6C14"/>
    <w:rsid w:val="0020188B"/>
    <w:rsid w:val="0022145E"/>
    <w:rsid w:val="00221A20"/>
    <w:rsid w:val="00227928"/>
    <w:rsid w:val="00227EFF"/>
    <w:rsid w:val="002407AC"/>
    <w:rsid w:val="00240AE5"/>
    <w:rsid w:val="00240CA5"/>
    <w:rsid w:val="00253CD8"/>
    <w:rsid w:val="00254F8D"/>
    <w:rsid w:val="002550CF"/>
    <w:rsid w:val="00260CFC"/>
    <w:rsid w:val="00276009"/>
    <w:rsid w:val="00282223"/>
    <w:rsid w:val="00284A1E"/>
    <w:rsid w:val="00295BCD"/>
    <w:rsid w:val="002A05C9"/>
    <w:rsid w:val="002E5F65"/>
    <w:rsid w:val="002F208A"/>
    <w:rsid w:val="002F3821"/>
    <w:rsid w:val="003017AF"/>
    <w:rsid w:val="0031111A"/>
    <w:rsid w:val="0031636A"/>
    <w:rsid w:val="003234D8"/>
    <w:rsid w:val="0032503C"/>
    <w:rsid w:val="0038286E"/>
    <w:rsid w:val="00386EB2"/>
    <w:rsid w:val="003A2AA7"/>
    <w:rsid w:val="003B13C3"/>
    <w:rsid w:val="003B567E"/>
    <w:rsid w:val="003D4038"/>
    <w:rsid w:val="003D6E01"/>
    <w:rsid w:val="003E286E"/>
    <w:rsid w:val="003F0338"/>
    <w:rsid w:val="00405592"/>
    <w:rsid w:val="00406050"/>
    <w:rsid w:val="004125F2"/>
    <w:rsid w:val="00424821"/>
    <w:rsid w:val="004545F3"/>
    <w:rsid w:val="00463BA3"/>
    <w:rsid w:val="004808F6"/>
    <w:rsid w:val="004825E6"/>
    <w:rsid w:val="00482F1C"/>
    <w:rsid w:val="004B632B"/>
    <w:rsid w:val="004B7ECB"/>
    <w:rsid w:val="004C3E5B"/>
    <w:rsid w:val="004E75EB"/>
    <w:rsid w:val="004F4E23"/>
    <w:rsid w:val="005017EA"/>
    <w:rsid w:val="00503D1D"/>
    <w:rsid w:val="005212D9"/>
    <w:rsid w:val="005335F9"/>
    <w:rsid w:val="00556043"/>
    <w:rsid w:val="0056163B"/>
    <w:rsid w:val="00570034"/>
    <w:rsid w:val="00585EB4"/>
    <w:rsid w:val="005B2D8B"/>
    <w:rsid w:val="005B5660"/>
    <w:rsid w:val="005D6604"/>
    <w:rsid w:val="005E1FA2"/>
    <w:rsid w:val="005E7EF0"/>
    <w:rsid w:val="005F3FE9"/>
    <w:rsid w:val="00601DB8"/>
    <w:rsid w:val="0060203F"/>
    <w:rsid w:val="00605D82"/>
    <w:rsid w:val="00617697"/>
    <w:rsid w:val="00617CBC"/>
    <w:rsid w:val="006200A9"/>
    <w:rsid w:val="00626095"/>
    <w:rsid w:val="00651E63"/>
    <w:rsid w:val="00653189"/>
    <w:rsid w:val="006714CE"/>
    <w:rsid w:val="00671B08"/>
    <w:rsid w:val="0067579D"/>
    <w:rsid w:val="00685691"/>
    <w:rsid w:val="006A661A"/>
    <w:rsid w:val="006C38EC"/>
    <w:rsid w:val="006C6886"/>
    <w:rsid w:val="006E40BC"/>
    <w:rsid w:val="006E72D9"/>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D763E"/>
    <w:rsid w:val="007F629E"/>
    <w:rsid w:val="007F65D7"/>
    <w:rsid w:val="00806E57"/>
    <w:rsid w:val="00811BFD"/>
    <w:rsid w:val="00826529"/>
    <w:rsid w:val="00830129"/>
    <w:rsid w:val="0083486F"/>
    <w:rsid w:val="008675DF"/>
    <w:rsid w:val="0086763B"/>
    <w:rsid w:val="00893C66"/>
    <w:rsid w:val="0089530A"/>
    <w:rsid w:val="008A57B7"/>
    <w:rsid w:val="008B45AD"/>
    <w:rsid w:val="008B49EF"/>
    <w:rsid w:val="008B672F"/>
    <w:rsid w:val="008B71B4"/>
    <w:rsid w:val="008E798D"/>
    <w:rsid w:val="009121F6"/>
    <w:rsid w:val="009123FC"/>
    <w:rsid w:val="00913970"/>
    <w:rsid w:val="00925A11"/>
    <w:rsid w:val="00927140"/>
    <w:rsid w:val="009278D2"/>
    <w:rsid w:val="009324DD"/>
    <w:rsid w:val="0093338E"/>
    <w:rsid w:val="009462EC"/>
    <w:rsid w:val="00947E34"/>
    <w:rsid w:val="009656F9"/>
    <w:rsid w:val="00980632"/>
    <w:rsid w:val="009820F4"/>
    <w:rsid w:val="00983F5B"/>
    <w:rsid w:val="00986BFE"/>
    <w:rsid w:val="009A6119"/>
    <w:rsid w:val="009D3462"/>
    <w:rsid w:val="009D67B5"/>
    <w:rsid w:val="00A01D05"/>
    <w:rsid w:val="00A36EDB"/>
    <w:rsid w:val="00A41781"/>
    <w:rsid w:val="00A431BB"/>
    <w:rsid w:val="00A47D27"/>
    <w:rsid w:val="00A53EB2"/>
    <w:rsid w:val="00A5563F"/>
    <w:rsid w:val="00A8254D"/>
    <w:rsid w:val="00A90ECD"/>
    <w:rsid w:val="00A97334"/>
    <w:rsid w:val="00AC1550"/>
    <w:rsid w:val="00AF30EA"/>
    <w:rsid w:val="00AF7098"/>
    <w:rsid w:val="00B14493"/>
    <w:rsid w:val="00B146E8"/>
    <w:rsid w:val="00B14DE4"/>
    <w:rsid w:val="00B15313"/>
    <w:rsid w:val="00B20BEE"/>
    <w:rsid w:val="00B3035A"/>
    <w:rsid w:val="00B33CF1"/>
    <w:rsid w:val="00B50D66"/>
    <w:rsid w:val="00B55020"/>
    <w:rsid w:val="00B56EE6"/>
    <w:rsid w:val="00B71439"/>
    <w:rsid w:val="00B75CC4"/>
    <w:rsid w:val="00B8234F"/>
    <w:rsid w:val="00B92747"/>
    <w:rsid w:val="00B9324E"/>
    <w:rsid w:val="00BA1A75"/>
    <w:rsid w:val="00BB1D30"/>
    <w:rsid w:val="00BB2E17"/>
    <w:rsid w:val="00BB2E9F"/>
    <w:rsid w:val="00BD2ADA"/>
    <w:rsid w:val="00BD385D"/>
    <w:rsid w:val="00BF1383"/>
    <w:rsid w:val="00BF1E7A"/>
    <w:rsid w:val="00BF730D"/>
    <w:rsid w:val="00C108CA"/>
    <w:rsid w:val="00C12160"/>
    <w:rsid w:val="00C13713"/>
    <w:rsid w:val="00C263A3"/>
    <w:rsid w:val="00C26501"/>
    <w:rsid w:val="00C309D3"/>
    <w:rsid w:val="00C3578D"/>
    <w:rsid w:val="00C5160B"/>
    <w:rsid w:val="00C752AF"/>
    <w:rsid w:val="00C806C9"/>
    <w:rsid w:val="00C82736"/>
    <w:rsid w:val="00CA75CC"/>
    <w:rsid w:val="00CD0353"/>
    <w:rsid w:val="00CD23D6"/>
    <w:rsid w:val="00CE42AA"/>
    <w:rsid w:val="00CE67A3"/>
    <w:rsid w:val="00CF356F"/>
    <w:rsid w:val="00D02B55"/>
    <w:rsid w:val="00D04B28"/>
    <w:rsid w:val="00D10FEE"/>
    <w:rsid w:val="00D13F29"/>
    <w:rsid w:val="00D14090"/>
    <w:rsid w:val="00D16D33"/>
    <w:rsid w:val="00D24FEA"/>
    <w:rsid w:val="00D316FF"/>
    <w:rsid w:val="00D33409"/>
    <w:rsid w:val="00D51CE4"/>
    <w:rsid w:val="00D731D8"/>
    <w:rsid w:val="00D86FF8"/>
    <w:rsid w:val="00DA09CD"/>
    <w:rsid w:val="00DB3460"/>
    <w:rsid w:val="00DC4EB5"/>
    <w:rsid w:val="00DC5A66"/>
    <w:rsid w:val="00DC6D3B"/>
    <w:rsid w:val="00DE0B81"/>
    <w:rsid w:val="00DE4D9A"/>
    <w:rsid w:val="00DE6AAE"/>
    <w:rsid w:val="00DE7FA2"/>
    <w:rsid w:val="00DF34AB"/>
    <w:rsid w:val="00DF7F2A"/>
    <w:rsid w:val="00E054A5"/>
    <w:rsid w:val="00E12600"/>
    <w:rsid w:val="00E248F7"/>
    <w:rsid w:val="00E2723C"/>
    <w:rsid w:val="00E334F4"/>
    <w:rsid w:val="00E535AD"/>
    <w:rsid w:val="00E56DD5"/>
    <w:rsid w:val="00E60DC7"/>
    <w:rsid w:val="00E62634"/>
    <w:rsid w:val="00E717BD"/>
    <w:rsid w:val="00E733A6"/>
    <w:rsid w:val="00E84D07"/>
    <w:rsid w:val="00E97735"/>
    <w:rsid w:val="00EA2B2A"/>
    <w:rsid w:val="00EA301C"/>
    <w:rsid w:val="00EA52B5"/>
    <w:rsid w:val="00EA7E4B"/>
    <w:rsid w:val="00EB370B"/>
    <w:rsid w:val="00EC1301"/>
    <w:rsid w:val="00EE509F"/>
    <w:rsid w:val="00EF7CF2"/>
    <w:rsid w:val="00F053C7"/>
    <w:rsid w:val="00F147BD"/>
    <w:rsid w:val="00F16F90"/>
    <w:rsid w:val="00F17CC0"/>
    <w:rsid w:val="00F52757"/>
    <w:rsid w:val="00F632EC"/>
    <w:rsid w:val="00F81B7D"/>
    <w:rsid w:val="00F83613"/>
    <w:rsid w:val="00F97C72"/>
    <w:rsid w:val="00FC04AB"/>
    <w:rsid w:val="00FD3383"/>
    <w:rsid w:val="00FD59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sid w:val="00EA7E4B"/>
    <w:rPr>
      <w:sz w:val="6"/>
    </w:rPr>
  </w:style>
  <w:style w:type="character" w:styleId="FootnoteReference">
    <w:name w:val="footnote reference"/>
    <w:basedOn w:val="DefaultParagraphFont"/>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rPr>
  </w:style>
  <w:style w:type="paragraph" w:styleId="Header">
    <w:name w:val="header"/>
    <w:rsid w:val="00EA7E4B"/>
    <w:pPr>
      <w:tabs>
        <w:tab w:val="center" w:pos="4320"/>
        <w:tab w:val="right" w:pos="8640"/>
      </w:tabs>
      <w:spacing w:line="210" w:lineRule="exact"/>
    </w:pPr>
    <w:rPr>
      <w:noProof/>
      <w:spacing w:val="3"/>
      <w:w w:val="105"/>
      <w:sz w:val="17"/>
    </w:rPr>
  </w:style>
  <w:style w:type="character" w:styleId="LineNumber">
    <w:name w:val="line number"/>
    <w:basedOn w:val="DefaultParagraphFont"/>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FD59A0"/>
  </w:style>
  <w:style w:type="paragraph" w:styleId="CommentSubject">
    <w:name w:val="annotation subject"/>
    <w:basedOn w:val="CommentText"/>
    <w:next w:val="CommentText"/>
    <w:semiHidden/>
    <w:rsid w:val="00FD59A0"/>
    <w:rPr>
      <w:b/>
      <w:bCs/>
    </w:rPr>
  </w:style>
  <w:style w:type="paragraph" w:styleId="BalloonText">
    <w:name w:val="Balloon Text"/>
    <w:basedOn w:val="Normal"/>
    <w:semiHidden/>
    <w:rsid w:val="00FD5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4423</Words>
  <Characters>22469</Characters>
  <Application>Microsoft Office Outlook</Application>
  <DocSecurity>4</DocSecurity>
  <Lines>401</Lines>
  <Paragraphs>84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C.Demesmin</dc:creator>
  <cp:keywords/>
  <dc:description/>
  <cp:lastModifiedBy>Marieme.Gueye</cp:lastModifiedBy>
  <cp:revision>9</cp:revision>
  <cp:lastPrinted>2009-10-27T23:22:00Z</cp:lastPrinted>
  <dcterms:created xsi:type="dcterms:W3CDTF">2009-10-27T15:58:00Z</dcterms:created>
  <dcterms:modified xsi:type="dcterms:W3CDTF">2009-10-27T23:25:00Z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0923941</vt:lpwstr>
  </property>
  <property fmtid="{D5CDD505-2E9C-101B-9397-08002B2CF9AE}" pid="3" name="Symbol1">
    <vt:lpwstr>CEDAW/C/42/D/15/2007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vt:lpwstr>
  </property>
  <property fmtid="{D5CDD505-2E9C-101B-9397-08002B2CF9AE}" pid="8" name="Operator">
    <vt:lpwstr>cmd/dpr/BOC/Mag</vt:lpwstr>
  </property>
</Properties>
</file>