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GE.04-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40267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 100204     100204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1113829378"/>
          <w:bookmarkStart w:id="1" w:name="_MON_1113829434"/>
          <w:bookmarkStart w:id="2" w:name="_MON_1113896333"/>
          <w:bookmarkEnd w:id="0"/>
          <w:bookmarkEnd w:id="1"/>
          <w:bookmarkEnd w:id="2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2777" r:id="rId8"/>
              </w:obje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3" w:name="ПолеСоСписком1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CAT/C/CR/31/4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5 February 2004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4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ПРОТИВ ПЫТОК</w:t>
      </w:r>
    </w:p>
    <w:p w:rsidR="00000000" w:rsidRDefault="00000000">
      <w:r>
        <w:t>Тридцать первая сессия</w:t>
      </w:r>
    </w:p>
    <w:p w:rsidR="00000000" w:rsidRDefault="00000000">
      <w:r>
        <w:t>10-21 ноября 2003 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</w:t>
      </w:r>
      <w:r>
        <w:rPr>
          <w:b/>
          <w:bCs/>
        </w:rPr>
        <w:noBreakHyphen/>
        <w:t>УЧАСТНИКАМИ В СООТВЕТСТВИИ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СО СТАТЬЕЙ 19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Выводы и рекомендации Комитета против пыток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Йемен</w:t>
      </w:r>
    </w:p>
    <w:p w:rsidR="00000000" w:rsidRDefault="00000000">
      <w:pPr>
        <w:jc w:val="center"/>
      </w:pPr>
    </w:p>
    <w:p w:rsidR="00000000" w:rsidRDefault="00000000">
      <w:r>
        <w:t>1.</w:t>
      </w:r>
      <w:r>
        <w:tab/>
        <w:t>Комитет рассмотрел первоначальный доклад Йемена (</w:t>
      </w:r>
      <w:r>
        <w:rPr>
          <w:lang w:val="en-US"/>
        </w:rPr>
        <w:t>CAT</w:t>
      </w:r>
      <w:r>
        <w:t>/С/16/</w:t>
      </w:r>
      <w:r>
        <w:rPr>
          <w:lang w:val="en-US"/>
        </w:rPr>
        <w:t>Add</w:t>
      </w:r>
      <w:r>
        <w:t>.10) на своих 583</w:t>
      </w:r>
      <w:r>
        <w:noBreakHyphen/>
        <w:t>м и 586</w:t>
      </w:r>
      <w:r>
        <w:noBreakHyphen/>
        <w:t>м заседаниях, состоявшихся 17 и 18 ноября 2003 года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.583 и 586), и принял следующие выводы и рекомендации.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первоначальный доклад Йемена и возможность начать диалог с государством-участником.  Вместе с тем он сожалеет, что доклад, который должен был быть представлен 4 декабря 1992 года, был представлен почти 10 лет спустя.</w:t>
      </w:r>
    </w:p>
    <w:p w:rsidR="00000000" w:rsidRDefault="00000000"/>
    <w:p w:rsidR="00000000" w:rsidRDefault="00000000">
      <w:r>
        <w:t>3.</w:t>
      </w:r>
      <w:r>
        <w:tab/>
        <w:t>Доклад, который содержит обширную информацию о правовых положениях, но при этом не затрагивает вопросов практического применения Конвенции или связанных с этим трудностей, не полностью соответствует руководящим принципам Комитета в отношении подготовки периодических докладов.  Комитет приветствует готовность делегации вступить в откровенный и открытый диалог.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B</w:t>
      </w:r>
      <w:r>
        <w:rPr>
          <w:b/>
          <w:bCs/>
        </w:rPr>
        <w:t>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4.</w:t>
      </w:r>
      <w:r>
        <w:tab/>
        <w:t>Комитет приветствует предпринимаемые государством</w:t>
      </w:r>
      <w:r>
        <w:noBreakHyphen/>
        <w:t>участником усилия по реформированию его правовой системы, пересмотру законодательства и поощрению демократических ценностей, включая:</w:t>
      </w:r>
    </w:p>
    <w:p w:rsidR="00000000" w:rsidRDefault="00000000"/>
    <w:p w:rsidR="00000000" w:rsidRDefault="00000000">
      <w:r>
        <w:tab/>
        <w:t>а)</w:t>
      </w:r>
      <w:r>
        <w:tab/>
        <w:t xml:space="preserve">создание министерства по правам человека в 2003 году в целях поощрения и обеспечения соблюдения прав человека, включая рассмотрение индивидуальных жалоб;  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предоставление многочисленным неправительственным организациям возможности беспрепятственно действовать на территории страны;</w:t>
      </w:r>
    </w:p>
    <w:p w:rsidR="00000000" w:rsidRDefault="00000000"/>
    <w:p w:rsidR="00000000" w:rsidRDefault="00000000">
      <w:r>
        <w:tab/>
        <w:t>с)</w:t>
      </w:r>
      <w:r>
        <w:tab/>
        <w:t>положения принятых законов о защите прав человека, включая, например, статью 149 Конституции;  статью 6 Уголовно-процессуального кодекса № 3 от 1994 года;  статью 21 Кодекса о воинских преступлениях и наказаниях 1998 года;  статью 9 Закона о службе полиции № 15/2000;  статью 35 Уголовного кодекса;  и ратификацию посредством Закона № 36 от 1983 года Арабской конвенции о судебном сотрудничестве;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провозглашенное государством-участником намерение ратифицировать Римский статут Международного уголовного суда и меры, принятые в этом отношении на национальном уровне;</w:t>
      </w:r>
    </w:p>
    <w:p w:rsidR="00000000" w:rsidRDefault="00000000"/>
    <w:p w:rsidR="00000000" w:rsidRDefault="00000000">
      <w:r>
        <w:tab/>
      </w:r>
      <w:r>
        <w:rPr>
          <w:lang w:val="en-US"/>
        </w:rPr>
        <w:t>e</w:t>
      </w:r>
      <w:r>
        <w:t>)</w:t>
      </w:r>
      <w:r>
        <w:tab/>
        <w:t>ратификацию основных договоров по правам человека и включение положений этих международных договоров во внутреннее законодательство;</w:t>
      </w:r>
    </w:p>
    <w:p w:rsidR="00000000" w:rsidRDefault="00000000"/>
    <w:p w:rsidR="00000000" w:rsidRDefault="00000000">
      <w:r>
        <w:tab/>
      </w:r>
      <w:r>
        <w:rPr>
          <w:lang w:val="en-US"/>
        </w:rPr>
        <w:t>f</w:t>
      </w:r>
      <w:r>
        <w:t>)</w:t>
      </w:r>
      <w:r>
        <w:tab/>
        <w:t>образование и подготовку в области прав человека и готовность государства-участника к международному сотрудничеству, как это отражено в соглашении, заключенном с Управлением Верховного комиссара по правам человека;</w:t>
      </w:r>
    </w:p>
    <w:p w:rsidR="00000000" w:rsidRDefault="00000000"/>
    <w:p w:rsidR="00000000" w:rsidRDefault="00000000">
      <w:r>
        <w:tab/>
      </w:r>
      <w:r>
        <w:rPr>
          <w:lang w:val="en-US"/>
        </w:rPr>
        <w:t>g</w:t>
      </w:r>
      <w:r>
        <w:t>)</w:t>
      </w:r>
      <w:r>
        <w:tab/>
        <w:t>заверения, полученные от делегации о намерении создать специальные учреждения ("временные приюты") для приема находящихся в уязвимом положении женщин, которые отбыли сроки тюремного заключения;</w:t>
      </w:r>
    </w:p>
    <w:p w:rsidR="00000000" w:rsidRDefault="00000000"/>
    <w:p w:rsidR="00000000" w:rsidRDefault="00000000">
      <w:r>
        <w:tab/>
      </w:r>
      <w:r>
        <w:rPr>
          <w:lang w:val="en-US"/>
        </w:rPr>
        <w:t>h</w:t>
      </w:r>
      <w:r>
        <w:t>)</w:t>
      </w:r>
      <w:r>
        <w:tab/>
        <w:t>предоставление Международному комитету Красного Креста доступа к лицам, задержанным Департаментом политической безопасности.</w:t>
      </w:r>
    </w:p>
    <w:p w:rsidR="00000000" w:rsidRDefault="00000000"/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Факторы и трудности, препятствующие осуществлению Конвенции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r>
        <w:t>5.</w:t>
      </w:r>
      <w:r>
        <w:tab/>
        <w:t>Комитет, которому известно о трудностях, с которыми сталкивается государство-участник в своей давней борьбе с терроризмом, напоминает, что никакие исключительные обстоятельства не могут использоваться для оправдания пыток.  Он, в частности, подчеркивает, что реакция государства-участника на подобные угрозы должна соответствовать положениям пункта 2 статьи 2 Конвенции и не выходить за рамки резолюции 1373 (2001) Совета Безопасности.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D</w:t>
      </w:r>
      <w:r>
        <w:rPr>
          <w:b/>
          <w:bCs/>
        </w:rPr>
        <w:t>.</w:t>
      </w:r>
      <w:r>
        <w:rPr>
          <w:b/>
          <w:bCs/>
        </w:rPr>
        <w:tab/>
        <w:t>Вопросы, вызывающие озабоченность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6.</w:t>
      </w:r>
      <w:r>
        <w:tab/>
        <w:t>Комитет выражает озабоченность по поводу следующего:</w:t>
      </w:r>
    </w:p>
    <w:p w:rsidR="00000000" w:rsidRDefault="00000000"/>
    <w:p w:rsidR="00000000" w:rsidRDefault="00000000">
      <w:r>
        <w:tab/>
        <w:t>а)</w:t>
      </w:r>
      <w:r>
        <w:tab/>
        <w:t>отсутствия всеобъемлющего определения пытки в национальном законодательстве согласно статье 1 Конвенции;</w:t>
      </w:r>
    </w:p>
    <w:p w:rsidR="00000000" w:rsidRDefault="00000000"/>
    <w:p w:rsidR="00000000" w:rsidRDefault="00000000">
      <w:r>
        <w:tab/>
      </w:r>
      <w:r>
        <w:rPr>
          <w:lang w:val="fr-CH"/>
        </w:rPr>
        <w:t>b</w:t>
      </w:r>
      <w:r>
        <w:t>)</w:t>
      </w:r>
      <w:r>
        <w:tab/>
        <w:t>характера некоторых уголовных наказаний, в частности порки и ампутации конечностей, которые могут нарушать положения Конвенции;</w:t>
      </w:r>
    </w:p>
    <w:p w:rsidR="00000000" w:rsidRDefault="00000000"/>
    <w:p w:rsidR="00000000" w:rsidRDefault="00000000">
      <w:r>
        <w:tab/>
      </w:r>
      <w:proofErr w:type="spellStart"/>
      <w:r>
        <w:t>c</w:t>
      </w:r>
      <w:proofErr w:type="spellEnd"/>
      <w:r>
        <w:t>)</w:t>
      </w:r>
      <w:r>
        <w:tab/>
        <w:t>сообщений о нередко используемой практике содержания заключенных без связи с внешним миром сотрудниками Департамента политической безопасности, включая случаи массовых арестов и содержания под стражей в течение длительных периодов времени без суда;</w:t>
      </w:r>
    </w:p>
    <w:p w:rsidR="00000000" w:rsidRDefault="00000000"/>
    <w:p w:rsidR="00000000" w:rsidRDefault="00000000">
      <w:r>
        <w:tab/>
      </w:r>
      <w:proofErr w:type="spellStart"/>
      <w:r>
        <w:t>d</w:t>
      </w:r>
      <w:proofErr w:type="spellEnd"/>
      <w:r>
        <w:t>)</w:t>
      </w:r>
      <w:r>
        <w:tab/>
      </w:r>
      <w:proofErr w:type="spellStart"/>
      <w:r>
        <w:t>непредоставления</w:t>
      </w:r>
      <w:proofErr w:type="spellEnd"/>
      <w:r>
        <w:t xml:space="preserve"> на практике задержанным лицам возможности встретиться с адвокатом, врачом по своему выбору или родственниками с момента задержания;</w:t>
      </w:r>
    </w:p>
    <w:p w:rsidR="00000000" w:rsidRDefault="00000000"/>
    <w:p w:rsidR="00000000" w:rsidRDefault="00000000">
      <w:r>
        <w:tab/>
      </w:r>
      <w:proofErr w:type="spellStart"/>
      <w:r>
        <w:t>e</w:t>
      </w:r>
      <w:proofErr w:type="spellEnd"/>
      <w:r>
        <w:t>)</w:t>
      </w:r>
      <w:r>
        <w:tab/>
        <w:t>очевидного отсутствия своевременного, беспристрастного и полномасштабного расследования многочисленных утверждений о пытках и нарушениях статьи 16 Конвенции и непринятия мер по судебному преследованию предполагаемых нарушителей;</w:t>
      </w:r>
    </w:p>
    <w:p w:rsidR="00000000" w:rsidRDefault="00000000"/>
    <w:p w:rsidR="00000000" w:rsidRDefault="00000000">
      <w:r>
        <w:tab/>
      </w:r>
      <w:proofErr w:type="spellStart"/>
      <w:r>
        <w:t>f</w:t>
      </w:r>
      <w:proofErr w:type="spellEnd"/>
      <w:r>
        <w:t>)</w:t>
      </w:r>
      <w:r>
        <w:tab/>
        <w:t>сообщений о случаях депортации иностранцев без предоставления им возможности в законодательном порядке оспорить применение этих мер, что, в случае подтверждения данных сообщений, может нарушать обязательства, налагаемые статьей 3 Конвенции;</w:t>
      </w:r>
    </w:p>
    <w:p w:rsidR="00000000" w:rsidRDefault="00000000"/>
    <w:p w:rsidR="00000000" w:rsidRDefault="00000000">
      <w:r>
        <w:tab/>
      </w:r>
      <w:proofErr w:type="spellStart"/>
      <w:r>
        <w:t>g</w:t>
      </w:r>
      <w:proofErr w:type="spellEnd"/>
      <w:r>
        <w:t>)</w:t>
      </w:r>
      <w:r>
        <w:tab/>
        <w:t>непредставления государством-участником подробной информации об условиях компенсации и реабилитации жертв жестокого обращения со стороны государства;</w:t>
      </w:r>
    </w:p>
    <w:p w:rsidR="00000000" w:rsidRDefault="00000000"/>
    <w:p w:rsidR="00000000" w:rsidRDefault="00000000">
      <w:r>
        <w:tab/>
      </w:r>
      <w:proofErr w:type="spellStart"/>
      <w:r>
        <w:t>h</w:t>
      </w:r>
      <w:proofErr w:type="spellEnd"/>
      <w:r>
        <w:t>)</w:t>
      </w:r>
      <w:r>
        <w:tab/>
        <w:t>положения женщин, которые отбыли свой срок тюремного заключения, но при этом остаются в тюрьме в течение продолжительных периодов времени;</w:t>
      </w:r>
    </w:p>
    <w:p w:rsidR="00000000" w:rsidRDefault="00000000"/>
    <w:p w:rsidR="00000000" w:rsidRDefault="00000000">
      <w:r>
        <w:tab/>
      </w:r>
      <w:proofErr w:type="spellStart"/>
      <w:r>
        <w:t>i</w:t>
      </w:r>
      <w:proofErr w:type="spellEnd"/>
      <w:r>
        <w:t>)</w:t>
      </w:r>
      <w:r>
        <w:tab/>
        <w:t>Комитет обеспокоен низким минимальным возрастом наступления уголовной ответственности и содержанием несовершеннолетних правонарушителей, начиная с 7</w:t>
      </w:r>
      <w:r>
        <w:noBreakHyphen/>
        <w:t>летнего возраста, в специализированных больницах или в учреждениях социальной защиты.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fr-CH"/>
        </w:rPr>
        <w:t>E</w:t>
      </w:r>
      <w:r>
        <w:rPr>
          <w:b/>
          <w:bCs/>
        </w:rPr>
        <w:t>.</w:t>
      </w:r>
      <w:r>
        <w:rPr>
          <w:b/>
          <w:bCs/>
        </w:rPr>
        <w:tab/>
        <w:t>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7.</w:t>
      </w:r>
      <w:r>
        <w:tab/>
        <w:t>Комитет рекомендует государству-участнику:</w:t>
      </w:r>
    </w:p>
    <w:p w:rsidR="00000000" w:rsidRDefault="00000000"/>
    <w:p w:rsidR="00000000" w:rsidRDefault="00000000">
      <w:r>
        <w:tab/>
        <w:t>а)</w:t>
      </w:r>
      <w:r>
        <w:tab/>
        <w:t>принять определение пытки, которое охватывало бы все элементы этого понятия, содержащиеся в статье 1 Конвенции, и соответствующим образом изменить национальное уголовное законодательство;</w:t>
      </w:r>
    </w:p>
    <w:p w:rsidR="00000000" w:rsidRDefault="00000000"/>
    <w:p w:rsidR="00000000" w:rsidRDefault="00000000">
      <w:r>
        <w:tab/>
      </w:r>
      <w:r>
        <w:rPr>
          <w:lang w:val="fr-CH"/>
        </w:rPr>
        <w:t>b</w:t>
      </w:r>
      <w:r>
        <w:t>)</w:t>
      </w:r>
      <w:r>
        <w:tab/>
        <w:t>принять все необходимые меры для обеспечения того, чтобы уголовные наказания полностью соответствовали положениям Конвенции;</w:t>
      </w:r>
    </w:p>
    <w:p w:rsidR="00000000" w:rsidRDefault="00000000"/>
    <w:p w:rsidR="00000000" w:rsidRDefault="00000000">
      <w:r>
        <w:tab/>
      </w:r>
      <w:proofErr w:type="spellStart"/>
      <w:r>
        <w:t>c</w:t>
      </w:r>
      <w:proofErr w:type="spellEnd"/>
      <w:r>
        <w:t>)</w:t>
      </w:r>
      <w:r>
        <w:tab/>
        <w:t>обеспечить, чтобы все задерживаемые лица незамедлительно получали доступ к врачу и адвокату, а также имели возможность связаться со своими семьями на всех этапах задержания и чтобы лица, задержанные Департаментом политической безопасности, получали незамедлительный доступ к судьям;</w:t>
      </w:r>
    </w:p>
    <w:p w:rsidR="00000000" w:rsidRDefault="00000000"/>
    <w:p w:rsidR="00000000" w:rsidRDefault="00000000">
      <w:r>
        <w:tab/>
      </w:r>
      <w:proofErr w:type="spellStart"/>
      <w:r>
        <w:t>d</w:t>
      </w:r>
      <w:proofErr w:type="spellEnd"/>
      <w:r>
        <w:t>)</w:t>
      </w:r>
      <w:r>
        <w:tab/>
        <w:t>принять все необходимые меры для ликвидации де-факто системы содержания под стражей без связи с внешним миром;</w:t>
      </w:r>
    </w:p>
    <w:p w:rsidR="00000000" w:rsidRDefault="00000000"/>
    <w:p w:rsidR="00000000" w:rsidRDefault="00000000">
      <w:r>
        <w:tab/>
      </w:r>
      <w:proofErr w:type="spellStart"/>
      <w:r>
        <w:t>e</w:t>
      </w:r>
      <w:proofErr w:type="spellEnd"/>
      <w:r>
        <w:t>)</w:t>
      </w:r>
      <w:r>
        <w:tab/>
        <w:t>принять незамедлительные меры для обеспечения того, чтобы аресты и задержания проводились под независимым и беспристрастным судебным надзором;</w:t>
      </w:r>
    </w:p>
    <w:p w:rsidR="00000000" w:rsidRDefault="00000000"/>
    <w:p w:rsidR="00000000" w:rsidRDefault="00000000">
      <w:r>
        <w:tab/>
      </w:r>
      <w:proofErr w:type="spellStart"/>
      <w:r>
        <w:t>f</w:t>
      </w:r>
      <w:proofErr w:type="spellEnd"/>
      <w:r>
        <w:t>)</w:t>
      </w:r>
      <w:r>
        <w:tab/>
        <w:t>обеспечить, чтобы все меры по борьбе в терроризмом принимались в полном соответствии с Конвенцией;</w:t>
      </w:r>
    </w:p>
    <w:p w:rsidR="00000000" w:rsidRDefault="00000000"/>
    <w:p w:rsidR="00000000" w:rsidRDefault="00000000">
      <w:r>
        <w:tab/>
      </w:r>
      <w:proofErr w:type="spellStart"/>
      <w:r>
        <w:t>g</w:t>
      </w:r>
      <w:proofErr w:type="spellEnd"/>
      <w:r>
        <w:t>)</w:t>
      </w:r>
      <w:r>
        <w:tab/>
        <w:t>обеспечить, чтобы выдворение, принудительное возвращение или экстрадиция того или иного лица в другое государство осуществлялись в соответствии со статьей 3 Конвенции;</w:t>
      </w:r>
    </w:p>
    <w:p w:rsidR="00000000" w:rsidRDefault="00000000"/>
    <w:p w:rsidR="00000000" w:rsidRDefault="00000000">
      <w:r>
        <w:tab/>
      </w:r>
      <w:proofErr w:type="spellStart"/>
      <w:r>
        <w:t>h</w:t>
      </w:r>
      <w:proofErr w:type="spellEnd"/>
      <w:r>
        <w:t>)</w:t>
      </w:r>
      <w:r>
        <w:tab/>
        <w:t>принять меры для создания эффективной, надежной и независимой системы  рассмотрения жалоб для проведения своевременных и беспристрастных расследований утверждений о жестоком обращении или пытках со стороны полиции и других государственных должностных лиц и для наказания виновных;</w:t>
      </w:r>
    </w:p>
    <w:p w:rsidR="00000000" w:rsidRDefault="00000000"/>
    <w:p w:rsidR="00000000" w:rsidRDefault="00000000">
      <w:r>
        <w:tab/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>активизировать усилия по уменьшению числа случаев пыток или других видов жестокого обращения со стороны полиции и других государственных должностных лиц и собирать данные для контроля над такими случаями;</w:t>
      </w:r>
    </w:p>
    <w:p w:rsidR="00000000" w:rsidRDefault="00000000"/>
    <w:p w:rsidR="00000000" w:rsidRDefault="00000000">
      <w:r>
        <w:tab/>
      </w:r>
      <w:r>
        <w:rPr>
          <w:lang w:val="en-US"/>
        </w:rPr>
        <w:t>j</w:t>
      </w:r>
      <w:r>
        <w:t>)</w:t>
      </w:r>
      <w:r>
        <w:tab/>
        <w:t>обеспечить право жертв пыток на справедливую и адекватную компенсацию со стороны государства и создать программы для физической и психологической реабилитации жертв;</w:t>
      </w:r>
    </w:p>
    <w:p w:rsidR="00000000" w:rsidRDefault="00000000"/>
    <w:p w:rsidR="00000000" w:rsidRDefault="00000000">
      <w:r>
        <w:tab/>
      </w:r>
      <w:r>
        <w:rPr>
          <w:lang w:val="en-US"/>
        </w:rPr>
        <w:t>k</w:t>
      </w:r>
      <w:r>
        <w:t>)</w:t>
      </w:r>
      <w:r>
        <w:tab/>
        <w:t>продолжать и расширять усилия по созданию "временных приютов" для женщин, с тем чтобы ликвидировать практику их нахождения в тюрьме по истечении срока заключения;</w:t>
      </w:r>
    </w:p>
    <w:p w:rsidR="00000000" w:rsidRDefault="00000000"/>
    <w:p w:rsidR="00000000" w:rsidRDefault="00000000">
      <w:r>
        <w:tab/>
      </w:r>
      <w:proofErr w:type="spellStart"/>
      <w:r>
        <w:t>l</w:t>
      </w:r>
      <w:proofErr w:type="spellEnd"/>
      <w:r>
        <w:t>)</w:t>
      </w:r>
      <w:r>
        <w:tab/>
        <w:t>пересмотреть минимальный возраст наступления уголовной ответственности и обеспечить, чтобы все учреждения по обеспечению защиты и другие места содержания под стражей отвечали международным нормам отправления правосудия в отношении несовершеннолетних, включая нормы, закрепленные в Конвенции;</w:t>
      </w:r>
    </w:p>
    <w:p w:rsidR="00000000" w:rsidRDefault="00000000"/>
    <w:p w:rsidR="00000000" w:rsidRDefault="00000000">
      <w:r>
        <w:tab/>
      </w:r>
      <w:r>
        <w:rPr>
          <w:lang w:val="en-US"/>
        </w:rPr>
        <w:t>m</w:t>
      </w:r>
      <w:r>
        <w:t>)</w:t>
      </w:r>
      <w:r>
        <w:tab/>
        <w:t>рассмотреть возможность сделать заявления в соответствии со статьями 21 и 22 Конвенции и ратифицировать Факультативный протокол к Конвенции;</w:t>
      </w:r>
    </w:p>
    <w:p w:rsidR="00000000" w:rsidRDefault="00000000"/>
    <w:p w:rsidR="00000000" w:rsidRDefault="00000000">
      <w:r>
        <w:tab/>
      </w:r>
      <w:r>
        <w:rPr>
          <w:lang w:val="fr-CH"/>
        </w:rPr>
        <w:t>n</w:t>
      </w:r>
      <w:r>
        <w:t>)</w:t>
      </w:r>
      <w:r>
        <w:tab/>
        <w:t xml:space="preserve">проводить консультации с Управлением Верховного комиссара по правам человека, независимыми правозащитными механизмами и </w:t>
      </w:r>
      <w:proofErr w:type="spellStart"/>
      <w:r>
        <w:t>страновыми</w:t>
      </w:r>
      <w:proofErr w:type="spellEnd"/>
      <w:r>
        <w:t xml:space="preserve"> программами Организации Объединенных Наций для разработки надлежащих программ в области образования и подготовки кадров, в частности по вопросам процессов подготовки докладов органам Организации Объединенных Наций по правам человека, и программ, направленных на усиление запрета пыток и жестокого обращения.</w:t>
      </w:r>
    </w:p>
    <w:p w:rsidR="00000000" w:rsidRDefault="00000000"/>
    <w:p w:rsidR="00000000" w:rsidRDefault="00000000">
      <w:r>
        <w:t>8.</w:t>
      </w:r>
      <w:r>
        <w:tab/>
        <w:t>Комитет рекомендует государству-участнику, чтобы его следующий доклад соответствовал руководящим принципам Комитета в отношении представления докладов и, в частности, включал:</w:t>
      </w:r>
    </w:p>
    <w:p w:rsidR="00000000" w:rsidRDefault="00000000"/>
    <w:p w:rsidR="00000000" w:rsidRDefault="00000000">
      <w:r>
        <w:tab/>
        <w:t>а)</w:t>
      </w:r>
      <w:r>
        <w:tab/>
        <w:t>подробную информацию о практическом осуществлении его законодательства и рекомендаций Комитета;</w:t>
      </w:r>
    </w:p>
    <w:p w:rsidR="00000000" w:rsidRDefault="00000000"/>
    <w:p w:rsidR="00000000" w:rsidRDefault="00000000">
      <w:r>
        <w:tab/>
      </w:r>
      <w:r>
        <w:rPr>
          <w:lang w:val="fr-CH"/>
        </w:rPr>
        <w:t>b</w:t>
      </w:r>
      <w:r>
        <w:t>)</w:t>
      </w:r>
      <w:r>
        <w:tab/>
        <w:t xml:space="preserve">подробные статистические данные - в разбивке по совершенным преступлениям, географическим районам, этническим группам и признаку пола </w:t>
      </w:r>
      <w:r>
        <w:noBreakHyphen/>
        <w:t xml:space="preserve"> о жалобах на акты пыток и жестокого обращения, предположительно совершаемые сотрудниками правоохранительных органов, а также о проведенных в этой связи расследованиях, судебном преследовании виновных и применении уголовных и дисциплинарных наказаний.</w:t>
      </w:r>
    </w:p>
    <w:p w:rsidR="00000000" w:rsidRDefault="00000000"/>
    <w:p w:rsidR="00000000" w:rsidRDefault="00000000">
      <w:r>
        <w:t>9.</w:t>
      </w:r>
      <w:r>
        <w:tab/>
        <w:t xml:space="preserve">Комитет рекомендует государству-участнику обеспечить широкое распространение представленных Йеменом докладов Комитету и выводов и рекомендаций Комитета на соответствующих языках через официальные </w:t>
      </w:r>
      <w:proofErr w:type="spellStart"/>
      <w:r>
        <w:t>вебсайты</w:t>
      </w:r>
      <w:proofErr w:type="spellEnd"/>
      <w:r>
        <w:t>, средства массовой информации и неправительственные организации.</w:t>
      </w:r>
    </w:p>
    <w:p w:rsidR="00000000" w:rsidRDefault="00000000"/>
    <w:p w:rsidR="00000000" w:rsidRDefault="00000000">
      <w:r>
        <w:t>10.</w:t>
      </w:r>
      <w:r>
        <w:tab/>
        <w:t>Комитет предлагает делегации представить дополнительную письменную информацию по вопросам, которые были затронуты в ходе диалога и остались без ответа.</w:t>
      </w:r>
    </w:p>
    <w:p w:rsidR="00000000" w:rsidRDefault="00000000"/>
    <w:p w:rsidR="00000000" w:rsidRDefault="00000000">
      <w:r>
        <w:t>11.</w:t>
      </w:r>
      <w:r>
        <w:tab/>
        <w:t>Комитет просит государство-участник представить в течение года информацию о действиях, предпринятых им в ответ на рекомендации Комитета, содержащиеся в подпунктах </w:t>
      </w:r>
      <w:proofErr w:type="spellStart"/>
      <w:r>
        <w:t>d</w:t>
      </w:r>
      <w:proofErr w:type="spellEnd"/>
      <w:r>
        <w:t xml:space="preserve">) и </w:t>
      </w:r>
      <w:proofErr w:type="spellStart"/>
      <w:r>
        <w:t>f</w:t>
      </w:r>
      <w:proofErr w:type="spellEnd"/>
      <w:r>
        <w:t>) 7 выше.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/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CAT/C/CR/31/4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ind w:left="7371"/>
      <w:rPr>
        <w:lang w:val="en-US"/>
      </w:rPr>
    </w:pPr>
    <w:r>
      <w:rPr>
        <w:lang w:val="en-US"/>
      </w:rPr>
      <w:t>CAT/C/CR/31/4</w:t>
    </w:r>
  </w:p>
  <w:p w:rsidR="00000000" w:rsidRDefault="00000000">
    <w:pPr>
      <w:pStyle w:val="Header"/>
      <w:tabs>
        <w:tab w:val="left" w:pos="6237"/>
      </w:tabs>
      <w:spacing w:line="240" w:lineRule="auto"/>
      <w:ind w:left="7371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1396</Words>
  <Characters>7961</Characters>
  <Application>Microsoft Office Word</Application>
  <DocSecurity>4</DocSecurity>
  <Lines>66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Kataeva</dc:creator>
  <cp:keywords/>
  <dc:description/>
  <cp:lastModifiedBy>Kataeva</cp:lastModifiedBy>
  <cp:revision>3</cp:revision>
  <cp:lastPrinted>2004-02-10T14:24:00Z</cp:lastPrinted>
  <dcterms:created xsi:type="dcterms:W3CDTF">2004-02-10T14:24:00Z</dcterms:created>
  <dcterms:modified xsi:type="dcterms:W3CDTF">2004-02-10T14:24:00Z</dcterms:modified>
</cp:coreProperties>
</file>