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92F0E" w:rsidP="00392F0E">
            <w:pPr>
              <w:bidi w:val="0"/>
              <w:spacing w:after="20"/>
              <w:jc w:val="left"/>
              <w:rPr>
                <w:szCs w:val="20"/>
              </w:rPr>
            </w:pPr>
            <w:r w:rsidRPr="00392F0E">
              <w:rPr>
                <w:sz w:val="40"/>
                <w:szCs w:val="20"/>
              </w:rPr>
              <w:t>CAT</w:t>
            </w:r>
            <w:r>
              <w:rPr>
                <w:szCs w:val="20"/>
              </w:rPr>
              <w:t>/C/ESP/CO/5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92F0E" w:rsidRDefault="00392F0E" w:rsidP="00392F0E">
            <w:pPr>
              <w:bidi w:val="0"/>
              <w:spacing w:before="240"/>
              <w:jc w:val="left"/>
            </w:pPr>
            <w:r>
              <w:t>Distr.: General</w:t>
            </w:r>
          </w:p>
          <w:p w:rsidR="00392F0E" w:rsidRDefault="00392F0E" w:rsidP="00392F0E">
            <w:pPr>
              <w:bidi w:val="0"/>
              <w:jc w:val="left"/>
            </w:pPr>
            <w:r>
              <w:t>9 December 2009</w:t>
            </w:r>
          </w:p>
          <w:p w:rsidR="00392F0E" w:rsidRDefault="00392F0E" w:rsidP="00392F0E">
            <w:pPr>
              <w:bidi w:val="0"/>
              <w:jc w:val="left"/>
            </w:pPr>
            <w:r>
              <w:t>Arabic</w:t>
            </w:r>
          </w:p>
          <w:p w:rsidR="00257225" w:rsidRPr="008B4BC6" w:rsidRDefault="00392F0E" w:rsidP="00392F0E">
            <w:pPr>
              <w:bidi w:val="0"/>
              <w:jc w:val="left"/>
            </w:pPr>
            <w:r>
              <w:t>Original: Spanish</w:t>
            </w:r>
          </w:p>
        </w:tc>
      </w:tr>
    </w:tbl>
    <w:p w:rsidR="00392F0E" w:rsidRPr="00392F0E" w:rsidRDefault="00392F0E" w:rsidP="005765A0">
      <w:pPr>
        <w:pStyle w:val="H1"/>
        <w:tabs>
          <w:tab w:val="right" w:pos="1022"/>
          <w:tab w:val="left" w:pos="1267"/>
          <w:tab w:val="left" w:pos="1930"/>
          <w:tab w:val="left" w:pos="2592"/>
          <w:tab w:val="left" w:pos="3254"/>
          <w:tab w:val="left" w:pos="3917"/>
          <w:tab w:val="left" w:pos="4579"/>
          <w:tab w:val="left" w:pos="5242"/>
          <w:tab w:val="left" w:pos="5904"/>
          <w:tab w:val="left" w:pos="6566"/>
        </w:tabs>
        <w:spacing w:before="120" w:line="380" w:lineRule="exact"/>
        <w:ind w:right="1259"/>
        <w:rPr>
          <w:rFonts w:hint="cs"/>
          <w:sz w:val="26"/>
          <w:szCs w:val="36"/>
          <w:rtl/>
        </w:rPr>
      </w:pPr>
      <w:r w:rsidRPr="00392F0E">
        <w:rPr>
          <w:sz w:val="26"/>
          <w:szCs w:val="36"/>
          <w:rtl/>
        </w:rPr>
        <w:t xml:space="preserve">لجنة </w:t>
      </w:r>
      <w:r w:rsidRPr="00392F0E">
        <w:rPr>
          <w:rFonts w:hint="cs"/>
          <w:sz w:val="26"/>
          <w:szCs w:val="36"/>
          <w:rtl/>
        </w:rPr>
        <w:t>مناهضة التعذيب</w:t>
      </w:r>
    </w:p>
    <w:p w:rsidR="00392F0E" w:rsidRPr="00392F0E" w:rsidRDefault="00392F0E" w:rsidP="005765A0">
      <w:pPr>
        <w:pStyle w:val="SingleTxt"/>
        <w:spacing w:after="0" w:line="380" w:lineRule="exact"/>
        <w:ind w:left="0" w:right="1264"/>
        <w:jc w:val="left"/>
        <w:rPr>
          <w:rFonts w:hint="cs"/>
          <w:b/>
          <w:bCs/>
          <w:rtl/>
        </w:rPr>
      </w:pPr>
      <w:r w:rsidRPr="00392F0E">
        <w:rPr>
          <w:rFonts w:hint="cs"/>
          <w:b/>
          <w:bCs/>
          <w:rtl/>
        </w:rPr>
        <w:t>الدورة الثالثة والأربعون</w:t>
      </w:r>
    </w:p>
    <w:p w:rsidR="00392F0E" w:rsidRDefault="00392F0E" w:rsidP="005765A0">
      <w:pPr>
        <w:pStyle w:val="SingleTxt"/>
        <w:spacing w:after="0" w:line="380" w:lineRule="exact"/>
        <w:ind w:left="0" w:right="1264"/>
        <w:jc w:val="left"/>
        <w:rPr>
          <w:rFonts w:hint="cs"/>
          <w:rtl/>
        </w:rPr>
      </w:pPr>
      <w:r>
        <w:rPr>
          <w:rFonts w:hint="cs"/>
          <w:rtl/>
        </w:rPr>
        <w:t>2-20 تشرين الثاني/نوفمبر 2009</w:t>
      </w:r>
    </w:p>
    <w:p w:rsidR="00392F0E" w:rsidRPr="00392F0E" w:rsidRDefault="00392F0E" w:rsidP="00392F0E">
      <w:pPr>
        <w:pStyle w:val="HChGA"/>
        <w:rPr>
          <w:rFonts w:hint="cs"/>
          <w:rtl/>
        </w:rPr>
      </w:pPr>
      <w:r w:rsidRPr="00392F0E">
        <w:rPr>
          <w:rFonts w:hint="cs"/>
          <w:rtl/>
        </w:rPr>
        <w:tab/>
      </w:r>
      <w:r w:rsidRPr="00392F0E">
        <w:rPr>
          <w:rFonts w:hint="cs"/>
          <w:rtl/>
        </w:rPr>
        <w:tab/>
        <w:t>النظر في التقارير المقدمة من ال</w:t>
      </w:r>
      <w:r>
        <w:rPr>
          <w:rFonts w:hint="cs"/>
          <w:rtl/>
        </w:rPr>
        <w:t>ـ</w:t>
      </w:r>
      <w:r w:rsidRPr="00392F0E">
        <w:rPr>
          <w:rFonts w:hint="cs"/>
          <w:rtl/>
        </w:rPr>
        <w:t>دول الأط</w:t>
      </w:r>
      <w:r>
        <w:rPr>
          <w:rFonts w:hint="cs"/>
          <w:rtl/>
        </w:rPr>
        <w:t>ـ</w:t>
      </w:r>
      <w:r w:rsidRPr="00392F0E">
        <w:rPr>
          <w:rFonts w:hint="cs"/>
          <w:rtl/>
        </w:rPr>
        <w:t xml:space="preserve">راف بموجب المادة 19 من الاتفاقية </w:t>
      </w:r>
    </w:p>
    <w:p w:rsidR="00392F0E" w:rsidRPr="00392F0E" w:rsidRDefault="00392F0E" w:rsidP="00392F0E">
      <w:pPr>
        <w:pStyle w:val="H1GA"/>
        <w:rPr>
          <w:rFonts w:hint="cs"/>
          <w:rtl/>
        </w:rPr>
      </w:pPr>
      <w:r w:rsidRPr="00392F0E">
        <w:rPr>
          <w:rtl/>
        </w:rPr>
        <w:tab/>
      </w:r>
      <w:r w:rsidRPr="00392F0E">
        <w:rPr>
          <w:rtl/>
        </w:rPr>
        <w:tab/>
      </w:r>
      <w:r w:rsidRPr="00392F0E">
        <w:rPr>
          <w:rFonts w:hint="cs"/>
          <w:rtl/>
        </w:rPr>
        <w:t>ملاحظات ختامية للجنة مناهضة التعذيب</w:t>
      </w:r>
      <w:r w:rsidRPr="00392F0E">
        <w:t> </w:t>
      </w:r>
    </w:p>
    <w:p w:rsidR="00392F0E" w:rsidRPr="00392F0E" w:rsidRDefault="00392F0E" w:rsidP="00392F0E">
      <w:pPr>
        <w:pStyle w:val="HChGA"/>
        <w:rPr>
          <w:rFonts w:hint="cs"/>
          <w:rtl/>
        </w:rPr>
      </w:pPr>
      <w:r>
        <w:rPr>
          <w:rFonts w:hint="cs"/>
          <w:rtl/>
        </w:rPr>
        <w:tab/>
      </w:r>
      <w:r w:rsidRPr="00392F0E">
        <w:rPr>
          <w:rtl/>
        </w:rPr>
        <w:tab/>
      </w:r>
      <w:r w:rsidRPr="00392F0E">
        <w:rPr>
          <w:rFonts w:hint="cs"/>
          <w:rtl/>
        </w:rPr>
        <w:t>إسبانيا</w:t>
      </w:r>
    </w:p>
    <w:p w:rsidR="00392F0E" w:rsidRPr="00392F0E" w:rsidRDefault="00392F0E" w:rsidP="00392F0E">
      <w:pPr>
        <w:pStyle w:val="SingleTxtGA"/>
        <w:rPr>
          <w:rFonts w:hint="cs"/>
          <w:rtl/>
        </w:rPr>
      </w:pPr>
      <w:r w:rsidRPr="00392F0E">
        <w:rPr>
          <w:rFonts w:hint="cs"/>
          <w:rtl/>
        </w:rPr>
        <w:t>1-</w:t>
      </w:r>
      <w:r w:rsidRPr="00392F0E">
        <w:rPr>
          <w:rFonts w:hint="cs"/>
          <w:rtl/>
        </w:rPr>
        <w:tab/>
        <w:t xml:space="preserve">نظرت لجنة مناهضة التعذيب في التقرير الدوري الخامس لإسبانيا </w:t>
      </w:r>
      <w:r w:rsidRPr="00392F0E">
        <w:t>(CAT/C/ESP/5)</w:t>
      </w:r>
      <w:r w:rsidRPr="00392F0E">
        <w:rPr>
          <w:rFonts w:hint="cs"/>
          <w:rtl/>
        </w:rPr>
        <w:t xml:space="preserve"> </w:t>
      </w:r>
      <w:r w:rsidRPr="00392F0E">
        <w:rPr>
          <w:rFonts w:hint="cs"/>
          <w:spacing w:val="-6"/>
          <w:rtl/>
        </w:rPr>
        <w:t>في جلستيها 913 و914 اللتين عقدتا يومي 12 و13 تشرين الثاني/نوفمبر 2009 (</w:t>
      </w:r>
      <w:r w:rsidRPr="00392F0E">
        <w:rPr>
          <w:spacing w:val="-6"/>
        </w:rPr>
        <w:t>CAT/C/</w:t>
      </w:r>
      <w:r>
        <w:rPr>
          <w:spacing w:val="-6"/>
        </w:rPr>
        <w:t>SR.913</w:t>
      </w:r>
      <w:r w:rsidRPr="00392F0E">
        <w:rPr>
          <w:rFonts w:hint="cs"/>
          <w:spacing w:val="-6"/>
          <w:rtl/>
        </w:rPr>
        <w:t xml:space="preserve"> و</w:t>
      </w:r>
      <w:r>
        <w:rPr>
          <w:spacing w:val="-6"/>
        </w:rPr>
        <w:t>CAT/C/SR.914</w:t>
      </w:r>
      <w:r w:rsidRPr="00392F0E">
        <w:rPr>
          <w:rFonts w:hint="cs"/>
          <w:spacing w:val="-6"/>
          <w:rtl/>
        </w:rPr>
        <w:t>4)</w:t>
      </w:r>
      <w:r w:rsidRPr="00392F0E">
        <w:rPr>
          <w:rFonts w:hint="cs"/>
          <w:rtl/>
        </w:rPr>
        <w:t xml:space="preserve"> وفيما يلي الاستنتاجات والتوصيات التي اعتمدتها في جلستها 923 </w:t>
      </w:r>
      <w:r w:rsidRPr="00392F0E">
        <w:t>(CAT/C/SR.923)</w:t>
      </w:r>
      <w:r w:rsidRPr="00392F0E">
        <w:rPr>
          <w:rFonts w:hint="cs"/>
          <w:rtl/>
        </w:rPr>
        <w:t>.</w:t>
      </w:r>
    </w:p>
    <w:p w:rsidR="00392F0E" w:rsidRPr="00392F0E" w:rsidRDefault="00392F0E" w:rsidP="00392F0E">
      <w:pPr>
        <w:pStyle w:val="H1GA"/>
        <w:rPr>
          <w:rFonts w:hint="cs"/>
          <w:rtl/>
        </w:rPr>
      </w:pPr>
      <w:r>
        <w:rPr>
          <w:rFonts w:hint="cs"/>
          <w:rtl/>
        </w:rPr>
        <w:tab/>
      </w:r>
      <w:r w:rsidRPr="00392F0E">
        <w:rPr>
          <w:rFonts w:hint="cs"/>
          <w:rtl/>
        </w:rPr>
        <w:t>ألف</w:t>
      </w:r>
      <w:r>
        <w:rPr>
          <w:rFonts w:hint="cs"/>
          <w:rtl/>
        </w:rPr>
        <w:t xml:space="preserve"> </w:t>
      </w:r>
      <w:r w:rsidRPr="00392F0E">
        <w:rPr>
          <w:rFonts w:hint="cs"/>
          <w:rtl/>
        </w:rPr>
        <w:t>-</w:t>
      </w:r>
      <w:r>
        <w:rPr>
          <w:rFonts w:hint="cs"/>
          <w:rtl/>
        </w:rPr>
        <w:tab/>
      </w:r>
      <w:r w:rsidRPr="00392F0E">
        <w:rPr>
          <w:rFonts w:hint="cs"/>
          <w:rtl/>
        </w:rPr>
        <w:t>المقدمة</w:t>
      </w:r>
    </w:p>
    <w:p w:rsidR="00392F0E" w:rsidRPr="00392F0E" w:rsidRDefault="00392F0E" w:rsidP="00392F0E">
      <w:pPr>
        <w:pStyle w:val="SingleTxtGA"/>
        <w:rPr>
          <w:rFonts w:hint="cs"/>
          <w:rtl/>
        </w:rPr>
      </w:pPr>
      <w:r w:rsidRPr="00392F0E">
        <w:rPr>
          <w:rFonts w:hint="cs"/>
          <w:rtl/>
        </w:rPr>
        <w:t>2-</w:t>
      </w:r>
      <w:r w:rsidRPr="00392F0E">
        <w:rPr>
          <w:rFonts w:hint="cs"/>
          <w:rtl/>
        </w:rPr>
        <w:tab/>
        <w:t>ترحب اللجنة بالتقرير الدوري الخامس لإسبانيا المقدم وفقا للمبادئ التوجيهية للجنة، وترحب أيضا</w:t>
      </w:r>
      <w:r>
        <w:rPr>
          <w:rFonts w:hint="cs"/>
          <w:rtl/>
        </w:rPr>
        <w:t>ً</w:t>
      </w:r>
      <w:r w:rsidRPr="00392F0E">
        <w:rPr>
          <w:rFonts w:hint="cs"/>
          <w:rtl/>
        </w:rPr>
        <w:t xml:space="preserve"> بالردود المقدمة على قائمة المسائل المطروحة للنقاش. وتلاحظ اللجنة </w:t>
      </w:r>
      <w:r>
        <w:rPr>
          <w:rFonts w:hint="cs"/>
          <w:rtl/>
        </w:rPr>
        <w:t xml:space="preserve">أيضاً </w:t>
      </w:r>
      <w:r w:rsidRPr="00392F0E">
        <w:rPr>
          <w:rFonts w:hint="cs"/>
          <w:rtl/>
        </w:rPr>
        <w:t xml:space="preserve">مع الارتياح الجهود البناءة التي بذلها الوفد المشترك بين القطاعات لتقديم المعلومات والتوضيحات الإضافية أثناء مناقشة هذا التقرير. </w:t>
      </w:r>
    </w:p>
    <w:p w:rsidR="00392F0E" w:rsidRPr="00392F0E" w:rsidRDefault="00392F0E" w:rsidP="00392F0E">
      <w:pPr>
        <w:pStyle w:val="H1GA"/>
        <w:rPr>
          <w:rFonts w:hint="cs"/>
          <w:rtl/>
        </w:rPr>
      </w:pPr>
      <w:r>
        <w:rPr>
          <w:rFonts w:hint="cs"/>
          <w:rtl/>
        </w:rPr>
        <w:tab/>
      </w:r>
      <w:r w:rsidRPr="00392F0E">
        <w:rPr>
          <w:rFonts w:hint="cs"/>
          <w:rtl/>
        </w:rPr>
        <w:t>باء</w:t>
      </w:r>
      <w:r>
        <w:rPr>
          <w:rFonts w:hint="cs"/>
          <w:rtl/>
        </w:rPr>
        <w:t xml:space="preserve"> </w:t>
      </w:r>
      <w:r w:rsidRPr="00392F0E">
        <w:rPr>
          <w:rFonts w:hint="cs"/>
          <w:rtl/>
        </w:rPr>
        <w:t>-</w:t>
      </w:r>
      <w:r w:rsidRPr="00392F0E">
        <w:rPr>
          <w:rFonts w:hint="cs"/>
          <w:rtl/>
        </w:rPr>
        <w:tab/>
        <w:t>الجوانب الإيجابية</w:t>
      </w:r>
    </w:p>
    <w:p w:rsidR="00392F0E" w:rsidRPr="00392F0E" w:rsidRDefault="00392F0E" w:rsidP="00392F0E">
      <w:pPr>
        <w:pStyle w:val="SingleTxtGA"/>
        <w:rPr>
          <w:rFonts w:hint="cs"/>
          <w:rtl/>
        </w:rPr>
      </w:pPr>
      <w:r w:rsidRPr="00392F0E">
        <w:rPr>
          <w:rFonts w:hint="cs"/>
          <w:rtl/>
        </w:rPr>
        <w:t>3-</w:t>
      </w:r>
      <w:r w:rsidRPr="00392F0E">
        <w:rPr>
          <w:rFonts w:hint="cs"/>
          <w:rtl/>
        </w:rPr>
        <w:tab/>
        <w:t>ترحب اللجنة بالتصديق على الصكوك الدولية التالية:</w:t>
      </w:r>
    </w:p>
    <w:p w:rsidR="00392F0E" w:rsidRPr="00392F0E" w:rsidRDefault="00392F0E" w:rsidP="00392F0E">
      <w:pPr>
        <w:pStyle w:val="SingleTxtGA"/>
        <w:rPr>
          <w:rFonts w:hint="cs"/>
          <w:rtl/>
        </w:rPr>
      </w:pPr>
      <w:r>
        <w:rPr>
          <w:rFonts w:hint="cs"/>
          <w:rtl/>
        </w:rPr>
        <w:tab/>
      </w:r>
      <w:r w:rsidRPr="00392F0E">
        <w:rPr>
          <w:rFonts w:hint="cs"/>
          <w:rtl/>
        </w:rPr>
        <w:t>(أ)</w:t>
      </w:r>
      <w:r w:rsidRPr="00392F0E">
        <w:rPr>
          <w:rFonts w:hint="cs"/>
          <w:rtl/>
        </w:rPr>
        <w:tab/>
      </w:r>
      <w:r>
        <w:rPr>
          <w:rFonts w:hint="cs"/>
          <w:rtl/>
        </w:rPr>
        <w:t>البروتوكول الاختياري لا</w:t>
      </w:r>
      <w:r w:rsidRPr="00392F0E">
        <w:rPr>
          <w:rtl/>
        </w:rPr>
        <w:t xml:space="preserve">تفاقية </w:t>
      </w:r>
      <w:r w:rsidRPr="00392F0E">
        <w:rPr>
          <w:rFonts w:hint="cs"/>
          <w:rtl/>
        </w:rPr>
        <w:t>مناهضة التعذيب وغير من ضروب المعاملة أو العقوبة القاسية أو اللاإنسانية أو المهينة (4 نيسان/أبريل 2006)؛</w:t>
      </w:r>
    </w:p>
    <w:p w:rsidR="00392F0E" w:rsidRPr="00392F0E" w:rsidRDefault="00392F0E" w:rsidP="00392F0E">
      <w:pPr>
        <w:pStyle w:val="SingleTxtGA"/>
        <w:rPr>
          <w:rFonts w:hint="cs"/>
          <w:rtl/>
        </w:rPr>
      </w:pPr>
      <w:r>
        <w:rPr>
          <w:rFonts w:hint="cs"/>
          <w:rtl/>
        </w:rPr>
        <w:tab/>
      </w:r>
      <w:r w:rsidRPr="00392F0E">
        <w:rPr>
          <w:rFonts w:hint="cs"/>
          <w:rtl/>
        </w:rPr>
        <w:t>(ب)</w:t>
      </w:r>
      <w:r w:rsidRPr="00392F0E">
        <w:rPr>
          <w:rFonts w:hint="cs"/>
          <w:rtl/>
        </w:rPr>
        <w:tab/>
      </w:r>
      <w:r>
        <w:rPr>
          <w:rFonts w:hint="cs"/>
          <w:rtl/>
        </w:rPr>
        <w:t>ا</w:t>
      </w:r>
      <w:r w:rsidRPr="00392F0E">
        <w:rPr>
          <w:rtl/>
        </w:rPr>
        <w:t>لاتفاقية الدولية لحماية جميع الأشخاص من الاختفاء القسري</w:t>
      </w:r>
      <w:r w:rsidRPr="00392F0E">
        <w:rPr>
          <w:rFonts w:hint="cs"/>
          <w:rtl/>
        </w:rPr>
        <w:t xml:space="preserve"> </w:t>
      </w:r>
      <w:r w:rsidR="00B435A9">
        <w:rPr>
          <w:rFonts w:hint="cs"/>
          <w:rtl/>
        </w:rPr>
        <w:t xml:space="preserve">             </w:t>
      </w:r>
      <w:r w:rsidRPr="00392F0E">
        <w:rPr>
          <w:rFonts w:hint="cs"/>
          <w:rtl/>
        </w:rPr>
        <w:t>(24 أيلول/سبتمبر 2009)؛</w:t>
      </w:r>
    </w:p>
    <w:p w:rsidR="00392F0E" w:rsidRPr="00392F0E" w:rsidRDefault="00392F0E" w:rsidP="00392F0E">
      <w:pPr>
        <w:pStyle w:val="SingleTxtGA"/>
        <w:rPr>
          <w:rFonts w:hint="cs"/>
          <w:rtl/>
        </w:rPr>
      </w:pPr>
      <w:r w:rsidRPr="00392F0E">
        <w:rPr>
          <w:rFonts w:hint="cs"/>
          <w:rtl/>
        </w:rPr>
        <w:tab/>
        <w:t>(ج)</w:t>
      </w:r>
      <w:r w:rsidRPr="00392F0E">
        <w:rPr>
          <w:rFonts w:hint="cs"/>
          <w:rtl/>
        </w:rPr>
        <w:tab/>
      </w:r>
      <w:r w:rsidRPr="00392F0E">
        <w:rPr>
          <w:rtl/>
        </w:rPr>
        <w:t>اتفاقية حقوق الأشخاص ذوي الإعاقة</w:t>
      </w:r>
      <w:r w:rsidRPr="00392F0E">
        <w:rPr>
          <w:rFonts w:hint="cs"/>
          <w:rtl/>
        </w:rPr>
        <w:t xml:space="preserve"> وبروتوكولها الاختياري (3 كانون الأول/ديسمبر 2007)؛</w:t>
      </w:r>
    </w:p>
    <w:p w:rsidR="00392F0E" w:rsidRPr="00392F0E" w:rsidRDefault="00392F0E" w:rsidP="00392F0E">
      <w:pPr>
        <w:pStyle w:val="SingleTxtGA"/>
        <w:rPr>
          <w:rFonts w:hint="cs"/>
          <w:spacing w:val="-6"/>
          <w:rtl/>
        </w:rPr>
      </w:pPr>
      <w:r w:rsidRPr="00392F0E">
        <w:rPr>
          <w:rFonts w:hint="cs"/>
          <w:rtl/>
        </w:rPr>
        <w:tab/>
        <w:t>(د)</w:t>
      </w:r>
      <w:r w:rsidRPr="00392F0E">
        <w:rPr>
          <w:rFonts w:hint="cs"/>
          <w:rtl/>
        </w:rPr>
        <w:tab/>
      </w:r>
      <w:r w:rsidRPr="00392F0E">
        <w:rPr>
          <w:rFonts w:hint="cs"/>
          <w:spacing w:val="-6"/>
          <w:rtl/>
        </w:rPr>
        <w:t>اتفاقية مجلس أوروبا المتعلقة بمكافحة الاتجار بالبشر (2 نيسان/أبريل 2009).</w:t>
      </w:r>
    </w:p>
    <w:p w:rsidR="00392F0E" w:rsidRPr="00392F0E" w:rsidRDefault="00392F0E" w:rsidP="005765A0">
      <w:pPr>
        <w:pStyle w:val="SingleTxtGA"/>
        <w:rPr>
          <w:rFonts w:hint="cs"/>
          <w:rtl/>
        </w:rPr>
      </w:pPr>
      <w:r w:rsidRPr="00392F0E">
        <w:rPr>
          <w:rFonts w:hint="cs"/>
          <w:rtl/>
        </w:rPr>
        <w:t>4-</w:t>
      </w:r>
      <w:r w:rsidRPr="00392F0E">
        <w:rPr>
          <w:rFonts w:hint="cs"/>
          <w:rtl/>
        </w:rPr>
        <w:tab/>
        <w:t>وتلاحظ اللجنة مع الارتياح الجهود التي تبذلها الدولة الطرف لتعديل تشريعاتها، وسياساتها العامة وإجراءاتها كي توفر أكبر قدر من الحماية لحقوق الإنسان، ولا سيما الحق في عدم التعرض للتعذيب أو غيره من ضروب المعاملة أو العقوبة القاسية أو اللاإنسانية، وخاصة فيما يتعلق بما يلي:</w:t>
      </w:r>
    </w:p>
    <w:p w:rsidR="00392F0E" w:rsidRPr="00392F0E" w:rsidRDefault="00392F0E" w:rsidP="00D23F91">
      <w:pPr>
        <w:pStyle w:val="SingleTxtGA"/>
        <w:rPr>
          <w:rFonts w:hint="cs"/>
          <w:rtl/>
        </w:rPr>
      </w:pPr>
      <w:r w:rsidRPr="00392F0E">
        <w:rPr>
          <w:rFonts w:hint="cs"/>
          <w:rtl/>
        </w:rPr>
        <w:tab/>
        <w:t>(أ)</w:t>
      </w:r>
      <w:r w:rsidRPr="00392F0E">
        <w:rPr>
          <w:rFonts w:hint="cs"/>
          <w:rtl/>
        </w:rPr>
        <w:tab/>
        <w:t xml:space="preserve">اعتماد قانون الذاكرة التاريخية (القانون رقم </w:t>
      </w:r>
      <w:r w:rsidRPr="00392F0E">
        <w:t>52/2007</w:t>
      </w:r>
      <w:r w:rsidRPr="00392F0E">
        <w:rPr>
          <w:rFonts w:hint="cs"/>
          <w:rtl/>
        </w:rPr>
        <w:t xml:space="preserve">) في 26 كانون الأول/ديسمبر. </w:t>
      </w:r>
      <w:r w:rsidR="00D23F91">
        <w:rPr>
          <w:rFonts w:hint="cs"/>
          <w:rtl/>
        </w:rPr>
        <w:t>وهو</w:t>
      </w:r>
      <w:r w:rsidRPr="00392F0E">
        <w:rPr>
          <w:rFonts w:hint="cs"/>
          <w:rtl/>
        </w:rPr>
        <w:t xml:space="preserve"> القانون الذي يعترف بالحقوق ويوسع نطاقها، ويضع إجراءات لفائدة الأشخاص الذين عانوا من </w:t>
      </w:r>
      <w:r w:rsidR="00D23F91">
        <w:rPr>
          <w:rFonts w:hint="cs"/>
          <w:rtl/>
        </w:rPr>
        <w:t xml:space="preserve">الاضطهاد </w:t>
      </w:r>
      <w:r w:rsidRPr="00392F0E">
        <w:rPr>
          <w:rFonts w:hint="cs"/>
          <w:rtl/>
        </w:rPr>
        <w:t xml:space="preserve">أو العنف خلال الحرب الأهلية أو في </w:t>
      </w:r>
      <w:r w:rsidR="00D23F91">
        <w:rPr>
          <w:rFonts w:hint="cs"/>
          <w:rtl/>
        </w:rPr>
        <w:t>حقبة</w:t>
      </w:r>
      <w:r w:rsidRPr="00392F0E">
        <w:rPr>
          <w:rFonts w:hint="cs"/>
          <w:rtl/>
        </w:rPr>
        <w:t xml:space="preserve"> الحكم الاستبدادي، بما في ذلك الحق في الحصول على </w:t>
      </w:r>
      <w:r w:rsidR="00D23F91">
        <w:rPr>
          <w:rFonts w:hint="cs"/>
          <w:rtl/>
        </w:rPr>
        <w:t>إعلان بالتعويض؛</w:t>
      </w:r>
    </w:p>
    <w:p w:rsidR="00392F0E" w:rsidRPr="00392F0E" w:rsidRDefault="00392F0E" w:rsidP="00D23F91">
      <w:pPr>
        <w:pStyle w:val="SingleTxtGA"/>
        <w:rPr>
          <w:rFonts w:hint="cs"/>
          <w:rtl/>
        </w:rPr>
      </w:pPr>
      <w:r w:rsidRPr="00392F0E">
        <w:rPr>
          <w:rFonts w:hint="cs"/>
          <w:rtl/>
        </w:rPr>
        <w:tab/>
        <w:t>(ب)</w:t>
      </w:r>
      <w:r w:rsidRPr="00392F0E">
        <w:rPr>
          <w:rFonts w:hint="cs"/>
          <w:rtl/>
        </w:rPr>
        <w:tab/>
        <w:t>تعديل المادة 154 من القانون المدني بما يزيل صراحة أي لبس أو أي ثغرات قد تُتّخذ ذريعة لاستخدام أي ضرب من ضروب العنف أو العقوبة الجسدية بحق الأطفال؛</w:t>
      </w:r>
    </w:p>
    <w:p w:rsidR="00392F0E" w:rsidRPr="00392F0E" w:rsidRDefault="00392F0E" w:rsidP="00D23F91">
      <w:pPr>
        <w:pStyle w:val="SingleTxtGA"/>
        <w:rPr>
          <w:rFonts w:hint="cs"/>
          <w:rtl/>
        </w:rPr>
      </w:pPr>
      <w:r w:rsidRPr="00392F0E">
        <w:rPr>
          <w:rFonts w:hint="cs"/>
          <w:rtl/>
        </w:rPr>
        <w:tab/>
        <w:t>(ج)</w:t>
      </w:r>
      <w:r w:rsidRPr="00392F0E">
        <w:rPr>
          <w:rFonts w:hint="cs"/>
          <w:rtl/>
        </w:rPr>
        <w:tab/>
        <w:t>التوجيهات المشتركة الصادرة في كانون الأول/ديسمبر 2005 عن السكرتير العام للدولة والمف</w:t>
      </w:r>
      <w:r w:rsidR="00D23F91">
        <w:rPr>
          <w:rFonts w:hint="cs"/>
          <w:rtl/>
        </w:rPr>
        <w:t>تش</w:t>
      </w:r>
      <w:r w:rsidRPr="00392F0E">
        <w:rPr>
          <w:rFonts w:hint="cs"/>
          <w:rtl/>
        </w:rPr>
        <w:t xml:space="preserve"> العام للشرطة، مشفوعة بكتيب معلومات عن إجراءات اللجوء يوزع على جميع القادمين إلى إسبانيا بطريقة غير شرعية عن طريق البحر ويحتجزون في مراكز احتجاز المهاجرين في جزر الكناري وفي الأندلس؛</w:t>
      </w:r>
    </w:p>
    <w:p w:rsidR="00392F0E" w:rsidRPr="00392F0E" w:rsidRDefault="00392F0E" w:rsidP="00D23F91">
      <w:pPr>
        <w:pStyle w:val="SingleTxtGA"/>
        <w:rPr>
          <w:rFonts w:hint="cs"/>
          <w:rtl/>
        </w:rPr>
      </w:pPr>
      <w:r w:rsidRPr="00392F0E">
        <w:rPr>
          <w:rFonts w:hint="cs"/>
          <w:rtl/>
        </w:rPr>
        <w:tab/>
        <w:t>(د)</w:t>
      </w:r>
      <w:r w:rsidRPr="00392F0E">
        <w:rPr>
          <w:rFonts w:hint="cs"/>
          <w:rtl/>
        </w:rPr>
        <w:tab/>
        <w:t xml:space="preserve">حكم المحكمة العليا رقم </w:t>
      </w:r>
      <w:r w:rsidRPr="00392F0E">
        <w:t>829/2006</w:t>
      </w:r>
      <w:r w:rsidRPr="00392F0E">
        <w:rPr>
          <w:rFonts w:hint="cs"/>
          <w:rtl/>
        </w:rPr>
        <w:t xml:space="preserve"> الذي برّأ السيد حامد عبد الرحمن أحمد من تهمة الإرهاب على أساس أن الاتهام استند إلى الاستجوابات التي جرت عندما كان السيد أحمد معتقلا في سجن غوا</w:t>
      </w:r>
      <w:r w:rsidR="00D23F91">
        <w:rPr>
          <w:rFonts w:hint="cs"/>
          <w:rtl/>
        </w:rPr>
        <w:t>نت</w:t>
      </w:r>
      <w:r w:rsidRPr="00392F0E">
        <w:rPr>
          <w:rFonts w:hint="cs"/>
          <w:rtl/>
        </w:rPr>
        <w:t xml:space="preserve">انامو، وهو "مكان منسي من النظام القضائي وفقا لما تحدده العديد من المعاهدات والاتفاقيات التي وقعها المجتمع الدولي"؛  </w:t>
      </w:r>
    </w:p>
    <w:p w:rsidR="00D23F91" w:rsidRDefault="00392F0E" w:rsidP="00D23F91">
      <w:pPr>
        <w:pStyle w:val="SingleTxtGA"/>
        <w:rPr>
          <w:rFonts w:hint="cs"/>
          <w:rtl/>
        </w:rPr>
      </w:pPr>
      <w:r w:rsidRPr="00392F0E">
        <w:rPr>
          <w:rFonts w:hint="cs"/>
          <w:rtl/>
        </w:rPr>
        <w:tab/>
        <w:t>(</w:t>
      </w:r>
      <w:r w:rsidR="00D23F91">
        <w:rPr>
          <w:rFonts w:hint="cs"/>
          <w:rtl/>
        </w:rPr>
        <w:t>ﻫ</w:t>
      </w:r>
      <w:r w:rsidRPr="00392F0E">
        <w:rPr>
          <w:rFonts w:hint="cs"/>
          <w:rtl/>
        </w:rPr>
        <w:t>)</w:t>
      </w:r>
      <w:r w:rsidRPr="00392F0E">
        <w:rPr>
          <w:rFonts w:hint="cs"/>
          <w:rtl/>
        </w:rPr>
        <w:tab/>
      </w:r>
      <w:r w:rsidR="00D23F91">
        <w:rPr>
          <w:rFonts w:hint="cs"/>
          <w:rtl/>
        </w:rPr>
        <w:t>اعتماد خطة من أجل حقوق الإنسان بموجب قـرار اتخذه مجلس الوزراء في 12 كانون الأول/ديسمبر 2008؛</w:t>
      </w:r>
    </w:p>
    <w:p w:rsidR="00392F0E" w:rsidRPr="00D23F91" w:rsidRDefault="00D23F91" w:rsidP="00D23F91">
      <w:pPr>
        <w:pStyle w:val="SingleTxtGA"/>
        <w:rPr>
          <w:rFonts w:hint="cs"/>
          <w:spacing w:val="-6"/>
          <w:rtl/>
        </w:rPr>
      </w:pPr>
      <w:r>
        <w:rPr>
          <w:rFonts w:hint="cs"/>
          <w:spacing w:val="-6"/>
          <w:rtl/>
        </w:rPr>
        <w:tab/>
        <w:t>(و)</w:t>
      </w:r>
      <w:r>
        <w:rPr>
          <w:rFonts w:hint="cs"/>
          <w:spacing w:val="-6"/>
          <w:rtl/>
        </w:rPr>
        <w:tab/>
      </w:r>
      <w:r w:rsidR="00392F0E" w:rsidRPr="00D23F91">
        <w:rPr>
          <w:rFonts w:hint="cs"/>
          <w:rtl/>
        </w:rPr>
        <w:t xml:space="preserve">اعتماد خطة </w:t>
      </w:r>
      <w:r w:rsidRPr="00D23F91">
        <w:rPr>
          <w:rFonts w:hint="cs"/>
          <w:rtl/>
        </w:rPr>
        <w:t>ل</w:t>
      </w:r>
      <w:r w:rsidR="00392F0E" w:rsidRPr="00D23F91">
        <w:rPr>
          <w:rFonts w:hint="cs"/>
          <w:rtl/>
        </w:rPr>
        <w:t>مكافحة الاتجار با</w:t>
      </w:r>
      <w:r w:rsidRPr="00D23F91">
        <w:rPr>
          <w:rFonts w:hint="cs"/>
          <w:rtl/>
        </w:rPr>
        <w:t>لبشر</w:t>
      </w:r>
      <w:r w:rsidR="00392F0E" w:rsidRPr="00D23F91">
        <w:rPr>
          <w:rFonts w:hint="cs"/>
          <w:rtl/>
        </w:rPr>
        <w:t xml:space="preserve"> لأغراض الاستغلال الجنسي</w:t>
      </w:r>
      <w:r w:rsidRPr="00D23F91">
        <w:rPr>
          <w:rFonts w:hint="cs"/>
          <w:rtl/>
        </w:rPr>
        <w:t>،</w:t>
      </w:r>
      <w:r w:rsidR="00392F0E" w:rsidRPr="00D23F91">
        <w:rPr>
          <w:rFonts w:hint="cs"/>
          <w:rtl/>
        </w:rPr>
        <w:t xml:space="preserve"> في 12 كانون الأول/ديسمبر 2008،</w:t>
      </w:r>
      <w:r w:rsidR="00392F0E" w:rsidRPr="00D23F91">
        <w:rPr>
          <w:rFonts w:hint="cs"/>
          <w:spacing w:val="-6"/>
          <w:rtl/>
        </w:rPr>
        <w:t xml:space="preserve"> ومتابعتها عبر إنشاء المنتدى الإسباني لمناهضة الاتجار وتطويره؛</w:t>
      </w:r>
    </w:p>
    <w:p w:rsidR="00392F0E" w:rsidRPr="00392F0E" w:rsidRDefault="00392F0E" w:rsidP="00D23F91">
      <w:pPr>
        <w:pStyle w:val="SingleTxtGA"/>
        <w:rPr>
          <w:rFonts w:hint="cs"/>
          <w:rtl/>
        </w:rPr>
      </w:pPr>
      <w:r w:rsidRPr="00392F0E">
        <w:rPr>
          <w:rFonts w:hint="cs"/>
          <w:rtl/>
        </w:rPr>
        <w:tab/>
        <w:t>(</w:t>
      </w:r>
      <w:r w:rsidR="00D23F91">
        <w:rPr>
          <w:rFonts w:hint="cs"/>
          <w:rtl/>
        </w:rPr>
        <w:t>ز</w:t>
      </w:r>
      <w:r w:rsidRPr="00392F0E">
        <w:rPr>
          <w:rFonts w:hint="cs"/>
          <w:rtl/>
        </w:rPr>
        <w:t>)</w:t>
      </w:r>
      <w:r w:rsidRPr="00392F0E">
        <w:rPr>
          <w:rFonts w:hint="cs"/>
          <w:rtl/>
        </w:rPr>
        <w:tab/>
        <w:t xml:space="preserve">حظر عقوبة الإعدام تماما منذ 1995 (السنة التي ألغيت فيها عقوبة الإعدام في فترات الحرب) وكذلك مشاركة الدولة الطرف بنشاط في المنتديات الدولية لتعزيز وقف تطبيق عقوبة </w:t>
      </w:r>
      <w:r w:rsidR="00D23F91">
        <w:rPr>
          <w:rFonts w:hint="cs"/>
          <w:rtl/>
        </w:rPr>
        <w:t>الإعدام عالمياً؛</w:t>
      </w:r>
    </w:p>
    <w:p w:rsidR="00392F0E" w:rsidRPr="00392F0E" w:rsidRDefault="00392F0E" w:rsidP="00392F0E">
      <w:pPr>
        <w:pStyle w:val="SingleTxtGA"/>
        <w:rPr>
          <w:rFonts w:hint="cs"/>
          <w:rtl/>
        </w:rPr>
      </w:pPr>
      <w:r w:rsidRPr="00392F0E">
        <w:rPr>
          <w:rFonts w:hint="cs"/>
          <w:rtl/>
        </w:rPr>
        <w:t>5-</w:t>
      </w:r>
      <w:r w:rsidRPr="00392F0E">
        <w:rPr>
          <w:rFonts w:hint="cs"/>
          <w:rtl/>
        </w:rPr>
        <w:tab/>
        <w:t xml:space="preserve">وتلاحظ اللجنة مع الارتياح أن الدولة الطرف بعثت دعوات إلى العديد من آليات الإجراءات الخاصة، بما فيها الدعوة الأخيرة المرسلة إلى </w:t>
      </w:r>
      <w:r w:rsidRPr="00392F0E">
        <w:rPr>
          <w:rtl/>
        </w:rPr>
        <w:t>المقرر الخاص المعني بتعزيز وحماية حقوق الإنسان والحريات الأساسية في سياق مكافحة الإرهاب</w:t>
      </w:r>
      <w:r w:rsidRPr="00392F0E">
        <w:rPr>
          <w:rFonts w:hint="cs"/>
          <w:rtl/>
        </w:rPr>
        <w:t>.</w:t>
      </w:r>
    </w:p>
    <w:p w:rsidR="00392F0E" w:rsidRPr="00392F0E" w:rsidRDefault="00392F0E" w:rsidP="00D23F91">
      <w:pPr>
        <w:pStyle w:val="SingleTxtGA"/>
        <w:rPr>
          <w:rFonts w:hint="cs"/>
          <w:rtl/>
        </w:rPr>
      </w:pPr>
      <w:r w:rsidRPr="00392F0E">
        <w:rPr>
          <w:rFonts w:hint="cs"/>
          <w:rtl/>
        </w:rPr>
        <w:t>6-</w:t>
      </w:r>
      <w:r w:rsidRPr="00392F0E">
        <w:rPr>
          <w:rFonts w:hint="cs"/>
          <w:rtl/>
        </w:rPr>
        <w:tab/>
        <w:t>وتقدر اللجنة أن إسبانيا لم تنشئ نظاما قضائيا موازيا لمكافحة الإرهاب، وتلاحظ أن الدولة الطرف اعترفت مرارا</w:t>
      </w:r>
      <w:r w:rsidR="00D23F91">
        <w:rPr>
          <w:rFonts w:hint="cs"/>
          <w:rtl/>
        </w:rPr>
        <w:t>ً</w:t>
      </w:r>
      <w:r w:rsidRPr="00392F0E">
        <w:rPr>
          <w:rFonts w:hint="cs"/>
          <w:rtl/>
        </w:rPr>
        <w:t xml:space="preserve"> بأن حظر التعذيب </w:t>
      </w:r>
      <w:r w:rsidR="00D23F91">
        <w:rPr>
          <w:rFonts w:hint="cs"/>
          <w:rtl/>
        </w:rPr>
        <w:t>قطعي</w:t>
      </w:r>
      <w:r w:rsidRPr="00392F0E">
        <w:rPr>
          <w:rFonts w:hint="cs"/>
          <w:rtl/>
        </w:rPr>
        <w:t xml:space="preserve"> وأنه </w:t>
      </w:r>
      <w:r w:rsidR="00D23F91">
        <w:rPr>
          <w:rFonts w:hint="cs"/>
          <w:rtl/>
        </w:rPr>
        <w:t>لا يمكن بأي حال من الأحوال التذرع بظروف استثنائية لتبرير ممارسة التعذيب</w:t>
      </w:r>
      <w:r w:rsidRPr="00392F0E">
        <w:rPr>
          <w:rFonts w:hint="cs"/>
          <w:rtl/>
        </w:rPr>
        <w:t>.</w:t>
      </w:r>
    </w:p>
    <w:p w:rsidR="00392F0E" w:rsidRPr="00392F0E" w:rsidRDefault="00D23F91" w:rsidP="00D23F91">
      <w:pPr>
        <w:pStyle w:val="H1GA"/>
        <w:rPr>
          <w:rFonts w:hint="cs"/>
          <w:rtl/>
        </w:rPr>
      </w:pPr>
      <w:r>
        <w:rPr>
          <w:rFonts w:hint="cs"/>
          <w:rtl/>
        </w:rPr>
        <w:tab/>
      </w:r>
      <w:r w:rsidR="00392F0E" w:rsidRPr="00392F0E">
        <w:rPr>
          <w:rFonts w:hint="cs"/>
          <w:rtl/>
        </w:rPr>
        <w:t>جيم -</w:t>
      </w:r>
      <w:r>
        <w:rPr>
          <w:rFonts w:hint="cs"/>
          <w:rtl/>
        </w:rPr>
        <w:tab/>
      </w:r>
      <w:r w:rsidR="00392F0E" w:rsidRPr="00392F0E">
        <w:rPr>
          <w:rFonts w:hint="cs"/>
          <w:rtl/>
        </w:rPr>
        <w:t>دواعي القلق الرئيسية والتوصيات</w:t>
      </w:r>
    </w:p>
    <w:p w:rsidR="00392F0E" w:rsidRPr="00392F0E" w:rsidRDefault="00D23F91" w:rsidP="00D23F91">
      <w:pPr>
        <w:pStyle w:val="H23GA"/>
        <w:rPr>
          <w:rFonts w:hint="cs"/>
          <w:rtl/>
        </w:rPr>
      </w:pPr>
      <w:r>
        <w:rPr>
          <w:rFonts w:hint="cs"/>
          <w:rtl/>
        </w:rPr>
        <w:tab/>
      </w:r>
      <w:r w:rsidR="00392F0E" w:rsidRPr="00392F0E">
        <w:rPr>
          <w:rFonts w:hint="cs"/>
          <w:rtl/>
        </w:rPr>
        <w:t>1-</w:t>
      </w:r>
      <w:r w:rsidR="00392F0E" w:rsidRPr="00392F0E">
        <w:rPr>
          <w:rFonts w:hint="cs"/>
          <w:rtl/>
        </w:rPr>
        <w:tab/>
        <w:t>تعريف التعذيب وجريمة التعذيب</w:t>
      </w:r>
    </w:p>
    <w:p w:rsidR="00392F0E" w:rsidRPr="00392F0E" w:rsidRDefault="00392F0E" w:rsidP="00D23F91">
      <w:pPr>
        <w:pStyle w:val="SingleTxtGA"/>
        <w:rPr>
          <w:rFonts w:hint="cs"/>
          <w:rtl/>
        </w:rPr>
      </w:pPr>
      <w:r w:rsidRPr="00392F0E">
        <w:rPr>
          <w:rFonts w:hint="cs"/>
          <w:rtl/>
        </w:rPr>
        <w:t>7-</w:t>
      </w:r>
      <w:r w:rsidRPr="00392F0E">
        <w:rPr>
          <w:rFonts w:hint="cs"/>
          <w:rtl/>
        </w:rPr>
        <w:tab/>
        <w:t xml:space="preserve">تلاحظ اللجنة مع الارتياح تعديل المادة 174 من القانون الجنائي بواسطة القانون الأساسي رقم </w:t>
      </w:r>
      <w:r w:rsidRPr="00392F0E">
        <w:t>15/2003</w:t>
      </w:r>
      <w:r w:rsidRPr="00392F0E">
        <w:rPr>
          <w:rFonts w:hint="cs"/>
          <w:rtl/>
        </w:rPr>
        <w:t xml:space="preserve"> الذي يضيف النص التالي إلى تعريف التعذيب "... أو أي دافع يستند إلى أي شكل من أشكال التمييز"، والذي يمتثل لتوصية أصدرتها اللجنة سابقا. بيد أنه رغم الشرح الذي قدمه وفد الدولة الطرف</w:t>
      </w:r>
      <w:r w:rsidR="00D23F91">
        <w:rPr>
          <w:rFonts w:hint="cs"/>
          <w:rtl/>
        </w:rPr>
        <w:t>،</w:t>
      </w:r>
      <w:r w:rsidRPr="00392F0E">
        <w:rPr>
          <w:rFonts w:hint="cs"/>
          <w:rtl/>
        </w:rPr>
        <w:t xml:space="preserve"> ترى اللجنة أنه ينبغي إدراج عنصرين إضافيين هامّين إدراجا صريحا في التعريف الوارد في المادة 174 من القانون الجنائي لكي </w:t>
      </w:r>
      <w:r w:rsidR="00D23F91">
        <w:rPr>
          <w:rFonts w:hint="cs"/>
          <w:rtl/>
        </w:rPr>
        <w:t>ي</w:t>
      </w:r>
      <w:r w:rsidRPr="00392F0E">
        <w:rPr>
          <w:rFonts w:hint="cs"/>
          <w:rtl/>
        </w:rPr>
        <w:t>تواءم تماما</w:t>
      </w:r>
      <w:r w:rsidR="00D23F91">
        <w:rPr>
          <w:rFonts w:hint="cs"/>
          <w:rtl/>
        </w:rPr>
        <w:t>ً</w:t>
      </w:r>
      <w:r w:rsidRPr="00392F0E">
        <w:rPr>
          <w:rFonts w:hint="cs"/>
          <w:rtl/>
        </w:rPr>
        <w:t xml:space="preserve"> م</w:t>
      </w:r>
      <w:r w:rsidR="00D23F91">
        <w:rPr>
          <w:rFonts w:hint="cs"/>
          <w:rtl/>
        </w:rPr>
        <w:t>ـ</w:t>
      </w:r>
      <w:r w:rsidRPr="00392F0E">
        <w:rPr>
          <w:rFonts w:hint="cs"/>
          <w:rtl/>
        </w:rPr>
        <w:t>ع المادة 1 من الاتفاقية، أي أنّ التعذيب قد يرتكبه أي "شخص آخر ي</w:t>
      </w:r>
      <w:r w:rsidR="00D23F91">
        <w:rPr>
          <w:rFonts w:hint="cs"/>
          <w:rtl/>
        </w:rPr>
        <w:t>تصرف</w:t>
      </w:r>
      <w:r w:rsidRPr="00392F0E">
        <w:rPr>
          <w:rFonts w:hint="cs"/>
          <w:rtl/>
        </w:rPr>
        <w:t xml:space="preserve"> </w:t>
      </w:r>
      <w:r w:rsidR="00D23F91">
        <w:rPr>
          <w:rFonts w:hint="cs"/>
          <w:rtl/>
        </w:rPr>
        <w:t>بصفته</w:t>
      </w:r>
      <w:r w:rsidRPr="00392F0E">
        <w:rPr>
          <w:rFonts w:hint="cs"/>
          <w:rtl/>
        </w:rPr>
        <w:t xml:space="preserve"> </w:t>
      </w:r>
      <w:r w:rsidR="00D23F91">
        <w:rPr>
          <w:rFonts w:hint="cs"/>
          <w:rtl/>
        </w:rPr>
        <w:t>ال</w:t>
      </w:r>
      <w:r w:rsidRPr="00392F0E">
        <w:rPr>
          <w:rFonts w:hint="cs"/>
          <w:rtl/>
        </w:rPr>
        <w:t>رسمية" وأن دواعي التعذيب قد تشمل "تخويفه أو إرغامه هو أو أي شخص ثالث" (المادة 1).</w:t>
      </w:r>
    </w:p>
    <w:p w:rsidR="00392F0E" w:rsidRPr="00D23F91" w:rsidRDefault="00392F0E" w:rsidP="00392F0E">
      <w:pPr>
        <w:pStyle w:val="SingleTxtGA"/>
        <w:rPr>
          <w:rFonts w:hint="cs"/>
          <w:b/>
          <w:bCs/>
          <w:rtl/>
        </w:rPr>
      </w:pPr>
      <w:r w:rsidRPr="00D23F91">
        <w:rPr>
          <w:rFonts w:hint="cs"/>
          <w:b/>
          <w:bCs/>
          <w:rtl/>
        </w:rPr>
        <w:t>تشج</w:t>
      </w:r>
      <w:r w:rsidR="00D23F91">
        <w:rPr>
          <w:rFonts w:hint="cs"/>
          <w:b/>
          <w:bCs/>
          <w:rtl/>
        </w:rPr>
        <w:t>ـ</w:t>
      </w:r>
      <w:r w:rsidRPr="00D23F91">
        <w:rPr>
          <w:rFonts w:hint="cs"/>
          <w:b/>
          <w:bCs/>
          <w:rtl/>
        </w:rPr>
        <w:t>ع اللجنة الدولة الطرف على المضي قدما في مواءمة تعريف التعذيب الوارد في المادة 174 من القانون الجنائي مع المادة 1 من الاتفاقية.</w:t>
      </w:r>
    </w:p>
    <w:p w:rsidR="00392F0E" w:rsidRPr="00392F0E" w:rsidRDefault="00392F0E" w:rsidP="00D23F91">
      <w:pPr>
        <w:pStyle w:val="SingleTxtGA"/>
        <w:rPr>
          <w:rFonts w:hint="cs"/>
          <w:rtl/>
        </w:rPr>
      </w:pPr>
      <w:r w:rsidRPr="00392F0E">
        <w:rPr>
          <w:rFonts w:hint="cs"/>
          <w:rtl/>
        </w:rPr>
        <w:t>8-</w:t>
      </w:r>
      <w:r w:rsidRPr="00392F0E">
        <w:rPr>
          <w:rFonts w:hint="cs"/>
          <w:rtl/>
        </w:rPr>
        <w:tab/>
      </w:r>
      <w:r w:rsidR="00D23F91">
        <w:rPr>
          <w:rFonts w:hint="cs"/>
          <w:rtl/>
        </w:rPr>
        <w:t>و</w:t>
      </w:r>
      <w:r w:rsidRPr="00392F0E">
        <w:rPr>
          <w:rFonts w:hint="cs"/>
          <w:rtl/>
        </w:rPr>
        <w:t>تلاحظ اللجنة أنه بموجب المادة 174 من القانون الجنائي، فإن الشخص المتورط في ممارسة التعذيب "يتعرض لعقوبة السجن لمدة تتراوح بين سنتين وست سنوات إن كان الانتهاك جسيما، ولمدة تتراوح بين سنة وثلاث سنوات إن لم يكن كذلك"، و</w:t>
      </w:r>
      <w:r w:rsidR="00D23F91">
        <w:rPr>
          <w:rFonts w:hint="cs"/>
          <w:rtl/>
        </w:rPr>
        <w:t xml:space="preserve">هو ما </w:t>
      </w:r>
      <w:r w:rsidRPr="00392F0E">
        <w:rPr>
          <w:rFonts w:hint="cs"/>
          <w:rtl/>
        </w:rPr>
        <w:t xml:space="preserve">لا يبدو </w:t>
      </w:r>
      <w:r w:rsidRPr="00D23F91">
        <w:rPr>
          <w:rFonts w:hint="cs"/>
          <w:spacing w:val="-6"/>
          <w:rtl/>
        </w:rPr>
        <w:t>موائما</w:t>
      </w:r>
      <w:r w:rsidR="00D23F91" w:rsidRPr="00D23F91">
        <w:rPr>
          <w:rFonts w:hint="cs"/>
          <w:spacing w:val="-6"/>
          <w:rtl/>
        </w:rPr>
        <w:t>ً</w:t>
      </w:r>
      <w:r w:rsidRPr="00D23F91">
        <w:rPr>
          <w:rFonts w:hint="cs"/>
          <w:spacing w:val="-6"/>
          <w:rtl/>
        </w:rPr>
        <w:t xml:space="preserve"> للفقرة 2 من المادة 4 من الاتفاقية التي تُلزم الدول الأطراف بأن ت</w:t>
      </w:r>
      <w:r w:rsidR="00D23F91" w:rsidRPr="00D23F91">
        <w:rPr>
          <w:rFonts w:hint="cs"/>
          <w:spacing w:val="-6"/>
          <w:rtl/>
        </w:rPr>
        <w:t>جعل</w:t>
      </w:r>
      <w:r w:rsidRPr="00D23F91">
        <w:rPr>
          <w:rFonts w:hint="cs"/>
          <w:spacing w:val="-6"/>
          <w:rtl/>
        </w:rPr>
        <w:t xml:space="preserve"> جميع </w:t>
      </w:r>
      <w:r w:rsidR="00D23F91" w:rsidRPr="00D23F91">
        <w:rPr>
          <w:rFonts w:hint="cs"/>
          <w:spacing w:val="-6"/>
          <w:rtl/>
        </w:rPr>
        <w:t>أعمال التعذيب</w:t>
      </w:r>
      <w:r w:rsidR="00D23F91">
        <w:rPr>
          <w:rFonts w:hint="cs"/>
          <w:rtl/>
        </w:rPr>
        <w:t xml:space="preserve"> </w:t>
      </w:r>
      <w:r w:rsidRPr="00392F0E">
        <w:rPr>
          <w:rFonts w:hint="cs"/>
          <w:rtl/>
        </w:rPr>
        <w:t>مستوجبة للعقاب بعقوبات مناسبة تأخذ في الاعتبار طبيعتها الخط</w:t>
      </w:r>
      <w:r w:rsidR="00D23F91">
        <w:rPr>
          <w:rFonts w:hint="cs"/>
          <w:rtl/>
        </w:rPr>
        <w:t>ي</w:t>
      </w:r>
      <w:r w:rsidRPr="00392F0E">
        <w:rPr>
          <w:rFonts w:hint="cs"/>
          <w:rtl/>
        </w:rPr>
        <w:t>رة (المادتان 1 و4).</w:t>
      </w:r>
    </w:p>
    <w:p w:rsidR="00392F0E" w:rsidRPr="00D23F91" w:rsidRDefault="00392F0E" w:rsidP="00D23F91">
      <w:pPr>
        <w:pStyle w:val="SingleTxtGA"/>
        <w:rPr>
          <w:rFonts w:hint="cs"/>
          <w:b/>
          <w:bCs/>
          <w:rtl/>
        </w:rPr>
      </w:pPr>
      <w:r w:rsidRPr="00D23F91">
        <w:rPr>
          <w:rFonts w:hint="cs"/>
          <w:b/>
          <w:bCs/>
          <w:rtl/>
        </w:rPr>
        <w:t>ينبغي للدولة الطرف أن تعاقب جميع أعمال التعذيب بالعقوبات المناسبة التي تأخذ في الحسبان الطبيعة الخط</w:t>
      </w:r>
      <w:r w:rsidR="00D23F91">
        <w:rPr>
          <w:rFonts w:hint="cs"/>
          <w:b/>
          <w:bCs/>
          <w:rtl/>
        </w:rPr>
        <w:t>ي</w:t>
      </w:r>
      <w:r w:rsidRPr="00D23F91">
        <w:rPr>
          <w:rFonts w:hint="cs"/>
          <w:b/>
          <w:bCs/>
          <w:rtl/>
        </w:rPr>
        <w:t xml:space="preserve">رة لهذه الأعمال تماشيا مع الفقرة 2 من المادة 4 من الاتفاقية. </w:t>
      </w:r>
      <w:r w:rsidR="005765A0">
        <w:rPr>
          <w:rFonts w:hint="cs"/>
          <w:b/>
          <w:bCs/>
          <w:rtl/>
        </w:rPr>
        <w:t>و</w:t>
      </w:r>
      <w:r w:rsidRPr="00D23F91">
        <w:rPr>
          <w:rFonts w:hint="cs"/>
          <w:b/>
          <w:bCs/>
          <w:rtl/>
        </w:rPr>
        <w:t xml:space="preserve">إضافة إلى ذلك، ينبغي للدولة الطرف أن تضمن </w:t>
      </w:r>
      <w:r w:rsidR="00D23F91">
        <w:rPr>
          <w:rFonts w:hint="cs"/>
          <w:b/>
          <w:bCs/>
          <w:rtl/>
        </w:rPr>
        <w:t xml:space="preserve">اعتبار </w:t>
      </w:r>
      <w:r w:rsidRPr="00D23F91">
        <w:rPr>
          <w:rFonts w:hint="cs"/>
          <w:b/>
          <w:bCs/>
          <w:rtl/>
        </w:rPr>
        <w:t>جميع أعمال التعذيب في جميع الحالات ذات طبيعة خط</w:t>
      </w:r>
      <w:r w:rsidR="00D23F91">
        <w:rPr>
          <w:rFonts w:hint="cs"/>
          <w:b/>
          <w:bCs/>
          <w:rtl/>
        </w:rPr>
        <w:t>ي</w:t>
      </w:r>
      <w:r w:rsidRPr="00D23F91">
        <w:rPr>
          <w:rFonts w:hint="cs"/>
          <w:b/>
          <w:bCs/>
          <w:rtl/>
        </w:rPr>
        <w:t xml:space="preserve">رة </w:t>
      </w:r>
      <w:r w:rsidR="00D23F91">
        <w:rPr>
          <w:rFonts w:hint="cs"/>
          <w:b/>
          <w:bCs/>
          <w:rtl/>
        </w:rPr>
        <w:t xml:space="preserve">لأن الخطورة متأصلة في </w:t>
      </w:r>
      <w:r w:rsidRPr="00D23F91">
        <w:rPr>
          <w:rFonts w:hint="cs"/>
          <w:b/>
          <w:bCs/>
          <w:rtl/>
        </w:rPr>
        <w:t xml:space="preserve">مفهوم التعذيب في حد ذاته </w:t>
      </w:r>
      <w:r w:rsidR="005765A0">
        <w:rPr>
          <w:rFonts w:hint="cs"/>
          <w:b/>
          <w:bCs/>
          <w:rtl/>
        </w:rPr>
        <w:t xml:space="preserve">وهي </w:t>
      </w:r>
      <w:r w:rsidRPr="00D23F91">
        <w:rPr>
          <w:rFonts w:hint="cs"/>
          <w:b/>
          <w:bCs/>
          <w:rtl/>
        </w:rPr>
        <w:t>ج</w:t>
      </w:r>
      <w:r w:rsidR="00D23F91">
        <w:rPr>
          <w:rFonts w:hint="cs"/>
          <w:b/>
          <w:bCs/>
          <w:rtl/>
        </w:rPr>
        <w:t>ـ</w:t>
      </w:r>
      <w:r w:rsidRPr="00D23F91">
        <w:rPr>
          <w:rFonts w:hint="cs"/>
          <w:b/>
          <w:bCs/>
          <w:rtl/>
        </w:rPr>
        <w:t>زء لا يتجزأ منه.</w:t>
      </w:r>
    </w:p>
    <w:p w:rsidR="00392F0E" w:rsidRPr="00392F0E" w:rsidRDefault="00D23F91" w:rsidP="00D23F91">
      <w:pPr>
        <w:pStyle w:val="H23GA"/>
        <w:rPr>
          <w:rFonts w:hint="cs"/>
          <w:rtl/>
        </w:rPr>
      </w:pPr>
      <w:r>
        <w:rPr>
          <w:rFonts w:hint="cs"/>
          <w:rtl/>
        </w:rPr>
        <w:tab/>
      </w:r>
      <w:r w:rsidR="00392F0E" w:rsidRPr="00392F0E">
        <w:rPr>
          <w:rFonts w:hint="cs"/>
          <w:rtl/>
        </w:rPr>
        <w:t>2-</w:t>
      </w:r>
      <w:r w:rsidR="00392F0E" w:rsidRPr="00392F0E">
        <w:rPr>
          <w:rFonts w:hint="cs"/>
          <w:rtl/>
        </w:rPr>
        <w:tab/>
        <w:t>الضمانات الأساسية</w:t>
      </w:r>
    </w:p>
    <w:p w:rsidR="00392F0E" w:rsidRPr="00392F0E" w:rsidRDefault="00392F0E" w:rsidP="00B049A0">
      <w:pPr>
        <w:pStyle w:val="SingleTxtGA"/>
        <w:rPr>
          <w:rFonts w:hint="cs"/>
          <w:rtl/>
        </w:rPr>
      </w:pPr>
      <w:r w:rsidRPr="00392F0E">
        <w:rPr>
          <w:rFonts w:hint="cs"/>
          <w:rtl/>
        </w:rPr>
        <w:t>9-</w:t>
      </w:r>
      <w:r w:rsidRPr="00392F0E">
        <w:rPr>
          <w:rFonts w:hint="cs"/>
          <w:rtl/>
        </w:rPr>
        <w:tab/>
        <w:t xml:space="preserve">يساور اللجنة القلق لأن المعلومات الواردة من مختلف المصادر تفيد بأن الأقوال التي أدلى بها المحتجزون في مراكز الشرطة قد تستخدم في </w:t>
      </w:r>
      <w:r w:rsidR="00D23F91">
        <w:rPr>
          <w:rFonts w:hint="cs"/>
          <w:rtl/>
        </w:rPr>
        <w:t xml:space="preserve">المحاكمات بشروط معينة وعلى إثر حدوث </w:t>
      </w:r>
      <w:r w:rsidRPr="00392F0E">
        <w:rPr>
          <w:rFonts w:hint="cs"/>
          <w:rtl/>
        </w:rPr>
        <w:t>تغيير في الاجتهاد القضائي للمحكمة العليا. وفي هذا الصدد، تحيط اللجنة علما</w:t>
      </w:r>
      <w:r w:rsidR="00D23F91">
        <w:rPr>
          <w:rFonts w:hint="cs"/>
          <w:rtl/>
        </w:rPr>
        <w:t>ً</w:t>
      </w:r>
      <w:r w:rsidRPr="00392F0E">
        <w:rPr>
          <w:rFonts w:hint="cs"/>
          <w:rtl/>
        </w:rPr>
        <w:t xml:space="preserve"> بالمعلومات الواردة في الفقرة 21 من ردود الدولة الطرف على قائمة المسائل</w:t>
      </w:r>
      <w:r w:rsidR="00D23F91">
        <w:rPr>
          <w:rFonts w:hint="cs"/>
          <w:rtl/>
        </w:rPr>
        <w:t xml:space="preserve">، حيث ذُكر </w:t>
      </w:r>
      <w:r w:rsidRPr="00392F0E">
        <w:rPr>
          <w:rFonts w:hint="cs"/>
          <w:rtl/>
        </w:rPr>
        <w:t xml:space="preserve">بوضوح </w:t>
      </w:r>
      <w:r w:rsidR="00D23F91">
        <w:rPr>
          <w:rFonts w:hint="cs"/>
          <w:rtl/>
        </w:rPr>
        <w:t xml:space="preserve">أنه </w:t>
      </w:r>
      <w:r w:rsidRPr="00392F0E">
        <w:rPr>
          <w:rFonts w:hint="cs"/>
          <w:rtl/>
        </w:rPr>
        <w:t>"وفقا</w:t>
      </w:r>
      <w:r w:rsidR="00D23F91">
        <w:rPr>
          <w:rFonts w:hint="cs"/>
          <w:rtl/>
        </w:rPr>
        <w:t>ً</w:t>
      </w:r>
      <w:r w:rsidRPr="00392F0E">
        <w:rPr>
          <w:rFonts w:hint="cs"/>
          <w:rtl/>
        </w:rPr>
        <w:t xml:space="preserve"> لنظام القضاء الإسباني وبغية إصدار حكم بالإدانة أو </w:t>
      </w:r>
      <w:r w:rsidR="00D23F91">
        <w:rPr>
          <w:rFonts w:hint="cs"/>
          <w:rtl/>
        </w:rPr>
        <w:t>بالبراءة</w:t>
      </w:r>
      <w:r w:rsidRPr="00392F0E">
        <w:rPr>
          <w:rFonts w:hint="cs"/>
          <w:rtl/>
        </w:rPr>
        <w:t xml:space="preserve">، لن تؤخذ في الحسبان </w:t>
      </w:r>
      <w:r w:rsidR="00B049A0">
        <w:rPr>
          <w:rFonts w:hint="cs"/>
          <w:rtl/>
        </w:rPr>
        <w:t xml:space="preserve">سوى </w:t>
      </w:r>
      <w:r w:rsidRPr="00392F0E">
        <w:rPr>
          <w:rFonts w:hint="cs"/>
          <w:rtl/>
        </w:rPr>
        <w:t xml:space="preserve">الأدلة التي يصرح بها أثناء المداولات الشفوية للمحكمة بحضور المتهم والمحامي الذي اختاره" (المادتان 2 و15). </w:t>
      </w:r>
    </w:p>
    <w:p w:rsidR="00392F0E" w:rsidRPr="00B049A0" w:rsidRDefault="00392F0E" w:rsidP="001F2B0C">
      <w:pPr>
        <w:pStyle w:val="SingleTxtGA"/>
        <w:rPr>
          <w:rFonts w:hint="cs"/>
          <w:b/>
          <w:bCs/>
          <w:rtl/>
        </w:rPr>
      </w:pPr>
      <w:r w:rsidRPr="00B049A0">
        <w:rPr>
          <w:rFonts w:hint="cs"/>
          <w:b/>
          <w:bCs/>
          <w:rtl/>
        </w:rPr>
        <w:t>ينبغي للدولة الطرف - وفقا</w:t>
      </w:r>
      <w:r w:rsidR="00B049A0">
        <w:rPr>
          <w:rFonts w:hint="cs"/>
          <w:b/>
          <w:bCs/>
          <w:rtl/>
        </w:rPr>
        <w:t>ً</w:t>
      </w:r>
      <w:r w:rsidRPr="00B049A0">
        <w:rPr>
          <w:rFonts w:hint="cs"/>
          <w:b/>
          <w:bCs/>
          <w:rtl/>
        </w:rPr>
        <w:t xml:space="preserve"> لما ذكرته بنفسها في ردودها على قائمة المسائل المطروحة للنقاش</w:t>
      </w:r>
      <w:r w:rsidR="00B049A0">
        <w:rPr>
          <w:rFonts w:hint="cs"/>
          <w:b/>
          <w:bCs/>
          <w:rtl/>
        </w:rPr>
        <w:t xml:space="preserve"> -</w:t>
      </w:r>
      <w:r w:rsidRPr="00B049A0">
        <w:rPr>
          <w:rFonts w:hint="cs"/>
          <w:b/>
          <w:bCs/>
          <w:rtl/>
        </w:rPr>
        <w:t xml:space="preserve"> أن تضمن مراعاة المبدأ القاضي بأنّ</w:t>
      </w:r>
      <w:r w:rsidR="00B049A0">
        <w:rPr>
          <w:rFonts w:hint="cs"/>
          <w:b/>
          <w:bCs/>
          <w:rtl/>
        </w:rPr>
        <w:t xml:space="preserve"> المحطة الحاسمة لإيلاء الاعتبار الواجب للأدلة التي سيقت يجب أن تكون، في جميع الحالات، أثناء المداولات الشفوية</w:t>
      </w:r>
      <w:r w:rsidRPr="00B049A0">
        <w:rPr>
          <w:rFonts w:hint="cs"/>
          <w:b/>
          <w:bCs/>
          <w:rtl/>
        </w:rPr>
        <w:t xml:space="preserve">. ولهذا المبدأ العام أهمية أكبر بوصفه ضمانا للمبدأ الوارد في المادة 15 من الاتفاقية </w:t>
      </w:r>
      <w:r w:rsidR="001F2B0C">
        <w:rPr>
          <w:rFonts w:hint="cs"/>
          <w:b/>
          <w:bCs/>
          <w:rtl/>
        </w:rPr>
        <w:t xml:space="preserve">- </w:t>
      </w:r>
      <w:r w:rsidRPr="00B049A0">
        <w:rPr>
          <w:rFonts w:hint="cs"/>
          <w:b/>
          <w:bCs/>
          <w:rtl/>
        </w:rPr>
        <w:t xml:space="preserve">أي عدم </w:t>
      </w:r>
      <w:r w:rsidRPr="001F2B0C">
        <w:rPr>
          <w:rFonts w:hint="cs"/>
          <w:b/>
          <w:bCs/>
          <w:spacing w:val="-2"/>
          <w:rtl/>
        </w:rPr>
        <w:t>الاستشهاد بأي أقوال يثبت أنه تم الإدلاء بها نتيجة للتعذيب، كدليل في أية إجراءات</w:t>
      </w:r>
      <w:r w:rsidR="001F2B0C" w:rsidRPr="001F2B0C">
        <w:rPr>
          <w:rFonts w:hint="cs"/>
          <w:b/>
          <w:bCs/>
          <w:spacing w:val="-2"/>
          <w:rtl/>
        </w:rPr>
        <w:t xml:space="preserve"> </w:t>
      </w:r>
      <w:r w:rsidRPr="001F2B0C">
        <w:rPr>
          <w:rFonts w:hint="cs"/>
          <w:b/>
          <w:bCs/>
          <w:spacing w:val="-2"/>
          <w:rtl/>
        </w:rPr>
        <w:t xml:space="preserve">- في </w:t>
      </w:r>
      <w:r w:rsidRPr="00B049A0">
        <w:rPr>
          <w:rFonts w:hint="cs"/>
          <w:b/>
          <w:bCs/>
          <w:rtl/>
        </w:rPr>
        <w:t xml:space="preserve">الحالات التي يستجوب فيها المحتجزون، للأسف، في مراكز الشرطة دون حضور محامٍ من اختيارهم أو عندما يمنع المحامي من التحدث إلى المحتجز على انفراد (كما هو الشأن في حالة </w:t>
      </w:r>
      <w:r w:rsidR="00B049A0">
        <w:rPr>
          <w:rFonts w:hint="cs"/>
          <w:b/>
          <w:bCs/>
          <w:rtl/>
        </w:rPr>
        <w:t>العزل</w:t>
      </w:r>
      <w:r w:rsidRPr="00B049A0">
        <w:rPr>
          <w:rFonts w:hint="cs"/>
          <w:b/>
          <w:bCs/>
          <w:rtl/>
        </w:rPr>
        <w:t>).</w:t>
      </w:r>
    </w:p>
    <w:p w:rsidR="00392F0E" w:rsidRPr="00392F0E" w:rsidRDefault="00392F0E" w:rsidP="00B049A0">
      <w:pPr>
        <w:pStyle w:val="SingleTxtGA"/>
        <w:rPr>
          <w:rFonts w:hint="cs"/>
          <w:rtl/>
        </w:rPr>
      </w:pPr>
      <w:r w:rsidRPr="00392F0E">
        <w:rPr>
          <w:rFonts w:hint="cs"/>
          <w:rtl/>
        </w:rPr>
        <w:t>10-</w:t>
      </w:r>
      <w:r w:rsidRPr="00392F0E">
        <w:rPr>
          <w:rFonts w:hint="cs"/>
          <w:rtl/>
        </w:rPr>
        <w:tab/>
        <w:t xml:space="preserve">وتلاحظ اللجنة أنه وفقا للإجراء 96 من </w:t>
      </w:r>
      <w:r w:rsidR="00B049A0">
        <w:rPr>
          <w:rFonts w:hint="cs"/>
          <w:rtl/>
        </w:rPr>
        <w:t>ال</w:t>
      </w:r>
      <w:r w:rsidRPr="00392F0E">
        <w:rPr>
          <w:rFonts w:hint="cs"/>
          <w:rtl/>
        </w:rPr>
        <w:t xml:space="preserve">خطة </w:t>
      </w:r>
      <w:r w:rsidR="00B049A0">
        <w:rPr>
          <w:rFonts w:hint="cs"/>
          <w:rtl/>
        </w:rPr>
        <w:t xml:space="preserve">من أجل </w:t>
      </w:r>
      <w:r w:rsidRPr="00392F0E">
        <w:rPr>
          <w:rFonts w:hint="cs"/>
          <w:rtl/>
        </w:rPr>
        <w:t>حقوق الإنسان، وبغية توفير ضمانات أكبر لتمتع المحتجز بحقوقه</w:t>
      </w:r>
      <w:r w:rsidR="00B049A0">
        <w:rPr>
          <w:rFonts w:hint="cs"/>
          <w:rtl/>
        </w:rPr>
        <w:t>،</w:t>
      </w:r>
      <w:r w:rsidRPr="00392F0E">
        <w:rPr>
          <w:rFonts w:hint="cs"/>
          <w:rtl/>
        </w:rPr>
        <w:t xml:space="preserve"> تقترح الحكومة تعديل الفقرة 4 من المادة 250 من قانون الإجراءات الجنائية كي تخفض </w:t>
      </w:r>
      <w:r w:rsidR="00B049A0">
        <w:rPr>
          <w:rFonts w:hint="cs"/>
          <w:rtl/>
        </w:rPr>
        <w:t>المهلة القصوى المحددة حالياً ب</w:t>
      </w:r>
      <w:r w:rsidRPr="00392F0E">
        <w:rPr>
          <w:rFonts w:hint="cs"/>
          <w:rtl/>
        </w:rPr>
        <w:t xml:space="preserve">ثماني ساعات حتى يتمكّن المحتجز من التمتع بحقه في </w:t>
      </w:r>
      <w:r w:rsidR="00B049A0">
        <w:rPr>
          <w:rFonts w:hint="cs"/>
          <w:rtl/>
        </w:rPr>
        <w:t>الاستعانة</w:t>
      </w:r>
      <w:r w:rsidRPr="00392F0E">
        <w:rPr>
          <w:rFonts w:hint="cs"/>
          <w:rtl/>
        </w:rPr>
        <w:t xml:space="preserve"> </w:t>
      </w:r>
      <w:r w:rsidR="00B049A0">
        <w:rPr>
          <w:rFonts w:hint="cs"/>
          <w:rtl/>
        </w:rPr>
        <w:t>ب</w:t>
      </w:r>
      <w:r w:rsidR="001F2B0C">
        <w:rPr>
          <w:rFonts w:hint="cs"/>
          <w:rtl/>
        </w:rPr>
        <w:t>محامٍ</w:t>
      </w:r>
      <w:r w:rsidRPr="00392F0E">
        <w:rPr>
          <w:rFonts w:hint="cs"/>
          <w:rtl/>
        </w:rPr>
        <w:t>. لكن اللجنة تلاحظ بقلق أن الحق في المثول أمام القضاء لم يرد صراحة في قائمة الحقوق المذكورة في المادة 520 من قانون الإجراءات الجنائية (المادة 2).</w:t>
      </w:r>
    </w:p>
    <w:p w:rsidR="00392F0E" w:rsidRPr="00B049A0" w:rsidRDefault="00392F0E" w:rsidP="00B049A0">
      <w:pPr>
        <w:pStyle w:val="SingleTxtGA"/>
        <w:rPr>
          <w:rFonts w:hint="cs"/>
          <w:b/>
          <w:bCs/>
          <w:rtl/>
        </w:rPr>
      </w:pPr>
      <w:r w:rsidRPr="00B049A0">
        <w:rPr>
          <w:rFonts w:hint="cs"/>
          <w:b/>
          <w:bCs/>
          <w:rtl/>
        </w:rPr>
        <w:t xml:space="preserve">ينبغي للدولة الطرف أن تبادر </w:t>
      </w:r>
      <w:r w:rsidR="00B049A0">
        <w:rPr>
          <w:rFonts w:hint="cs"/>
          <w:b/>
          <w:bCs/>
          <w:rtl/>
        </w:rPr>
        <w:t xml:space="preserve">بسرعة </w:t>
      </w:r>
      <w:r w:rsidRPr="00B049A0">
        <w:rPr>
          <w:rFonts w:hint="cs"/>
          <w:b/>
          <w:bCs/>
          <w:rtl/>
        </w:rPr>
        <w:t xml:space="preserve">إلى تعديل الفقرة 4 من المادة </w:t>
      </w:r>
      <w:r w:rsidR="00B049A0">
        <w:rPr>
          <w:rFonts w:hint="cs"/>
          <w:b/>
          <w:bCs/>
          <w:rtl/>
        </w:rPr>
        <w:t>520</w:t>
      </w:r>
      <w:r w:rsidRPr="00B049A0">
        <w:rPr>
          <w:rFonts w:hint="cs"/>
          <w:b/>
          <w:bCs/>
          <w:rtl/>
        </w:rPr>
        <w:t xml:space="preserve"> من قانون الإجراءات الجنائية لتطبيق الحق في ا</w:t>
      </w:r>
      <w:r w:rsidR="00B049A0">
        <w:rPr>
          <w:rFonts w:hint="cs"/>
          <w:b/>
          <w:bCs/>
          <w:rtl/>
        </w:rPr>
        <w:t>لاستعانة</w:t>
      </w:r>
      <w:r w:rsidRPr="00B049A0">
        <w:rPr>
          <w:rFonts w:hint="cs"/>
          <w:b/>
          <w:bCs/>
          <w:rtl/>
        </w:rPr>
        <w:t xml:space="preserve"> </w:t>
      </w:r>
      <w:r w:rsidR="00B049A0">
        <w:rPr>
          <w:rFonts w:hint="cs"/>
          <w:b/>
          <w:bCs/>
          <w:rtl/>
        </w:rPr>
        <w:t>ب</w:t>
      </w:r>
      <w:r w:rsidRPr="00B049A0">
        <w:rPr>
          <w:rFonts w:hint="cs"/>
          <w:b/>
          <w:bCs/>
          <w:rtl/>
        </w:rPr>
        <w:t>محام تطبيقا</w:t>
      </w:r>
      <w:r w:rsidR="00B049A0">
        <w:rPr>
          <w:rFonts w:hint="cs"/>
          <w:b/>
          <w:bCs/>
          <w:rtl/>
        </w:rPr>
        <w:t>ً</w:t>
      </w:r>
      <w:r w:rsidRPr="00B049A0">
        <w:rPr>
          <w:rFonts w:hint="cs"/>
          <w:b/>
          <w:bCs/>
          <w:rtl/>
        </w:rPr>
        <w:t xml:space="preserve"> فعليا</w:t>
      </w:r>
      <w:r w:rsidR="00B049A0">
        <w:rPr>
          <w:rFonts w:hint="cs"/>
          <w:b/>
          <w:bCs/>
          <w:rtl/>
        </w:rPr>
        <w:t>ً</w:t>
      </w:r>
      <w:r w:rsidRPr="00B049A0">
        <w:rPr>
          <w:rFonts w:hint="cs"/>
          <w:b/>
          <w:bCs/>
          <w:rtl/>
        </w:rPr>
        <w:t xml:space="preserve">. </w:t>
      </w:r>
      <w:r w:rsidR="00B049A0">
        <w:rPr>
          <w:rFonts w:hint="cs"/>
          <w:b/>
          <w:bCs/>
          <w:rtl/>
        </w:rPr>
        <w:t>و</w:t>
      </w:r>
      <w:r w:rsidRPr="00B049A0">
        <w:rPr>
          <w:rFonts w:hint="cs"/>
          <w:b/>
          <w:bCs/>
          <w:rtl/>
        </w:rPr>
        <w:t>إضافة إلى ذلك، فإن اللجنة</w:t>
      </w:r>
      <w:r w:rsidR="00B049A0">
        <w:rPr>
          <w:rFonts w:hint="cs"/>
          <w:b/>
          <w:bCs/>
          <w:rtl/>
        </w:rPr>
        <w:t xml:space="preserve">، التي </w:t>
      </w:r>
      <w:r w:rsidRPr="00B049A0">
        <w:rPr>
          <w:rFonts w:hint="cs"/>
          <w:b/>
          <w:bCs/>
          <w:rtl/>
        </w:rPr>
        <w:t xml:space="preserve">تشاطر أمين المظالم قلقه </w:t>
      </w:r>
      <w:r w:rsidR="00B049A0">
        <w:rPr>
          <w:rFonts w:hint="cs"/>
          <w:b/>
          <w:bCs/>
          <w:rtl/>
        </w:rPr>
        <w:t xml:space="preserve">في هذا الصدد، تشجع </w:t>
      </w:r>
      <w:r w:rsidRPr="00B049A0">
        <w:rPr>
          <w:rFonts w:hint="cs"/>
          <w:b/>
          <w:bCs/>
          <w:rtl/>
        </w:rPr>
        <w:t xml:space="preserve">الدولة الطرف على المضي قدما في تعديل المادة </w:t>
      </w:r>
      <w:r w:rsidR="00B049A0">
        <w:rPr>
          <w:rFonts w:hint="cs"/>
          <w:b/>
          <w:bCs/>
          <w:rtl/>
        </w:rPr>
        <w:t>520</w:t>
      </w:r>
      <w:r w:rsidRPr="00B049A0">
        <w:rPr>
          <w:rFonts w:hint="cs"/>
          <w:b/>
          <w:bCs/>
          <w:rtl/>
        </w:rPr>
        <w:t xml:space="preserve"> من قانون الإجراءات الجنائية كي تضمن أنه في مرحلة </w:t>
      </w:r>
      <w:r w:rsidR="00B049A0">
        <w:rPr>
          <w:rFonts w:hint="cs"/>
          <w:b/>
          <w:bCs/>
          <w:rtl/>
        </w:rPr>
        <w:t>التوقيف الحاسمة، عندما يتلى على الموق</w:t>
      </w:r>
      <w:r w:rsidR="001F2B0C">
        <w:rPr>
          <w:rFonts w:hint="cs"/>
          <w:b/>
          <w:bCs/>
          <w:rtl/>
        </w:rPr>
        <w:t>و</w:t>
      </w:r>
      <w:r w:rsidR="00B049A0">
        <w:rPr>
          <w:rFonts w:hint="cs"/>
          <w:b/>
          <w:bCs/>
          <w:rtl/>
        </w:rPr>
        <w:t xml:space="preserve">فين ما لهم من حقوق، ينبغي </w:t>
      </w:r>
      <w:r w:rsidRPr="00B049A0">
        <w:rPr>
          <w:rFonts w:hint="cs"/>
          <w:b/>
          <w:bCs/>
          <w:rtl/>
        </w:rPr>
        <w:t>أن تشمل هذه الحقوق الحق في طلب المثول الفوري أمام القاضي.</w:t>
      </w:r>
    </w:p>
    <w:p w:rsidR="00392F0E" w:rsidRPr="00392F0E" w:rsidRDefault="00392F0E" w:rsidP="001F2B0C">
      <w:pPr>
        <w:pStyle w:val="SingleTxtGA"/>
        <w:rPr>
          <w:rFonts w:hint="cs"/>
          <w:rtl/>
        </w:rPr>
      </w:pPr>
      <w:r w:rsidRPr="00392F0E">
        <w:rPr>
          <w:rFonts w:hint="cs"/>
          <w:rtl/>
        </w:rPr>
        <w:t>11-</w:t>
      </w:r>
      <w:r w:rsidRPr="00392F0E">
        <w:rPr>
          <w:rFonts w:hint="cs"/>
          <w:rtl/>
        </w:rPr>
        <w:tab/>
        <w:t>وت</w:t>
      </w:r>
      <w:r w:rsidR="00B049A0">
        <w:rPr>
          <w:rFonts w:hint="cs"/>
          <w:rtl/>
        </w:rPr>
        <w:t>حيط</w:t>
      </w:r>
      <w:r w:rsidRPr="00392F0E">
        <w:rPr>
          <w:rFonts w:hint="cs"/>
          <w:rtl/>
        </w:rPr>
        <w:t xml:space="preserve"> اللجنة </w:t>
      </w:r>
      <w:r w:rsidR="00B049A0">
        <w:rPr>
          <w:rFonts w:hint="cs"/>
          <w:rtl/>
        </w:rPr>
        <w:t>علماً ب</w:t>
      </w:r>
      <w:r w:rsidRPr="00392F0E">
        <w:rPr>
          <w:rFonts w:hint="cs"/>
          <w:rtl/>
        </w:rPr>
        <w:t xml:space="preserve">التوجيه رقم </w:t>
      </w:r>
      <w:r w:rsidRPr="00392F0E">
        <w:t>12/2007</w:t>
      </w:r>
      <w:r w:rsidRPr="00392F0E">
        <w:rPr>
          <w:rFonts w:hint="cs"/>
          <w:rtl/>
        </w:rPr>
        <w:t xml:space="preserve"> الصادر عن وزارة الدولة لشؤون الأمن فيما يخص السلوك المطلوب من أفراد قوات الأمن التابعة للدولة </w:t>
      </w:r>
      <w:r w:rsidR="00B049A0">
        <w:rPr>
          <w:rFonts w:hint="cs"/>
          <w:rtl/>
        </w:rPr>
        <w:t xml:space="preserve">لضمان إعمال حقوق الأشخاص </w:t>
      </w:r>
      <w:r w:rsidRPr="00392F0E">
        <w:rPr>
          <w:rFonts w:hint="cs"/>
          <w:rtl/>
        </w:rPr>
        <w:t>المحتجزين أو الخاضعين للاحتجاز الاحتياطي لدى الشرطة. وإ</w:t>
      </w:r>
      <w:r w:rsidR="00B049A0">
        <w:rPr>
          <w:rFonts w:hint="cs"/>
          <w:rtl/>
        </w:rPr>
        <w:t>ذا</w:t>
      </w:r>
      <w:r w:rsidRPr="00392F0E">
        <w:rPr>
          <w:rFonts w:hint="cs"/>
          <w:rtl/>
        </w:rPr>
        <w:t xml:space="preserve"> كانت هذه الخطوة إيجابية مبدئيا</w:t>
      </w:r>
      <w:r w:rsidR="00B049A0">
        <w:rPr>
          <w:rFonts w:hint="cs"/>
          <w:rtl/>
        </w:rPr>
        <w:t>ً</w:t>
      </w:r>
      <w:r w:rsidRPr="00392F0E">
        <w:rPr>
          <w:rFonts w:hint="cs"/>
          <w:rtl/>
        </w:rPr>
        <w:t xml:space="preserve">، فإنّ اللجنة ترى أن </w:t>
      </w:r>
      <w:r w:rsidR="00B049A0">
        <w:rPr>
          <w:rFonts w:hint="cs"/>
          <w:rtl/>
        </w:rPr>
        <w:t xml:space="preserve">المكانة التي </w:t>
      </w:r>
      <w:r w:rsidR="001F2B0C">
        <w:rPr>
          <w:rFonts w:hint="cs"/>
          <w:rtl/>
        </w:rPr>
        <w:t xml:space="preserve">يحتلها </w:t>
      </w:r>
      <w:r w:rsidRPr="00392F0E">
        <w:rPr>
          <w:rFonts w:hint="cs"/>
          <w:rtl/>
        </w:rPr>
        <w:t xml:space="preserve">لهذا التوجيه الرامي إلى تعزيز الضمانات </w:t>
      </w:r>
      <w:r w:rsidR="00B049A0">
        <w:rPr>
          <w:rFonts w:hint="cs"/>
          <w:rtl/>
        </w:rPr>
        <w:t>ضمن النصوص المعياري</w:t>
      </w:r>
      <w:r w:rsidR="001F2B0C">
        <w:rPr>
          <w:rFonts w:hint="cs"/>
          <w:rtl/>
        </w:rPr>
        <w:t>ة</w:t>
      </w:r>
      <w:r w:rsidR="00B049A0">
        <w:rPr>
          <w:rFonts w:hint="cs"/>
          <w:rtl/>
        </w:rPr>
        <w:t xml:space="preserve"> </w:t>
      </w:r>
      <w:r w:rsidRPr="00392F0E">
        <w:rPr>
          <w:rFonts w:hint="cs"/>
          <w:rtl/>
        </w:rPr>
        <w:t xml:space="preserve">لا </w:t>
      </w:r>
      <w:r w:rsidR="00B049A0">
        <w:rPr>
          <w:rFonts w:hint="cs"/>
          <w:rtl/>
        </w:rPr>
        <w:t>ت</w:t>
      </w:r>
      <w:r w:rsidRPr="00392F0E">
        <w:rPr>
          <w:rFonts w:hint="cs"/>
          <w:rtl/>
        </w:rPr>
        <w:t>رقى إلى المستوى الم</w:t>
      </w:r>
      <w:r w:rsidR="00B049A0">
        <w:rPr>
          <w:rFonts w:hint="cs"/>
          <w:rtl/>
        </w:rPr>
        <w:t>طلوب</w:t>
      </w:r>
      <w:r w:rsidRPr="00392F0E">
        <w:rPr>
          <w:rFonts w:hint="cs"/>
          <w:rtl/>
        </w:rPr>
        <w:t xml:space="preserve"> (المادة 2). </w:t>
      </w:r>
    </w:p>
    <w:p w:rsidR="00392F0E" w:rsidRPr="00B049A0" w:rsidRDefault="00392F0E" w:rsidP="00B049A0">
      <w:pPr>
        <w:pStyle w:val="SingleTxtGA"/>
        <w:rPr>
          <w:rFonts w:hint="cs"/>
          <w:b/>
          <w:bCs/>
          <w:rtl/>
        </w:rPr>
      </w:pPr>
      <w:r w:rsidRPr="00B049A0">
        <w:rPr>
          <w:rFonts w:hint="cs"/>
          <w:b/>
          <w:bCs/>
          <w:rtl/>
        </w:rPr>
        <w:t xml:space="preserve">ينبغي للدولة الطرف أن تنظم </w:t>
      </w:r>
      <w:r w:rsidR="00B049A0">
        <w:rPr>
          <w:rFonts w:hint="cs"/>
          <w:b/>
          <w:bCs/>
          <w:rtl/>
        </w:rPr>
        <w:t xml:space="preserve">هذه المسائل فيما يخص </w:t>
      </w:r>
      <w:r w:rsidRPr="00B049A0">
        <w:rPr>
          <w:rFonts w:hint="cs"/>
          <w:b/>
          <w:bCs/>
          <w:rtl/>
        </w:rPr>
        <w:t>الحقوق الأساسية كالحق في الحرية والسلامة البدنية بواسطة القواعد التنظيمية الملائمة وعدم الاكتفاء بقرار ت</w:t>
      </w:r>
      <w:r w:rsidR="00B049A0">
        <w:rPr>
          <w:rFonts w:hint="cs"/>
          <w:b/>
          <w:bCs/>
          <w:rtl/>
        </w:rPr>
        <w:t xml:space="preserve">وجهه </w:t>
      </w:r>
      <w:r w:rsidRPr="00B049A0">
        <w:rPr>
          <w:rFonts w:hint="cs"/>
          <w:b/>
          <w:bCs/>
          <w:rtl/>
        </w:rPr>
        <w:t xml:space="preserve">وزارة </w:t>
      </w:r>
      <w:r w:rsidR="00B049A0">
        <w:rPr>
          <w:rFonts w:hint="cs"/>
          <w:b/>
          <w:bCs/>
          <w:rtl/>
        </w:rPr>
        <w:t>من الوزارات إلى موظفيها</w:t>
      </w:r>
      <w:r w:rsidRPr="00B049A0">
        <w:rPr>
          <w:rFonts w:hint="cs"/>
          <w:b/>
          <w:bCs/>
          <w:rtl/>
        </w:rPr>
        <w:t xml:space="preserve">. </w:t>
      </w:r>
    </w:p>
    <w:p w:rsidR="00392F0E" w:rsidRPr="00392F0E" w:rsidRDefault="00B049A0" w:rsidP="00B049A0">
      <w:pPr>
        <w:pStyle w:val="H23GA"/>
        <w:rPr>
          <w:rFonts w:hint="cs"/>
          <w:rtl/>
        </w:rPr>
      </w:pPr>
      <w:r>
        <w:rPr>
          <w:rFonts w:hint="cs"/>
          <w:rtl/>
        </w:rPr>
        <w:tab/>
      </w:r>
      <w:r w:rsidR="00392F0E" w:rsidRPr="00392F0E">
        <w:rPr>
          <w:rFonts w:hint="cs"/>
          <w:rtl/>
        </w:rPr>
        <w:t>3-</w:t>
      </w:r>
      <w:r w:rsidR="00392F0E" w:rsidRPr="00392F0E">
        <w:rPr>
          <w:rFonts w:hint="cs"/>
          <w:rtl/>
        </w:rPr>
        <w:tab/>
        <w:t>ا</w:t>
      </w:r>
      <w:r>
        <w:rPr>
          <w:rFonts w:hint="cs"/>
          <w:rtl/>
        </w:rPr>
        <w:t>لعزل</w:t>
      </w:r>
    </w:p>
    <w:p w:rsidR="00392F0E" w:rsidRPr="00392F0E" w:rsidRDefault="00392F0E" w:rsidP="001F2B0C">
      <w:pPr>
        <w:pStyle w:val="SingleTxtGA"/>
        <w:rPr>
          <w:rFonts w:hint="cs"/>
          <w:rtl/>
        </w:rPr>
      </w:pPr>
      <w:r w:rsidRPr="00392F0E">
        <w:rPr>
          <w:rFonts w:hint="cs"/>
          <w:rtl/>
        </w:rPr>
        <w:t>12-</w:t>
      </w:r>
      <w:r w:rsidRPr="00392F0E">
        <w:rPr>
          <w:rFonts w:hint="cs"/>
          <w:rtl/>
        </w:rPr>
        <w:tab/>
        <w:t>ت</w:t>
      </w:r>
      <w:r w:rsidR="00B049A0">
        <w:rPr>
          <w:rFonts w:hint="cs"/>
          <w:rtl/>
        </w:rPr>
        <w:t>حيط</w:t>
      </w:r>
      <w:r w:rsidRPr="00392F0E">
        <w:rPr>
          <w:rFonts w:hint="cs"/>
          <w:rtl/>
        </w:rPr>
        <w:t xml:space="preserve"> اللجنة </w:t>
      </w:r>
      <w:r w:rsidR="00B049A0">
        <w:rPr>
          <w:rFonts w:hint="cs"/>
          <w:rtl/>
        </w:rPr>
        <w:t>علماً ب</w:t>
      </w:r>
      <w:r w:rsidRPr="00392F0E">
        <w:rPr>
          <w:rFonts w:hint="cs"/>
          <w:rtl/>
        </w:rPr>
        <w:t>الخطوات التي اتخذت ل</w:t>
      </w:r>
      <w:r w:rsidR="00B049A0">
        <w:rPr>
          <w:rFonts w:hint="cs"/>
          <w:rtl/>
        </w:rPr>
        <w:t>تحسين</w:t>
      </w:r>
      <w:r w:rsidRPr="00392F0E">
        <w:rPr>
          <w:rFonts w:hint="cs"/>
          <w:rtl/>
        </w:rPr>
        <w:t xml:space="preserve"> الضمانات الممنوحة للأشخاص رهن ا</w:t>
      </w:r>
      <w:r w:rsidR="00B049A0">
        <w:rPr>
          <w:rFonts w:hint="cs"/>
          <w:rtl/>
        </w:rPr>
        <w:t>لعزل</w:t>
      </w:r>
      <w:r w:rsidRPr="00392F0E">
        <w:rPr>
          <w:rFonts w:hint="cs"/>
          <w:rtl/>
        </w:rPr>
        <w:t xml:space="preserve">، ولا سيما: (أ) ما يسمى "بروتوكول غارسون" الذي يجيز للمحتجز تلقي </w:t>
      </w:r>
      <w:r w:rsidRPr="00B049A0">
        <w:rPr>
          <w:rFonts w:hint="cs"/>
          <w:spacing w:val="-6"/>
          <w:rtl/>
        </w:rPr>
        <w:t xml:space="preserve">زيارات طبيب يثق به </w:t>
      </w:r>
      <w:r w:rsidR="00B049A0" w:rsidRPr="00B049A0">
        <w:rPr>
          <w:rFonts w:hint="cs"/>
          <w:spacing w:val="-6"/>
          <w:rtl/>
        </w:rPr>
        <w:t xml:space="preserve">المحتجز </w:t>
      </w:r>
      <w:r w:rsidRPr="00B049A0">
        <w:rPr>
          <w:rFonts w:hint="cs"/>
          <w:spacing w:val="-6"/>
          <w:rtl/>
        </w:rPr>
        <w:t>(رغم أن هذا البروتوكول لم يطبق تطبيقا</w:t>
      </w:r>
      <w:r w:rsidR="00B049A0" w:rsidRPr="00B049A0">
        <w:rPr>
          <w:rFonts w:hint="cs"/>
          <w:spacing w:val="-6"/>
          <w:rtl/>
        </w:rPr>
        <w:t>ً</w:t>
      </w:r>
      <w:r w:rsidRPr="00B049A0">
        <w:rPr>
          <w:rFonts w:hint="cs"/>
          <w:spacing w:val="-6"/>
          <w:rtl/>
        </w:rPr>
        <w:t xml:space="preserve"> موحدا</w:t>
      </w:r>
      <w:r w:rsidR="00B049A0" w:rsidRPr="00B049A0">
        <w:rPr>
          <w:rFonts w:hint="cs"/>
          <w:spacing w:val="-6"/>
          <w:rtl/>
        </w:rPr>
        <w:t>ً</w:t>
      </w:r>
      <w:r w:rsidRPr="00B049A0">
        <w:rPr>
          <w:rFonts w:hint="cs"/>
          <w:spacing w:val="-6"/>
          <w:rtl/>
        </w:rPr>
        <w:t>)؛ (ب) الإج</w:t>
      </w:r>
      <w:r w:rsidR="00B049A0">
        <w:rPr>
          <w:rFonts w:hint="cs"/>
          <w:spacing w:val="-6"/>
          <w:rtl/>
        </w:rPr>
        <w:t>ـ</w:t>
      </w:r>
      <w:r w:rsidRPr="00B049A0">
        <w:rPr>
          <w:rFonts w:hint="cs"/>
          <w:spacing w:val="-6"/>
          <w:rtl/>
        </w:rPr>
        <w:t>راء</w:t>
      </w:r>
      <w:r w:rsidRPr="00392F0E">
        <w:rPr>
          <w:rFonts w:hint="cs"/>
          <w:rtl/>
        </w:rPr>
        <w:t xml:space="preserve"> رقم 97(ج) من </w:t>
      </w:r>
      <w:r w:rsidR="00E151B4">
        <w:rPr>
          <w:rFonts w:hint="cs"/>
          <w:rtl/>
        </w:rPr>
        <w:t>ال</w:t>
      </w:r>
      <w:r w:rsidRPr="00392F0E">
        <w:rPr>
          <w:rFonts w:hint="cs"/>
          <w:rtl/>
        </w:rPr>
        <w:t xml:space="preserve">خطة </w:t>
      </w:r>
      <w:r w:rsidR="00E151B4">
        <w:rPr>
          <w:rFonts w:hint="cs"/>
          <w:rtl/>
        </w:rPr>
        <w:t xml:space="preserve">من أجل </w:t>
      </w:r>
      <w:r w:rsidRPr="00392F0E">
        <w:rPr>
          <w:rFonts w:hint="cs"/>
          <w:rtl/>
        </w:rPr>
        <w:t>حقوق الإنسان الذي ينص على أنه يجوز للشخص الموضوع رهن ال</w:t>
      </w:r>
      <w:r w:rsidR="00E151B4">
        <w:rPr>
          <w:rFonts w:hint="cs"/>
          <w:rtl/>
        </w:rPr>
        <w:t>عزل</w:t>
      </w:r>
      <w:r w:rsidRPr="00392F0E">
        <w:rPr>
          <w:rFonts w:hint="cs"/>
          <w:rtl/>
        </w:rPr>
        <w:t xml:space="preserve"> أن يفحصه طبيب آخر منتسب إلى نظام الصحة العمومية تعينه بحرية إدارة الآلية الوطنية المقبلة للوقاية من التعذيب، ويجوز أيضا</w:t>
      </w:r>
      <w:r w:rsidR="00E151B4">
        <w:rPr>
          <w:rFonts w:hint="cs"/>
          <w:rtl/>
        </w:rPr>
        <w:t>ً</w:t>
      </w:r>
      <w:r w:rsidRPr="00392F0E">
        <w:rPr>
          <w:rFonts w:hint="cs"/>
          <w:rtl/>
        </w:rPr>
        <w:t xml:space="preserve"> أن يفحصه طبيب شرعي؛ (ج) الإجراء 97(ب) الذي ينص على أن </w:t>
      </w:r>
      <w:r w:rsidR="00E151B4">
        <w:rPr>
          <w:rFonts w:hint="cs"/>
          <w:rtl/>
        </w:rPr>
        <w:t>تتخذ</w:t>
      </w:r>
      <w:r w:rsidRPr="00392F0E">
        <w:rPr>
          <w:rFonts w:hint="cs"/>
          <w:rtl/>
        </w:rPr>
        <w:t xml:space="preserve"> </w:t>
      </w:r>
      <w:r w:rsidR="00E151B4">
        <w:rPr>
          <w:rFonts w:hint="cs"/>
          <w:rtl/>
        </w:rPr>
        <w:t>ا</w:t>
      </w:r>
      <w:r w:rsidRPr="00392F0E">
        <w:rPr>
          <w:rFonts w:hint="cs"/>
          <w:rtl/>
        </w:rPr>
        <w:t xml:space="preserve">لدولة الطرف </w:t>
      </w:r>
      <w:r w:rsidR="00E151B4">
        <w:rPr>
          <w:rFonts w:hint="cs"/>
          <w:rtl/>
        </w:rPr>
        <w:t xml:space="preserve">- </w:t>
      </w:r>
      <w:r w:rsidRPr="00392F0E">
        <w:rPr>
          <w:rFonts w:hint="cs"/>
          <w:rtl/>
        </w:rPr>
        <w:t>وفقا</w:t>
      </w:r>
      <w:r w:rsidR="00E151B4">
        <w:rPr>
          <w:rFonts w:hint="cs"/>
          <w:rtl/>
        </w:rPr>
        <w:t>ً</w:t>
      </w:r>
      <w:r w:rsidRPr="00392F0E">
        <w:rPr>
          <w:rFonts w:hint="cs"/>
          <w:rtl/>
        </w:rPr>
        <w:t xml:space="preserve"> لمختلف التوصيات الصادرة عن الهيئات الدولية لحقوق الإنسان</w:t>
      </w:r>
      <w:r w:rsidR="00E151B4">
        <w:rPr>
          <w:rFonts w:hint="cs"/>
          <w:rtl/>
        </w:rPr>
        <w:t xml:space="preserve"> </w:t>
      </w:r>
      <w:r w:rsidRPr="00392F0E">
        <w:rPr>
          <w:rFonts w:hint="cs"/>
          <w:rtl/>
        </w:rPr>
        <w:t xml:space="preserve">- التدابير القانونية والتقنية اللازمة لتسجيل المدة الكاملة التي يقضيها الأشخاص في </w:t>
      </w:r>
      <w:r w:rsidR="00E151B4">
        <w:rPr>
          <w:rFonts w:hint="cs"/>
          <w:rtl/>
        </w:rPr>
        <w:t xml:space="preserve">العزل </w:t>
      </w:r>
      <w:r w:rsidRPr="00392F0E">
        <w:rPr>
          <w:rFonts w:hint="cs"/>
          <w:rtl/>
        </w:rPr>
        <w:t>داخل مراكز الشرطة بواسطة جهاز تسجيل الفيديو أو أي جهاز آخر للتسجيل السمعي البصري. ويسر اللجنة أيضا</w:t>
      </w:r>
      <w:r w:rsidR="00E151B4">
        <w:rPr>
          <w:rFonts w:hint="cs"/>
          <w:rtl/>
        </w:rPr>
        <w:t>ً</w:t>
      </w:r>
      <w:r w:rsidRPr="00392F0E">
        <w:rPr>
          <w:rFonts w:hint="cs"/>
          <w:rtl/>
        </w:rPr>
        <w:t xml:space="preserve"> أن تلاحظ الالتزام الوارد في الإجراء 97(أ) والرامي إلى حظر تطبيق نظام </w:t>
      </w:r>
      <w:r w:rsidR="00E151B4">
        <w:rPr>
          <w:rFonts w:hint="cs"/>
          <w:rtl/>
        </w:rPr>
        <w:t xml:space="preserve">العزل </w:t>
      </w:r>
      <w:r w:rsidRPr="00392F0E">
        <w:rPr>
          <w:rFonts w:hint="cs"/>
          <w:rtl/>
        </w:rPr>
        <w:t>على القاصرين حظرا</w:t>
      </w:r>
      <w:r w:rsidR="00E151B4">
        <w:rPr>
          <w:rFonts w:hint="cs"/>
          <w:rtl/>
        </w:rPr>
        <w:t>ً</w:t>
      </w:r>
      <w:r w:rsidRPr="00392F0E">
        <w:rPr>
          <w:rFonts w:hint="cs"/>
          <w:rtl/>
        </w:rPr>
        <w:t xml:space="preserve"> صريحا</w:t>
      </w:r>
      <w:r w:rsidR="00E151B4">
        <w:rPr>
          <w:rFonts w:hint="cs"/>
          <w:rtl/>
        </w:rPr>
        <w:t>ً</w:t>
      </w:r>
      <w:r w:rsidRPr="00392F0E">
        <w:rPr>
          <w:rFonts w:hint="cs"/>
          <w:rtl/>
        </w:rPr>
        <w:t xml:space="preserve">. </w:t>
      </w:r>
      <w:r w:rsidR="00E151B4">
        <w:rPr>
          <w:rFonts w:hint="cs"/>
          <w:rtl/>
        </w:rPr>
        <w:t>و</w:t>
      </w:r>
      <w:r w:rsidRPr="00392F0E">
        <w:rPr>
          <w:rFonts w:hint="cs"/>
          <w:rtl/>
        </w:rPr>
        <w:t xml:space="preserve">لكن </w:t>
      </w:r>
      <w:r w:rsidR="00E151B4">
        <w:rPr>
          <w:rFonts w:hint="cs"/>
          <w:rtl/>
        </w:rPr>
        <w:t xml:space="preserve">من واجب </w:t>
      </w:r>
      <w:r w:rsidRPr="00392F0E">
        <w:rPr>
          <w:rFonts w:hint="cs"/>
          <w:rtl/>
        </w:rPr>
        <w:t xml:space="preserve">اللجنة </w:t>
      </w:r>
      <w:r w:rsidR="00E151B4">
        <w:rPr>
          <w:rFonts w:hint="cs"/>
          <w:rtl/>
        </w:rPr>
        <w:t xml:space="preserve">أن </w:t>
      </w:r>
      <w:r w:rsidRPr="00392F0E">
        <w:rPr>
          <w:rFonts w:hint="cs"/>
          <w:rtl/>
        </w:rPr>
        <w:t xml:space="preserve">تعرب </w:t>
      </w:r>
      <w:r w:rsidR="00E151B4">
        <w:rPr>
          <w:rFonts w:hint="cs"/>
          <w:rtl/>
        </w:rPr>
        <w:t>مج</w:t>
      </w:r>
      <w:r w:rsidRPr="00392F0E">
        <w:rPr>
          <w:rFonts w:hint="cs"/>
          <w:rtl/>
        </w:rPr>
        <w:t>دد</w:t>
      </w:r>
      <w:r w:rsidR="00E151B4">
        <w:rPr>
          <w:rFonts w:hint="cs"/>
          <w:rtl/>
        </w:rPr>
        <w:t>اً</w:t>
      </w:r>
      <w:r w:rsidRPr="00392F0E">
        <w:rPr>
          <w:rFonts w:hint="cs"/>
          <w:rtl/>
        </w:rPr>
        <w:t xml:space="preserve"> عن قلقها -</w:t>
      </w:r>
      <w:r w:rsidR="00E151B4">
        <w:rPr>
          <w:rFonts w:hint="cs"/>
          <w:rtl/>
        </w:rPr>
        <w:t xml:space="preserve"> </w:t>
      </w:r>
      <w:r w:rsidRPr="00392F0E">
        <w:rPr>
          <w:rFonts w:hint="cs"/>
          <w:rtl/>
        </w:rPr>
        <w:t>وتشاطرها في ذلك جميع الهيئات الدولية والإقليمية المعنية بحقوق الإنسان</w:t>
      </w:r>
      <w:r w:rsidR="00E151B4">
        <w:rPr>
          <w:rFonts w:hint="cs"/>
          <w:rtl/>
        </w:rPr>
        <w:t xml:space="preserve"> </w:t>
      </w:r>
      <w:r w:rsidRPr="00392F0E">
        <w:rPr>
          <w:rFonts w:hint="cs"/>
          <w:rtl/>
        </w:rPr>
        <w:t xml:space="preserve">- لأن نظام </w:t>
      </w:r>
      <w:r w:rsidR="00E151B4">
        <w:rPr>
          <w:rFonts w:hint="cs"/>
          <w:rtl/>
        </w:rPr>
        <w:t xml:space="preserve">العزل الذي تستخدمه </w:t>
      </w:r>
      <w:r w:rsidRPr="00392F0E">
        <w:rPr>
          <w:rFonts w:hint="cs"/>
          <w:rtl/>
        </w:rPr>
        <w:t xml:space="preserve">الدولة الطرف لمعاقبة المتورطين في أعمال إرهابية أو في </w:t>
      </w:r>
      <w:r w:rsidR="00E151B4">
        <w:rPr>
          <w:rFonts w:hint="cs"/>
          <w:rtl/>
        </w:rPr>
        <w:t>عصابا</w:t>
      </w:r>
      <w:r w:rsidRPr="00392F0E">
        <w:rPr>
          <w:rFonts w:hint="cs"/>
          <w:rtl/>
        </w:rPr>
        <w:t xml:space="preserve">ت مسلحة والذي يمكن أن تصل مدته إلى 13 يوما يقوّض الضمانات </w:t>
      </w:r>
      <w:r w:rsidR="00E151B4">
        <w:rPr>
          <w:rFonts w:hint="cs"/>
          <w:rtl/>
        </w:rPr>
        <w:t xml:space="preserve">المكفولة بموجب </w:t>
      </w:r>
      <w:r w:rsidRPr="00392F0E">
        <w:rPr>
          <w:rFonts w:hint="cs"/>
          <w:rtl/>
        </w:rPr>
        <w:t xml:space="preserve">القانون فيما يخص المعاملة السيئة وأعمال التعذيب. ويساور اللجنة قلق </w:t>
      </w:r>
      <w:r w:rsidR="00E151B4">
        <w:rPr>
          <w:rFonts w:hint="cs"/>
          <w:rtl/>
        </w:rPr>
        <w:t xml:space="preserve">بالغ </w:t>
      </w:r>
      <w:r w:rsidRPr="00392F0E">
        <w:rPr>
          <w:rFonts w:hint="cs"/>
          <w:rtl/>
        </w:rPr>
        <w:t xml:space="preserve">بشأن القيود التي يفرضها </w:t>
      </w:r>
      <w:r w:rsidR="00E151B4">
        <w:rPr>
          <w:rFonts w:hint="cs"/>
          <w:rtl/>
        </w:rPr>
        <w:t xml:space="preserve">العزل </w:t>
      </w:r>
      <w:r w:rsidRPr="00392F0E">
        <w:rPr>
          <w:rFonts w:hint="cs"/>
          <w:rtl/>
        </w:rPr>
        <w:t>على الحصول على الحقوق الأساسية والضمانات المطبقة عالميا على الأشخاص المحرومين من حريتهم، وعلى التمتع بها (المادة 2).</w:t>
      </w:r>
    </w:p>
    <w:p w:rsidR="00392F0E" w:rsidRPr="00E151B4" w:rsidRDefault="00392F0E" w:rsidP="00E151B4">
      <w:pPr>
        <w:pStyle w:val="SingleTxtGA"/>
        <w:rPr>
          <w:rFonts w:hint="cs"/>
          <w:b/>
          <w:bCs/>
          <w:rtl/>
        </w:rPr>
      </w:pPr>
      <w:r w:rsidRPr="00E151B4">
        <w:rPr>
          <w:rFonts w:hint="cs"/>
          <w:b/>
          <w:bCs/>
          <w:rtl/>
        </w:rPr>
        <w:t xml:space="preserve">يجب على الدولة الطرف أن تعيد النظر في نظام </w:t>
      </w:r>
      <w:r w:rsidR="00E151B4">
        <w:rPr>
          <w:rFonts w:hint="cs"/>
          <w:b/>
          <w:bCs/>
          <w:rtl/>
        </w:rPr>
        <w:t xml:space="preserve">العزل </w:t>
      </w:r>
      <w:r w:rsidRPr="00E151B4">
        <w:rPr>
          <w:rFonts w:hint="cs"/>
          <w:b/>
          <w:bCs/>
          <w:rtl/>
        </w:rPr>
        <w:t xml:space="preserve">بغية حظره، وأن تضمن لجميع الأشخاص المحرومين من حريتهم التمتع بالحقوق الأساسية </w:t>
      </w:r>
      <w:r w:rsidR="00E151B4">
        <w:rPr>
          <w:rFonts w:hint="cs"/>
          <w:b/>
          <w:bCs/>
          <w:rtl/>
        </w:rPr>
        <w:t xml:space="preserve">التالية المكفولة </w:t>
      </w:r>
      <w:r w:rsidRPr="00E151B4">
        <w:rPr>
          <w:rFonts w:hint="cs"/>
          <w:b/>
          <w:bCs/>
          <w:rtl/>
        </w:rPr>
        <w:t>للمحتجزين:</w:t>
      </w:r>
    </w:p>
    <w:p w:rsidR="00392F0E" w:rsidRPr="00E151B4" w:rsidRDefault="00E151B4" w:rsidP="00392F0E">
      <w:pPr>
        <w:pStyle w:val="SingleTxtGA"/>
        <w:rPr>
          <w:rFonts w:hint="cs"/>
          <w:b/>
          <w:bCs/>
          <w:rtl/>
        </w:rPr>
      </w:pPr>
      <w:r>
        <w:rPr>
          <w:rFonts w:hint="cs"/>
          <w:b/>
          <w:bCs/>
          <w:rtl/>
        </w:rPr>
        <w:tab/>
        <w:t>(أ)</w:t>
      </w:r>
      <w:r>
        <w:rPr>
          <w:rFonts w:hint="cs"/>
          <w:b/>
          <w:bCs/>
          <w:rtl/>
        </w:rPr>
        <w:tab/>
      </w:r>
      <w:r w:rsidR="00392F0E" w:rsidRPr="00E151B4">
        <w:rPr>
          <w:rFonts w:hint="cs"/>
          <w:b/>
          <w:bCs/>
          <w:rtl/>
        </w:rPr>
        <w:t>الحق في استشارة محامٍ من اختيارهم؛</w:t>
      </w:r>
    </w:p>
    <w:p w:rsidR="00392F0E" w:rsidRPr="00E151B4" w:rsidRDefault="00E151B4" w:rsidP="00E151B4">
      <w:pPr>
        <w:pStyle w:val="SingleTxtGA"/>
        <w:rPr>
          <w:rFonts w:hint="cs"/>
          <w:b/>
          <w:bCs/>
        </w:rPr>
      </w:pPr>
      <w:r>
        <w:rPr>
          <w:rFonts w:hint="cs"/>
          <w:b/>
          <w:bCs/>
          <w:rtl/>
        </w:rPr>
        <w:tab/>
        <w:t>(ب)</w:t>
      </w:r>
      <w:r>
        <w:rPr>
          <w:rFonts w:hint="cs"/>
          <w:b/>
          <w:bCs/>
          <w:rtl/>
        </w:rPr>
        <w:tab/>
      </w:r>
      <w:r w:rsidR="00392F0E" w:rsidRPr="00E151B4">
        <w:rPr>
          <w:rFonts w:hint="cs"/>
          <w:b/>
          <w:bCs/>
          <w:rtl/>
        </w:rPr>
        <w:t xml:space="preserve">الحق في </w:t>
      </w:r>
      <w:r>
        <w:rPr>
          <w:rFonts w:hint="cs"/>
          <w:b/>
          <w:bCs/>
          <w:rtl/>
        </w:rPr>
        <w:t>تلقي فحص طبي على يد طبيب من اختيا</w:t>
      </w:r>
      <w:r w:rsidR="001B3AF4">
        <w:rPr>
          <w:rFonts w:hint="cs"/>
          <w:b/>
          <w:bCs/>
          <w:rtl/>
        </w:rPr>
        <w:t>ر</w:t>
      </w:r>
      <w:r>
        <w:rPr>
          <w:rFonts w:hint="cs"/>
          <w:b/>
          <w:bCs/>
          <w:rtl/>
        </w:rPr>
        <w:t>هم</w:t>
      </w:r>
      <w:r w:rsidR="00392F0E" w:rsidRPr="00E151B4">
        <w:rPr>
          <w:rFonts w:hint="cs"/>
          <w:b/>
          <w:bCs/>
          <w:rtl/>
        </w:rPr>
        <w:t>؛</w:t>
      </w:r>
    </w:p>
    <w:p w:rsidR="00392F0E" w:rsidRDefault="00E151B4" w:rsidP="00E151B4">
      <w:pPr>
        <w:pStyle w:val="SingleTxtGA"/>
        <w:rPr>
          <w:rFonts w:hint="cs"/>
          <w:b/>
          <w:bCs/>
          <w:rtl/>
        </w:rPr>
      </w:pPr>
      <w:r>
        <w:rPr>
          <w:rFonts w:hint="cs"/>
          <w:b/>
          <w:bCs/>
          <w:rtl/>
        </w:rPr>
        <w:tab/>
      </w:r>
      <w:r w:rsidR="00392F0E" w:rsidRPr="00E151B4">
        <w:rPr>
          <w:rFonts w:hint="cs"/>
          <w:b/>
          <w:bCs/>
          <w:rtl/>
        </w:rPr>
        <w:t>(ج)</w:t>
      </w:r>
      <w:r w:rsidR="00392F0E" w:rsidRPr="00E151B4">
        <w:rPr>
          <w:rFonts w:hint="cs"/>
          <w:b/>
          <w:bCs/>
          <w:rtl/>
        </w:rPr>
        <w:tab/>
        <w:t>الحق في إخطار أحد أفراد أسرتهم أو أي شخص يختارونه با</w:t>
      </w:r>
      <w:r>
        <w:rPr>
          <w:rFonts w:hint="cs"/>
          <w:b/>
          <w:bCs/>
          <w:rtl/>
        </w:rPr>
        <w:t xml:space="preserve">لقبض عليهم وبمكان </w:t>
      </w:r>
      <w:r w:rsidR="00392F0E" w:rsidRPr="00E151B4">
        <w:rPr>
          <w:rFonts w:hint="cs"/>
          <w:b/>
          <w:bCs/>
          <w:rtl/>
        </w:rPr>
        <w:t>احتجازهم الحالي؛</w:t>
      </w:r>
    </w:p>
    <w:p w:rsidR="001B3AF4" w:rsidRPr="00E151B4" w:rsidRDefault="001B3AF4" w:rsidP="00E151B4">
      <w:pPr>
        <w:pStyle w:val="SingleTxtGA"/>
        <w:rPr>
          <w:rFonts w:hint="cs"/>
          <w:b/>
          <w:bCs/>
          <w:rtl/>
        </w:rPr>
      </w:pPr>
    </w:p>
    <w:p w:rsidR="00392F0E" w:rsidRPr="00E151B4" w:rsidRDefault="00E151B4" w:rsidP="001B3AF4">
      <w:pPr>
        <w:pStyle w:val="SingleTxtGA"/>
        <w:rPr>
          <w:rFonts w:hint="cs"/>
          <w:b/>
          <w:bCs/>
          <w:rtl/>
        </w:rPr>
      </w:pPr>
      <w:r>
        <w:rPr>
          <w:rFonts w:hint="cs"/>
          <w:b/>
          <w:bCs/>
          <w:rtl/>
        </w:rPr>
        <w:tab/>
      </w:r>
      <w:r w:rsidR="00392F0E" w:rsidRPr="00E151B4">
        <w:rPr>
          <w:rFonts w:hint="cs"/>
          <w:b/>
          <w:bCs/>
          <w:rtl/>
        </w:rPr>
        <w:t>(د)</w:t>
      </w:r>
      <w:r w:rsidR="00392F0E" w:rsidRPr="00E151B4">
        <w:rPr>
          <w:rFonts w:hint="cs"/>
          <w:b/>
          <w:bCs/>
          <w:rtl/>
        </w:rPr>
        <w:tab/>
        <w:t>الحق في الاجتماع بمحام على انفراد (هذا الحق عليه قيود حاليا</w:t>
      </w:r>
      <w:r w:rsidR="001B3AF4">
        <w:rPr>
          <w:rFonts w:hint="cs"/>
          <w:b/>
          <w:bCs/>
          <w:rtl/>
        </w:rPr>
        <w:t>ً</w:t>
      </w:r>
      <w:r w:rsidR="00392F0E" w:rsidRPr="00E151B4">
        <w:rPr>
          <w:rFonts w:hint="cs"/>
          <w:b/>
          <w:bCs/>
          <w:rtl/>
        </w:rPr>
        <w:t xml:space="preserve"> حتى </w:t>
      </w:r>
      <w:r w:rsidR="001B3AF4">
        <w:rPr>
          <w:rFonts w:hint="cs"/>
          <w:b/>
          <w:bCs/>
          <w:rtl/>
        </w:rPr>
        <w:t xml:space="preserve">في الحالات التي يكون فيها </w:t>
      </w:r>
      <w:r w:rsidR="00392F0E" w:rsidRPr="00E151B4">
        <w:rPr>
          <w:rFonts w:hint="cs"/>
          <w:b/>
          <w:bCs/>
          <w:rtl/>
        </w:rPr>
        <w:t xml:space="preserve">المحامي معيّنا </w:t>
      </w:r>
      <w:r w:rsidR="001B3AF4">
        <w:rPr>
          <w:rFonts w:hint="cs"/>
          <w:b/>
          <w:bCs/>
          <w:rtl/>
        </w:rPr>
        <w:t xml:space="preserve">من قبل </w:t>
      </w:r>
      <w:r w:rsidR="00392F0E" w:rsidRPr="00E151B4">
        <w:rPr>
          <w:rFonts w:hint="cs"/>
          <w:b/>
          <w:bCs/>
          <w:rtl/>
        </w:rPr>
        <w:t>المحكمة).</w:t>
      </w:r>
    </w:p>
    <w:p w:rsidR="00392F0E" w:rsidRPr="00E151B4" w:rsidRDefault="00392F0E" w:rsidP="001B3AF4">
      <w:pPr>
        <w:pStyle w:val="SingleTxtGA"/>
        <w:rPr>
          <w:rFonts w:hint="cs"/>
          <w:b/>
          <w:bCs/>
          <w:rtl/>
        </w:rPr>
      </w:pPr>
      <w:r w:rsidRPr="00E151B4">
        <w:rPr>
          <w:rFonts w:hint="cs"/>
          <w:b/>
          <w:bCs/>
          <w:rtl/>
        </w:rPr>
        <w:t xml:space="preserve">ينبغي للدولة الطرف أيضا أن تنفذ وتعزز التدابير الواردة في الإجراء 97 من </w:t>
      </w:r>
      <w:r w:rsidR="001B3AF4">
        <w:rPr>
          <w:rFonts w:hint="cs"/>
          <w:b/>
          <w:bCs/>
          <w:rtl/>
        </w:rPr>
        <w:t>ال</w:t>
      </w:r>
      <w:r w:rsidRPr="00E151B4">
        <w:rPr>
          <w:rFonts w:hint="cs"/>
          <w:b/>
          <w:bCs/>
          <w:rtl/>
        </w:rPr>
        <w:t xml:space="preserve">خطة </w:t>
      </w:r>
      <w:r w:rsidR="001B3AF4">
        <w:rPr>
          <w:rFonts w:hint="cs"/>
          <w:b/>
          <w:bCs/>
          <w:rtl/>
        </w:rPr>
        <w:t xml:space="preserve">من أجل </w:t>
      </w:r>
      <w:r w:rsidRPr="00E151B4">
        <w:rPr>
          <w:rFonts w:hint="cs"/>
          <w:b/>
          <w:bCs/>
          <w:rtl/>
        </w:rPr>
        <w:t xml:space="preserve">حقوق الإنسان، وفي هذا الصدد </w:t>
      </w:r>
      <w:r w:rsidR="001B3AF4">
        <w:rPr>
          <w:rFonts w:hint="cs"/>
          <w:b/>
          <w:bCs/>
          <w:rtl/>
        </w:rPr>
        <w:t xml:space="preserve">من الأهمية بمكان </w:t>
      </w:r>
      <w:r w:rsidRPr="00E151B4">
        <w:rPr>
          <w:rFonts w:hint="cs"/>
          <w:b/>
          <w:bCs/>
          <w:rtl/>
        </w:rPr>
        <w:t xml:space="preserve">أن يغطي نظام المراقبة بكاميرات الفيديو جميع مراكز الشرطة في البلاد، </w:t>
      </w:r>
      <w:r w:rsidR="001B3AF4">
        <w:rPr>
          <w:rFonts w:hint="cs"/>
          <w:b/>
          <w:bCs/>
          <w:rtl/>
        </w:rPr>
        <w:t>و</w:t>
      </w:r>
      <w:r w:rsidRPr="00E151B4">
        <w:rPr>
          <w:rFonts w:hint="cs"/>
          <w:b/>
          <w:bCs/>
          <w:rtl/>
        </w:rPr>
        <w:t xml:space="preserve">أن تجهز الزنزانات وغرف الاستجواب بهذا النظام وألا </w:t>
      </w:r>
      <w:r w:rsidR="001B3AF4">
        <w:rPr>
          <w:rFonts w:hint="cs"/>
          <w:b/>
          <w:bCs/>
          <w:rtl/>
        </w:rPr>
        <w:t>ي</w:t>
      </w:r>
      <w:r w:rsidRPr="00E151B4">
        <w:rPr>
          <w:rFonts w:hint="cs"/>
          <w:b/>
          <w:bCs/>
          <w:rtl/>
        </w:rPr>
        <w:t>قتصر على الأماكن العامة.</w:t>
      </w:r>
    </w:p>
    <w:p w:rsidR="00392F0E" w:rsidRPr="00392F0E" w:rsidRDefault="00E151B4" w:rsidP="00E151B4">
      <w:pPr>
        <w:pStyle w:val="H23GA"/>
        <w:rPr>
          <w:rFonts w:hint="cs"/>
          <w:rtl/>
        </w:rPr>
      </w:pPr>
      <w:r>
        <w:rPr>
          <w:rFonts w:hint="cs"/>
          <w:rtl/>
        </w:rPr>
        <w:tab/>
      </w:r>
      <w:r w:rsidR="00392F0E" w:rsidRPr="00392F0E">
        <w:rPr>
          <w:rFonts w:hint="cs"/>
          <w:rtl/>
        </w:rPr>
        <w:t>4-</w:t>
      </w:r>
      <w:r w:rsidR="00392F0E" w:rsidRPr="00392F0E">
        <w:rPr>
          <w:rFonts w:hint="cs"/>
          <w:rtl/>
        </w:rPr>
        <w:tab/>
        <w:t>عدم الإعادة القسرية</w:t>
      </w:r>
    </w:p>
    <w:p w:rsidR="00392F0E" w:rsidRPr="005A0852" w:rsidRDefault="00392F0E" w:rsidP="001F2B0C">
      <w:pPr>
        <w:pStyle w:val="SingleTxtGA"/>
        <w:rPr>
          <w:rFonts w:hint="cs"/>
          <w:spacing w:val="-6"/>
          <w:rtl/>
        </w:rPr>
      </w:pPr>
      <w:r w:rsidRPr="00392F0E">
        <w:rPr>
          <w:rFonts w:hint="cs"/>
          <w:rtl/>
        </w:rPr>
        <w:t>13-</w:t>
      </w:r>
      <w:r w:rsidRPr="00392F0E">
        <w:rPr>
          <w:rFonts w:hint="cs"/>
          <w:rtl/>
        </w:rPr>
        <w:tab/>
        <w:t>ت</w:t>
      </w:r>
      <w:r w:rsidR="005A0852">
        <w:rPr>
          <w:rFonts w:hint="cs"/>
          <w:rtl/>
        </w:rPr>
        <w:t>ـ</w:t>
      </w:r>
      <w:r w:rsidRPr="00392F0E">
        <w:rPr>
          <w:rFonts w:hint="cs"/>
          <w:rtl/>
        </w:rPr>
        <w:t>لاحظ اللجن</w:t>
      </w:r>
      <w:r w:rsidR="005A0852">
        <w:rPr>
          <w:rFonts w:hint="cs"/>
          <w:rtl/>
        </w:rPr>
        <w:t>ـ</w:t>
      </w:r>
      <w:r w:rsidRPr="00392F0E">
        <w:rPr>
          <w:rFonts w:hint="cs"/>
          <w:rtl/>
        </w:rPr>
        <w:t>ة موق</w:t>
      </w:r>
      <w:r w:rsidR="005A0852">
        <w:rPr>
          <w:rFonts w:hint="cs"/>
          <w:rtl/>
        </w:rPr>
        <w:t>ـ</w:t>
      </w:r>
      <w:r w:rsidRPr="00392F0E">
        <w:rPr>
          <w:rFonts w:hint="cs"/>
          <w:rtl/>
        </w:rPr>
        <w:t xml:space="preserve">ف الدولة الطرف الذي يقضي بأن الضمانات الدبلوماسية لا تتعارض مع أحكام المادة 3 من الاتفاقية </w:t>
      </w:r>
      <w:r w:rsidR="005A0852">
        <w:rPr>
          <w:rFonts w:hint="cs"/>
          <w:rtl/>
        </w:rPr>
        <w:t>-</w:t>
      </w:r>
      <w:r w:rsidRPr="00392F0E">
        <w:rPr>
          <w:rFonts w:hint="cs"/>
          <w:rtl/>
        </w:rPr>
        <w:t xml:space="preserve"> إذا </w:t>
      </w:r>
      <w:r w:rsidR="005A0852">
        <w:rPr>
          <w:rFonts w:hint="cs"/>
          <w:rtl/>
        </w:rPr>
        <w:t xml:space="preserve">ما </w:t>
      </w:r>
      <w:r w:rsidRPr="00392F0E">
        <w:rPr>
          <w:rFonts w:hint="cs"/>
          <w:rtl/>
        </w:rPr>
        <w:t xml:space="preserve">أنشئت </w:t>
      </w:r>
      <w:r w:rsidR="005A0852">
        <w:rPr>
          <w:rFonts w:hint="cs"/>
          <w:rtl/>
        </w:rPr>
        <w:t xml:space="preserve">مثلاً </w:t>
      </w:r>
      <w:r w:rsidRPr="00392F0E">
        <w:rPr>
          <w:rFonts w:hint="cs"/>
          <w:rtl/>
        </w:rPr>
        <w:t>آليات إضافية للمراقبة يقبل بها البلد المعني صراحة ويراعيها. وفي هذا الصدد، تود اللجنة أن ت</w:t>
      </w:r>
      <w:r w:rsidR="005A0852">
        <w:rPr>
          <w:rFonts w:hint="cs"/>
          <w:rtl/>
        </w:rPr>
        <w:t xml:space="preserve">عرب مجدداً عن موقفها </w:t>
      </w:r>
      <w:r w:rsidR="005A0852" w:rsidRPr="005A0852">
        <w:rPr>
          <w:rFonts w:hint="cs"/>
          <w:spacing w:val="-6"/>
          <w:rtl/>
        </w:rPr>
        <w:t xml:space="preserve">الذي أعلنته سابقاً بأن </w:t>
      </w:r>
      <w:r w:rsidRPr="005A0852">
        <w:rPr>
          <w:rFonts w:hint="cs"/>
          <w:spacing w:val="-6"/>
          <w:rtl/>
        </w:rPr>
        <w:t xml:space="preserve">الضمانات الدبلوماسية </w:t>
      </w:r>
      <w:r w:rsidR="005A0852" w:rsidRPr="005A0852">
        <w:rPr>
          <w:rFonts w:hint="cs"/>
          <w:spacing w:val="-6"/>
          <w:rtl/>
        </w:rPr>
        <w:t>يجب ألا تستخدم بأي حال من الأحوال كضمانة ضد</w:t>
      </w:r>
      <w:r w:rsidR="005A0852">
        <w:rPr>
          <w:rFonts w:hint="cs"/>
          <w:rtl/>
        </w:rPr>
        <w:t xml:space="preserve"> احتمال التعرض للتعذيب </w:t>
      </w:r>
      <w:r w:rsidRPr="00392F0E">
        <w:rPr>
          <w:rFonts w:hint="cs"/>
          <w:rtl/>
        </w:rPr>
        <w:t xml:space="preserve">أو المعاملة السيئة </w:t>
      </w:r>
      <w:r w:rsidR="005A0852">
        <w:rPr>
          <w:rFonts w:hint="cs"/>
          <w:rtl/>
        </w:rPr>
        <w:t xml:space="preserve">حيثما </w:t>
      </w:r>
      <w:r w:rsidRPr="00392F0E">
        <w:rPr>
          <w:rFonts w:hint="cs"/>
          <w:rtl/>
        </w:rPr>
        <w:t>وجد</w:t>
      </w:r>
      <w:r w:rsidR="005A0852">
        <w:rPr>
          <w:rFonts w:hint="cs"/>
          <w:rtl/>
        </w:rPr>
        <w:t>ت</w:t>
      </w:r>
      <w:r w:rsidRPr="00392F0E">
        <w:rPr>
          <w:rFonts w:hint="cs"/>
          <w:rtl/>
        </w:rPr>
        <w:t xml:space="preserve"> أسباب معقولة تدعو </w:t>
      </w:r>
      <w:r w:rsidRPr="005A0852">
        <w:rPr>
          <w:rFonts w:hint="cs"/>
          <w:spacing w:val="-6"/>
          <w:rtl/>
        </w:rPr>
        <w:t xml:space="preserve">للاعتقاد بأن الشخص يمكن أن يتعرض للتعذيب أو المعاملة السيئة إذا عاد إلى بلده (المادة 3). </w:t>
      </w:r>
    </w:p>
    <w:p w:rsidR="00392F0E" w:rsidRPr="005A0852" w:rsidRDefault="00392F0E" w:rsidP="005A0852">
      <w:pPr>
        <w:pStyle w:val="SingleTxtGA"/>
        <w:rPr>
          <w:rFonts w:hint="cs"/>
          <w:b/>
          <w:bCs/>
          <w:rtl/>
        </w:rPr>
      </w:pPr>
      <w:r w:rsidRPr="005A0852">
        <w:rPr>
          <w:rFonts w:hint="cs"/>
          <w:b/>
          <w:bCs/>
          <w:rtl/>
        </w:rPr>
        <w:t xml:space="preserve">إذا لجأت الدولة الطرف إلى الضمانات الدبلوماسية في أي حالة من الحالات الأخرى غير الحالات التي استثنتها المادة 3 من الاتفاقية، فلا بد أن تورد في تقريرها المقبل الذي تقدمه إلى اللجنة معلوماتٍ عن عدد حالات تسليم المطلوبين وحالات الطرد التي استلزمت الحصول على تأكيدات </w:t>
      </w:r>
      <w:r w:rsidR="005A0852">
        <w:rPr>
          <w:rFonts w:hint="cs"/>
          <w:b/>
          <w:bCs/>
          <w:rtl/>
        </w:rPr>
        <w:t>أ</w:t>
      </w:r>
      <w:r w:rsidRPr="005A0852">
        <w:rPr>
          <w:rFonts w:hint="cs"/>
          <w:b/>
          <w:bCs/>
          <w:rtl/>
        </w:rPr>
        <w:t>و</w:t>
      </w:r>
      <w:r w:rsidR="005A0852">
        <w:rPr>
          <w:rFonts w:hint="cs"/>
          <w:b/>
          <w:bCs/>
          <w:rtl/>
        </w:rPr>
        <w:t xml:space="preserve"> </w:t>
      </w:r>
      <w:r w:rsidRPr="005A0852">
        <w:rPr>
          <w:rFonts w:hint="cs"/>
          <w:b/>
          <w:bCs/>
          <w:rtl/>
        </w:rPr>
        <w:t>ضمانات دبلوماسية والتي تمت منذ أن نُظر في هذا التقرير</w:t>
      </w:r>
      <w:r w:rsidR="005A0852">
        <w:rPr>
          <w:rFonts w:hint="cs"/>
          <w:b/>
          <w:bCs/>
          <w:rtl/>
        </w:rPr>
        <w:t>؛</w:t>
      </w:r>
      <w:r w:rsidRPr="005A0852">
        <w:rPr>
          <w:rFonts w:hint="cs"/>
          <w:b/>
          <w:bCs/>
          <w:rtl/>
        </w:rPr>
        <w:t xml:space="preserve"> و</w:t>
      </w:r>
      <w:r w:rsidR="005A0852">
        <w:rPr>
          <w:rFonts w:hint="cs"/>
          <w:b/>
          <w:bCs/>
          <w:rtl/>
        </w:rPr>
        <w:t xml:space="preserve">عن </w:t>
      </w:r>
      <w:r w:rsidRPr="005A0852">
        <w:rPr>
          <w:rFonts w:hint="cs"/>
          <w:b/>
          <w:bCs/>
          <w:rtl/>
        </w:rPr>
        <w:t xml:space="preserve">الحد الأدنى لشروط الدولة الطرف للحصول على هذه التأكيدات </w:t>
      </w:r>
      <w:r w:rsidR="005A0852">
        <w:rPr>
          <w:rFonts w:hint="cs"/>
          <w:b/>
          <w:bCs/>
          <w:rtl/>
        </w:rPr>
        <w:t>أ</w:t>
      </w:r>
      <w:r w:rsidRPr="005A0852">
        <w:rPr>
          <w:rFonts w:hint="cs"/>
          <w:b/>
          <w:bCs/>
          <w:rtl/>
        </w:rPr>
        <w:t>و</w:t>
      </w:r>
      <w:r w:rsidR="005A0852">
        <w:rPr>
          <w:rFonts w:hint="cs"/>
          <w:b/>
          <w:bCs/>
          <w:rtl/>
        </w:rPr>
        <w:t xml:space="preserve"> </w:t>
      </w:r>
      <w:r w:rsidRPr="005A0852">
        <w:rPr>
          <w:rFonts w:hint="cs"/>
          <w:b/>
          <w:bCs/>
          <w:rtl/>
        </w:rPr>
        <w:t>الضمانات</w:t>
      </w:r>
      <w:r w:rsidR="005A0852">
        <w:rPr>
          <w:rFonts w:hint="cs"/>
          <w:b/>
          <w:bCs/>
          <w:rtl/>
        </w:rPr>
        <w:t>؛</w:t>
      </w:r>
      <w:r w:rsidRPr="005A0852">
        <w:rPr>
          <w:rFonts w:hint="cs"/>
          <w:b/>
          <w:bCs/>
          <w:rtl/>
        </w:rPr>
        <w:t xml:space="preserve"> و</w:t>
      </w:r>
      <w:r w:rsidR="005A0852">
        <w:rPr>
          <w:rFonts w:hint="cs"/>
          <w:b/>
          <w:bCs/>
          <w:rtl/>
        </w:rPr>
        <w:t xml:space="preserve">إجراءات </w:t>
      </w:r>
      <w:r w:rsidRPr="005A0852">
        <w:rPr>
          <w:rFonts w:hint="cs"/>
          <w:b/>
          <w:bCs/>
          <w:rtl/>
        </w:rPr>
        <w:t xml:space="preserve">المتابعة </w:t>
      </w:r>
      <w:r w:rsidR="005A0852">
        <w:rPr>
          <w:rFonts w:hint="cs"/>
          <w:b/>
          <w:bCs/>
          <w:rtl/>
        </w:rPr>
        <w:t xml:space="preserve">التي اتخذت لاحقاً في مثل </w:t>
      </w:r>
      <w:r w:rsidRPr="005A0852">
        <w:rPr>
          <w:rFonts w:hint="cs"/>
          <w:b/>
          <w:bCs/>
          <w:rtl/>
        </w:rPr>
        <w:t>هذه الحالات</w:t>
      </w:r>
      <w:r w:rsidR="005A0852">
        <w:rPr>
          <w:rFonts w:hint="cs"/>
          <w:b/>
          <w:bCs/>
          <w:rtl/>
        </w:rPr>
        <w:t>؛</w:t>
      </w:r>
      <w:r w:rsidRPr="005A0852">
        <w:rPr>
          <w:rFonts w:hint="cs"/>
          <w:b/>
          <w:bCs/>
          <w:rtl/>
        </w:rPr>
        <w:t xml:space="preserve"> ومدى إنفاذ التأكيدات </w:t>
      </w:r>
      <w:r w:rsidR="005A0852">
        <w:rPr>
          <w:rFonts w:hint="cs"/>
          <w:b/>
          <w:bCs/>
          <w:rtl/>
        </w:rPr>
        <w:t>أ</w:t>
      </w:r>
      <w:r w:rsidRPr="005A0852">
        <w:rPr>
          <w:rFonts w:hint="cs"/>
          <w:b/>
          <w:bCs/>
          <w:rtl/>
        </w:rPr>
        <w:t>و</w:t>
      </w:r>
      <w:r w:rsidR="005A0852">
        <w:rPr>
          <w:rFonts w:hint="cs"/>
          <w:b/>
          <w:bCs/>
          <w:rtl/>
        </w:rPr>
        <w:t xml:space="preserve"> </w:t>
      </w:r>
      <w:r w:rsidRPr="005A0852">
        <w:rPr>
          <w:rFonts w:hint="cs"/>
          <w:b/>
          <w:bCs/>
          <w:rtl/>
        </w:rPr>
        <w:t>الضمانات الممنوحة.</w:t>
      </w:r>
    </w:p>
    <w:p w:rsidR="00392F0E" w:rsidRPr="00392F0E" w:rsidRDefault="00392F0E" w:rsidP="005A0852">
      <w:pPr>
        <w:pStyle w:val="SingleTxtGA"/>
        <w:rPr>
          <w:rFonts w:hint="cs"/>
          <w:rtl/>
        </w:rPr>
      </w:pPr>
      <w:r w:rsidRPr="00392F0E">
        <w:rPr>
          <w:rFonts w:hint="cs"/>
          <w:rtl/>
        </w:rPr>
        <w:t>14-</w:t>
      </w:r>
      <w:r w:rsidRPr="00392F0E">
        <w:rPr>
          <w:rFonts w:hint="cs"/>
          <w:rtl/>
        </w:rPr>
        <w:tab/>
        <w:t>وت</w:t>
      </w:r>
      <w:r w:rsidR="005A0852">
        <w:rPr>
          <w:rFonts w:hint="cs"/>
          <w:rtl/>
        </w:rPr>
        <w:t>حيط</w:t>
      </w:r>
      <w:r w:rsidRPr="00392F0E">
        <w:rPr>
          <w:rFonts w:hint="cs"/>
          <w:rtl/>
        </w:rPr>
        <w:t xml:space="preserve"> اللجنة </w:t>
      </w:r>
      <w:r w:rsidR="005A0852">
        <w:rPr>
          <w:rFonts w:hint="cs"/>
          <w:rtl/>
        </w:rPr>
        <w:t>علماً ب</w:t>
      </w:r>
      <w:r w:rsidRPr="00392F0E">
        <w:rPr>
          <w:rFonts w:hint="cs"/>
          <w:rtl/>
        </w:rPr>
        <w:t>المعلومات التي قدمها الوفد بشأن الادعاءات القائلة بأن بعض المطارات الإسبانية استخدمت منذ عام 2002 لنقل المحتجزين بموجب برنامج "التسليم الاستثنائي"، وتلاحظ أيضا</w:t>
      </w:r>
      <w:r w:rsidR="005A0852">
        <w:rPr>
          <w:rFonts w:hint="cs"/>
          <w:rtl/>
        </w:rPr>
        <w:t>ً</w:t>
      </w:r>
      <w:r w:rsidRPr="00392F0E">
        <w:rPr>
          <w:rFonts w:hint="cs"/>
          <w:rtl/>
        </w:rPr>
        <w:t xml:space="preserve"> إدانة الدولة الطرف لاستخدام هذه الأساليب والتزامها بالتحقيق </w:t>
      </w:r>
      <w:r w:rsidR="005A0852">
        <w:rPr>
          <w:rFonts w:hint="cs"/>
          <w:rtl/>
        </w:rPr>
        <w:t>و</w:t>
      </w:r>
      <w:r w:rsidRPr="00392F0E">
        <w:rPr>
          <w:rFonts w:hint="cs"/>
          <w:rtl/>
        </w:rPr>
        <w:t xml:space="preserve">كشف </w:t>
      </w:r>
      <w:r w:rsidR="005A0852">
        <w:rPr>
          <w:rFonts w:hint="cs"/>
          <w:rtl/>
        </w:rPr>
        <w:t xml:space="preserve">ملابسات هذه </w:t>
      </w:r>
      <w:r w:rsidRPr="00392F0E">
        <w:rPr>
          <w:rFonts w:hint="cs"/>
          <w:rtl/>
        </w:rPr>
        <w:t>الادعاءات (المادتان 3 و12).</w:t>
      </w:r>
    </w:p>
    <w:p w:rsidR="00392F0E" w:rsidRPr="005A0852" w:rsidRDefault="00392F0E" w:rsidP="005A0852">
      <w:pPr>
        <w:pStyle w:val="SingleTxtGA"/>
        <w:rPr>
          <w:rFonts w:hint="cs"/>
          <w:b/>
          <w:bCs/>
          <w:rtl/>
        </w:rPr>
      </w:pPr>
      <w:r w:rsidRPr="005A0852">
        <w:rPr>
          <w:rFonts w:hint="cs"/>
          <w:b/>
          <w:bCs/>
          <w:rtl/>
        </w:rPr>
        <w:t>تحث اللجنة الدولة الطرف على أن تواصل ال</w:t>
      </w:r>
      <w:r w:rsidR="005A0852">
        <w:rPr>
          <w:rFonts w:hint="cs"/>
          <w:b/>
          <w:bCs/>
          <w:rtl/>
        </w:rPr>
        <w:t xml:space="preserve">تعاون في </w:t>
      </w:r>
      <w:r w:rsidRPr="005A0852">
        <w:rPr>
          <w:rFonts w:hint="cs"/>
          <w:b/>
          <w:bCs/>
          <w:rtl/>
        </w:rPr>
        <w:t xml:space="preserve">التحقيقات التي تجريها السلطات القضائية </w:t>
      </w:r>
      <w:r w:rsidR="005A0852">
        <w:rPr>
          <w:rFonts w:hint="cs"/>
          <w:b/>
          <w:bCs/>
          <w:rtl/>
        </w:rPr>
        <w:t xml:space="preserve">في هذا الصدد </w:t>
      </w:r>
      <w:r w:rsidRPr="005A0852">
        <w:rPr>
          <w:rFonts w:hint="cs"/>
          <w:b/>
          <w:bCs/>
          <w:rtl/>
        </w:rPr>
        <w:t xml:space="preserve">وأن تقدم للجنة جميع المعلومات </w:t>
      </w:r>
      <w:r w:rsidR="005A0852">
        <w:rPr>
          <w:rFonts w:hint="cs"/>
          <w:b/>
          <w:bCs/>
          <w:rtl/>
        </w:rPr>
        <w:t xml:space="preserve">ذات الصلة </w:t>
      </w:r>
      <w:r w:rsidRPr="005A0852">
        <w:rPr>
          <w:rFonts w:hint="cs"/>
          <w:b/>
          <w:bCs/>
          <w:rtl/>
        </w:rPr>
        <w:t>في تقري</w:t>
      </w:r>
      <w:r w:rsidR="005A0852">
        <w:rPr>
          <w:rFonts w:hint="cs"/>
          <w:b/>
          <w:bCs/>
          <w:rtl/>
        </w:rPr>
        <w:t>ـ</w:t>
      </w:r>
      <w:r w:rsidRPr="005A0852">
        <w:rPr>
          <w:rFonts w:hint="cs"/>
          <w:b/>
          <w:bCs/>
          <w:rtl/>
        </w:rPr>
        <w:t>رها الدوري المقبل.</w:t>
      </w:r>
    </w:p>
    <w:p w:rsidR="00392F0E" w:rsidRPr="00392F0E" w:rsidRDefault="00392F0E" w:rsidP="001F2B0C">
      <w:pPr>
        <w:pStyle w:val="SingleTxtGA"/>
        <w:rPr>
          <w:rFonts w:hint="cs"/>
          <w:rtl/>
        </w:rPr>
      </w:pPr>
      <w:r w:rsidRPr="00392F0E">
        <w:rPr>
          <w:rFonts w:hint="cs"/>
          <w:rtl/>
        </w:rPr>
        <w:t>15-</w:t>
      </w:r>
      <w:r w:rsidRPr="00392F0E">
        <w:rPr>
          <w:rFonts w:hint="cs"/>
          <w:rtl/>
        </w:rPr>
        <w:tab/>
        <w:t xml:space="preserve">وترحب اللجنة باعتماد </w:t>
      </w:r>
      <w:r w:rsidR="005A0852">
        <w:rPr>
          <w:rFonts w:hint="cs"/>
          <w:rtl/>
        </w:rPr>
        <w:t xml:space="preserve">الدولة الطرف في تشرين الأول/أكتوبر 2009 </w:t>
      </w:r>
      <w:r w:rsidRPr="00392F0E">
        <w:rPr>
          <w:rFonts w:hint="cs"/>
          <w:rtl/>
        </w:rPr>
        <w:t xml:space="preserve">القانون الخاص بالحق في اللجوء والحماية </w:t>
      </w:r>
      <w:r w:rsidR="005A0852">
        <w:rPr>
          <w:rFonts w:hint="cs"/>
          <w:rtl/>
        </w:rPr>
        <w:t xml:space="preserve">المؤقتة </w:t>
      </w:r>
      <w:r w:rsidRPr="00392F0E">
        <w:rPr>
          <w:rFonts w:hint="cs"/>
          <w:rtl/>
        </w:rPr>
        <w:t>الرامي إلى إنشاء نظام أوروبي موحد للجوء يضمن أعلى درجات الحماية للاجئين والأشخاص الم</w:t>
      </w:r>
      <w:r w:rsidR="005A0852">
        <w:rPr>
          <w:rFonts w:hint="cs"/>
          <w:rtl/>
        </w:rPr>
        <w:t>ضطهدين</w:t>
      </w:r>
      <w:r w:rsidRPr="00392F0E">
        <w:rPr>
          <w:rFonts w:hint="cs"/>
          <w:rtl/>
        </w:rPr>
        <w:t xml:space="preserve">. بيد أن اللجنة تشعر بالقلق </w:t>
      </w:r>
      <w:r w:rsidR="005A0852">
        <w:rPr>
          <w:rFonts w:hint="cs"/>
          <w:rtl/>
        </w:rPr>
        <w:t>إزاء إمكانية ا</w:t>
      </w:r>
      <w:r w:rsidRPr="00392F0E">
        <w:rPr>
          <w:rFonts w:hint="cs"/>
          <w:rtl/>
        </w:rPr>
        <w:t>ستخد</w:t>
      </w:r>
      <w:r w:rsidR="001F2B0C">
        <w:rPr>
          <w:rFonts w:hint="cs"/>
          <w:rtl/>
        </w:rPr>
        <w:t>ا</w:t>
      </w:r>
      <w:r w:rsidRPr="00392F0E">
        <w:rPr>
          <w:rFonts w:hint="cs"/>
          <w:rtl/>
        </w:rPr>
        <w:t xml:space="preserve">م بند القانون الجديد </w:t>
      </w:r>
      <w:r w:rsidR="005A0852">
        <w:rPr>
          <w:rFonts w:hint="cs"/>
          <w:rtl/>
        </w:rPr>
        <w:t xml:space="preserve">بشأن </w:t>
      </w:r>
      <w:r w:rsidR="001F2B0C">
        <w:rPr>
          <w:rFonts w:hint="cs"/>
          <w:rtl/>
        </w:rPr>
        <w:t>الإ</w:t>
      </w:r>
      <w:r w:rsidR="005A0852">
        <w:rPr>
          <w:rFonts w:hint="cs"/>
          <w:rtl/>
        </w:rPr>
        <w:t xml:space="preserve">عفاءات من الالتزام بحظر </w:t>
      </w:r>
      <w:r w:rsidRPr="00392F0E">
        <w:rPr>
          <w:rFonts w:hint="cs"/>
          <w:rtl/>
        </w:rPr>
        <w:t>الإعادة القسرية الواردة في الفقرة 2 من المادة 33 من الاتفاقية الخاصة بوضع اللاجئين لعام 1951 كحجة لرفض طلبات اللجوء. ويساور اللجنة بالغ القلق لأنه</w:t>
      </w:r>
      <w:r w:rsidR="005A0852">
        <w:rPr>
          <w:rFonts w:hint="cs"/>
          <w:rtl/>
        </w:rPr>
        <w:t>،</w:t>
      </w:r>
      <w:r w:rsidRPr="00392F0E">
        <w:rPr>
          <w:rFonts w:hint="cs"/>
          <w:rtl/>
        </w:rPr>
        <w:t xml:space="preserve"> وفقا</w:t>
      </w:r>
      <w:r w:rsidR="005A0852">
        <w:rPr>
          <w:rFonts w:hint="cs"/>
          <w:rtl/>
        </w:rPr>
        <w:t>ً</w:t>
      </w:r>
      <w:r w:rsidRPr="00392F0E">
        <w:rPr>
          <w:rFonts w:hint="cs"/>
          <w:rtl/>
        </w:rPr>
        <w:t xml:space="preserve"> للقانون المذكور</w:t>
      </w:r>
      <w:r w:rsidR="005A0852">
        <w:rPr>
          <w:rFonts w:hint="cs"/>
          <w:rtl/>
        </w:rPr>
        <w:t>،</w:t>
      </w:r>
      <w:r w:rsidRPr="00392F0E">
        <w:rPr>
          <w:rFonts w:hint="cs"/>
          <w:rtl/>
        </w:rPr>
        <w:t xml:space="preserve"> يمكن أن ترفَض طلبات اللجوء بموجب الإجراءات العاجلة</w:t>
      </w:r>
      <w:r w:rsidR="005A0852">
        <w:rPr>
          <w:rFonts w:hint="cs"/>
          <w:rtl/>
        </w:rPr>
        <w:t xml:space="preserve">، بما في ذلك </w:t>
      </w:r>
      <w:r w:rsidRPr="00392F0E">
        <w:rPr>
          <w:rFonts w:hint="cs"/>
          <w:rtl/>
        </w:rPr>
        <w:t>عند الحدود</w:t>
      </w:r>
      <w:r w:rsidR="005A0852">
        <w:rPr>
          <w:rFonts w:hint="cs"/>
          <w:rtl/>
        </w:rPr>
        <w:t xml:space="preserve"> نفسها</w:t>
      </w:r>
      <w:r w:rsidRPr="00392F0E">
        <w:rPr>
          <w:rFonts w:hint="cs"/>
          <w:rtl/>
        </w:rPr>
        <w:t>، دون أن يُدرس كل طلب دراسة وافية، ودون أن تؤخذ كل الحيثيات في الحسبان سلفا (المادة 3).</w:t>
      </w:r>
    </w:p>
    <w:p w:rsidR="00392F0E" w:rsidRPr="005A0852" w:rsidRDefault="00392F0E" w:rsidP="005A0852">
      <w:pPr>
        <w:pStyle w:val="SingleTxtGA"/>
        <w:rPr>
          <w:rFonts w:hint="cs"/>
          <w:b/>
          <w:bCs/>
          <w:rtl/>
        </w:rPr>
      </w:pPr>
      <w:r w:rsidRPr="005A0852">
        <w:rPr>
          <w:rFonts w:hint="cs"/>
          <w:b/>
          <w:bCs/>
          <w:rtl/>
        </w:rPr>
        <w:t>على الدولة الطرف إن تعيد النظر في تطبيق البنود المتعلقة بالاستبعاد في القانون الجديد لضم</w:t>
      </w:r>
      <w:r w:rsidR="005A0852">
        <w:rPr>
          <w:rFonts w:hint="cs"/>
          <w:b/>
          <w:bCs/>
          <w:rtl/>
        </w:rPr>
        <w:t>ا</w:t>
      </w:r>
      <w:r w:rsidRPr="005A0852">
        <w:rPr>
          <w:rFonts w:hint="cs"/>
          <w:b/>
          <w:bCs/>
          <w:rtl/>
        </w:rPr>
        <w:t xml:space="preserve">ن </w:t>
      </w:r>
      <w:r w:rsidR="005A0852">
        <w:rPr>
          <w:rFonts w:hint="cs"/>
          <w:b/>
          <w:bCs/>
          <w:rtl/>
        </w:rPr>
        <w:t xml:space="preserve">عدم تعرض </w:t>
      </w:r>
      <w:r w:rsidRPr="005A0852">
        <w:rPr>
          <w:rFonts w:hint="cs"/>
          <w:b/>
          <w:bCs/>
          <w:rtl/>
        </w:rPr>
        <w:t xml:space="preserve">مبدأ عدم الإعادة القسرية الوارد في المادة 3 من الاتفاقية </w:t>
      </w:r>
      <w:r w:rsidR="005A0852">
        <w:rPr>
          <w:rFonts w:hint="cs"/>
          <w:b/>
          <w:bCs/>
          <w:rtl/>
        </w:rPr>
        <w:t>إلى الانتهاك ب</w:t>
      </w:r>
      <w:r w:rsidRPr="005A0852">
        <w:rPr>
          <w:rFonts w:hint="cs"/>
          <w:b/>
          <w:bCs/>
          <w:rtl/>
        </w:rPr>
        <w:t xml:space="preserve">أي حال من </w:t>
      </w:r>
      <w:r w:rsidR="005A0852">
        <w:rPr>
          <w:rFonts w:hint="cs"/>
          <w:b/>
          <w:bCs/>
          <w:rtl/>
        </w:rPr>
        <w:t>الأحوال</w:t>
      </w:r>
      <w:r w:rsidRPr="005A0852">
        <w:rPr>
          <w:rFonts w:hint="cs"/>
          <w:b/>
          <w:bCs/>
          <w:rtl/>
        </w:rPr>
        <w:t xml:space="preserve">. </w:t>
      </w:r>
    </w:p>
    <w:p w:rsidR="00392F0E" w:rsidRPr="00392F0E" w:rsidRDefault="00392F0E" w:rsidP="005A0852">
      <w:pPr>
        <w:pStyle w:val="SingleTxtGA"/>
        <w:rPr>
          <w:rFonts w:hint="cs"/>
          <w:rtl/>
        </w:rPr>
      </w:pPr>
      <w:r w:rsidRPr="00392F0E">
        <w:rPr>
          <w:rFonts w:hint="cs"/>
          <w:rtl/>
        </w:rPr>
        <w:t>16-</w:t>
      </w:r>
      <w:r w:rsidRPr="00392F0E">
        <w:rPr>
          <w:rFonts w:hint="cs"/>
          <w:rtl/>
        </w:rPr>
        <w:tab/>
        <w:t xml:space="preserve">وتحيط اللجنة علما بالاتفاقات الثنائية بشأن مساعدة القاصرين على العودة التي وقعتها إسبانيا مع المغرب والسنغال. غير أن اللجنة تشعر بالقلق </w:t>
      </w:r>
      <w:r w:rsidR="005A0852">
        <w:rPr>
          <w:rFonts w:hint="cs"/>
          <w:rtl/>
        </w:rPr>
        <w:t xml:space="preserve">لعدم وجود ضمانات، لدى </w:t>
      </w:r>
      <w:r w:rsidRPr="00392F0E">
        <w:rPr>
          <w:rFonts w:hint="cs"/>
          <w:rtl/>
        </w:rPr>
        <w:t>تطبيق هذه الاتفاقات</w:t>
      </w:r>
      <w:r w:rsidR="005A0852">
        <w:rPr>
          <w:rFonts w:hint="cs"/>
          <w:rtl/>
        </w:rPr>
        <w:t>،</w:t>
      </w:r>
      <w:r w:rsidRPr="00392F0E">
        <w:rPr>
          <w:rFonts w:hint="cs"/>
          <w:rtl/>
        </w:rPr>
        <w:t xml:space="preserve"> </w:t>
      </w:r>
      <w:r w:rsidR="005A0852">
        <w:rPr>
          <w:rFonts w:hint="cs"/>
          <w:rtl/>
        </w:rPr>
        <w:t xml:space="preserve">تكفل </w:t>
      </w:r>
      <w:r w:rsidRPr="00392F0E">
        <w:rPr>
          <w:rFonts w:hint="cs"/>
          <w:rtl/>
        </w:rPr>
        <w:t xml:space="preserve">تحديد الأطفال الذين يمكن </w:t>
      </w:r>
      <w:r w:rsidR="005A0852">
        <w:rPr>
          <w:rFonts w:hint="cs"/>
          <w:rtl/>
        </w:rPr>
        <w:t xml:space="preserve">قد </w:t>
      </w:r>
      <w:r w:rsidRPr="00392F0E">
        <w:rPr>
          <w:rFonts w:hint="cs"/>
          <w:rtl/>
        </w:rPr>
        <w:t>يحتاجوا إلى حماية دولية و</w:t>
      </w:r>
      <w:r w:rsidR="005A0852">
        <w:rPr>
          <w:rFonts w:hint="cs"/>
          <w:rtl/>
        </w:rPr>
        <w:t xml:space="preserve">من ثم قد يكونون محقين في الاستفادة </w:t>
      </w:r>
      <w:r w:rsidRPr="00392F0E">
        <w:rPr>
          <w:rFonts w:hint="cs"/>
          <w:rtl/>
        </w:rPr>
        <w:t>من إجراءات اللجوء</w:t>
      </w:r>
      <w:r w:rsidR="005A0852">
        <w:rPr>
          <w:rFonts w:hint="cs"/>
          <w:rtl/>
        </w:rPr>
        <w:t xml:space="preserve"> (المادة 2)</w:t>
      </w:r>
      <w:r w:rsidRPr="00392F0E">
        <w:rPr>
          <w:rFonts w:hint="cs"/>
          <w:rtl/>
        </w:rPr>
        <w:t>.</w:t>
      </w:r>
    </w:p>
    <w:p w:rsidR="00392F0E" w:rsidRPr="005A0852" w:rsidRDefault="00392F0E" w:rsidP="005A0852">
      <w:pPr>
        <w:pStyle w:val="SingleTxtGA"/>
        <w:rPr>
          <w:rFonts w:hint="cs"/>
          <w:b/>
          <w:bCs/>
          <w:rtl/>
        </w:rPr>
      </w:pPr>
      <w:r w:rsidRPr="005A0852">
        <w:rPr>
          <w:rFonts w:hint="cs"/>
          <w:b/>
          <w:bCs/>
          <w:rtl/>
        </w:rPr>
        <w:t xml:space="preserve">يجب على الدولة الطرف أن تضمن </w:t>
      </w:r>
      <w:r w:rsidR="005A0852">
        <w:rPr>
          <w:rFonts w:hint="cs"/>
          <w:b/>
          <w:bCs/>
          <w:rtl/>
        </w:rPr>
        <w:t xml:space="preserve">اشتمال </w:t>
      </w:r>
      <w:r w:rsidRPr="005A0852">
        <w:rPr>
          <w:rFonts w:hint="cs"/>
          <w:b/>
          <w:bCs/>
          <w:rtl/>
        </w:rPr>
        <w:t xml:space="preserve">الاتفاقات الثنائية بشأن مساعدة القاصرين على العودة التي وقعتها إسبانيا </w:t>
      </w:r>
      <w:r w:rsidR="005A0852">
        <w:rPr>
          <w:rFonts w:hint="cs"/>
          <w:b/>
          <w:bCs/>
          <w:rtl/>
        </w:rPr>
        <w:t xml:space="preserve">على </w:t>
      </w:r>
      <w:r w:rsidRPr="005A0852">
        <w:rPr>
          <w:rFonts w:hint="cs"/>
          <w:b/>
          <w:bCs/>
          <w:rtl/>
        </w:rPr>
        <w:t>ضمانات كافية لتوفير الحماية من</w:t>
      </w:r>
      <w:r w:rsidR="005A0852">
        <w:rPr>
          <w:rFonts w:hint="cs"/>
          <w:b/>
          <w:bCs/>
          <w:rtl/>
        </w:rPr>
        <w:t xml:space="preserve"> </w:t>
      </w:r>
      <w:r w:rsidRPr="005A0852">
        <w:rPr>
          <w:rFonts w:hint="cs"/>
          <w:b/>
          <w:bCs/>
          <w:rtl/>
        </w:rPr>
        <w:t xml:space="preserve">إعادة </w:t>
      </w:r>
      <w:r w:rsidR="005A0852">
        <w:rPr>
          <w:rFonts w:hint="cs"/>
          <w:b/>
          <w:bCs/>
          <w:rtl/>
        </w:rPr>
        <w:t>ا</w:t>
      </w:r>
      <w:r w:rsidRPr="005A0852">
        <w:rPr>
          <w:rFonts w:hint="cs"/>
          <w:b/>
          <w:bCs/>
          <w:rtl/>
        </w:rPr>
        <w:t>لأطفال ضحايا الاتجار والبغاء والمواد الإباحية، و</w:t>
      </w:r>
      <w:r w:rsidR="005A0852">
        <w:rPr>
          <w:rFonts w:hint="cs"/>
          <w:b/>
          <w:bCs/>
          <w:rtl/>
        </w:rPr>
        <w:t xml:space="preserve">كذلك الذين </w:t>
      </w:r>
      <w:r w:rsidRPr="005A0852">
        <w:rPr>
          <w:rFonts w:hint="cs"/>
          <w:b/>
          <w:bCs/>
          <w:rtl/>
        </w:rPr>
        <w:t xml:space="preserve">زُجّ بهم في النزاع أو </w:t>
      </w:r>
      <w:r w:rsidR="005A0852">
        <w:rPr>
          <w:rFonts w:hint="cs"/>
          <w:b/>
          <w:bCs/>
          <w:rtl/>
        </w:rPr>
        <w:t>الذين</w:t>
      </w:r>
      <w:r w:rsidRPr="005A0852">
        <w:rPr>
          <w:rFonts w:hint="cs"/>
          <w:b/>
          <w:bCs/>
          <w:rtl/>
        </w:rPr>
        <w:t xml:space="preserve"> فروا من بلدانهم </w:t>
      </w:r>
      <w:r w:rsidR="005A0852">
        <w:rPr>
          <w:rFonts w:hint="cs"/>
          <w:b/>
          <w:bCs/>
          <w:rtl/>
        </w:rPr>
        <w:t xml:space="preserve">بسبب </w:t>
      </w:r>
      <w:r w:rsidRPr="005A0852">
        <w:rPr>
          <w:rFonts w:hint="cs"/>
          <w:b/>
          <w:bCs/>
          <w:rtl/>
        </w:rPr>
        <w:t xml:space="preserve">خوف مبرر من </w:t>
      </w:r>
      <w:r w:rsidR="005A0852">
        <w:rPr>
          <w:rFonts w:hint="cs"/>
          <w:b/>
          <w:bCs/>
          <w:rtl/>
        </w:rPr>
        <w:t>التعرض للاضطهاد</w:t>
      </w:r>
      <w:r w:rsidRPr="005A0852">
        <w:rPr>
          <w:rFonts w:hint="cs"/>
          <w:b/>
          <w:bCs/>
          <w:rtl/>
        </w:rPr>
        <w:t>. وتود اللجنة التشديد على أنه لا ي</w:t>
      </w:r>
      <w:r w:rsidR="005A0852">
        <w:rPr>
          <w:rFonts w:hint="cs"/>
          <w:b/>
          <w:bCs/>
          <w:rtl/>
        </w:rPr>
        <w:t>نبغي</w:t>
      </w:r>
      <w:r w:rsidRPr="005A0852">
        <w:rPr>
          <w:rFonts w:hint="cs"/>
          <w:b/>
          <w:bCs/>
          <w:rtl/>
        </w:rPr>
        <w:t xml:space="preserve"> إعادة الأطفال إلى بلدانهم الأصلية إلا إذا كان ذلك في مصلحتهم</w:t>
      </w:r>
      <w:r w:rsidR="005A0852">
        <w:rPr>
          <w:rFonts w:hint="cs"/>
          <w:b/>
          <w:bCs/>
          <w:rtl/>
        </w:rPr>
        <w:t xml:space="preserve"> العليا</w:t>
      </w:r>
      <w:r w:rsidRPr="005A0852">
        <w:rPr>
          <w:rFonts w:hint="cs"/>
          <w:b/>
          <w:bCs/>
          <w:rtl/>
        </w:rPr>
        <w:t>.</w:t>
      </w:r>
    </w:p>
    <w:p w:rsidR="00392F0E" w:rsidRPr="00392F0E" w:rsidRDefault="005A0852" w:rsidP="005A0852">
      <w:pPr>
        <w:pStyle w:val="H23GA"/>
        <w:rPr>
          <w:rFonts w:hint="cs"/>
          <w:rtl/>
        </w:rPr>
      </w:pPr>
      <w:r>
        <w:rPr>
          <w:rFonts w:hint="cs"/>
          <w:rtl/>
        </w:rPr>
        <w:tab/>
      </w:r>
      <w:r w:rsidR="00392F0E" w:rsidRPr="00392F0E">
        <w:rPr>
          <w:rFonts w:hint="cs"/>
          <w:rtl/>
        </w:rPr>
        <w:t>5-</w:t>
      </w:r>
      <w:r w:rsidR="00392F0E" w:rsidRPr="00392F0E">
        <w:rPr>
          <w:rFonts w:hint="cs"/>
          <w:rtl/>
        </w:rPr>
        <w:tab/>
        <w:t>الولاية القضائية في أعمال التعذيب</w:t>
      </w:r>
    </w:p>
    <w:p w:rsidR="00392F0E" w:rsidRPr="00392F0E" w:rsidRDefault="00392F0E" w:rsidP="005A0852">
      <w:pPr>
        <w:pStyle w:val="SingleTxtGA"/>
        <w:rPr>
          <w:rFonts w:hint="cs"/>
          <w:rtl/>
        </w:rPr>
      </w:pPr>
      <w:r w:rsidRPr="00392F0E">
        <w:rPr>
          <w:rFonts w:hint="cs"/>
          <w:rtl/>
        </w:rPr>
        <w:t>17-</w:t>
      </w:r>
      <w:r w:rsidRPr="00392F0E">
        <w:rPr>
          <w:rFonts w:hint="cs"/>
          <w:rtl/>
        </w:rPr>
        <w:tab/>
        <w:t xml:space="preserve">تقر اللجنة أن محاكم الدولة الطرف كانت سبّاقة إلى تطبيق الولاية القضائية العالمية على الجرائم الدولية، بما في ذلك التعذيب. وفي هذا الصدد، تحيط اللجنة علما بالتعديل التشريعي الأخير، وبالقانون الأساسي رقم </w:t>
      </w:r>
      <w:r w:rsidRPr="00392F0E">
        <w:t>1/2009</w:t>
      </w:r>
      <w:r w:rsidRPr="00392F0E">
        <w:rPr>
          <w:rFonts w:hint="cs"/>
          <w:rtl/>
        </w:rPr>
        <w:t xml:space="preserve"> المؤرخ في 3 تشرين الثاني/نوفمبر الذي يفرض شروطا لممارسة هذه الولاية القضائية (المادتان 5 و7).</w:t>
      </w:r>
    </w:p>
    <w:p w:rsidR="00392F0E" w:rsidRPr="00E476FF" w:rsidRDefault="00392F0E" w:rsidP="00392F0E">
      <w:pPr>
        <w:pStyle w:val="SingleTxtGA"/>
        <w:rPr>
          <w:rFonts w:hint="cs"/>
          <w:b/>
          <w:bCs/>
          <w:rtl/>
        </w:rPr>
      </w:pPr>
      <w:r w:rsidRPr="00E476FF">
        <w:rPr>
          <w:rFonts w:hint="cs"/>
          <w:b/>
          <w:bCs/>
          <w:rtl/>
        </w:rPr>
        <w:t>يجب على الدولة الطرف أن تضمن أن هذا الإصلاح لن يعرقل ممارسة ولايتها القضائية على جميع أعمال التعذيب وفقا للمادتين 5 و7 من الاتفاقية ولا سيما مبدأ التسليم أو المحاكمة المكرس في هاتين المادتين.</w:t>
      </w:r>
    </w:p>
    <w:p w:rsidR="00392F0E" w:rsidRPr="00392F0E" w:rsidRDefault="00E476FF" w:rsidP="00E476FF">
      <w:pPr>
        <w:pStyle w:val="H23GA"/>
        <w:rPr>
          <w:rFonts w:hint="cs"/>
          <w:rtl/>
        </w:rPr>
      </w:pPr>
      <w:r>
        <w:rPr>
          <w:rFonts w:hint="cs"/>
          <w:rtl/>
        </w:rPr>
        <w:tab/>
      </w:r>
      <w:r w:rsidR="00392F0E" w:rsidRPr="00392F0E">
        <w:rPr>
          <w:rFonts w:hint="cs"/>
          <w:rtl/>
        </w:rPr>
        <w:t>6-</w:t>
      </w:r>
      <w:r w:rsidR="00392F0E" w:rsidRPr="00392F0E">
        <w:rPr>
          <w:rFonts w:hint="cs"/>
          <w:rtl/>
        </w:rPr>
        <w:tab/>
        <w:t>التدريب</w:t>
      </w:r>
    </w:p>
    <w:p w:rsidR="00392F0E" w:rsidRPr="00392F0E" w:rsidRDefault="00392F0E" w:rsidP="00E476FF">
      <w:pPr>
        <w:pStyle w:val="SingleTxtGA"/>
        <w:rPr>
          <w:rFonts w:hint="cs"/>
          <w:rtl/>
        </w:rPr>
      </w:pPr>
      <w:r w:rsidRPr="00392F0E">
        <w:rPr>
          <w:rFonts w:hint="cs"/>
          <w:rtl/>
        </w:rPr>
        <w:t>18-</w:t>
      </w:r>
      <w:r w:rsidRPr="00392F0E">
        <w:rPr>
          <w:rFonts w:hint="cs"/>
          <w:rtl/>
        </w:rPr>
        <w:tab/>
        <w:t>و</w:t>
      </w:r>
      <w:r w:rsidR="00E476FF">
        <w:rPr>
          <w:rFonts w:hint="cs"/>
          <w:rtl/>
        </w:rPr>
        <w:t>تلاحظ</w:t>
      </w:r>
      <w:r w:rsidRPr="00392F0E">
        <w:rPr>
          <w:rFonts w:hint="cs"/>
          <w:rtl/>
        </w:rPr>
        <w:t xml:space="preserve"> اللجنة </w:t>
      </w:r>
      <w:r w:rsidR="00E476FF">
        <w:rPr>
          <w:rFonts w:hint="cs"/>
          <w:rtl/>
        </w:rPr>
        <w:t xml:space="preserve">أن </w:t>
      </w:r>
      <w:r w:rsidRPr="00392F0E">
        <w:rPr>
          <w:rFonts w:hint="cs"/>
          <w:rtl/>
        </w:rPr>
        <w:t xml:space="preserve">الإجراء 103 من </w:t>
      </w:r>
      <w:r w:rsidR="00E476FF">
        <w:rPr>
          <w:rFonts w:hint="cs"/>
          <w:rtl/>
        </w:rPr>
        <w:t>ال</w:t>
      </w:r>
      <w:r w:rsidRPr="00392F0E">
        <w:rPr>
          <w:rFonts w:hint="cs"/>
          <w:rtl/>
        </w:rPr>
        <w:t xml:space="preserve">خطة </w:t>
      </w:r>
      <w:r w:rsidR="00E476FF">
        <w:rPr>
          <w:rFonts w:hint="cs"/>
          <w:rtl/>
        </w:rPr>
        <w:t xml:space="preserve">من أجل </w:t>
      </w:r>
      <w:r w:rsidRPr="00392F0E">
        <w:rPr>
          <w:rFonts w:hint="cs"/>
          <w:rtl/>
        </w:rPr>
        <w:t xml:space="preserve">حقوق الإنسان </w:t>
      </w:r>
      <w:r w:rsidR="00E476FF">
        <w:rPr>
          <w:rFonts w:hint="cs"/>
          <w:rtl/>
        </w:rPr>
        <w:t>يقضي ب</w:t>
      </w:r>
      <w:r w:rsidRPr="00392F0E">
        <w:rPr>
          <w:rFonts w:hint="cs"/>
          <w:rtl/>
        </w:rPr>
        <w:t>تنظيم دروس وحلقات تدارس للتدريب الأولي والمتواصل على السلوك المطلوب من جميع أفراد قوات الأمن التابعة للدولة من أجل ضمان حقوق الأشخاص المحتجزين أو الموضوعين رهن الاحتجاز الاحتياطي لدى الشرطة. وتلاحظ اللجنة أيضا أنه ينبغي إدراج الدروس المتعلقة بحقوق الإنسان وبروتوكول إسطنبول (</w:t>
      </w:r>
      <w:r w:rsidR="00E476FF">
        <w:rPr>
          <w:rFonts w:hint="cs"/>
          <w:rtl/>
        </w:rPr>
        <w:t xml:space="preserve">دليل التقصي </w:t>
      </w:r>
      <w:r w:rsidRPr="00392F0E">
        <w:rPr>
          <w:rFonts w:hint="cs"/>
          <w:rtl/>
        </w:rPr>
        <w:t xml:space="preserve">والتوثيق </w:t>
      </w:r>
      <w:r w:rsidR="00E476FF">
        <w:rPr>
          <w:rFonts w:hint="cs"/>
          <w:rtl/>
        </w:rPr>
        <w:t xml:space="preserve">الفعالين </w:t>
      </w:r>
      <w:r w:rsidRPr="00392F0E">
        <w:rPr>
          <w:rFonts w:hint="cs"/>
          <w:rtl/>
        </w:rPr>
        <w:t>بشأن التعذيب وغيره من ضروب المعاملة أو العقوبة القاسية أو اللاإنسانية أو المهينة) في برنامج تعليمي متواصل ابتداء من 2010 (المادة 10).</w:t>
      </w:r>
    </w:p>
    <w:p w:rsidR="00392F0E" w:rsidRPr="00E476FF" w:rsidRDefault="00392F0E" w:rsidP="00392F0E">
      <w:pPr>
        <w:pStyle w:val="SingleTxtGA"/>
        <w:rPr>
          <w:rFonts w:hint="cs"/>
          <w:b/>
          <w:bCs/>
          <w:rtl/>
        </w:rPr>
      </w:pPr>
      <w:r w:rsidRPr="00E476FF">
        <w:rPr>
          <w:rFonts w:hint="cs"/>
          <w:b/>
          <w:bCs/>
          <w:rtl/>
        </w:rPr>
        <w:t xml:space="preserve">على الدولة الطرف أن تضطلع بما يلي: </w:t>
      </w:r>
    </w:p>
    <w:p w:rsidR="00392F0E" w:rsidRPr="00E476FF" w:rsidRDefault="00392F0E" w:rsidP="00E476FF">
      <w:pPr>
        <w:pStyle w:val="SingleTxtGA"/>
        <w:rPr>
          <w:rFonts w:hint="cs"/>
          <w:b/>
          <w:bCs/>
          <w:rtl/>
        </w:rPr>
      </w:pPr>
      <w:r w:rsidRPr="00E476FF">
        <w:rPr>
          <w:rFonts w:hint="cs"/>
          <w:b/>
          <w:bCs/>
          <w:rtl/>
        </w:rPr>
        <w:tab/>
        <w:t>(أ)</w:t>
      </w:r>
      <w:r w:rsidRPr="00E476FF">
        <w:rPr>
          <w:rFonts w:hint="cs"/>
          <w:b/>
          <w:bCs/>
          <w:rtl/>
        </w:rPr>
        <w:tab/>
        <w:t>مواصلة إعداد برامج تدريبية وتنفيذها ل</w:t>
      </w:r>
      <w:r w:rsidR="00E476FF">
        <w:rPr>
          <w:rFonts w:hint="cs"/>
          <w:b/>
          <w:bCs/>
          <w:rtl/>
        </w:rPr>
        <w:t xml:space="preserve">فائدة </w:t>
      </w:r>
      <w:r w:rsidRPr="00E476FF">
        <w:rPr>
          <w:rFonts w:hint="cs"/>
          <w:b/>
          <w:bCs/>
          <w:rtl/>
        </w:rPr>
        <w:t>جميع الموظفين المدنيين، بم</w:t>
      </w:r>
      <w:r w:rsidR="00E476FF">
        <w:rPr>
          <w:rFonts w:hint="cs"/>
          <w:b/>
          <w:bCs/>
          <w:rtl/>
        </w:rPr>
        <w:t>ن</w:t>
      </w:r>
      <w:r w:rsidRPr="00E476FF">
        <w:rPr>
          <w:rFonts w:hint="cs"/>
          <w:b/>
          <w:bCs/>
          <w:rtl/>
        </w:rPr>
        <w:t xml:space="preserve"> </w:t>
      </w:r>
      <w:r w:rsidR="00E476FF">
        <w:rPr>
          <w:rFonts w:hint="cs"/>
          <w:b/>
          <w:bCs/>
          <w:rtl/>
        </w:rPr>
        <w:t xml:space="preserve">فيهم </w:t>
      </w:r>
      <w:r w:rsidRPr="00E476FF">
        <w:rPr>
          <w:rFonts w:hint="cs"/>
          <w:b/>
          <w:bCs/>
          <w:rtl/>
        </w:rPr>
        <w:t xml:space="preserve">موظفي إنفاذ القانون وموظفي السجون، </w:t>
      </w:r>
      <w:r w:rsidR="00E476FF">
        <w:rPr>
          <w:rFonts w:hint="cs"/>
          <w:b/>
          <w:bCs/>
          <w:rtl/>
        </w:rPr>
        <w:t xml:space="preserve">حتى يكونوا على علم </w:t>
      </w:r>
      <w:r w:rsidRPr="00E476FF">
        <w:rPr>
          <w:rFonts w:hint="cs"/>
          <w:b/>
          <w:bCs/>
          <w:rtl/>
        </w:rPr>
        <w:t>تمام بأحكام الاتفاقية وبروتوكولها الاختياري، و</w:t>
      </w:r>
      <w:r w:rsidR="00E476FF">
        <w:rPr>
          <w:rFonts w:hint="cs"/>
          <w:b/>
          <w:bCs/>
          <w:rtl/>
        </w:rPr>
        <w:t xml:space="preserve">لكي لا </w:t>
      </w:r>
      <w:r w:rsidRPr="00E476FF">
        <w:rPr>
          <w:rFonts w:hint="cs"/>
          <w:b/>
          <w:bCs/>
          <w:rtl/>
        </w:rPr>
        <w:t>يسمح</w:t>
      </w:r>
      <w:r w:rsidR="00E476FF">
        <w:rPr>
          <w:rFonts w:hint="cs"/>
          <w:b/>
          <w:bCs/>
          <w:rtl/>
        </w:rPr>
        <w:t>وا</w:t>
      </w:r>
      <w:r w:rsidRPr="00E476FF">
        <w:rPr>
          <w:rFonts w:hint="cs"/>
          <w:b/>
          <w:bCs/>
          <w:rtl/>
        </w:rPr>
        <w:t xml:space="preserve"> أبدا بأي خرق أو انتهاك؛</w:t>
      </w:r>
    </w:p>
    <w:p w:rsidR="00392F0E" w:rsidRPr="00E476FF" w:rsidRDefault="00E476FF" w:rsidP="00E476FF">
      <w:pPr>
        <w:pStyle w:val="SingleTxtGA"/>
        <w:rPr>
          <w:rFonts w:hint="cs"/>
          <w:b/>
          <w:bCs/>
          <w:rtl/>
        </w:rPr>
      </w:pPr>
      <w:r>
        <w:rPr>
          <w:rFonts w:hint="cs"/>
          <w:b/>
          <w:bCs/>
          <w:rtl/>
        </w:rPr>
        <w:tab/>
      </w:r>
      <w:r w:rsidR="00392F0E" w:rsidRPr="00E476FF">
        <w:rPr>
          <w:rFonts w:hint="cs"/>
          <w:b/>
          <w:bCs/>
          <w:rtl/>
        </w:rPr>
        <w:t>(ب)</w:t>
      </w:r>
      <w:r w:rsidR="00392F0E" w:rsidRPr="00E476FF">
        <w:rPr>
          <w:rFonts w:hint="cs"/>
          <w:b/>
          <w:bCs/>
          <w:rtl/>
        </w:rPr>
        <w:tab/>
        <w:t xml:space="preserve">ضمان </w:t>
      </w:r>
      <w:r>
        <w:rPr>
          <w:rFonts w:hint="cs"/>
          <w:b/>
          <w:bCs/>
          <w:rtl/>
        </w:rPr>
        <w:t xml:space="preserve">حصول </w:t>
      </w:r>
      <w:r w:rsidR="00392F0E" w:rsidRPr="00E476FF">
        <w:rPr>
          <w:rFonts w:hint="cs"/>
          <w:b/>
          <w:bCs/>
          <w:rtl/>
        </w:rPr>
        <w:t xml:space="preserve">جميع الموظفين المعنيين </w:t>
      </w:r>
      <w:r>
        <w:rPr>
          <w:rFonts w:hint="cs"/>
          <w:b/>
          <w:bCs/>
          <w:rtl/>
        </w:rPr>
        <w:t xml:space="preserve">على </w:t>
      </w:r>
      <w:r w:rsidR="00392F0E" w:rsidRPr="00E476FF">
        <w:rPr>
          <w:rFonts w:hint="cs"/>
          <w:b/>
          <w:bCs/>
          <w:rtl/>
        </w:rPr>
        <w:t xml:space="preserve">تدريب خاص عن كيفية التعرف إلى </w:t>
      </w:r>
      <w:r>
        <w:rPr>
          <w:rFonts w:hint="cs"/>
          <w:b/>
          <w:bCs/>
          <w:rtl/>
        </w:rPr>
        <w:t xml:space="preserve">علامات </w:t>
      </w:r>
      <w:r w:rsidR="00392F0E" w:rsidRPr="00E476FF">
        <w:rPr>
          <w:rFonts w:hint="cs"/>
          <w:b/>
          <w:bCs/>
          <w:rtl/>
        </w:rPr>
        <w:t>التعذيب والمعاملة السيئة؛</w:t>
      </w:r>
    </w:p>
    <w:p w:rsidR="00392F0E" w:rsidRPr="00E476FF" w:rsidRDefault="00E476FF" w:rsidP="00E476FF">
      <w:pPr>
        <w:pStyle w:val="SingleTxtGA"/>
        <w:rPr>
          <w:rFonts w:hint="cs"/>
          <w:b/>
          <w:bCs/>
          <w:rtl/>
        </w:rPr>
      </w:pPr>
      <w:r>
        <w:rPr>
          <w:rFonts w:hint="cs"/>
          <w:b/>
          <w:bCs/>
          <w:rtl/>
        </w:rPr>
        <w:tab/>
      </w:r>
      <w:r w:rsidR="00392F0E" w:rsidRPr="00E476FF">
        <w:rPr>
          <w:rFonts w:hint="cs"/>
          <w:b/>
          <w:bCs/>
          <w:rtl/>
        </w:rPr>
        <w:t>(ج)</w:t>
      </w:r>
      <w:r w:rsidR="00392F0E" w:rsidRPr="00E476FF">
        <w:rPr>
          <w:rFonts w:hint="cs"/>
          <w:b/>
          <w:bCs/>
          <w:rtl/>
        </w:rPr>
        <w:tab/>
        <w:t xml:space="preserve">وضع منهجية وتطبيقها لتقييم </w:t>
      </w:r>
      <w:r>
        <w:rPr>
          <w:rFonts w:hint="cs"/>
          <w:b/>
          <w:bCs/>
          <w:rtl/>
        </w:rPr>
        <w:t xml:space="preserve">فعالية </w:t>
      </w:r>
      <w:r w:rsidR="00392F0E" w:rsidRPr="00E476FF">
        <w:rPr>
          <w:rFonts w:hint="cs"/>
          <w:b/>
          <w:bCs/>
          <w:rtl/>
        </w:rPr>
        <w:t>برامج التدريب وأثرها في خفض عدد حالات التعذيب والمعاملة السيئة؛</w:t>
      </w:r>
    </w:p>
    <w:p w:rsidR="00392F0E" w:rsidRPr="00392F0E" w:rsidRDefault="00E476FF" w:rsidP="00E476FF">
      <w:pPr>
        <w:pStyle w:val="H23GA"/>
        <w:rPr>
          <w:rFonts w:hint="cs"/>
          <w:rtl/>
        </w:rPr>
      </w:pPr>
      <w:r>
        <w:rPr>
          <w:rFonts w:hint="cs"/>
          <w:rtl/>
        </w:rPr>
        <w:tab/>
      </w:r>
      <w:r w:rsidR="00392F0E" w:rsidRPr="00392F0E">
        <w:rPr>
          <w:rFonts w:hint="cs"/>
          <w:rtl/>
        </w:rPr>
        <w:t>7-</w:t>
      </w:r>
      <w:r w:rsidR="00392F0E" w:rsidRPr="00392F0E">
        <w:rPr>
          <w:rFonts w:hint="cs"/>
          <w:rtl/>
        </w:rPr>
        <w:tab/>
        <w:t>ظروف الاحتجاز</w:t>
      </w:r>
    </w:p>
    <w:p w:rsidR="00392F0E" w:rsidRPr="00E476FF" w:rsidRDefault="00392F0E" w:rsidP="00E476FF">
      <w:pPr>
        <w:pStyle w:val="SingleTxtGA"/>
        <w:rPr>
          <w:rFonts w:hint="cs"/>
          <w:spacing w:val="-6"/>
          <w:rtl/>
        </w:rPr>
      </w:pPr>
      <w:r w:rsidRPr="00392F0E">
        <w:rPr>
          <w:rFonts w:hint="cs"/>
          <w:rtl/>
        </w:rPr>
        <w:t>19-</w:t>
      </w:r>
      <w:r w:rsidRPr="00392F0E">
        <w:rPr>
          <w:rFonts w:hint="cs"/>
          <w:rtl/>
        </w:rPr>
        <w:tab/>
        <w:t xml:space="preserve">ترحب اللجنة بإنشاء برنامج الوقاية من الانتحار بموجب التوجيه رقم </w:t>
      </w:r>
      <w:r w:rsidRPr="00392F0E">
        <w:t>14/2005</w:t>
      </w:r>
      <w:r w:rsidRPr="00392F0E">
        <w:rPr>
          <w:rFonts w:hint="cs"/>
          <w:rtl/>
        </w:rPr>
        <w:t xml:space="preserve"> الصادر عن الإدارة العامة للمؤسسات الإصلاحية</w:t>
      </w:r>
      <w:r w:rsidR="00E476FF">
        <w:rPr>
          <w:rFonts w:hint="cs"/>
          <w:rtl/>
        </w:rPr>
        <w:t>،</w:t>
      </w:r>
      <w:r w:rsidRPr="00392F0E">
        <w:rPr>
          <w:rFonts w:hint="cs"/>
          <w:rtl/>
        </w:rPr>
        <w:t xml:space="preserve"> والذي يساعد، وفقا</w:t>
      </w:r>
      <w:r w:rsidR="00E476FF">
        <w:rPr>
          <w:rFonts w:hint="cs"/>
          <w:rtl/>
        </w:rPr>
        <w:t>ً</w:t>
      </w:r>
      <w:r w:rsidRPr="00392F0E">
        <w:rPr>
          <w:rFonts w:hint="cs"/>
          <w:rtl/>
        </w:rPr>
        <w:t xml:space="preserve"> </w:t>
      </w:r>
      <w:r w:rsidR="00E476FF">
        <w:rPr>
          <w:rFonts w:hint="cs"/>
          <w:rtl/>
        </w:rPr>
        <w:t>ل</w:t>
      </w:r>
      <w:r w:rsidRPr="00392F0E">
        <w:rPr>
          <w:rFonts w:hint="cs"/>
          <w:rtl/>
        </w:rPr>
        <w:t>لمعلومات</w:t>
      </w:r>
      <w:r w:rsidR="00E476FF">
        <w:rPr>
          <w:rFonts w:hint="cs"/>
          <w:rtl/>
        </w:rPr>
        <w:t xml:space="preserve"> الواردة</w:t>
      </w:r>
      <w:r w:rsidRPr="00392F0E">
        <w:rPr>
          <w:rFonts w:hint="cs"/>
          <w:rtl/>
        </w:rPr>
        <w:t>، على خفض عدد حالات الانتحار، إلا أنها ما</w:t>
      </w:r>
      <w:r w:rsidR="001F2B0C">
        <w:rPr>
          <w:rFonts w:hint="cs"/>
          <w:rtl/>
        </w:rPr>
        <w:t xml:space="preserve"> </w:t>
      </w:r>
      <w:r w:rsidRPr="00392F0E">
        <w:rPr>
          <w:rFonts w:hint="cs"/>
          <w:rtl/>
        </w:rPr>
        <w:t xml:space="preserve">زالت ترى أن عدد حالات الانتحار والموت </w:t>
      </w:r>
      <w:r w:rsidR="00E476FF" w:rsidRPr="00E476FF">
        <w:rPr>
          <w:rFonts w:hint="cs"/>
          <w:spacing w:val="-6"/>
          <w:rtl/>
        </w:rPr>
        <w:t xml:space="preserve">بسبب </w:t>
      </w:r>
      <w:r w:rsidRPr="00E476FF">
        <w:rPr>
          <w:rFonts w:hint="cs"/>
          <w:spacing w:val="-6"/>
          <w:rtl/>
        </w:rPr>
        <w:t>العنف</w:t>
      </w:r>
      <w:r w:rsidR="00E476FF" w:rsidRPr="00E476FF">
        <w:rPr>
          <w:rFonts w:hint="cs"/>
          <w:spacing w:val="-6"/>
          <w:rtl/>
        </w:rPr>
        <w:t>،</w:t>
      </w:r>
      <w:r w:rsidRPr="00E476FF">
        <w:rPr>
          <w:rFonts w:hint="cs"/>
          <w:spacing w:val="-6"/>
          <w:rtl/>
        </w:rPr>
        <w:t xml:space="preserve"> سواء في الاحتجاز الاحتياطي لدى الشرطة أو في السجون</w:t>
      </w:r>
      <w:r w:rsidR="00E476FF" w:rsidRPr="00E476FF">
        <w:rPr>
          <w:rFonts w:hint="cs"/>
          <w:spacing w:val="-6"/>
          <w:rtl/>
        </w:rPr>
        <w:t>،</w:t>
      </w:r>
      <w:r w:rsidRPr="00E476FF">
        <w:rPr>
          <w:rFonts w:hint="cs"/>
          <w:spacing w:val="-6"/>
          <w:rtl/>
        </w:rPr>
        <w:t xml:space="preserve"> مرتفع</w:t>
      </w:r>
      <w:r w:rsidR="00E476FF" w:rsidRPr="00E476FF">
        <w:rPr>
          <w:rFonts w:hint="cs"/>
          <w:spacing w:val="-6"/>
          <w:rtl/>
        </w:rPr>
        <w:t xml:space="preserve"> (المادة 11)</w:t>
      </w:r>
      <w:r w:rsidRPr="00E476FF">
        <w:rPr>
          <w:rFonts w:hint="cs"/>
          <w:spacing w:val="-6"/>
          <w:rtl/>
        </w:rPr>
        <w:t xml:space="preserve">. </w:t>
      </w:r>
    </w:p>
    <w:p w:rsidR="00392F0E" w:rsidRPr="00E476FF" w:rsidRDefault="00392F0E" w:rsidP="00E476FF">
      <w:pPr>
        <w:pStyle w:val="SingleTxtGA"/>
        <w:rPr>
          <w:rFonts w:hint="cs"/>
          <w:b/>
          <w:bCs/>
          <w:rtl/>
        </w:rPr>
      </w:pPr>
      <w:r w:rsidRPr="00E476FF">
        <w:rPr>
          <w:rFonts w:hint="cs"/>
          <w:b/>
          <w:bCs/>
          <w:rtl/>
        </w:rPr>
        <w:t xml:space="preserve">ينبغي للدولة الطرف أن تواصل بذل جهود لخفض عدد حالات الإعدام والموت </w:t>
      </w:r>
      <w:r w:rsidR="00E476FF">
        <w:rPr>
          <w:rFonts w:hint="cs"/>
          <w:b/>
          <w:bCs/>
          <w:rtl/>
        </w:rPr>
        <w:t xml:space="preserve">بسبب </w:t>
      </w:r>
      <w:r w:rsidRPr="00E476FF">
        <w:rPr>
          <w:rFonts w:hint="cs"/>
          <w:b/>
          <w:bCs/>
          <w:rtl/>
        </w:rPr>
        <w:t xml:space="preserve">العنف في جميع أماكن الاحتجاز. وتحث اللجنة الدولة الطرف </w:t>
      </w:r>
      <w:r w:rsidR="00E476FF">
        <w:rPr>
          <w:rFonts w:hint="cs"/>
          <w:b/>
          <w:bCs/>
          <w:rtl/>
        </w:rPr>
        <w:t xml:space="preserve">أيضاً </w:t>
      </w:r>
      <w:r w:rsidRPr="00E476FF">
        <w:rPr>
          <w:rFonts w:hint="cs"/>
          <w:b/>
          <w:bCs/>
          <w:rtl/>
        </w:rPr>
        <w:t>على أن تجري تحقيقا</w:t>
      </w:r>
      <w:r w:rsidR="00E476FF">
        <w:rPr>
          <w:rFonts w:hint="cs"/>
          <w:b/>
          <w:bCs/>
          <w:rtl/>
        </w:rPr>
        <w:t>ً</w:t>
      </w:r>
      <w:r w:rsidRPr="00E476FF">
        <w:rPr>
          <w:rFonts w:hint="cs"/>
          <w:b/>
          <w:bCs/>
          <w:rtl/>
        </w:rPr>
        <w:t xml:space="preserve"> عاجلا</w:t>
      </w:r>
      <w:r w:rsidR="00E476FF">
        <w:rPr>
          <w:rFonts w:hint="cs"/>
          <w:b/>
          <w:bCs/>
          <w:rtl/>
        </w:rPr>
        <w:t>ً</w:t>
      </w:r>
      <w:r w:rsidRPr="00E476FF">
        <w:rPr>
          <w:rFonts w:hint="cs"/>
          <w:b/>
          <w:bCs/>
          <w:rtl/>
        </w:rPr>
        <w:t xml:space="preserve"> وشاملا</w:t>
      </w:r>
      <w:r w:rsidR="00E476FF">
        <w:rPr>
          <w:rFonts w:hint="cs"/>
          <w:b/>
          <w:bCs/>
          <w:rtl/>
        </w:rPr>
        <w:t>ً</w:t>
      </w:r>
      <w:r w:rsidRPr="00E476FF">
        <w:rPr>
          <w:rFonts w:hint="cs"/>
          <w:b/>
          <w:bCs/>
          <w:rtl/>
        </w:rPr>
        <w:t xml:space="preserve"> ونزيها في جميع حالات وفاة المحتجزين، وأن تقدم عند الاقتضاء تعويضا مناسبا لأسر الضحايا.</w:t>
      </w:r>
    </w:p>
    <w:p w:rsidR="00392F0E" w:rsidRPr="00392F0E" w:rsidRDefault="00392F0E" w:rsidP="001F2B0C">
      <w:pPr>
        <w:pStyle w:val="SingleTxtGA"/>
        <w:rPr>
          <w:rFonts w:hint="cs"/>
          <w:rtl/>
        </w:rPr>
      </w:pPr>
      <w:r w:rsidRPr="00392F0E">
        <w:rPr>
          <w:rFonts w:hint="cs"/>
          <w:rtl/>
        </w:rPr>
        <w:t>20-</w:t>
      </w:r>
      <w:r w:rsidRPr="00392F0E">
        <w:rPr>
          <w:rFonts w:hint="cs"/>
          <w:rtl/>
        </w:rPr>
        <w:tab/>
        <w:t xml:space="preserve">وتأسف اللجنة للمعلومات الضئيلة المتوافرة عن التدابير </w:t>
      </w:r>
      <w:r w:rsidR="00E476FF">
        <w:rPr>
          <w:rFonts w:hint="cs"/>
          <w:rtl/>
        </w:rPr>
        <w:t>التي اتخذت ل</w:t>
      </w:r>
      <w:r w:rsidRPr="00392F0E">
        <w:rPr>
          <w:rFonts w:hint="cs"/>
          <w:rtl/>
        </w:rPr>
        <w:t xml:space="preserve">معالجة </w:t>
      </w:r>
      <w:r w:rsidR="00E476FF">
        <w:rPr>
          <w:rFonts w:hint="cs"/>
          <w:rtl/>
        </w:rPr>
        <w:t xml:space="preserve">مواطن القلق الشديد </w:t>
      </w:r>
      <w:r w:rsidRPr="00392F0E">
        <w:rPr>
          <w:rFonts w:hint="cs"/>
          <w:rtl/>
        </w:rPr>
        <w:t xml:space="preserve">التي </w:t>
      </w:r>
      <w:r w:rsidR="00E476FF">
        <w:rPr>
          <w:rFonts w:hint="cs"/>
          <w:rtl/>
        </w:rPr>
        <w:t xml:space="preserve">أعرب عنها </w:t>
      </w:r>
      <w:r w:rsidRPr="00392F0E">
        <w:rPr>
          <w:rFonts w:hint="cs"/>
          <w:rtl/>
        </w:rPr>
        <w:t xml:space="preserve">أمين المظالم </w:t>
      </w:r>
      <w:r w:rsidR="00E476FF">
        <w:rPr>
          <w:rFonts w:hint="cs"/>
          <w:rtl/>
        </w:rPr>
        <w:t xml:space="preserve">في تقريره </w:t>
      </w:r>
      <w:r w:rsidRPr="00392F0E">
        <w:rPr>
          <w:rFonts w:hint="cs"/>
          <w:rtl/>
        </w:rPr>
        <w:t xml:space="preserve">لعام 2009 بشأن الظروف في مراكز احتجاز القاصرين </w:t>
      </w:r>
      <w:r w:rsidR="00E476FF">
        <w:rPr>
          <w:rFonts w:hint="cs"/>
          <w:rtl/>
        </w:rPr>
        <w:t xml:space="preserve">الذين </w:t>
      </w:r>
      <w:r w:rsidRPr="00392F0E">
        <w:rPr>
          <w:rFonts w:hint="cs"/>
          <w:rtl/>
        </w:rPr>
        <w:t xml:space="preserve">يعانون من مشاكل سلوكية </w:t>
      </w:r>
      <w:r w:rsidR="00E476FF">
        <w:rPr>
          <w:rFonts w:hint="cs"/>
          <w:rtl/>
        </w:rPr>
        <w:t>أ</w:t>
      </w:r>
      <w:r w:rsidRPr="00392F0E">
        <w:rPr>
          <w:rFonts w:hint="cs"/>
          <w:rtl/>
        </w:rPr>
        <w:t>و</w:t>
      </w:r>
      <w:r w:rsidR="00E476FF">
        <w:rPr>
          <w:rFonts w:hint="cs"/>
          <w:rtl/>
        </w:rPr>
        <w:t xml:space="preserve"> </w:t>
      </w:r>
      <w:r w:rsidRPr="00392F0E">
        <w:rPr>
          <w:rFonts w:hint="cs"/>
          <w:rtl/>
        </w:rPr>
        <w:t xml:space="preserve">اجتماعية. ويساور اللجنة بالغ القلق إزاء الادعاءات بأن نظام الحبس الانفرادي سائد في العديد من هذه المراكز، وأن الأدوية تعطى دون توفير الضمانات الكافية (المادتان 11 و12). </w:t>
      </w:r>
    </w:p>
    <w:p w:rsidR="00392F0E" w:rsidRPr="00E476FF" w:rsidRDefault="00392F0E" w:rsidP="00E476FF">
      <w:pPr>
        <w:pStyle w:val="SingleTxtGA"/>
        <w:rPr>
          <w:rFonts w:hint="cs"/>
          <w:b/>
          <w:bCs/>
          <w:rtl/>
        </w:rPr>
      </w:pPr>
      <w:r w:rsidRPr="00E476FF">
        <w:rPr>
          <w:rFonts w:hint="cs"/>
          <w:b/>
          <w:bCs/>
          <w:rtl/>
        </w:rPr>
        <w:t>ينبغي للدولة الطرف أن تتخذ التدابير اللازمة كي توفر الظروف الإنسانية والكريمة في مراكز احتجاز القاصرين</w:t>
      </w:r>
      <w:r w:rsidR="00E476FF">
        <w:rPr>
          <w:rFonts w:hint="cs"/>
          <w:b/>
          <w:bCs/>
          <w:rtl/>
        </w:rPr>
        <w:t xml:space="preserve"> الذين يعانون مشاكل سلوكية أو اجتماعية</w:t>
      </w:r>
      <w:r w:rsidRPr="00E476FF">
        <w:rPr>
          <w:rFonts w:hint="cs"/>
          <w:b/>
          <w:bCs/>
          <w:rtl/>
        </w:rPr>
        <w:t>. وعلى الدولة الطرف أيضا أن تجري تحقيقا شاملا في جميع الادعاءات المتعلقة ب</w:t>
      </w:r>
      <w:r w:rsidR="00E476FF">
        <w:rPr>
          <w:rFonts w:hint="cs"/>
          <w:b/>
          <w:bCs/>
          <w:rtl/>
        </w:rPr>
        <w:t xml:space="preserve">أعمال الإيذاء </w:t>
      </w:r>
      <w:r w:rsidRPr="00E476FF">
        <w:rPr>
          <w:rFonts w:hint="cs"/>
          <w:b/>
          <w:bCs/>
          <w:rtl/>
        </w:rPr>
        <w:t>أو المعاملة السيئة ال</w:t>
      </w:r>
      <w:r w:rsidR="00E476FF">
        <w:rPr>
          <w:rFonts w:hint="cs"/>
          <w:b/>
          <w:bCs/>
          <w:rtl/>
        </w:rPr>
        <w:t>مرتكبة</w:t>
      </w:r>
      <w:r w:rsidRPr="00E476FF">
        <w:rPr>
          <w:rFonts w:hint="cs"/>
          <w:b/>
          <w:bCs/>
          <w:rtl/>
        </w:rPr>
        <w:t xml:space="preserve"> في هذه المراكز.</w:t>
      </w:r>
    </w:p>
    <w:p w:rsidR="00E476FF" w:rsidRDefault="00E476FF" w:rsidP="00E476FF">
      <w:pPr>
        <w:pStyle w:val="H23GA"/>
        <w:rPr>
          <w:rFonts w:hint="cs"/>
          <w:rtl/>
        </w:rPr>
      </w:pPr>
      <w:r>
        <w:rPr>
          <w:rFonts w:hint="cs"/>
          <w:rtl/>
        </w:rPr>
        <w:tab/>
      </w:r>
    </w:p>
    <w:p w:rsidR="00392F0E" w:rsidRPr="00392F0E" w:rsidRDefault="00E476FF" w:rsidP="00E476FF">
      <w:pPr>
        <w:pStyle w:val="H23GA"/>
        <w:rPr>
          <w:rFonts w:hint="cs"/>
          <w:rtl/>
        </w:rPr>
      </w:pPr>
      <w:r>
        <w:rPr>
          <w:rFonts w:hint="cs"/>
          <w:rtl/>
        </w:rPr>
        <w:tab/>
      </w:r>
      <w:r w:rsidR="00392F0E" w:rsidRPr="00392F0E">
        <w:rPr>
          <w:rFonts w:hint="cs"/>
          <w:rtl/>
        </w:rPr>
        <w:t>8-</w:t>
      </w:r>
      <w:r w:rsidR="00392F0E" w:rsidRPr="00392F0E">
        <w:rPr>
          <w:rFonts w:hint="cs"/>
          <w:rtl/>
        </w:rPr>
        <w:tab/>
        <w:t xml:space="preserve">قانون العفو وعدم </w:t>
      </w:r>
      <w:r>
        <w:rPr>
          <w:rFonts w:hint="cs"/>
          <w:rtl/>
        </w:rPr>
        <w:t>سقوط الجرائم</w:t>
      </w:r>
      <w:r w:rsidR="00392F0E" w:rsidRPr="00392F0E">
        <w:rPr>
          <w:rFonts w:hint="cs"/>
          <w:rtl/>
        </w:rPr>
        <w:t xml:space="preserve"> </w:t>
      </w:r>
      <w:r>
        <w:rPr>
          <w:rFonts w:hint="cs"/>
          <w:rtl/>
        </w:rPr>
        <w:t>ب</w:t>
      </w:r>
      <w:r w:rsidR="00392F0E" w:rsidRPr="00392F0E">
        <w:rPr>
          <w:rFonts w:hint="cs"/>
          <w:rtl/>
        </w:rPr>
        <w:t>التقادم</w:t>
      </w:r>
    </w:p>
    <w:p w:rsidR="00392F0E" w:rsidRPr="00392F0E" w:rsidRDefault="00392F0E" w:rsidP="00E476FF">
      <w:pPr>
        <w:pStyle w:val="SingleTxtGA"/>
        <w:rPr>
          <w:rFonts w:hint="cs"/>
          <w:rtl/>
        </w:rPr>
      </w:pPr>
      <w:r w:rsidRPr="00392F0E">
        <w:rPr>
          <w:rFonts w:hint="cs"/>
          <w:rtl/>
        </w:rPr>
        <w:t>21-</w:t>
      </w:r>
      <w:r w:rsidRPr="00392F0E">
        <w:rPr>
          <w:rFonts w:hint="cs"/>
          <w:rtl/>
        </w:rPr>
        <w:tab/>
        <w:t>و</w:t>
      </w:r>
      <w:r w:rsidR="00E476FF">
        <w:rPr>
          <w:rFonts w:hint="cs"/>
          <w:rtl/>
        </w:rPr>
        <w:t xml:space="preserve">بينما </w:t>
      </w:r>
      <w:r w:rsidRPr="00392F0E">
        <w:rPr>
          <w:rFonts w:hint="cs"/>
          <w:rtl/>
        </w:rPr>
        <w:t>تحيط اللجنة علما</w:t>
      </w:r>
      <w:r w:rsidR="00E476FF">
        <w:rPr>
          <w:rFonts w:hint="cs"/>
          <w:rtl/>
        </w:rPr>
        <w:t>ً</w:t>
      </w:r>
      <w:r w:rsidRPr="00392F0E">
        <w:rPr>
          <w:rFonts w:hint="cs"/>
          <w:rtl/>
        </w:rPr>
        <w:t xml:space="preserve"> بتعليق الدولة الطرف على أن اتفاقية مناهضة التعذيب دخلت حيز النفاذ في 26 حزيران/يونيه 1987، في حين يشير قانون العفو لعام 1977 إلى الأحداث السابقة لاعتماد القانون، </w:t>
      </w:r>
      <w:r w:rsidR="00E476FF">
        <w:rPr>
          <w:rFonts w:hint="cs"/>
          <w:rtl/>
        </w:rPr>
        <w:t xml:space="preserve">فإنها </w:t>
      </w:r>
      <w:r w:rsidRPr="00392F0E">
        <w:rPr>
          <w:rFonts w:hint="cs"/>
          <w:rtl/>
        </w:rPr>
        <w:t>تود التأكيد</w:t>
      </w:r>
      <w:r w:rsidR="00E476FF">
        <w:rPr>
          <w:rFonts w:hint="cs"/>
          <w:rtl/>
        </w:rPr>
        <w:t xml:space="preserve"> مجدداً</w:t>
      </w:r>
      <w:r w:rsidRPr="00392F0E">
        <w:rPr>
          <w:rFonts w:hint="cs"/>
          <w:rtl/>
        </w:rPr>
        <w:t>، م</w:t>
      </w:r>
      <w:r w:rsidR="00E476FF">
        <w:rPr>
          <w:rFonts w:hint="cs"/>
          <w:rtl/>
        </w:rPr>
        <w:t xml:space="preserve">راعية في ذلك </w:t>
      </w:r>
      <w:r w:rsidRPr="00392F0E">
        <w:rPr>
          <w:rFonts w:hint="cs"/>
          <w:rtl/>
        </w:rPr>
        <w:t xml:space="preserve">"القواعد الآمرة" </w:t>
      </w:r>
      <w:r w:rsidR="00E476FF">
        <w:rPr>
          <w:rFonts w:hint="cs"/>
          <w:rtl/>
        </w:rPr>
        <w:t>التي استقرت لأمد طويل بخصوص حظر التعذيب</w:t>
      </w:r>
      <w:r w:rsidRPr="00392F0E">
        <w:rPr>
          <w:rFonts w:hint="cs"/>
          <w:rtl/>
        </w:rPr>
        <w:t xml:space="preserve">، على أن ملاحقة أعمال التعذيب ينبغي ألا يقيّدها مبدأ الشرعية ولا قانون التقادم. وقد تلقّت اللجنة تفسيرات مختلفة للفقرة (ج) من </w:t>
      </w:r>
      <w:r w:rsidR="00E476FF">
        <w:rPr>
          <w:rFonts w:hint="cs"/>
          <w:rtl/>
        </w:rPr>
        <w:t>ا</w:t>
      </w:r>
      <w:r w:rsidRPr="00392F0E">
        <w:rPr>
          <w:rFonts w:hint="cs"/>
          <w:rtl/>
        </w:rPr>
        <w:t>لمادة 1 من قانون العفو</w:t>
      </w:r>
      <w:r w:rsidR="00E476FF">
        <w:rPr>
          <w:rFonts w:hint="cs"/>
          <w:rtl/>
        </w:rPr>
        <w:t xml:space="preserve"> </w:t>
      </w:r>
      <w:r w:rsidRPr="00392F0E">
        <w:rPr>
          <w:rFonts w:hint="cs"/>
          <w:rtl/>
        </w:rPr>
        <w:t>-</w:t>
      </w:r>
      <w:r w:rsidR="00E476FF">
        <w:rPr>
          <w:rFonts w:hint="cs"/>
          <w:rtl/>
        </w:rPr>
        <w:t xml:space="preserve"> </w:t>
      </w:r>
      <w:r w:rsidRPr="00392F0E">
        <w:rPr>
          <w:rFonts w:hint="cs"/>
          <w:rtl/>
        </w:rPr>
        <w:t>الذي ينص على أن العفو لا يُطبّق على الأعمال التي "</w:t>
      </w:r>
      <w:r w:rsidR="00E476FF">
        <w:rPr>
          <w:rFonts w:hint="cs"/>
          <w:rtl/>
        </w:rPr>
        <w:t>تنطوي على إلحاق ضرر بالغ بحياة الأفراد أو مساس بحرمتهم" - بحيث إ</w:t>
      </w:r>
      <w:r w:rsidRPr="00392F0E">
        <w:rPr>
          <w:rFonts w:hint="cs"/>
          <w:rtl/>
        </w:rPr>
        <w:t>ن هذه المادة نفسها تستثني في كل الحالات أعمال التعذيب من الجرائم المشمولة بالعفو (المواد 12 و13 و14).</w:t>
      </w:r>
    </w:p>
    <w:p w:rsidR="00392F0E" w:rsidRPr="00E476FF" w:rsidRDefault="00392F0E" w:rsidP="00E476FF">
      <w:pPr>
        <w:pStyle w:val="SingleTxtGA"/>
        <w:rPr>
          <w:rFonts w:hint="cs"/>
          <w:b/>
          <w:bCs/>
          <w:rtl/>
        </w:rPr>
      </w:pPr>
      <w:r w:rsidRPr="00E476FF">
        <w:rPr>
          <w:rFonts w:hint="cs"/>
          <w:b/>
          <w:bCs/>
          <w:rtl/>
        </w:rPr>
        <w:t xml:space="preserve">ينبغي للدولة الطرف أن تضمن </w:t>
      </w:r>
      <w:r w:rsidR="00E476FF">
        <w:rPr>
          <w:rFonts w:hint="cs"/>
          <w:b/>
          <w:bCs/>
          <w:rtl/>
        </w:rPr>
        <w:t xml:space="preserve">ألا تكون </w:t>
      </w:r>
      <w:r w:rsidRPr="00E476FF">
        <w:rPr>
          <w:rFonts w:hint="cs"/>
          <w:b/>
          <w:bCs/>
          <w:rtl/>
        </w:rPr>
        <w:t>أعمال التعذيب</w:t>
      </w:r>
      <w:r w:rsidR="00E476FF">
        <w:rPr>
          <w:rFonts w:hint="cs"/>
          <w:b/>
          <w:bCs/>
          <w:rtl/>
        </w:rPr>
        <w:t>،</w:t>
      </w:r>
      <w:r w:rsidRPr="00E476FF">
        <w:rPr>
          <w:rFonts w:hint="cs"/>
          <w:b/>
          <w:bCs/>
          <w:rtl/>
        </w:rPr>
        <w:t xml:space="preserve"> التي تشمل أيضا</w:t>
      </w:r>
      <w:r w:rsidR="00E476FF">
        <w:rPr>
          <w:rFonts w:hint="cs"/>
          <w:b/>
          <w:bCs/>
          <w:rtl/>
        </w:rPr>
        <w:t>ً</w:t>
      </w:r>
      <w:r w:rsidRPr="00E476FF">
        <w:rPr>
          <w:rFonts w:hint="cs"/>
          <w:b/>
          <w:bCs/>
          <w:rtl/>
        </w:rPr>
        <w:t xml:space="preserve"> الاختفاء القسري</w:t>
      </w:r>
      <w:r w:rsidR="00E476FF">
        <w:rPr>
          <w:rFonts w:hint="cs"/>
          <w:b/>
          <w:bCs/>
          <w:rtl/>
        </w:rPr>
        <w:t>،</w:t>
      </w:r>
      <w:r w:rsidRPr="00E476FF">
        <w:rPr>
          <w:rFonts w:hint="cs"/>
          <w:b/>
          <w:bCs/>
          <w:rtl/>
        </w:rPr>
        <w:t xml:space="preserve"> مشمولة بقانون العفو. وفي هذا الصدد، تشجع اللجنة الدولة الطرف على مواصلة بذل الجهود لمساعدة أسر الضحايا على معرفة مصير الأشخاص المختفين، وتحديد هويتهم، واستخراج رفاتهم، إن أمكن. </w:t>
      </w:r>
      <w:r w:rsidR="00E476FF">
        <w:rPr>
          <w:rFonts w:hint="cs"/>
          <w:b/>
          <w:bCs/>
          <w:rtl/>
        </w:rPr>
        <w:t>و</w:t>
      </w:r>
      <w:r w:rsidRPr="00E476FF">
        <w:rPr>
          <w:rFonts w:hint="cs"/>
          <w:b/>
          <w:bCs/>
          <w:rtl/>
        </w:rPr>
        <w:t>إضافة إلى ذلك، تجدد اللجنة التأكيد أنه بموجب المادة 14 من الاتفاقية، يجب على الدولة الطرف أن ت</w:t>
      </w:r>
      <w:r w:rsidR="00E476FF">
        <w:rPr>
          <w:rFonts w:hint="cs"/>
          <w:b/>
          <w:bCs/>
          <w:rtl/>
        </w:rPr>
        <w:t xml:space="preserve">ضمن إنصاف </w:t>
      </w:r>
      <w:r w:rsidRPr="00E476FF">
        <w:rPr>
          <w:rFonts w:hint="cs"/>
          <w:b/>
          <w:bCs/>
          <w:rtl/>
        </w:rPr>
        <w:t xml:space="preserve">ضحايا التعذيب </w:t>
      </w:r>
      <w:r w:rsidR="00E476FF">
        <w:rPr>
          <w:rFonts w:hint="cs"/>
          <w:b/>
          <w:bCs/>
          <w:rtl/>
        </w:rPr>
        <w:t>وتمتعهم بحق قابل للتنفيذ في التعويض</w:t>
      </w:r>
      <w:r w:rsidRPr="00E476FF">
        <w:rPr>
          <w:rFonts w:hint="cs"/>
          <w:b/>
          <w:bCs/>
          <w:rtl/>
        </w:rPr>
        <w:t>.</w:t>
      </w:r>
    </w:p>
    <w:p w:rsidR="00392F0E" w:rsidRPr="00392F0E" w:rsidRDefault="00392F0E" w:rsidP="00145537">
      <w:pPr>
        <w:pStyle w:val="SingleTxtGA"/>
        <w:rPr>
          <w:rFonts w:hint="cs"/>
          <w:rtl/>
        </w:rPr>
      </w:pPr>
      <w:r w:rsidRPr="00392F0E">
        <w:rPr>
          <w:rFonts w:hint="cs"/>
          <w:rtl/>
        </w:rPr>
        <w:t>22-</w:t>
      </w:r>
      <w:r w:rsidRPr="00392F0E">
        <w:rPr>
          <w:rFonts w:hint="cs"/>
          <w:rtl/>
        </w:rPr>
        <w:tab/>
        <w:t xml:space="preserve">ويساور اللجنة القلق لأن جريمة التعذيب، المنصوص عليها تحديدا في المادة 174 من القانون الجنائي، </w:t>
      </w:r>
      <w:r w:rsidR="00E476FF">
        <w:rPr>
          <w:rFonts w:hint="cs"/>
          <w:rtl/>
        </w:rPr>
        <w:t>قد تسقط ب</w:t>
      </w:r>
      <w:r w:rsidRPr="00392F0E">
        <w:rPr>
          <w:rFonts w:hint="cs"/>
          <w:rtl/>
        </w:rPr>
        <w:t xml:space="preserve">التقادم بعد مرور 15 سنة، </w:t>
      </w:r>
      <w:r w:rsidR="00E476FF">
        <w:rPr>
          <w:rFonts w:hint="cs"/>
          <w:rtl/>
        </w:rPr>
        <w:t xml:space="preserve">وأن الحالة الوحيدة التي لا تسقط فيها هي عندما تصنف في خانة </w:t>
      </w:r>
      <w:r w:rsidRPr="00392F0E">
        <w:rPr>
          <w:rFonts w:hint="cs"/>
          <w:rtl/>
        </w:rPr>
        <w:t xml:space="preserve">الجرائم ضد الإنسانية، أي عندما ترتكب في إطار اعتداء معمّم </w:t>
      </w:r>
      <w:r w:rsidR="00145537">
        <w:rPr>
          <w:rFonts w:hint="cs"/>
          <w:rtl/>
        </w:rPr>
        <w:t>أ</w:t>
      </w:r>
      <w:r w:rsidRPr="00392F0E">
        <w:rPr>
          <w:rFonts w:hint="cs"/>
          <w:rtl/>
        </w:rPr>
        <w:t>و</w:t>
      </w:r>
      <w:r w:rsidR="00145537">
        <w:rPr>
          <w:rFonts w:hint="cs"/>
          <w:rtl/>
        </w:rPr>
        <w:t xml:space="preserve"> </w:t>
      </w:r>
      <w:r w:rsidRPr="00392F0E">
        <w:rPr>
          <w:rFonts w:hint="cs"/>
          <w:rtl/>
        </w:rPr>
        <w:t xml:space="preserve">ممنهج </w:t>
      </w:r>
      <w:r w:rsidR="00145537">
        <w:rPr>
          <w:rFonts w:hint="cs"/>
          <w:rtl/>
        </w:rPr>
        <w:t xml:space="preserve">ضد </w:t>
      </w:r>
      <w:r w:rsidRPr="00392F0E">
        <w:rPr>
          <w:rFonts w:hint="cs"/>
          <w:rtl/>
        </w:rPr>
        <w:t xml:space="preserve">السكان المدنيين أو </w:t>
      </w:r>
      <w:r w:rsidR="00145537">
        <w:rPr>
          <w:rFonts w:hint="cs"/>
          <w:rtl/>
        </w:rPr>
        <w:t xml:space="preserve">ضد جزء </w:t>
      </w:r>
      <w:r w:rsidRPr="00392F0E">
        <w:rPr>
          <w:rFonts w:hint="cs"/>
          <w:rtl/>
        </w:rPr>
        <w:t>منهم (القانون الجنائي، المادة 607 مكرر) (المواد 1 و4 و12).</w:t>
      </w:r>
    </w:p>
    <w:p w:rsidR="00392F0E" w:rsidRPr="00145537" w:rsidRDefault="00392F0E" w:rsidP="001F2B0C">
      <w:pPr>
        <w:pStyle w:val="SingleTxtGA"/>
        <w:rPr>
          <w:rFonts w:hint="cs"/>
          <w:b/>
          <w:bCs/>
          <w:rtl/>
        </w:rPr>
      </w:pPr>
      <w:r w:rsidRPr="00145537">
        <w:rPr>
          <w:rFonts w:hint="cs"/>
          <w:b/>
          <w:bCs/>
          <w:rtl/>
        </w:rPr>
        <w:t xml:space="preserve">ينبغي للدولة الطرف أن تضمن </w:t>
      </w:r>
      <w:r w:rsidR="00145537">
        <w:rPr>
          <w:rFonts w:hint="cs"/>
          <w:b/>
          <w:bCs/>
          <w:rtl/>
        </w:rPr>
        <w:t xml:space="preserve">عدم سقوط </w:t>
      </w:r>
      <w:r w:rsidRPr="00145537">
        <w:rPr>
          <w:rFonts w:hint="cs"/>
          <w:b/>
          <w:bCs/>
          <w:rtl/>
        </w:rPr>
        <w:t>جريمة التعذيب</w:t>
      </w:r>
      <w:r w:rsidR="00145537">
        <w:rPr>
          <w:rFonts w:hint="cs"/>
          <w:b/>
          <w:bCs/>
          <w:rtl/>
        </w:rPr>
        <w:t xml:space="preserve"> بالتقادم</w:t>
      </w:r>
      <w:r w:rsidR="001F2B0C">
        <w:rPr>
          <w:rFonts w:hint="cs"/>
          <w:b/>
          <w:bCs/>
          <w:rtl/>
        </w:rPr>
        <w:t xml:space="preserve"> مطلقاً</w:t>
      </w:r>
      <w:r w:rsidRPr="00145537">
        <w:rPr>
          <w:rFonts w:hint="cs"/>
          <w:b/>
          <w:bCs/>
          <w:rtl/>
        </w:rPr>
        <w:t>.</w:t>
      </w:r>
    </w:p>
    <w:p w:rsidR="00392F0E" w:rsidRPr="00392F0E" w:rsidRDefault="00145537" w:rsidP="00145537">
      <w:pPr>
        <w:pStyle w:val="H23GA"/>
        <w:rPr>
          <w:rFonts w:hint="cs"/>
          <w:rtl/>
        </w:rPr>
      </w:pPr>
      <w:r>
        <w:rPr>
          <w:rFonts w:hint="cs"/>
          <w:rtl/>
        </w:rPr>
        <w:tab/>
      </w:r>
      <w:r w:rsidR="00392F0E" w:rsidRPr="00392F0E">
        <w:rPr>
          <w:rFonts w:hint="cs"/>
          <w:rtl/>
        </w:rPr>
        <w:t>9-</w:t>
      </w:r>
      <w:r w:rsidR="00392F0E" w:rsidRPr="00392F0E">
        <w:rPr>
          <w:rFonts w:hint="cs"/>
          <w:rtl/>
        </w:rPr>
        <w:tab/>
        <w:t>بيانات عن التعذيب والإ</w:t>
      </w:r>
      <w:r>
        <w:rPr>
          <w:rFonts w:hint="cs"/>
          <w:rtl/>
        </w:rPr>
        <w:t>يذاء</w:t>
      </w:r>
    </w:p>
    <w:p w:rsidR="00392F0E" w:rsidRPr="00392F0E" w:rsidRDefault="00392F0E" w:rsidP="001F2B0C">
      <w:pPr>
        <w:pStyle w:val="SingleTxtGA"/>
        <w:rPr>
          <w:rFonts w:hint="cs"/>
          <w:rtl/>
        </w:rPr>
      </w:pPr>
      <w:r w:rsidRPr="00392F0E">
        <w:rPr>
          <w:rFonts w:hint="cs"/>
          <w:rtl/>
        </w:rPr>
        <w:t>23-</w:t>
      </w:r>
      <w:r w:rsidRPr="00392F0E">
        <w:rPr>
          <w:rFonts w:hint="cs"/>
          <w:rtl/>
        </w:rPr>
        <w:tab/>
        <w:t>تلاحظ</w:t>
      </w:r>
      <w:r w:rsidRPr="00392F0E">
        <w:rPr>
          <w:rFonts w:hint="cs"/>
          <w:rtl/>
        </w:rPr>
        <w:tab/>
        <w:t xml:space="preserve">اللجنة أنّ الإجراء 102 من </w:t>
      </w:r>
      <w:r w:rsidR="00145537">
        <w:rPr>
          <w:rFonts w:hint="cs"/>
          <w:rtl/>
        </w:rPr>
        <w:t>ال</w:t>
      </w:r>
      <w:r w:rsidRPr="00392F0E">
        <w:rPr>
          <w:rFonts w:hint="cs"/>
          <w:rtl/>
        </w:rPr>
        <w:t xml:space="preserve">خطة </w:t>
      </w:r>
      <w:r w:rsidR="00145537">
        <w:rPr>
          <w:rFonts w:hint="cs"/>
          <w:rtl/>
        </w:rPr>
        <w:t xml:space="preserve">من أجل </w:t>
      </w:r>
      <w:r w:rsidRPr="00392F0E">
        <w:rPr>
          <w:rFonts w:hint="cs"/>
          <w:rtl/>
        </w:rPr>
        <w:t xml:space="preserve">حقوق الإنسان </w:t>
      </w:r>
      <w:r w:rsidR="001F2B0C">
        <w:rPr>
          <w:rFonts w:hint="cs"/>
          <w:rtl/>
        </w:rPr>
        <w:t xml:space="preserve">يتوخى </w:t>
      </w:r>
      <w:r w:rsidR="00145537">
        <w:rPr>
          <w:rFonts w:hint="cs"/>
          <w:rtl/>
        </w:rPr>
        <w:t>تجميع ا</w:t>
      </w:r>
      <w:r w:rsidRPr="00392F0E">
        <w:rPr>
          <w:rFonts w:hint="cs"/>
          <w:rtl/>
        </w:rPr>
        <w:t xml:space="preserve">لبيانات الراهنة عن الحالات التي يمكن أن </w:t>
      </w:r>
      <w:r w:rsidR="00145537">
        <w:rPr>
          <w:rFonts w:hint="cs"/>
          <w:rtl/>
        </w:rPr>
        <w:t xml:space="preserve">تنطوي على </w:t>
      </w:r>
      <w:r w:rsidRPr="00392F0E">
        <w:rPr>
          <w:rFonts w:hint="cs"/>
          <w:rtl/>
        </w:rPr>
        <w:t>انته</w:t>
      </w:r>
      <w:r w:rsidR="00145537">
        <w:rPr>
          <w:rFonts w:hint="cs"/>
          <w:rtl/>
        </w:rPr>
        <w:t>ـ</w:t>
      </w:r>
      <w:r w:rsidRPr="00392F0E">
        <w:rPr>
          <w:rFonts w:hint="cs"/>
          <w:rtl/>
        </w:rPr>
        <w:t>اك أو خرق لحقوق الإنسان فيما يتعلق بالأشخاص الموضوعين رهن الاحتجاز الاحتياط</w:t>
      </w:r>
      <w:r w:rsidR="00145537">
        <w:rPr>
          <w:rFonts w:hint="cs"/>
          <w:rtl/>
        </w:rPr>
        <w:t>ـ</w:t>
      </w:r>
      <w:r w:rsidRPr="00392F0E">
        <w:rPr>
          <w:rFonts w:hint="cs"/>
          <w:rtl/>
        </w:rPr>
        <w:t>ي. لك</w:t>
      </w:r>
      <w:r w:rsidR="00145537">
        <w:rPr>
          <w:rFonts w:hint="cs"/>
          <w:rtl/>
        </w:rPr>
        <w:t>ـ</w:t>
      </w:r>
      <w:r w:rsidRPr="00392F0E">
        <w:rPr>
          <w:rFonts w:hint="cs"/>
          <w:rtl/>
        </w:rPr>
        <w:t>ن اللجن</w:t>
      </w:r>
      <w:r w:rsidR="00145537">
        <w:rPr>
          <w:rFonts w:hint="cs"/>
          <w:rtl/>
        </w:rPr>
        <w:t>ـ</w:t>
      </w:r>
      <w:r w:rsidRPr="00392F0E">
        <w:rPr>
          <w:rFonts w:hint="cs"/>
          <w:rtl/>
        </w:rPr>
        <w:t xml:space="preserve">ة تلاحظ أنه لا يمكن في الوقت الحاضر توفير بيانات عن المظالم المقدمة أثناء الاحتجاز الاحتياطي والاحتجاز. وترحب اللجنة بالمعلومات الإضافية المكتوبة التي قدمتها الدولة الطرف في هذا الشأن، إلا أنها تلاحظ أن البيانات الخاصة بحالات التعذيب </w:t>
      </w:r>
      <w:r w:rsidR="00145537">
        <w:rPr>
          <w:rFonts w:hint="cs"/>
          <w:rtl/>
        </w:rPr>
        <w:t xml:space="preserve">قد تكون </w:t>
      </w:r>
      <w:r w:rsidRPr="00392F0E">
        <w:rPr>
          <w:rFonts w:hint="cs"/>
          <w:rtl/>
        </w:rPr>
        <w:t>متاحة لكنها غير دقيقة ومتناقضة</w:t>
      </w:r>
      <w:r w:rsidR="00145537">
        <w:rPr>
          <w:rFonts w:hint="cs"/>
          <w:rtl/>
        </w:rPr>
        <w:t xml:space="preserve"> إلى حد ما</w:t>
      </w:r>
      <w:r w:rsidRPr="00392F0E">
        <w:rPr>
          <w:rFonts w:hint="cs"/>
          <w:rtl/>
        </w:rPr>
        <w:t>، ولا سيما فيما يتعلق بنتائج التحقيقات بشأن التعذيب والإدانات القضائية والعقوبات الصادرة (المواد 2 و12 و13).</w:t>
      </w:r>
    </w:p>
    <w:p w:rsidR="00392F0E" w:rsidRPr="00392F0E" w:rsidRDefault="00392F0E" w:rsidP="00392F0E">
      <w:pPr>
        <w:pStyle w:val="SingleTxtGA"/>
        <w:rPr>
          <w:rFonts w:hint="cs"/>
          <w:rtl/>
        </w:rPr>
      </w:pPr>
    </w:p>
    <w:p w:rsidR="00392F0E" w:rsidRPr="00145537" w:rsidRDefault="00392F0E" w:rsidP="00145537">
      <w:pPr>
        <w:pStyle w:val="SingleTxtGA"/>
        <w:rPr>
          <w:rFonts w:hint="cs"/>
          <w:b/>
          <w:bCs/>
          <w:rtl/>
        </w:rPr>
      </w:pPr>
      <w:r w:rsidRPr="00145537">
        <w:rPr>
          <w:rFonts w:hint="cs"/>
          <w:b/>
          <w:bCs/>
          <w:rtl/>
        </w:rPr>
        <w:t xml:space="preserve">ينبغي للدولة الطرف أن تنفذ الإجراء 102 من </w:t>
      </w:r>
      <w:r w:rsidR="00145537">
        <w:rPr>
          <w:rFonts w:hint="cs"/>
          <w:b/>
          <w:bCs/>
          <w:rtl/>
        </w:rPr>
        <w:t>ال</w:t>
      </w:r>
      <w:r w:rsidRPr="00145537">
        <w:rPr>
          <w:rFonts w:hint="cs"/>
          <w:b/>
          <w:bCs/>
          <w:rtl/>
        </w:rPr>
        <w:t xml:space="preserve">خطة </w:t>
      </w:r>
      <w:r w:rsidR="00145537">
        <w:rPr>
          <w:rFonts w:hint="cs"/>
          <w:b/>
          <w:bCs/>
          <w:rtl/>
        </w:rPr>
        <w:t xml:space="preserve">من أجل </w:t>
      </w:r>
      <w:r w:rsidRPr="00145537">
        <w:rPr>
          <w:rFonts w:hint="cs"/>
          <w:b/>
          <w:bCs/>
          <w:rtl/>
        </w:rPr>
        <w:t>حق</w:t>
      </w:r>
      <w:r w:rsidR="00145537">
        <w:rPr>
          <w:rFonts w:hint="cs"/>
          <w:b/>
          <w:bCs/>
          <w:rtl/>
        </w:rPr>
        <w:t>ـ</w:t>
      </w:r>
      <w:r w:rsidRPr="00145537">
        <w:rPr>
          <w:rFonts w:hint="cs"/>
          <w:b/>
          <w:bCs/>
          <w:rtl/>
        </w:rPr>
        <w:t>وق الإنسان بأسرع ما يمكن، وأن تحرص على تجميع بيانات واضحة وموثوقة عن أعمال التعذيب وا</w:t>
      </w:r>
      <w:r w:rsidR="00145537">
        <w:rPr>
          <w:rFonts w:hint="cs"/>
          <w:b/>
          <w:bCs/>
          <w:rtl/>
        </w:rPr>
        <w:t>لإيذاء</w:t>
      </w:r>
      <w:r w:rsidRPr="00145537">
        <w:rPr>
          <w:rFonts w:hint="cs"/>
          <w:b/>
          <w:bCs/>
          <w:rtl/>
        </w:rPr>
        <w:t xml:space="preserve"> أثناء الاحتجاز الاحتياطي وفي أماكن الاحتجاز الأخرى. ويجب أن تشمل هذه البيانات أيضا متابعة الادعاءات المقدمة بشأن التعذيب وا</w:t>
      </w:r>
      <w:r w:rsidR="00145537">
        <w:rPr>
          <w:rFonts w:hint="cs"/>
          <w:b/>
          <w:bCs/>
          <w:rtl/>
        </w:rPr>
        <w:t>لإيذاء</w:t>
      </w:r>
      <w:r w:rsidRPr="00145537">
        <w:rPr>
          <w:rFonts w:hint="cs"/>
          <w:b/>
          <w:bCs/>
          <w:rtl/>
        </w:rPr>
        <w:t xml:space="preserve">، بما في ذلك نتائج التحقيقات وأي أحكام قضائية بالإدانة أو أي عقوبات جنائية أو </w:t>
      </w:r>
      <w:r w:rsidR="00145537">
        <w:rPr>
          <w:rFonts w:hint="cs"/>
          <w:b/>
          <w:bCs/>
          <w:rtl/>
        </w:rPr>
        <w:t>تأديبية</w:t>
      </w:r>
      <w:r w:rsidRPr="00145537">
        <w:rPr>
          <w:rFonts w:hint="cs"/>
          <w:b/>
          <w:bCs/>
          <w:rtl/>
        </w:rPr>
        <w:t xml:space="preserve"> صادرة.</w:t>
      </w:r>
    </w:p>
    <w:p w:rsidR="00392F0E" w:rsidRPr="00392F0E" w:rsidRDefault="00145537" w:rsidP="00145537">
      <w:pPr>
        <w:pStyle w:val="H23GA"/>
        <w:rPr>
          <w:rFonts w:hint="cs"/>
          <w:rtl/>
        </w:rPr>
      </w:pPr>
      <w:r>
        <w:rPr>
          <w:rFonts w:hint="cs"/>
          <w:rtl/>
        </w:rPr>
        <w:tab/>
      </w:r>
      <w:r w:rsidR="00392F0E" w:rsidRPr="00392F0E">
        <w:rPr>
          <w:rFonts w:hint="cs"/>
          <w:rtl/>
        </w:rPr>
        <w:t>10-</w:t>
      </w:r>
      <w:r w:rsidR="00392F0E" w:rsidRPr="00392F0E">
        <w:rPr>
          <w:rFonts w:hint="cs"/>
          <w:rtl/>
        </w:rPr>
        <w:tab/>
        <w:t xml:space="preserve">العنف </w:t>
      </w:r>
      <w:r>
        <w:rPr>
          <w:rFonts w:hint="cs"/>
          <w:rtl/>
        </w:rPr>
        <w:t>ضد</w:t>
      </w:r>
      <w:r w:rsidR="00392F0E" w:rsidRPr="00392F0E">
        <w:rPr>
          <w:rFonts w:hint="cs"/>
          <w:rtl/>
        </w:rPr>
        <w:t xml:space="preserve"> النساء</w:t>
      </w:r>
    </w:p>
    <w:p w:rsidR="00392F0E" w:rsidRPr="00392F0E" w:rsidRDefault="00392F0E" w:rsidP="001F2B0C">
      <w:pPr>
        <w:pStyle w:val="SingleTxtGA"/>
        <w:rPr>
          <w:rFonts w:hint="cs"/>
          <w:rtl/>
        </w:rPr>
      </w:pPr>
      <w:r w:rsidRPr="00392F0E">
        <w:rPr>
          <w:rFonts w:hint="cs"/>
          <w:rtl/>
        </w:rPr>
        <w:t>24-</w:t>
      </w:r>
      <w:r w:rsidRPr="00392F0E">
        <w:rPr>
          <w:rFonts w:hint="cs"/>
          <w:rtl/>
        </w:rPr>
        <w:tab/>
        <w:t xml:space="preserve">ترحب اللجنة بالتدابير التي اتخذتها الدولة الطرف لمحاربة العنف الجنساني، مثل القانون الأساسي رقم </w:t>
      </w:r>
      <w:r w:rsidRPr="00392F0E">
        <w:t>1/2004</w:t>
      </w:r>
      <w:r w:rsidRPr="00392F0E">
        <w:rPr>
          <w:rFonts w:hint="cs"/>
          <w:rtl/>
        </w:rPr>
        <w:t xml:space="preserve"> المؤرخ 28 كانون الأول</w:t>
      </w:r>
      <w:r w:rsidR="00145537">
        <w:rPr>
          <w:rFonts w:hint="cs"/>
          <w:rtl/>
        </w:rPr>
        <w:t>/</w:t>
      </w:r>
      <w:r w:rsidRPr="00392F0E">
        <w:rPr>
          <w:rFonts w:hint="cs"/>
          <w:rtl/>
        </w:rPr>
        <w:t xml:space="preserve">ديسمبر بشأن تدابير الحماية الشاملة من العنف الجنساني. غير أن اللجنة قلقة بشأن البلاغات عن أعمال العنف </w:t>
      </w:r>
      <w:r w:rsidR="00145537">
        <w:rPr>
          <w:rFonts w:hint="cs"/>
          <w:rtl/>
        </w:rPr>
        <w:t xml:space="preserve">ضد </w:t>
      </w:r>
      <w:r w:rsidRPr="00392F0E">
        <w:rPr>
          <w:rFonts w:hint="cs"/>
          <w:rtl/>
        </w:rPr>
        <w:t xml:space="preserve">النساء التي بلغت حدا غير مقبول، بما في ذلك العنف الأسري، التي تؤدي أحيانا إلى القتل. وترى اللجنة أن حجم هذه المشكلة في الدولة الطرف يدعو إلى التحرك على نحو لا يقتصر على الأحكام التشريعية وخطط العمل، </w:t>
      </w:r>
      <w:r w:rsidR="001F2B0C">
        <w:rPr>
          <w:rFonts w:hint="cs"/>
          <w:rtl/>
        </w:rPr>
        <w:t>و</w:t>
      </w:r>
      <w:r w:rsidRPr="00392F0E">
        <w:rPr>
          <w:rFonts w:hint="cs"/>
          <w:rtl/>
        </w:rPr>
        <w:t xml:space="preserve">يستلزم </w:t>
      </w:r>
      <w:r w:rsidR="00145537">
        <w:rPr>
          <w:rFonts w:hint="cs"/>
          <w:rtl/>
        </w:rPr>
        <w:t xml:space="preserve">بذل </w:t>
      </w:r>
      <w:r w:rsidRPr="00392F0E">
        <w:rPr>
          <w:rFonts w:hint="cs"/>
          <w:rtl/>
        </w:rPr>
        <w:t xml:space="preserve">جهود </w:t>
      </w:r>
      <w:r w:rsidR="00145537">
        <w:rPr>
          <w:rFonts w:hint="cs"/>
          <w:rtl/>
        </w:rPr>
        <w:t xml:space="preserve">منسقة ومتواصلة </w:t>
      </w:r>
      <w:r w:rsidRPr="00392F0E">
        <w:rPr>
          <w:rFonts w:hint="cs"/>
          <w:rtl/>
        </w:rPr>
        <w:t>بغية تغيير نظرة المجتمع إلى المرأة والقضاء على الأفكار النمطية المرتبطة بذلك (المادة 16).</w:t>
      </w:r>
    </w:p>
    <w:p w:rsidR="00392F0E" w:rsidRPr="00145537" w:rsidRDefault="00392F0E" w:rsidP="00145537">
      <w:pPr>
        <w:pStyle w:val="SingleTxtGA"/>
        <w:rPr>
          <w:rFonts w:hint="cs"/>
          <w:b/>
          <w:bCs/>
          <w:rtl/>
        </w:rPr>
      </w:pPr>
      <w:r w:rsidRPr="00145537">
        <w:rPr>
          <w:rFonts w:hint="cs"/>
          <w:b/>
          <w:bCs/>
          <w:rtl/>
        </w:rPr>
        <w:t xml:space="preserve">تحث اللجنة الدول الطرف على تكثيف جهودها لإدراج محاربة العنف </w:t>
      </w:r>
      <w:r w:rsidR="00145537" w:rsidRPr="00145537">
        <w:rPr>
          <w:rFonts w:hint="cs"/>
          <w:b/>
          <w:bCs/>
          <w:rtl/>
        </w:rPr>
        <w:t xml:space="preserve">ضد </w:t>
      </w:r>
      <w:r w:rsidRPr="00145537">
        <w:rPr>
          <w:rFonts w:hint="cs"/>
          <w:b/>
          <w:bCs/>
          <w:rtl/>
        </w:rPr>
        <w:t xml:space="preserve">النساء </w:t>
      </w:r>
      <w:r w:rsidR="00145537" w:rsidRPr="00145537">
        <w:rPr>
          <w:rFonts w:hint="cs"/>
          <w:b/>
          <w:bCs/>
          <w:rtl/>
        </w:rPr>
        <w:t xml:space="preserve">ضمن </w:t>
      </w:r>
      <w:r w:rsidRPr="00145537">
        <w:rPr>
          <w:rFonts w:hint="cs"/>
          <w:b/>
          <w:bCs/>
          <w:rtl/>
        </w:rPr>
        <w:t xml:space="preserve">أولويات جدول أعمالها السياسي. وتوصي اللجنة كذلك بتوسيع نطاق حملات التوعية الموجهة إلى الجمهور بشأن جميع أشكال العنف </w:t>
      </w:r>
      <w:r w:rsidR="00145537" w:rsidRPr="00145537">
        <w:rPr>
          <w:rFonts w:hint="cs"/>
          <w:b/>
          <w:bCs/>
          <w:rtl/>
        </w:rPr>
        <w:t xml:space="preserve">ضد </w:t>
      </w:r>
      <w:r w:rsidRPr="00145537">
        <w:rPr>
          <w:rFonts w:hint="cs"/>
          <w:b/>
          <w:bCs/>
          <w:rtl/>
        </w:rPr>
        <w:t>النساء.</w:t>
      </w:r>
    </w:p>
    <w:p w:rsidR="00392F0E" w:rsidRPr="00392F0E" w:rsidRDefault="00392F0E" w:rsidP="001F2B0C">
      <w:pPr>
        <w:pStyle w:val="SingleTxtGA"/>
        <w:rPr>
          <w:rFonts w:hint="cs"/>
          <w:rtl/>
        </w:rPr>
      </w:pPr>
      <w:r w:rsidRPr="00392F0E">
        <w:rPr>
          <w:rFonts w:hint="cs"/>
          <w:rtl/>
        </w:rPr>
        <w:t>25-</w:t>
      </w:r>
      <w:r w:rsidRPr="00392F0E">
        <w:rPr>
          <w:rFonts w:hint="cs"/>
          <w:rtl/>
        </w:rPr>
        <w:tab/>
        <w:t xml:space="preserve">ويساور اللجنة القلق </w:t>
      </w:r>
      <w:r w:rsidR="00145537">
        <w:rPr>
          <w:rFonts w:hint="cs"/>
          <w:rtl/>
        </w:rPr>
        <w:t xml:space="preserve">إزاء حالة الضعف الشديد </w:t>
      </w:r>
      <w:r w:rsidRPr="00392F0E">
        <w:rPr>
          <w:rFonts w:hint="cs"/>
          <w:rtl/>
        </w:rPr>
        <w:t xml:space="preserve">للنساء المهاجرات </w:t>
      </w:r>
      <w:r w:rsidR="00145537">
        <w:rPr>
          <w:rFonts w:hint="cs"/>
          <w:rtl/>
        </w:rPr>
        <w:t xml:space="preserve">المقيمات بصفة </w:t>
      </w:r>
      <w:r w:rsidRPr="00392F0E">
        <w:rPr>
          <w:rFonts w:hint="cs"/>
          <w:rtl/>
        </w:rPr>
        <w:t xml:space="preserve">غير شرعية </w:t>
      </w:r>
      <w:r w:rsidR="00145537">
        <w:rPr>
          <w:rFonts w:hint="cs"/>
          <w:rtl/>
        </w:rPr>
        <w:t xml:space="preserve">واللائي </w:t>
      </w:r>
      <w:r w:rsidRPr="00392F0E">
        <w:rPr>
          <w:rFonts w:hint="cs"/>
          <w:rtl/>
        </w:rPr>
        <w:t xml:space="preserve">يتعرضن للعنف الجنساني، وذلك بحكم أن القوانين الحالية تلزم الشرطة بالتحقيق في وضع النساء المهاجرات </w:t>
      </w:r>
      <w:r w:rsidR="00145537">
        <w:rPr>
          <w:rFonts w:hint="cs"/>
          <w:rtl/>
        </w:rPr>
        <w:t xml:space="preserve">اللواتي </w:t>
      </w:r>
      <w:r w:rsidRPr="00392F0E">
        <w:rPr>
          <w:rFonts w:hint="cs"/>
          <w:rtl/>
        </w:rPr>
        <w:t xml:space="preserve">يبلغن عن أعمال عنف أو </w:t>
      </w:r>
      <w:r w:rsidR="00145537">
        <w:rPr>
          <w:rFonts w:hint="cs"/>
          <w:rtl/>
        </w:rPr>
        <w:t>الإيذاء</w:t>
      </w:r>
      <w:r w:rsidRPr="00392F0E">
        <w:rPr>
          <w:rFonts w:hint="cs"/>
          <w:rtl/>
        </w:rPr>
        <w:t xml:space="preserve">. وفي هذا الصدد، تلاحظ اللجنة وجود </w:t>
      </w:r>
      <w:r w:rsidR="00145537">
        <w:rPr>
          <w:rFonts w:hint="cs"/>
          <w:rtl/>
        </w:rPr>
        <w:t xml:space="preserve">مشروع </w:t>
      </w:r>
      <w:r w:rsidRPr="00392F0E">
        <w:rPr>
          <w:rFonts w:hint="cs"/>
          <w:rtl/>
        </w:rPr>
        <w:t xml:space="preserve">قانون </w:t>
      </w:r>
      <w:r w:rsidR="00145537">
        <w:rPr>
          <w:rFonts w:hint="cs"/>
          <w:rtl/>
        </w:rPr>
        <w:t>لت</w:t>
      </w:r>
      <w:r w:rsidRPr="00392F0E">
        <w:rPr>
          <w:rFonts w:hint="cs"/>
          <w:rtl/>
        </w:rPr>
        <w:t>عد</w:t>
      </w:r>
      <w:r w:rsidR="00145537">
        <w:rPr>
          <w:rFonts w:hint="cs"/>
          <w:rtl/>
        </w:rPr>
        <w:t>ي</w:t>
      </w:r>
      <w:r w:rsidRPr="00392F0E">
        <w:rPr>
          <w:rFonts w:hint="cs"/>
          <w:rtl/>
        </w:rPr>
        <w:t xml:space="preserve">ل القانون الأساسي رقم </w:t>
      </w:r>
      <w:r w:rsidRPr="00392F0E">
        <w:t>4/2000</w:t>
      </w:r>
      <w:r w:rsidRPr="00392F0E">
        <w:rPr>
          <w:rFonts w:hint="cs"/>
          <w:rtl/>
        </w:rPr>
        <w:t xml:space="preserve"> المؤرخ 11 كانون الثاني/يناير بشأن الحقوق والحريات والاندماج الاجتماعي للأجانب في إسبانيا. </w:t>
      </w:r>
      <w:r w:rsidR="001F2B0C">
        <w:rPr>
          <w:rFonts w:hint="cs"/>
          <w:rtl/>
        </w:rPr>
        <w:t>و</w:t>
      </w:r>
      <w:r w:rsidRPr="00392F0E">
        <w:rPr>
          <w:rFonts w:hint="cs"/>
          <w:rtl/>
        </w:rPr>
        <w:t xml:space="preserve">يرمي </w:t>
      </w:r>
      <w:r w:rsidR="00145537">
        <w:rPr>
          <w:rFonts w:hint="cs"/>
          <w:rtl/>
        </w:rPr>
        <w:t xml:space="preserve">مشروع القانون </w:t>
      </w:r>
      <w:r w:rsidR="001F2B0C">
        <w:rPr>
          <w:rFonts w:hint="cs"/>
          <w:rtl/>
        </w:rPr>
        <w:t xml:space="preserve">هذا </w:t>
      </w:r>
      <w:r w:rsidRPr="00392F0E">
        <w:rPr>
          <w:rFonts w:hint="cs"/>
          <w:rtl/>
        </w:rPr>
        <w:t xml:space="preserve">إلى تشجيع النساء الأجنبيات على الإبلاغ عن حالات العنف الجنساني، وتيسير الأمر على من يبلّغن منهنّ عن هذا النوع من العنف </w:t>
      </w:r>
      <w:r w:rsidR="00145537">
        <w:rPr>
          <w:rFonts w:hint="cs"/>
          <w:rtl/>
        </w:rPr>
        <w:t>ب</w:t>
      </w:r>
      <w:r w:rsidRPr="00392F0E">
        <w:rPr>
          <w:rFonts w:hint="cs"/>
          <w:rtl/>
        </w:rPr>
        <w:t xml:space="preserve">إعفائهن من المسؤولية الإدارية فيما يتعلق بإقامتهن في البلد بصفة غير شرعية (المادتان 13 و16). </w:t>
      </w:r>
    </w:p>
    <w:p w:rsidR="00392F0E" w:rsidRPr="00145537" w:rsidRDefault="00392F0E" w:rsidP="00145537">
      <w:pPr>
        <w:pStyle w:val="SingleTxtGA"/>
        <w:rPr>
          <w:rFonts w:hint="cs"/>
          <w:b/>
          <w:bCs/>
          <w:rtl/>
        </w:rPr>
      </w:pPr>
      <w:r w:rsidRPr="00145537">
        <w:rPr>
          <w:rFonts w:hint="cs"/>
          <w:b/>
          <w:bCs/>
          <w:rtl/>
        </w:rPr>
        <w:t xml:space="preserve">ينبغي للدولة الطرف أن تعجّل باعتماد </w:t>
      </w:r>
      <w:r w:rsidR="00145537">
        <w:rPr>
          <w:rFonts w:hint="cs"/>
          <w:b/>
          <w:bCs/>
          <w:rtl/>
        </w:rPr>
        <w:t xml:space="preserve">مشروع </w:t>
      </w:r>
      <w:r w:rsidRPr="00145537">
        <w:rPr>
          <w:rFonts w:hint="cs"/>
          <w:b/>
          <w:bCs/>
          <w:rtl/>
        </w:rPr>
        <w:t xml:space="preserve">القانون المعدِّل للقانون الأساسي رقم </w:t>
      </w:r>
      <w:r w:rsidRPr="00145537">
        <w:rPr>
          <w:b/>
          <w:bCs/>
        </w:rPr>
        <w:t>4/2000</w:t>
      </w:r>
      <w:r w:rsidRPr="00145537">
        <w:rPr>
          <w:rFonts w:hint="cs"/>
          <w:b/>
          <w:bCs/>
          <w:rtl/>
        </w:rPr>
        <w:t xml:space="preserve"> </w:t>
      </w:r>
      <w:r w:rsidR="00145537">
        <w:rPr>
          <w:rFonts w:hint="cs"/>
          <w:b/>
          <w:bCs/>
          <w:rtl/>
        </w:rPr>
        <w:t>ل</w:t>
      </w:r>
      <w:r w:rsidRPr="00145537">
        <w:rPr>
          <w:rFonts w:hint="cs"/>
          <w:b/>
          <w:bCs/>
          <w:rtl/>
        </w:rPr>
        <w:t>تمك</w:t>
      </w:r>
      <w:r w:rsidR="00145537">
        <w:rPr>
          <w:rFonts w:hint="cs"/>
          <w:b/>
          <w:bCs/>
          <w:rtl/>
        </w:rPr>
        <w:t>ي</w:t>
      </w:r>
      <w:r w:rsidRPr="00145537">
        <w:rPr>
          <w:rFonts w:hint="cs"/>
          <w:b/>
          <w:bCs/>
          <w:rtl/>
        </w:rPr>
        <w:t xml:space="preserve">ن النساء المهاجرات في وضع غير شرعي </w:t>
      </w:r>
      <w:r w:rsidR="00145537">
        <w:rPr>
          <w:rFonts w:hint="cs"/>
          <w:b/>
          <w:bCs/>
          <w:rtl/>
        </w:rPr>
        <w:t>اللائي ثبت وقوعهن ضحايا ا</w:t>
      </w:r>
      <w:r w:rsidRPr="00145537">
        <w:rPr>
          <w:rFonts w:hint="cs"/>
          <w:b/>
          <w:bCs/>
          <w:rtl/>
        </w:rPr>
        <w:t xml:space="preserve">لعنف الجنساني من طلب </w:t>
      </w:r>
      <w:r w:rsidR="00145537">
        <w:rPr>
          <w:rFonts w:hint="cs"/>
          <w:b/>
          <w:bCs/>
          <w:rtl/>
        </w:rPr>
        <w:t>و</w:t>
      </w:r>
      <w:r w:rsidRPr="00145537">
        <w:rPr>
          <w:rFonts w:hint="cs"/>
          <w:b/>
          <w:bCs/>
          <w:rtl/>
        </w:rPr>
        <w:t>الحصول على تصريح بالإقامة أو العمل بحكم ظروفهن الاستثنائية.</w:t>
      </w:r>
    </w:p>
    <w:p w:rsidR="00392F0E" w:rsidRPr="00392F0E" w:rsidRDefault="00145537" w:rsidP="00145537">
      <w:pPr>
        <w:pStyle w:val="H23GA"/>
        <w:rPr>
          <w:rFonts w:hint="cs"/>
          <w:rtl/>
        </w:rPr>
      </w:pPr>
      <w:r>
        <w:rPr>
          <w:rFonts w:hint="cs"/>
          <w:rtl/>
        </w:rPr>
        <w:tab/>
      </w:r>
      <w:r w:rsidR="00392F0E" w:rsidRPr="00392F0E">
        <w:rPr>
          <w:rFonts w:hint="cs"/>
          <w:rtl/>
        </w:rPr>
        <w:t>11-</w:t>
      </w:r>
      <w:r w:rsidR="00392F0E" w:rsidRPr="00392F0E">
        <w:rPr>
          <w:rFonts w:hint="cs"/>
          <w:rtl/>
        </w:rPr>
        <w:tab/>
        <w:t xml:space="preserve">العنف </w:t>
      </w:r>
      <w:r>
        <w:rPr>
          <w:rFonts w:hint="cs"/>
          <w:rtl/>
        </w:rPr>
        <w:t>لأسباب عرقية</w:t>
      </w:r>
    </w:p>
    <w:p w:rsidR="00392F0E" w:rsidRPr="00392F0E" w:rsidRDefault="00392F0E" w:rsidP="00145537">
      <w:pPr>
        <w:pStyle w:val="SingleTxtGA"/>
        <w:rPr>
          <w:rFonts w:hint="cs"/>
          <w:rtl/>
        </w:rPr>
      </w:pPr>
      <w:r w:rsidRPr="00392F0E">
        <w:rPr>
          <w:rFonts w:hint="cs"/>
          <w:rtl/>
        </w:rPr>
        <w:t>26-</w:t>
      </w:r>
      <w:r w:rsidRPr="00392F0E">
        <w:rPr>
          <w:rFonts w:hint="cs"/>
          <w:rtl/>
        </w:rPr>
        <w:tab/>
        <w:t>تلاحظ اللجنة جهود الدولة الطرف لمحاربة العنصرية وكره الأجان</w:t>
      </w:r>
      <w:r w:rsidR="00145537">
        <w:rPr>
          <w:rFonts w:hint="cs"/>
          <w:rtl/>
        </w:rPr>
        <w:t>ب</w:t>
      </w:r>
      <w:r w:rsidRPr="00392F0E">
        <w:rPr>
          <w:rFonts w:hint="cs"/>
          <w:rtl/>
        </w:rPr>
        <w:t>، بما في ذلك اعتمادها قانون</w:t>
      </w:r>
      <w:r w:rsidR="00145537">
        <w:rPr>
          <w:rFonts w:hint="cs"/>
          <w:rtl/>
        </w:rPr>
        <w:t>اً</w:t>
      </w:r>
      <w:r w:rsidRPr="00392F0E">
        <w:rPr>
          <w:rFonts w:hint="cs"/>
          <w:rtl/>
        </w:rPr>
        <w:t xml:space="preserve"> بشأن هذه المسألة وخطة استراتيجية للمواطنة والاندماج (2007-2010). غير أن اللجنة تشعر بالقلق بشأن المعلومات التي تشير إلى </w:t>
      </w:r>
      <w:r w:rsidR="00145537">
        <w:rPr>
          <w:rFonts w:hint="cs"/>
          <w:rtl/>
        </w:rPr>
        <w:t xml:space="preserve">ارتفاع </w:t>
      </w:r>
      <w:r w:rsidRPr="00392F0E">
        <w:rPr>
          <w:rFonts w:hint="cs"/>
          <w:rtl/>
        </w:rPr>
        <w:t xml:space="preserve">عدد أعمال </w:t>
      </w:r>
      <w:r w:rsidR="00145537">
        <w:rPr>
          <w:rFonts w:hint="cs"/>
          <w:rtl/>
        </w:rPr>
        <w:t xml:space="preserve">التعصب </w:t>
      </w:r>
      <w:r w:rsidRPr="00392F0E">
        <w:rPr>
          <w:rFonts w:hint="cs"/>
          <w:rtl/>
        </w:rPr>
        <w:t xml:space="preserve">وحوادث العنف </w:t>
      </w:r>
      <w:r w:rsidR="00145537">
        <w:rPr>
          <w:rFonts w:hint="cs"/>
          <w:rtl/>
        </w:rPr>
        <w:t xml:space="preserve">لأسباب عرقية ضد </w:t>
      </w:r>
      <w:r w:rsidRPr="00392F0E">
        <w:rPr>
          <w:rFonts w:hint="cs"/>
          <w:rtl/>
        </w:rPr>
        <w:t>المهاجرين والأشخاص ذوي الانتماءات الإثنية والدينية المختلفة، وتشعر بالقلق أيضا</w:t>
      </w:r>
      <w:r w:rsidR="00145537">
        <w:rPr>
          <w:rFonts w:hint="cs"/>
          <w:rtl/>
        </w:rPr>
        <w:t>ً</w:t>
      </w:r>
      <w:r w:rsidRPr="00392F0E">
        <w:rPr>
          <w:rFonts w:hint="cs"/>
          <w:rtl/>
        </w:rPr>
        <w:t xml:space="preserve"> بشأن الادعاءات بأن تحرك السلطات فيما يخص هذه الأعمال لا يأتي في الوقت المناسب </w:t>
      </w:r>
      <w:r w:rsidR="00145537">
        <w:rPr>
          <w:rFonts w:hint="cs"/>
          <w:rtl/>
        </w:rPr>
        <w:t xml:space="preserve">دائماً أو أنه </w:t>
      </w:r>
      <w:r w:rsidRPr="00392F0E">
        <w:rPr>
          <w:rFonts w:hint="cs"/>
          <w:rtl/>
        </w:rPr>
        <w:t xml:space="preserve">غير كاف (المواد من 13 إلى 16). </w:t>
      </w:r>
    </w:p>
    <w:p w:rsidR="00392F0E" w:rsidRPr="00145537" w:rsidRDefault="00392F0E" w:rsidP="00145537">
      <w:pPr>
        <w:pStyle w:val="SingleTxtGA"/>
        <w:rPr>
          <w:rFonts w:hint="cs"/>
          <w:b/>
          <w:bCs/>
          <w:rtl/>
        </w:rPr>
      </w:pPr>
      <w:r w:rsidRPr="00145537">
        <w:rPr>
          <w:rFonts w:hint="cs"/>
          <w:b/>
          <w:bCs/>
          <w:rtl/>
        </w:rPr>
        <w:t xml:space="preserve">ينبغي للدولة الطرف أن تبذل المزيد من الجهود لإجراء تحقيقات </w:t>
      </w:r>
      <w:r w:rsidR="00145537">
        <w:rPr>
          <w:rFonts w:hint="cs"/>
          <w:b/>
          <w:bCs/>
          <w:rtl/>
        </w:rPr>
        <w:t>مستفيضة</w:t>
      </w:r>
      <w:r w:rsidRPr="00145537">
        <w:rPr>
          <w:rFonts w:hint="cs"/>
          <w:b/>
          <w:bCs/>
          <w:rtl/>
        </w:rPr>
        <w:t xml:space="preserve"> في جميع أعمال العنف </w:t>
      </w:r>
      <w:r w:rsidR="00145537">
        <w:rPr>
          <w:rFonts w:hint="cs"/>
          <w:b/>
          <w:bCs/>
          <w:rtl/>
        </w:rPr>
        <w:t xml:space="preserve">لأسباب عرقية </w:t>
      </w:r>
      <w:r w:rsidRPr="00145537">
        <w:rPr>
          <w:rFonts w:hint="cs"/>
          <w:b/>
          <w:bCs/>
          <w:rtl/>
        </w:rPr>
        <w:t>ومعاقبة الم</w:t>
      </w:r>
      <w:r w:rsidR="00145537">
        <w:rPr>
          <w:rFonts w:hint="cs"/>
          <w:b/>
          <w:bCs/>
          <w:rtl/>
        </w:rPr>
        <w:t xml:space="preserve">سؤولين عنها </w:t>
      </w:r>
      <w:r w:rsidRPr="00145537">
        <w:rPr>
          <w:rFonts w:hint="cs"/>
          <w:b/>
          <w:bCs/>
          <w:rtl/>
        </w:rPr>
        <w:t>على النحو الملائم. وهذا التحرك على مستوى التشريعات والتحقيقات والقضاء إزاء هذه الأعمال الشنيعة ينبغي أن تواكبه حملات توعيةٍ موسّعة للجمهور.</w:t>
      </w:r>
    </w:p>
    <w:p w:rsidR="00392F0E" w:rsidRPr="00392F0E" w:rsidRDefault="00145537" w:rsidP="00145537">
      <w:pPr>
        <w:pStyle w:val="H23GA"/>
        <w:rPr>
          <w:rFonts w:hint="cs"/>
          <w:rtl/>
        </w:rPr>
      </w:pPr>
      <w:r>
        <w:rPr>
          <w:rFonts w:hint="cs"/>
          <w:rtl/>
        </w:rPr>
        <w:tab/>
      </w:r>
      <w:r w:rsidR="00392F0E" w:rsidRPr="00392F0E">
        <w:rPr>
          <w:rFonts w:hint="cs"/>
          <w:rtl/>
        </w:rPr>
        <w:t>12-</w:t>
      </w:r>
      <w:r>
        <w:rPr>
          <w:rFonts w:hint="cs"/>
          <w:rtl/>
        </w:rPr>
        <w:tab/>
      </w:r>
      <w:r w:rsidR="00392F0E" w:rsidRPr="00392F0E">
        <w:rPr>
          <w:rFonts w:hint="cs"/>
          <w:rtl/>
        </w:rPr>
        <w:t xml:space="preserve">أسلحة </w:t>
      </w:r>
      <w:r>
        <w:rPr>
          <w:rFonts w:hint="cs"/>
          <w:rtl/>
        </w:rPr>
        <w:t>"</w:t>
      </w:r>
      <w:r w:rsidR="00392F0E" w:rsidRPr="00392F0E">
        <w:rPr>
          <w:rFonts w:hint="cs"/>
          <w:rtl/>
        </w:rPr>
        <w:t>تيزر</w:t>
      </w:r>
      <w:r>
        <w:rPr>
          <w:rFonts w:hint="cs"/>
          <w:rtl/>
        </w:rPr>
        <w:t>"</w:t>
      </w:r>
      <w:r w:rsidR="00392F0E" w:rsidRPr="00392F0E">
        <w:rPr>
          <w:rFonts w:hint="cs"/>
          <w:rtl/>
        </w:rPr>
        <w:t xml:space="preserve"> المشلَّة للحركة</w:t>
      </w:r>
    </w:p>
    <w:p w:rsidR="00392F0E" w:rsidRPr="00392F0E" w:rsidRDefault="00392F0E" w:rsidP="00566D90">
      <w:pPr>
        <w:pStyle w:val="SingleTxtGA"/>
        <w:rPr>
          <w:rFonts w:hint="cs"/>
          <w:rtl/>
        </w:rPr>
      </w:pPr>
      <w:r w:rsidRPr="00392F0E">
        <w:rPr>
          <w:rFonts w:hint="cs"/>
          <w:rtl/>
        </w:rPr>
        <w:t>27-</w:t>
      </w:r>
      <w:r w:rsidRPr="00392F0E">
        <w:rPr>
          <w:rFonts w:hint="cs"/>
          <w:rtl/>
        </w:rPr>
        <w:tab/>
        <w:t xml:space="preserve">تلاحظ اللجنة أن قوات الأمن التابعة للدولة الطرف لا تستخدم أسلحة </w:t>
      </w:r>
      <w:r w:rsidR="00145537">
        <w:rPr>
          <w:rFonts w:hint="cs"/>
          <w:rtl/>
        </w:rPr>
        <w:t>"</w:t>
      </w:r>
      <w:r w:rsidRPr="00392F0E">
        <w:rPr>
          <w:rFonts w:hint="cs"/>
          <w:rtl/>
        </w:rPr>
        <w:t>تيزر</w:t>
      </w:r>
      <w:r w:rsidR="00145537">
        <w:rPr>
          <w:rFonts w:hint="cs"/>
          <w:rtl/>
        </w:rPr>
        <w:t>"</w:t>
      </w:r>
      <w:r w:rsidRPr="00392F0E">
        <w:rPr>
          <w:rFonts w:hint="cs"/>
          <w:rtl/>
        </w:rPr>
        <w:t xml:space="preserve"> المشلّة للحركة، إلا أنها تشعر بالقلق </w:t>
      </w:r>
      <w:r w:rsidR="00566D90">
        <w:rPr>
          <w:rFonts w:hint="cs"/>
          <w:rtl/>
        </w:rPr>
        <w:t xml:space="preserve">إزاء </w:t>
      </w:r>
      <w:r w:rsidRPr="00392F0E">
        <w:rPr>
          <w:rFonts w:hint="cs"/>
          <w:rtl/>
        </w:rPr>
        <w:t xml:space="preserve">المعلومات </w:t>
      </w:r>
      <w:r w:rsidR="00566D90">
        <w:rPr>
          <w:rFonts w:hint="cs"/>
          <w:rtl/>
        </w:rPr>
        <w:t xml:space="preserve">التي </w:t>
      </w:r>
      <w:r w:rsidRPr="00392F0E">
        <w:rPr>
          <w:rFonts w:hint="cs"/>
          <w:rtl/>
        </w:rPr>
        <w:t>تشير إلى أن قوات الشرطة المحلية تستخدمها (المادتان 2 و16).</w:t>
      </w:r>
    </w:p>
    <w:p w:rsidR="00392F0E" w:rsidRPr="00566D90" w:rsidRDefault="00392F0E" w:rsidP="00566D90">
      <w:pPr>
        <w:pStyle w:val="SingleTxtGA"/>
        <w:rPr>
          <w:rFonts w:hint="cs"/>
          <w:b/>
          <w:bCs/>
          <w:rtl/>
        </w:rPr>
      </w:pPr>
      <w:r w:rsidRPr="00566D90">
        <w:rPr>
          <w:rFonts w:hint="cs"/>
          <w:b/>
          <w:bCs/>
          <w:rtl/>
        </w:rPr>
        <w:t xml:space="preserve">ينبغي للدولة الطرف أن تنظر في إمكانية وضع حد لاستخدام قوات الشرطة المحلية لهذه الأسلحة لأن استخدامها </w:t>
      </w:r>
      <w:r w:rsidR="00566D90">
        <w:rPr>
          <w:rFonts w:hint="cs"/>
          <w:b/>
          <w:bCs/>
          <w:rtl/>
        </w:rPr>
        <w:t xml:space="preserve">قد ينطوي على انتهاك </w:t>
      </w:r>
      <w:r w:rsidRPr="00566D90">
        <w:rPr>
          <w:rFonts w:hint="cs"/>
          <w:b/>
          <w:bCs/>
          <w:rtl/>
        </w:rPr>
        <w:t>أحكام المادتين 2 و16 من الاتفاقية بسبب آثارها على الحالة الجسدية والعقلية للأشخاص الذين يتعرضون لها.</w:t>
      </w:r>
    </w:p>
    <w:p w:rsidR="00392F0E" w:rsidRPr="00392F0E" w:rsidRDefault="00566D90" w:rsidP="00566D90">
      <w:pPr>
        <w:pStyle w:val="H23GA"/>
        <w:rPr>
          <w:rFonts w:hint="cs"/>
          <w:rtl/>
        </w:rPr>
      </w:pPr>
      <w:r>
        <w:rPr>
          <w:rFonts w:hint="cs"/>
          <w:rtl/>
        </w:rPr>
        <w:tab/>
      </w:r>
      <w:r w:rsidR="00392F0E" w:rsidRPr="00392F0E">
        <w:rPr>
          <w:rFonts w:hint="cs"/>
          <w:rtl/>
        </w:rPr>
        <w:t>13-</w:t>
      </w:r>
      <w:r w:rsidR="00392F0E" w:rsidRPr="00392F0E">
        <w:rPr>
          <w:rFonts w:hint="cs"/>
          <w:rtl/>
        </w:rPr>
        <w:tab/>
        <w:t>الاتجار بالبشر</w:t>
      </w:r>
    </w:p>
    <w:p w:rsidR="00392F0E" w:rsidRPr="00566D90" w:rsidRDefault="00392F0E" w:rsidP="001F2B0C">
      <w:pPr>
        <w:pStyle w:val="SingleTxtGA"/>
        <w:rPr>
          <w:rFonts w:hint="cs"/>
          <w:rtl/>
        </w:rPr>
      </w:pPr>
      <w:r w:rsidRPr="00392F0E">
        <w:rPr>
          <w:rFonts w:hint="cs"/>
          <w:rtl/>
        </w:rPr>
        <w:t>28-</w:t>
      </w:r>
      <w:r w:rsidRPr="00392F0E">
        <w:rPr>
          <w:rFonts w:hint="cs"/>
          <w:rtl/>
        </w:rPr>
        <w:tab/>
        <w:t xml:space="preserve">ترحب اللجنة باعتماد خطة مكافحة الاتجار لأغراض الاستغلال الجنسي </w:t>
      </w:r>
      <w:r w:rsidR="00B435A9">
        <w:rPr>
          <w:rFonts w:hint="cs"/>
          <w:rtl/>
        </w:rPr>
        <w:t xml:space="preserve">           </w:t>
      </w:r>
      <w:r w:rsidRPr="00392F0E">
        <w:rPr>
          <w:rFonts w:hint="cs"/>
          <w:rtl/>
        </w:rPr>
        <w:t>(انظر الفقرة 4</w:t>
      </w:r>
      <w:r w:rsidR="00566D90">
        <w:rPr>
          <w:rFonts w:hint="cs"/>
          <w:rtl/>
        </w:rPr>
        <w:t>(و)</w:t>
      </w:r>
      <w:r w:rsidRPr="00392F0E">
        <w:rPr>
          <w:rFonts w:hint="cs"/>
          <w:rtl/>
        </w:rPr>
        <w:t xml:space="preserve"> أعلاه). ومع ذلك تلاحظ اللجنة أن هذه الخطة تركّز على اتّقاء حدوث الجريمة أكثر من تركيزها على حقوق الإنسان وحماية الضحايا. وتشعر اللجنة بالقلق </w:t>
      </w:r>
      <w:r w:rsidR="00566D90">
        <w:rPr>
          <w:rFonts w:hint="cs"/>
          <w:rtl/>
        </w:rPr>
        <w:t xml:space="preserve">كذلك </w:t>
      </w:r>
      <w:r w:rsidRPr="00392F0E">
        <w:rPr>
          <w:rFonts w:hint="cs"/>
          <w:rtl/>
        </w:rPr>
        <w:t>لأن القانون الجنائي لا ي</w:t>
      </w:r>
      <w:r w:rsidR="00566D90">
        <w:rPr>
          <w:rFonts w:hint="cs"/>
          <w:rtl/>
        </w:rPr>
        <w:t xml:space="preserve">نص على </w:t>
      </w:r>
      <w:r w:rsidRPr="00392F0E">
        <w:rPr>
          <w:rFonts w:hint="cs"/>
          <w:rtl/>
        </w:rPr>
        <w:t>أي مخالفة</w:t>
      </w:r>
      <w:r w:rsidR="001F2B0C">
        <w:rPr>
          <w:rFonts w:hint="cs"/>
          <w:rtl/>
        </w:rPr>
        <w:t xml:space="preserve"> تغطي</w:t>
      </w:r>
      <w:r w:rsidR="00566D90">
        <w:rPr>
          <w:rFonts w:hint="cs"/>
          <w:rtl/>
        </w:rPr>
        <w:t xml:space="preserve"> على وجه التحديد الجوانب المتعلقة بالاتجار </w:t>
      </w:r>
      <w:r w:rsidRPr="00566D90">
        <w:rPr>
          <w:rFonts w:hint="cs"/>
          <w:rtl/>
        </w:rPr>
        <w:t>بالبشر لأغراض الاستغلال الجنسي (المادة 16).</w:t>
      </w:r>
    </w:p>
    <w:p w:rsidR="00392F0E" w:rsidRPr="00566D90" w:rsidRDefault="00392F0E" w:rsidP="00566D90">
      <w:pPr>
        <w:pStyle w:val="SingleTxtGA"/>
        <w:rPr>
          <w:rFonts w:hint="cs"/>
          <w:b/>
          <w:bCs/>
          <w:rtl/>
        </w:rPr>
      </w:pPr>
      <w:r w:rsidRPr="00566D90">
        <w:rPr>
          <w:rFonts w:hint="cs"/>
          <w:b/>
          <w:bCs/>
          <w:rtl/>
        </w:rPr>
        <w:t>تحث اللجنة الدولة الطرف على استكمال مشروع القانون الجنائي كي تدرج فيه فصلا</w:t>
      </w:r>
      <w:r w:rsidR="00566D90">
        <w:rPr>
          <w:rFonts w:hint="cs"/>
          <w:b/>
          <w:bCs/>
          <w:rtl/>
        </w:rPr>
        <w:t>ً</w:t>
      </w:r>
      <w:r w:rsidRPr="00566D90">
        <w:rPr>
          <w:rFonts w:hint="cs"/>
          <w:b/>
          <w:bCs/>
          <w:rtl/>
        </w:rPr>
        <w:t xml:space="preserve"> يتطرق تحديدا</w:t>
      </w:r>
      <w:r w:rsidR="00566D90">
        <w:rPr>
          <w:rFonts w:hint="cs"/>
          <w:b/>
          <w:bCs/>
          <w:rtl/>
        </w:rPr>
        <w:t>ً</w:t>
      </w:r>
      <w:r w:rsidRPr="00566D90">
        <w:rPr>
          <w:rFonts w:hint="cs"/>
          <w:b/>
          <w:bCs/>
          <w:rtl/>
        </w:rPr>
        <w:t xml:space="preserve"> </w:t>
      </w:r>
      <w:r w:rsidR="00566D90">
        <w:rPr>
          <w:rFonts w:hint="cs"/>
          <w:b/>
          <w:bCs/>
          <w:rtl/>
        </w:rPr>
        <w:t>للجوانب المتعلقة با</w:t>
      </w:r>
      <w:r w:rsidRPr="00566D90">
        <w:rPr>
          <w:rFonts w:hint="cs"/>
          <w:b/>
          <w:bCs/>
          <w:rtl/>
        </w:rPr>
        <w:t>لاتجار بالبشر لأغراض الاستغلال في</w:t>
      </w:r>
      <w:r w:rsidR="00566D90">
        <w:rPr>
          <w:rFonts w:hint="cs"/>
          <w:b/>
          <w:bCs/>
          <w:rtl/>
        </w:rPr>
        <w:t xml:space="preserve"> أغراض</w:t>
      </w:r>
      <w:r w:rsidRPr="00566D90">
        <w:rPr>
          <w:rFonts w:hint="cs"/>
          <w:b/>
          <w:bCs/>
          <w:rtl/>
        </w:rPr>
        <w:t xml:space="preserve"> الجنس والعمل. وينبغي للدولة الطرف أن تضمن </w:t>
      </w:r>
      <w:r w:rsidR="00566D90">
        <w:rPr>
          <w:rFonts w:hint="cs"/>
          <w:b/>
          <w:bCs/>
          <w:rtl/>
        </w:rPr>
        <w:t xml:space="preserve">كذلك </w:t>
      </w:r>
      <w:r w:rsidRPr="00566D90">
        <w:rPr>
          <w:rFonts w:hint="cs"/>
          <w:b/>
          <w:bCs/>
          <w:rtl/>
        </w:rPr>
        <w:t>أن الخطة المذكورة تعترف ب</w:t>
      </w:r>
      <w:r w:rsidR="00566D90">
        <w:rPr>
          <w:rFonts w:hint="cs"/>
          <w:b/>
          <w:bCs/>
          <w:rtl/>
        </w:rPr>
        <w:t xml:space="preserve">إمكانية احتياج </w:t>
      </w:r>
      <w:r w:rsidRPr="00566D90">
        <w:rPr>
          <w:rFonts w:hint="cs"/>
          <w:b/>
          <w:bCs/>
          <w:rtl/>
        </w:rPr>
        <w:t>ضحايا الاتجار إلى الحماية الدولية. وفي هذا الصدد، على الدولة الطرف أن:</w:t>
      </w:r>
    </w:p>
    <w:p w:rsidR="00392F0E" w:rsidRPr="00566D90" w:rsidRDefault="00566D90" w:rsidP="00392F0E">
      <w:pPr>
        <w:pStyle w:val="SingleTxtGA"/>
        <w:rPr>
          <w:rFonts w:hint="cs"/>
          <w:b/>
          <w:bCs/>
          <w:rtl/>
        </w:rPr>
      </w:pPr>
      <w:r>
        <w:rPr>
          <w:rFonts w:hint="cs"/>
          <w:b/>
          <w:bCs/>
          <w:rtl/>
        </w:rPr>
        <w:tab/>
        <w:t>(أ)</w:t>
      </w:r>
      <w:r>
        <w:rPr>
          <w:rFonts w:hint="cs"/>
          <w:b/>
          <w:bCs/>
          <w:rtl/>
        </w:rPr>
        <w:tab/>
      </w:r>
      <w:r w:rsidR="00392F0E" w:rsidRPr="00566D90">
        <w:rPr>
          <w:rFonts w:hint="cs"/>
          <w:b/>
          <w:bCs/>
          <w:rtl/>
        </w:rPr>
        <w:t>تنشئ آلية وطنية لتحديد جميع الضحايا،</w:t>
      </w:r>
    </w:p>
    <w:p w:rsidR="00392F0E" w:rsidRPr="00566D90" w:rsidRDefault="00566D90" w:rsidP="00566D90">
      <w:pPr>
        <w:pStyle w:val="SingleTxtGA"/>
        <w:rPr>
          <w:rFonts w:hint="cs"/>
          <w:b/>
          <w:bCs/>
        </w:rPr>
      </w:pPr>
      <w:r>
        <w:rPr>
          <w:rFonts w:hint="cs"/>
          <w:b/>
          <w:bCs/>
          <w:rtl/>
        </w:rPr>
        <w:tab/>
        <w:t>(ب)</w:t>
      </w:r>
      <w:r>
        <w:rPr>
          <w:rFonts w:hint="cs"/>
          <w:b/>
          <w:bCs/>
          <w:rtl/>
        </w:rPr>
        <w:tab/>
      </w:r>
      <w:r w:rsidR="00392F0E" w:rsidRPr="00566D90">
        <w:rPr>
          <w:rFonts w:hint="cs"/>
          <w:b/>
          <w:bCs/>
          <w:rtl/>
        </w:rPr>
        <w:t xml:space="preserve">تتخذ التدابير اللازمة لإتاحة إجراءات اللجوء للنساء الأجنبيات من ضحايا الاتجار أو المعرضات لخطر الاتجار بهن </w:t>
      </w:r>
      <w:r>
        <w:rPr>
          <w:rFonts w:hint="cs"/>
          <w:b/>
          <w:bCs/>
          <w:rtl/>
        </w:rPr>
        <w:t xml:space="preserve">اللائي يتمكن من إظهار حاجتهـن </w:t>
      </w:r>
      <w:r w:rsidR="00392F0E" w:rsidRPr="00566D90">
        <w:rPr>
          <w:rFonts w:hint="cs"/>
          <w:b/>
          <w:bCs/>
          <w:rtl/>
        </w:rPr>
        <w:t>إلى الحماية الدولية.</w:t>
      </w:r>
    </w:p>
    <w:p w:rsidR="00566D90" w:rsidRDefault="00566D90" w:rsidP="00566D90">
      <w:pPr>
        <w:pStyle w:val="H23GA"/>
        <w:rPr>
          <w:rFonts w:hint="cs"/>
          <w:rtl/>
        </w:rPr>
      </w:pPr>
    </w:p>
    <w:p w:rsidR="00392F0E" w:rsidRPr="00392F0E" w:rsidRDefault="00566D90" w:rsidP="00566D90">
      <w:pPr>
        <w:pStyle w:val="H23GA"/>
        <w:rPr>
          <w:rFonts w:hint="cs"/>
          <w:rtl/>
        </w:rPr>
      </w:pPr>
      <w:r>
        <w:rPr>
          <w:rFonts w:hint="cs"/>
          <w:rtl/>
        </w:rPr>
        <w:tab/>
      </w:r>
      <w:r w:rsidR="00392F0E" w:rsidRPr="00392F0E">
        <w:rPr>
          <w:rFonts w:hint="cs"/>
          <w:rtl/>
        </w:rPr>
        <w:t>14-</w:t>
      </w:r>
      <w:r w:rsidR="00392F0E" w:rsidRPr="00392F0E">
        <w:rPr>
          <w:rFonts w:hint="cs"/>
          <w:rtl/>
        </w:rPr>
        <w:tab/>
        <w:t>البروتوكول الاختياري والآلية الوطنية للوقاية</w:t>
      </w:r>
    </w:p>
    <w:p w:rsidR="00392F0E" w:rsidRPr="00392F0E" w:rsidRDefault="00392F0E" w:rsidP="00566D90">
      <w:pPr>
        <w:pStyle w:val="SingleTxtGA"/>
        <w:rPr>
          <w:rFonts w:hint="cs"/>
          <w:rtl/>
        </w:rPr>
      </w:pPr>
      <w:r w:rsidRPr="00392F0E">
        <w:rPr>
          <w:rFonts w:hint="cs"/>
          <w:rtl/>
        </w:rPr>
        <w:t>29-</w:t>
      </w:r>
      <w:r w:rsidRPr="00392F0E">
        <w:rPr>
          <w:rFonts w:hint="cs"/>
          <w:rtl/>
        </w:rPr>
        <w:tab/>
        <w:t xml:space="preserve">تلاحظ اللجنة أن القانون الأساسي رقم </w:t>
      </w:r>
      <w:r w:rsidRPr="00392F0E">
        <w:t>1/2009</w:t>
      </w:r>
      <w:r w:rsidRPr="00392F0E">
        <w:rPr>
          <w:rFonts w:hint="cs"/>
          <w:rtl/>
        </w:rPr>
        <w:t xml:space="preserve"> نص على أنّ أمين المظالم يعمل بوصفه آلية وطنية للوقاية من التعذيب، تماشيا مع البروتوكول الاختياري لاتفاقية مناهضة التعذيب وغيره من ضروب المعاملة أو العقوبة القاسية أو اللاإنسانية أو المهينة. وتلاحظ أيضا</w:t>
      </w:r>
      <w:r w:rsidR="00566D90">
        <w:rPr>
          <w:rFonts w:hint="cs"/>
          <w:rtl/>
        </w:rPr>
        <w:t>ً</w:t>
      </w:r>
      <w:r w:rsidRPr="00392F0E">
        <w:rPr>
          <w:rFonts w:hint="cs"/>
          <w:rtl/>
        </w:rPr>
        <w:t xml:space="preserve"> أن القانون نفسه يتيح إنشاء مجلس استشاري يقدم المساعدة التقنية والقانونية للآلية الوطنية للوقاية من أجل أداء مهامها، وأن هذا المجلس يرأسه </w:t>
      </w:r>
      <w:r w:rsidR="00566D90">
        <w:rPr>
          <w:rFonts w:hint="cs"/>
          <w:rtl/>
        </w:rPr>
        <w:t>ال</w:t>
      </w:r>
      <w:r w:rsidRPr="00392F0E">
        <w:rPr>
          <w:rFonts w:hint="cs"/>
          <w:rtl/>
        </w:rPr>
        <w:t xml:space="preserve">نائب </w:t>
      </w:r>
      <w:r w:rsidR="00566D90">
        <w:rPr>
          <w:rFonts w:hint="cs"/>
          <w:rtl/>
        </w:rPr>
        <w:t xml:space="preserve">الذي </w:t>
      </w:r>
      <w:r w:rsidRPr="00392F0E">
        <w:rPr>
          <w:rFonts w:hint="cs"/>
          <w:rtl/>
        </w:rPr>
        <w:t xml:space="preserve">يكلفه أمين المظالم بالمهام </w:t>
      </w:r>
      <w:r w:rsidR="00566D90">
        <w:rPr>
          <w:rFonts w:hint="cs"/>
          <w:rtl/>
        </w:rPr>
        <w:t xml:space="preserve">المنصوص عليها في أحكام هذا القانون </w:t>
      </w:r>
      <w:r w:rsidRPr="00392F0E">
        <w:rPr>
          <w:rFonts w:hint="cs"/>
          <w:rtl/>
        </w:rPr>
        <w:t>(المادة 2).</w:t>
      </w:r>
    </w:p>
    <w:p w:rsidR="00392F0E" w:rsidRPr="00566D90" w:rsidRDefault="00392F0E" w:rsidP="00566D90">
      <w:pPr>
        <w:pStyle w:val="SingleTxtGA"/>
        <w:rPr>
          <w:rFonts w:hint="cs"/>
          <w:b/>
          <w:bCs/>
          <w:spacing w:val="-6"/>
          <w:rtl/>
        </w:rPr>
      </w:pPr>
      <w:r w:rsidRPr="00566D90">
        <w:rPr>
          <w:rFonts w:hint="cs"/>
          <w:b/>
          <w:bCs/>
          <w:rtl/>
        </w:rPr>
        <w:t>ينبغي للدولة الطرف أن توفّر لأمين المظالم ما ي</w:t>
      </w:r>
      <w:r w:rsidR="00566D90">
        <w:rPr>
          <w:rFonts w:hint="cs"/>
          <w:b/>
          <w:bCs/>
          <w:rtl/>
        </w:rPr>
        <w:t xml:space="preserve">كفي </w:t>
      </w:r>
      <w:r w:rsidRPr="00566D90">
        <w:rPr>
          <w:rFonts w:hint="cs"/>
          <w:b/>
          <w:bCs/>
          <w:rtl/>
        </w:rPr>
        <w:t xml:space="preserve">من </w:t>
      </w:r>
      <w:r w:rsidR="00566D90">
        <w:rPr>
          <w:rFonts w:hint="cs"/>
          <w:b/>
          <w:bCs/>
          <w:rtl/>
        </w:rPr>
        <w:t>الموارد ال</w:t>
      </w:r>
      <w:r w:rsidRPr="00566D90">
        <w:rPr>
          <w:rFonts w:hint="cs"/>
          <w:b/>
          <w:bCs/>
          <w:rtl/>
        </w:rPr>
        <w:t>بشرية و</w:t>
      </w:r>
      <w:r w:rsidR="00566D90">
        <w:rPr>
          <w:rFonts w:hint="cs"/>
          <w:b/>
          <w:bCs/>
          <w:rtl/>
        </w:rPr>
        <w:t>ال</w:t>
      </w:r>
      <w:r w:rsidRPr="00566D90">
        <w:rPr>
          <w:rFonts w:hint="cs"/>
          <w:b/>
          <w:bCs/>
          <w:rtl/>
        </w:rPr>
        <w:t>مادية و</w:t>
      </w:r>
      <w:r w:rsidR="00566D90">
        <w:rPr>
          <w:rFonts w:hint="cs"/>
          <w:b/>
          <w:bCs/>
          <w:rtl/>
        </w:rPr>
        <w:t>ال</w:t>
      </w:r>
      <w:r w:rsidRPr="00566D90">
        <w:rPr>
          <w:rFonts w:hint="cs"/>
          <w:b/>
          <w:bCs/>
          <w:rtl/>
        </w:rPr>
        <w:t>مالية كي يؤدي مهمته في كل أنحاء البلاد باستقلالية وكفاءة. وينبغي للدولة الطرف أيضا أن تحدد بوضوح اختصاصات المجلس الاستشاري ودوره، وأن تتوخّى الوضوح أيضا</w:t>
      </w:r>
      <w:r w:rsidR="00566D90">
        <w:rPr>
          <w:rFonts w:hint="cs"/>
          <w:b/>
          <w:bCs/>
          <w:rtl/>
        </w:rPr>
        <w:t>ً</w:t>
      </w:r>
      <w:r w:rsidRPr="00566D90">
        <w:rPr>
          <w:rFonts w:hint="cs"/>
          <w:b/>
          <w:bCs/>
          <w:rtl/>
        </w:rPr>
        <w:t xml:space="preserve"> في تحديد العلاقة بين الآلية الوطنية </w:t>
      </w:r>
      <w:r w:rsidR="00566D90">
        <w:rPr>
          <w:rFonts w:hint="cs"/>
          <w:b/>
          <w:bCs/>
          <w:rtl/>
        </w:rPr>
        <w:t xml:space="preserve">للوقاية </w:t>
      </w:r>
      <w:r w:rsidRPr="00566D90">
        <w:rPr>
          <w:rFonts w:hint="cs"/>
          <w:b/>
          <w:bCs/>
          <w:rtl/>
        </w:rPr>
        <w:t>والمجلس. وتشجع اللجنة الدولة الطرف على أن تكون عملية اختيار أعضاء المجلس علنية وشفافة، وأن تضم إلى المجلس خبراء م</w:t>
      </w:r>
      <w:r w:rsidR="00566D90">
        <w:rPr>
          <w:rFonts w:hint="cs"/>
          <w:b/>
          <w:bCs/>
          <w:rtl/>
        </w:rPr>
        <w:t xml:space="preserve">شهود لهم </w:t>
      </w:r>
      <w:r w:rsidR="00566D90" w:rsidRPr="00566D90">
        <w:rPr>
          <w:rFonts w:hint="cs"/>
          <w:b/>
          <w:bCs/>
          <w:spacing w:val="-6"/>
          <w:rtl/>
        </w:rPr>
        <w:t xml:space="preserve">بالكفاءة في مجالات شتى </w:t>
      </w:r>
      <w:r w:rsidRPr="00566D90">
        <w:rPr>
          <w:rFonts w:hint="cs"/>
          <w:b/>
          <w:bCs/>
          <w:spacing w:val="-6"/>
          <w:rtl/>
        </w:rPr>
        <w:t>متعلقة بالوقاية من التعذيب، وأن يشمل ذلك ممثلي المجتمع المدني.</w:t>
      </w:r>
    </w:p>
    <w:p w:rsidR="00392F0E" w:rsidRPr="00392F0E" w:rsidRDefault="00392F0E" w:rsidP="00392F0E">
      <w:pPr>
        <w:pStyle w:val="SingleTxtGA"/>
        <w:rPr>
          <w:rFonts w:hint="cs"/>
          <w:rtl/>
        </w:rPr>
      </w:pPr>
      <w:r w:rsidRPr="00392F0E">
        <w:rPr>
          <w:rFonts w:hint="cs"/>
          <w:rtl/>
        </w:rPr>
        <w:t>30-</w:t>
      </w:r>
      <w:r w:rsidRPr="00392F0E">
        <w:rPr>
          <w:rFonts w:hint="cs"/>
          <w:rtl/>
        </w:rPr>
        <w:tab/>
        <w:t xml:space="preserve">وتدعو اللجنة الدولة الطرف إلى التصديق على الصكوك الأساسية للأمم المتحدة الخاصة بحقوق الإنسان والتي ليست طرفا فيها بعد، ولا سيما الاتفاقية </w:t>
      </w:r>
      <w:r w:rsidRPr="00392F0E">
        <w:rPr>
          <w:rtl/>
        </w:rPr>
        <w:t>الدولية لحماية حقوق جميع العمال المهاجرين وأفراد أسرهم</w:t>
      </w:r>
      <w:r w:rsidRPr="00392F0E">
        <w:rPr>
          <w:rFonts w:hint="cs"/>
          <w:rtl/>
        </w:rPr>
        <w:t xml:space="preserve">، والبروتوكول الاختياري </w:t>
      </w:r>
      <w:r w:rsidRPr="00392F0E">
        <w:rPr>
          <w:rtl/>
        </w:rPr>
        <w:t>للعهد الدولي الخاص بالحقوق الاقتصادية والاجتماعية والثقافية</w:t>
      </w:r>
      <w:r w:rsidRPr="00392F0E">
        <w:rPr>
          <w:rFonts w:hint="cs"/>
          <w:rtl/>
        </w:rPr>
        <w:t>.</w:t>
      </w:r>
    </w:p>
    <w:p w:rsidR="00392F0E" w:rsidRPr="00392F0E" w:rsidRDefault="00392F0E" w:rsidP="00566D90">
      <w:pPr>
        <w:pStyle w:val="SingleTxtGA"/>
        <w:rPr>
          <w:rFonts w:hint="cs"/>
          <w:rtl/>
        </w:rPr>
      </w:pPr>
      <w:r w:rsidRPr="00392F0E">
        <w:rPr>
          <w:rFonts w:hint="cs"/>
          <w:rtl/>
        </w:rPr>
        <w:t>31-</w:t>
      </w:r>
      <w:r w:rsidRPr="00392F0E">
        <w:rPr>
          <w:rFonts w:hint="cs"/>
          <w:rtl/>
        </w:rPr>
        <w:tab/>
        <w:t>وتدعو اللجنة الدولة الطرف إلى تقديم وثيقة أساسية وفقا</w:t>
      </w:r>
      <w:r w:rsidR="00566D90">
        <w:rPr>
          <w:rFonts w:hint="cs"/>
          <w:rtl/>
        </w:rPr>
        <w:t>ً</w:t>
      </w:r>
      <w:r w:rsidRPr="00392F0E">
        <w:rPr>
          <w:rFonts w:hint="cs"/>
          <w:rtl/>
        </w:rPr>
        <w:t xml:space="preserve"> لل</w:t>
      </w:r>
      <w:r w:rsidR="00566D90">
        <w:rPr>
          <w:rFonts w:hint="cs"/>
          <w:rtl/>
        </w:rPr>
        <w:t>متطلبات</w:t>
      </w:r>
      <w:r w:rsidRPr="00392F0E">
        <w:rPr>
          <w:rFonts w:hint="cs"/>
          <w:rtl/>
        </w:rPr>
        <w:t xml:space="preserve"> المتعلقة بإعداد وثيقة أساسية مشتركة والواردة في المبادئ التوجيهية الموحدة لتقديم التقارير والتي وافقت عليها هيئات المعاهدات الدولية </w:t>
      </w:r>
      <w:r w:rsidR="00566D90">
        <w:rPr>
          <w:rFonts w:hint="cs"/>
          <w:rtl/>
        </w:rPr>
        <w:t xml:space="preserve">لحقوق الإنسان </w:t>
      </w:r>
      <w:r w:rsidRPr="00392F0E">
        <w:rPr>
          <w:rFonts w:hint="cs"/>
          <w:rtl/>
        </w:rPr>
        <w:t>(</w:t>
      </w:r>
      <w:r w:rsidRPr="00392F0E">
        <w:t>HRI/GEN/2/Rev.6</w:t>
      </w:r>
      <w:r w:rsidRPr="00392F0E">
        <w:rPr>
          <w:rFonts w:hint="cs"/>
          <w:rtl/>
        </w:rPr>
        <w:t>).</w:t>
      </w:r>
    </w:p>
    <w:p w:rsidR="00392F0E" w:rsidRPr="00392F0E" w:rsidRDefault="00392F0E" w:rsidP="00392F0E">
      <w:pPr>
        <w:pStyle w:val="SingleTxtGA"/>
        <w:rPr>
          <w:rFonts w:hint="cs"/>
          <w:rtl/>
        </w:rPr>
      </w:pPr>
      <w:r w:rsidRPr="00392F0E">
        <w:rPr>
          <w:rFonts w:hint="cs"/>
          <w:rtl/>
        </w:rPr>
        <w:t>32-</w:t>
      </w:r>
      <w:r w:rsidRPr="00392F0E">
        <w:rPr>
          <w:rFonts w:hint="cs"/>
          <w:rtl/>
        </w:rPr>
        <w:tab/>
        <w:t>وعلى الدولة الطرف أن تنشر على نطاق واسع التقرير الذي قدمته إلى اللجنة وهذه الملاحظات الختامية للجنة عبر المواقع الرسمية ووسائل الإعلام والمنظمات غير الحكومية.</w:t>
      </w:r>
    </w:p>
    <w:p w:rsidR="00392F0E" w:rsidRPr="00392F0E" w:rsidRDefault="00392F0E" w:rsidP="00392F0E">
      <w:pPr>
        <w:pStyle w:val="SingleTxtGA"/>
        <w:rPr>
          <w:rFonts w:hint="cs"/>
          <w:rtl/>
        </w:rPr>
      </w:pPr>
      <w:r w:rsidRPr="00392F0E">
        <w:rPr>
          <w:rFonts w:hint="cs"/>
          <w:rtl/>
        </w:rPr>
        <w:t>33-</w:t>
      </w:r>
      <w:r w:rsidRPr="00392F0E">
        <w:rPr>
          <w:rFonts w:hint="cs"/>
          <w:rtl/>
        </w:rPr>
        <w:tab/>
        <w:t>وتطلب اللجنة إلى الدولة الطرف أن تقدم معلومات في غضون سنة واحدة تلبيةً لتوصيات اللجنة الواردة في الفقرات 10 و12 و20 و23 و25 من هذه الوثيقة.</w:t>
      </w:r>
    </w:p>
    <w:p w:rsidR="00392F0E" w:rsidRPr="00392F0E" w:rsidRDefault="00392F0E" w:rsidP="00566D90">
      <w:pPr>
        <w:pStyle w:val="SingleTxtGA"/>
        <w:rPr>
          <w:rFonts w:hint="cs"/>
          <w:rtl/>
        </w:rPr>
      </w:pPr>
      <w:r w:rsidRPr="00392F0E">
        <w:rPr>
          <w:rFonts w:hint="cs"/>
          <w:rtl/>
        </w:rPr>
        <w:t>34-</w:t>
      </w:r>
      <w:r w:rsidRPr="00392F0E">
        <w:rPr>
          <w:rFonts w:hint="cs"/>
          <w:rtl/>
        </w:rPr>
        <w:tab/>
        <w:t xml:space="preserve">والدولة الطرف </w:t>
      </w:r>
      <w:r w:rsidR="00566D90">
        <w:rPr>
          <w:rFonts w:hint="cs"/>
          <w:rtl/>
        </w:rPr>
        <w:t>مدعوة ل</w:t>
      </w:r>
      <w:r w:rsidRPr="00392F0E">
        <w:rPr>
          <w:rFonts w:hint="cs"/>
          <w:rtl/>
        </w:rPr>
        <w:t>تقدم تقريرها الدوري السادس بحلول 20 تشرين الثاني/</w:t>
      </w:r>
      <w:r w:rsidR="00566D90">
        <w:rPr>
          <w:rFonts w:hint="cs"/>
          <w:rtl/>
        </w:rPr>
        <w:t xml:space="preserve"> </w:t>
      </w:r>
      <w:r w:rsidRPr="00392F0E">
        <w:rPr>
          <w:rFonts w:hint="cs"/>
          <w:rtl/>
        </w:rPr>
        <w:t>نوفمبر 2013.</w:t>
      </w:r>
    </w:p>
    <w:p w:rsidR="00392F0E" w:rsidRPr="00566D90" w:rsidRDefault="00566D90" w:rsidP="00566D90">
      <w:pPr>
        <w:spacing w:before="120"/>
        <w:jc w:val="center"/>
        <w:rPr>
          <w:rFonts w:hint="cs"/>
          <w:u w:val="single"/>
        </w:rPr>
      </w:pPr>
      <w:r>
        <w:rPr>
          <w:u w:val="single"/>
          <w:rtl/>
        </w:rPr>
        <w:tab/>
      </w:r>
      <w:r>
        <w:rPr>
          <w:u w:val="single"/>
          <w:rtl/>
        </w:rPr>
        <w:tab/>
      </w:r>
      <w:r>
        <w:rPr>
          <w:u w:val="single"/>
          <w:rtl/>
        </w:rPr>
        <w:tab/>
      </w:r>
    </w:p>
    <w:p w:rsidR="008B4BC6" w:rsidRPr="00392F0E" w:rsidRDefault="008B4BC6" w:rsidP="00392F0E">
      <w:pPr>
        <w:pStyle w:val="SingleTxtGA"/>
        <w:rPr>
          <w:rFonts w:hint="cs"/>
          <w:rtl/>
        </w:rPr>
      </w:pPr>
    </w:p>
    <w:sectPr w:rsidR="008B4BC6" w:rsidRPr="00392F0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E8" w:rsidRPr="00FE6865" w:rsidRDefault="00345DE8" w:rsidP="00FE6865">
      <w:pPr>
        <w:pStyle w:val="Footer"/>
      </w:pPr>
    </w:p>
  </w:endnote>
  <w:endnote w:type="continuationSeparator" w:id="0">
    <w:p w:rsidR="00345DE8" w:rsidRDefault="0034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D" w:rsidRPr="00392F0E" w:rsidRDefault="0087513D" w:rsidP="00392F0E">
    <w:pPr>
      <w:pStyle w:val="Footer"/>
      <w:tabs>
        <w:tab w:val="right" w:pos="9598"/>
      </w:tabs>
    </w:pPr>
    <w:r>
      <w:t>GE.09-46803</w:t>
    </w:r>
    <w:r>
      <w:tab/>
    </w:r>
    <w:r w:rsidRPr="00392F0E">
      <w:rPr>
        <w:b/>
        <w:sz w:val="18"/>
      </w:rPr>
      <w:fldChar w:fldCharType="begin"/>
    </w:r>
    <w:r w:rsidRPr="00392F0E">
      <w:rPr>
        <w:b/>
        <w:sz w:val="18"/>
      </w:rPr>
      <w:instrText xml:space="preserve"> PAGE  \* MERGEFORMAT </w:instrText>
    </w:r>
    <w:r w:rsidRPr="00392F0E">
      <w:rPr>
        <w:b/>
        <w:sz w:val="18"/>
      </w:rPr>
      <w:fldChar w:fldCharType="separate"/>
    </w:r>
    <w:r w:rsidR="00EB4DF6">
      <w:rPr>
        <w:b/>
        <w:noProof/>
        <w:sz w:val="18"/>
      </w:rPr>
      <w:t>12</w:t>
    </w:r>
    <w:r w:rsidRPr="00392F0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D" w:rsidRPr="00392F0E" w:rsidRDefault="0087513D" w:rsidP="00392F0E">
    <w:pPr>
      <w:pStyle w:val="Footer"/>
      <w:tabs>
        <w:tab w:val="right" w:pos="9598"/>
      </w:tabs>
      <w:rPr>
        <w:b/>
        <w:sz w:val="18"/>
      </w:rPr>
    </w:pPr>
    <w:r w:rsidRPr="00392F0E">
      <w:rPr>
        <w:b/>
        <w:sz w:val="18"/>
      </w:rPr>
      <w:fldChar w:fldCharType="begin"/>
    </w:r>
    <w:r w:rsidRPr="00392F0E">
      <w:rPr>
        <w:b/>
        <w:sz w:val="18"/>
      </w:rPr>
      <w:instrText xml:space="preserve"> PAGE  \* MERGEFORMAT </w:instrText>
    </w:r>
    <w:r w:rsidRPr="00392F0E">
      <w:rPr>
        <w:b/>
        <w:sz w:val="18"/>
      </w:rPr>
      <w:fldChar w:fldCharType="separate"/>
    </w:r>
    <w:r w:rsidR="00EB4DF6">
      <w:rPr>
        <w:b/>
        <w:noProof/>
        <w:sz w:val="18"/>
      </w:rPr>
      <w:t>11</w:t>
    </w:r>
    <w:r w:rsidRPr="00392F0E">
      <w:rPr>
        <w:b/>
        <w:sz w:val="18"/>
      </w:rPr>
      <w:fldChar w:fldCharType="end"/>
    </w:r>
    <w:r>
      <w:rPr>
        <w:b/>
        <w:sz w:val="18"/>
      </w:rPr>
      <w:tab/>
    </w:r>
    <w:r>
      <w:t>GE.09-46803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D" w:rsidRDefault="0087513D" w:rsidP="00392F0E">
    <w:pPr>
      <w:pStyle w:val="Footer"/>
      <w:jc w:val="right"/>
    </w:pPr>
    <w:r>
      <w:rPr>
        <w:sz w:val="20"/>
      </w:rPr>
      <w:t>(A)   GE.09-46803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140410    150410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E8" w:rsidRDefault="00345DE8" w:rsidP="00834FF4">
      <w:pPr>
        <w:pStyle w:val="Footer"/>
        <w:bidi/>
        <w:spacing w:after="80" w:line="200" w:lineRule="exact"/>
        <w:ind w:left="680"/>
      </w:pPr>
      <w:r>
        <w:rPr>
          <w:rFonts w:hint="cs"/>
          <w:rtl/>
        </w:rPr>
        <w:t>__________</w:t>
      </w:r>
    </w:p>
  </w:footnote>
  <w:footnote w:type="continuationSeparator" w:id="0">
    <w:p w:rsidR="00345DE8" w:rsidRDefault="00345DE8"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D" w:rsidRPr="00392F0E" w:rsidRDefault="0087513D" w:rsidP="00392F0E">
    <w:pPr>
      <w:pStyle w:val="Header"/>
      <w:jc w:val="right"/>
    </w:pPr>
    <w:r w:rsidRPr="00392F0E">
      <w:t>CAT/C/ESP/CO/5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D" w:rsidRPr="00392F0E" w:rsidRDefault="0087513D" w:rsidP="00392F0E">
    <w:pPr>
      <w:pStyle w:val="Header"/>
      <w:jc w:val="left"/>
    </w:pPr>
    <w:r w:rsidRPr="00392F0E">
      <w:t>CAT/C/ESP/CO/5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D" w:rsidRDefault="0087513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87513D" w:rsidRPr="002B399E" w:rsidRDefault="0087513D"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87513D" w:rsidRPr="002B399E" w:rsidRDefault="0087513D"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87513D" w:rsidRDefault="0087513D"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FA3249"/>
    <w:multiLevelType w:val="hybridMultilevel"/>
    <w:tmpl w:val="4FF49516"/>
    <w:lvl w:ilvl="0" w:tplc="ACAE1B50">
      <w:start w:val="1"/>
      <w:numFmt w:val="arabicAlpha"/>
      <w:lvlText w:val="(%1)"/>
      <w:lvlJc w:val="left"/>
      <w:pPr>
        <w:tabs>
          <w:tab w:val="num" w:pos="988"/>
        </w:tabs>
        <w:ind w:left="988" w:hanging="720"/>
      </w:pPr>
      <w:rPr>
        <w:rFonts w:hint="default"/>
      </w:rPr>
    </w:lvl>
    <w:lvl w:ilvl="1" w:tplc="04090019" w:tentative="1">
      <w:start w:val="1"/>
      <w:numFmt w:val="lowerLetter"/>
      <w:lvlText w:val="%2."/>
      <w:lvlJc w:val="left"/>
      <w:pPr>
        <w:tabs>
          <w:tab w:val="num" w:pos="1348"/>
        </w:tabs>
        <w:ind w:left="1348" w:hanging="360"/>
      </w:pPr>
    </w:lvl>
    <w:lvl w:ilvl="2" w:tplc="0409001B" w:tentative="1">
      <w:start w:val="1"/>
      <w:numFmt w:val="lowerRoman"/>
      <w:lvlText w:val="%3."/>
      <w:lvlJc w:val="right"/>
      <w:pPr>
        <w:tabs>
          <w:tab w:val="num" w:pos="2068"/>
        </w:tabs>
        <w:ind w:left="2068" w:hanging="180"/>
      </w:pPr>
    </w:lvl>
    <w:lvl w:ilvl="3" w:tplc="0409000F" w:tentative="1">
      <w:start w:val="1"/>
      <w:numFmt w:val="decimal"/>
      <w:lvlText w:val="%4."/>
      <w:lvlJc w:val="left"/>
      <w:pPr>
        <w:tabs>
          <w:tab w:val="num" w:pos="2788"/>
        </w:tabs>
        <w:ind w:left="2788" w:hanging="360"/>
      </w:pPr>
    </w:lvl>
    <w:lvl w:ilvl="4" w:tplc="04090019" w:tentative="1">
      <w:start w:val="1"/>
      <w:numFmt w:val="lowerLetter"/>
      <w:lvlText w:val="%5."/>
      <w:lvlJc w:val="left"/>
      <w:pPr>
        <w:tabs>
          <w:tab w:val="num" w:pos="3508"/>
        </w:tabs>
        <w:ind w:left="3508" w:hanging="360"/>
      </w:pPr>
    </w:lvl>
    <w:lvl w:ilvl="5" w:tplc="0409001B" w:tentative="1">
      <w:start w:val="1"/>
      <w:numFmt w:val="lowerRoman"/>
      <w:lvlText w:val="%6."/>
      <w:lvlJc w:val="right"/>
      <w:pPr>
        <w:tabs>
          <w:tab w:val="num" w:pos="4228"/>
        </w:tabs>
        <w:ind w:left="4228" w:hanging="180"/>
      </w:pPr>
    </w:lvl>
    <w:lvl w:ilvl="6" w:tplc="0409000F" w:tentative="1">
      <w:start w:val="1"/>
      <w:numFmt w:val="decimal"/>
      <w:lvlText w:val="%7."/>
      <w:lvlJc w:val="left"/>
      <w:pPr>
        <w:tabs>
          <w:tab w:val="num" w:pos="4948"/>
        </w:tabs>
        <w:ind w:left="4948" w:hanging="360"/>
      </w:pPr>
    </w:lvl>
    <w:lvl w:ilvl="7" w:tplc="04090019" w:tentative="1">
      <w:start w:val="1"/>
      <w:numFmt w:val="lowerLetter"/>
      <w:lvlText w:val="%8."/>
      <w:lvlJc w:val="left"/>
      <w:pPr>
        <w:tabs>
          <w:tab w:val="num" w:pos="5668"/>
        </w:tabs>
        <w:ind w:left="5668" w:hanging="360"/>
      </w:pPr>
    </w:lvl>
    <w:lvl w:ilvl="8" w:tplc="0409001B" w:tentative="1">
      <w:start w:val="1"/>
      <w:numFmt w:val="lowerRoman"/>
      <w:lvlText w:val="%9."/>
      <w:lvlJc w:val="right"/>
      <w:pPr>
        <w:tabs>
          <w:tab w:val="num" w:pos="6388"/>
        </w:tabs>
        <w:ind w:left="6388" w:hanging="18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9DB047B"/>
    <w:multiLevelType w:val="hybridMultilevel"/>
    <w:tmpl w:val="F6D02C0C"/>
    <w:lvl w:ilvl="0" w:tplc="A830D932">
      <w:start w:val="1"/>
      <w:numFmt w:val="arabicAlpha"/>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5"/>
  </w:num>
  <w:num w:numId="4">
    <w:abstractNumId w:val="13"/>
  </w:num>
  <w:num w:numId="5">
    <w:abstractNumId w:val="9"/>
  </w:num>
  <w:num w:numId="6">
    <w:abstractNumId w:val="22"/>
  </w:num>
  <w:num w:numId="7">
    <w:abstractNumId w:val="12"/>
  </w:num>
  <w:num w:numId="8">
    <w:abstractNumId w:val="11"/>
  </w:num>
  <w:num w:numId="9">
    <w:abstractNumId w:val="14"/>
  </w:num>
  <w:num w:numId="10">
    <w:abstractNumId w:val="21"/>
  </w:num>
  <w:num w:numId="11">
    <w:abstractNumId w:val="1"/>
  </w:num>
  <w:num w:numId="12">
    <w:abstractNumId w:val="15"/>
  </w:num>
  <w:num w:numId="13">
    <w:abstractNumId w:val="13"/>
  </w:num>
  <w:num w:numId="14">
    <w:abstractNumId w:val="9"/>
  </w:num>
  <w:num w:numId="15">
    <w:abstractNumId w:val="22"/>
  </w:num>
  <w:num w:numId="16">
    <w:abstractNumId w:val="1"/>
  </w:num>
  <w:num w:numId="17">
    <w:abstractNumId w:val="15"/>
  </w:num>
  <w:num w:numId="18">
    <w:abstractNumId w:val="13"/>
  </w:num>
  <w:num w:numId="19">
    <w:abstractNumId w:val="9"/>
  </w:num>
  <w:num w:numId="20">
    <w:abstractNumId w:val="22"/>
  </w:num>
  <w:num w:numId="21">
    <w:abstractNumId w:val="1"/>
  </w:num>
  <w:num w:numId="22">
    <w:abstractNumId w:val="15"/>
  </w:num>
  <w:num w:numId="23">
    <w:abstractNumId w:val="9"/>
  </w:num>
  <w:num w:numId="24">
    <w:abstractNumId w:val="22"/>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8"/>
  </w:num>
  <w:num w:numId="32">
    <w:abstractNumId w:val="16"/>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7"/>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FE6"/>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37"/>
    <w:rsid w:val="001455A0"/>
    <w:rsid w:val="001602A3"/>
    <w:rsid w:val="001A5161"/>
    <w:rsid w:val="001A60BD"/>
    <w:rsid w:val="001B3AF4"/>
    <w:rsid w:val="001F2B0C"/>
    <w:rsid w:val="002244FB"/>
    <w:rsid w:val="00232277"/>
    <w:rsid w:val="0023736D"/>
    <w:rsid w:val="00257225"/>
    <w:rsid w:val="00310160"/>
    <w:rsid w:val="00341A8C"/>
    <w:rsid w:val="00345DE8"/>
    <w:rsid w:val="003519E6"/>
    <w:rsid w:val="00392F0E"/>
    <w:rsid w:val="003B4356"/>
    <w:rsid w:val="003F08A8"/>
    <w:rsid w:val="004250E3"/>
    <w:rsid w:val="00472A81"/>
    <w:rsid w:val="004871CC"/>
    <w:rsid w:val="004A20A6"/>
    <w:rsid w:val="004B2C92"/>
    <w:rsid w:val="004D6A3A"/>
    <w:rsid w:val="004F4AD7"/>
    <w:rsid w:val="00557CD3"/>
    <w:rsid w:val="00566D90"/>
    <w:rsid w:val="00571432"/>
    <w:rsid w:val="005732A2"/>
    <w:rsid w:val="005762A5"/>
    <w:rsid w:val="005765A0"/>
    <w:rsid w:val="00580FAF"/>
    <w:rsid w:val="00590BA3"/>
    <w:rsid w:val="005A0852"/>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70BF3"/>
    <w:rsid w:val="0079344E"/>
    <w:rsid w:val="007E197F"/>
    <w:rsid w:val="007F68C4"/>
    <w:rsid w:val="008153DE"/>
    <w:rsid w:val="00834FF4"/>
    <w:rsid w:val="00852A10"/>
    <w:rsid w:val="00853FE6"/>
    <w:rsid w:val="00861A97"/>
    <w:rsid w:val="00862634"/>
    <w:rsid w:val="00866C59"/>
    <w:rsid w:val="0087513D"/>
    <w:rsid w:val="00877306"/>
    <w:rsid w:val="008A6242"/>
    <w:rsid w:val="008B4BC6"/>
    <w:rsid w:val="00901E5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BBA"/>
    <w:rsid w:val="00B049A0"/>
    <w:rsid w:val="00B25BBD"/>
    <w:rsid w:val="00B30468"/>
    <w:rsid w:val="00B435A9"/>
    <w:rsid w:val="00B44E31"/>
    <w:rsid w:val="00BA4F7E"/>
    <w:rsid w:val="00BB2C41"/>
    <w:rsid w:val="00BC55C8"/>
    <w:rsid w:val="00BC5C10"/>
    <w:rsid w:val="00BE2964"/>
    <w:rsid w:val="00C21623"/>
    <w:rsid w:val="00C24FBD"/>
    <w:rsid w:val="00C473BA"/>
    <w:rsid w:val="00C611ED"/>
    <w:rsid w:val="00C6490A"/>
    <w:rsid w:val="00C64FE1"/>
    <w:rsid w:val="00C74296"/>
    <w:rsid w:val="00C8345E"/>
    <w:rsid w:val="00CA5F7C"/>
    <w:rsid w:val="00D23F91"/>
    <w:rsid w:val="00D51067"/>
    <w:rsid w:val="00D75657"/>
    <w:rsid w:val="00D75A10"/>
    <w:rsid w:val="00D960AD"/>
    <w:rsid w:val="00DA0E0E"/>
    <w:rsid w:val="00DB0C39"/>
    <w:rsid w:val="00DB7679"/>
    <w:rsid w:val="00DF1702"/>
    <w:rsid w:val="00DF4DD8"/>
    <w:rsid w:val="00DF668E"/>
    <w:rsid w:val="00E04826"/>
    <w:rsid w:val="00E14D2B"/>
    <w:rsid w:val="00E151B4"/>
    <w:rsid w:val="00E20DBA"/>
    <w:rsid w:val="00E476FF"/>
    <w:rsid w:val="00E6524A"/>
    <w:rsid w:val="00E660D6"/>
    <w:rsid w:val="00E771AB"/>
    <w:rsid w:val="00EA796F"/>
    <w:rsid w:val="00EB077B"/>
    <w:rsid w:val="00EB4DF6"/>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H1">
    <w:name w:val="_ H_1"/>
    <w:basedOn w:val="Normal"/>
    <w:next w:val="SingleTxt"/>
    <w:rsid w:val="00392F0E"/>
    <w:pPr>
      <w:keepNext/>
      <w:keepLines/>
      <w:suppressAutoHyphens/>
      <w:spacing w:line="400" w:lineRule="exact"/>
      <w:outlineLvl w:val="0"/>
    </w:pPr>
    <w:rPr>
      <w:rFonts w:eastAsia="SimSun"/>
      <w:b/>
      <w:bCs/>
      <w:w w:val="103"/>
      <w:kern w:val="14"/>
      <w:sz w:val="24"/>
      <w:szCs w:val="34"/>
      <w:lang w:eastAsia="zh-CN"/>
    </w:rPr>
  </w:style>
  <w:style w:type="paragraph" w:customStyle="1" w:styleId="HCh">
    <w:name w:val="_ H _Ch"/>
    <w:basedOn w:val="H1"/>
    <w:next w:val="SingleTxt"/>
    <w:rsid w:val="00392F0E"/>
    <w:pPr>
      <w:spacing w:line="450" w:lineRule="exact"/>
    </w:pPr>
    <w:rPr>
      <w:spacing w:val="-2"/>
      <w:sz w:val="28"/>
      <w:szCs w:val="38"/>
    </w:rPr>
  </w:style>
  <w:style w:type="paragraph" w:customStyle="1" w:styleId="SingleTxt">
    <w:name w:val="__Single Txt"/>
    <w:basedOn w:val="Normal"/>
    <w:rsid w:val="00392F0E"/>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rFonts w:eastAsia="SimSun"/>
      <w:w w:val="103"/>
      <w:kern w:val="14"/>
      <w:lang w:eastAsia="zh-CN"/>
    </w:rPr>
  </w:style>
  <w:style w:type="paragraph" w:customStyle="1" w:styleId="XLarge">
    <w:name w:val="XLarge"/>
    <w:basedOn w:val="Normal"/>
    <w:rsid w:val="00392F0E"/>
    <w:pPr>
      <w:keepNext/>
      <w:keepLines/>
      <w:tabs>
        <w:tab w:val="right" w:leader="dot" w:pos="360"/>
      </w:tabs>
      <w:suppressAutoHyphens/>
      <w:spacing w:line="580" w:lineRule="exact"/>
      <w:jc w:val="right"/>
      <w:outlineLvl w:val="0"/>
    </w:pPr>
    <w:rPr>
      <w:rFonts w:eastAsia="SimSun"/>
      <w:b/>
      <w:bCs/>
      <w:spacing w:val="-4"/>
      <w:w w:val="98"/>
      <w:kern w:val="14"/>
      <w:sz w:val="40"/>
      <w:szCs w:val="6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3371</Words>
  <Characters>20328</Characters>
  <Application>Microsoft Office Word</Application>
  <DocSecurity>4</DocSecurity>
  <Lines>423</Lines>
  <Paragraphs>166</Paragraphs>
  <ScaleCrop>false</ScaleCrop>
  <HeadingPairs>
    <vt:vector size="2" baseType="variant">
      <vt:variant>
        <vt:lpstr>العنوان</vt:lpstr>
      </vt:variant>
      <vt:variant>
        <vt:i4>1</vt:i4>
      </vt:variant>
    </vt:vector>
  </HeadingPairs>
  <TitlesOfParts>
    <vt:vector size="1" baseType="lpstr">
      <vt:lpstr>CAT/C/ESP/CO/5</vt:lpstr>
    </vt:vector>
  </TitlesOfParts>
  <Company>CSD</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CAT/C/ESP/CO/5</dc:title>
  <dc:subject>Alloun/Seddiki</dc:subject>
  <dc:creator>Assi</dc:creator>
  <cp:keywords/>
  <dc:description>Ilias</dc:description>
  <cp:lastModifiedBy>BALAN</cp:lastModifiedBy>
  <cp:revision>3</cp:revision>
  <cp:lastPrinted>2010-04-15T09:34:00Z</cp:lastPrinted>
  <dcterms:created xsi:type="dcterms:W3CDTF">2010-04-15T09:34:00Z</dcterms:created>
  <dcterms:modified xsi:type="dcterms:W3CDTF">2010-04-15T09:34:00Z</dcterms:modified>
</cp:coreProperties>
</file>