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E46F4" w:rsidP="00AE46F4">
            <w:pPr>
              <w:bidi w:val="0"/>
              <w:spacing w:after="20"/>
              <w:jc w:val="left"/>
              <w:rPr>
                <w:szCs w:val="20"/>
              </w:rPr>
            </w:pPr>
            <w:r w:rsidRPr="00AE46F4">
              <w:rPr>
                <w:sz w:val="40"/>
                <w:szCs w:val="20"/>
              </w:rPr>
              <w:t>CCPR</w:t>
            </w:r>
            <w:r>
              <w:rPr>
                <w:szCs w:val="20"/>
              </w:rPr>
              <w:t>/C/TUN/CO/5/Add.2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AE46F4" w:rsidRDefault="00AE46F4" w:rsidP="00AE46F4">
            <w:pPr>
              <w:bidi w:val="0"/>
              <w:spacing w:before="240"/>
              <w:jc w:val="left"/>
            </w:pPr>
            <w:r>
              <w:t>Distr.: General</w:t>
            </w:r>
          </w:p>
          <w:p w:rsidR="00AE46F4" w:rsidRDefault="00AE46F4" w:rsidP="00AE46F4">
            <w:pPr>
              <w:bidi w:val="0"/>
              <w:jc w:val="left"/>
            </w:pPr>
            <w:r>
              <w:t>3 May 2010</w:t>
            </w:r>
          </w:p>
          <w:p w:rsidR="00AE46F4" w:rsidRDefault="00AE46F4" w:rsidP="00AE46F4">
            <w:pPr>
              <w:bidi w:val="0"/>
              <w:jc w:val="left"/>
            </w:pPr>
            <w:r>
              <w:t>Arabic</w:t>
            </w:r>
          </w:p>
          <w:p w:rsidR="00257225" w:rsidRPr="008B4BC6" w:rsidRDefault="00AE46F4" w:rsidP="00AE46F4">
            <w:pPr>
              <w:bidi w:val="0"/>
              <w:jc w:val="left"/>
            </w:pPr>
            <w:r>
              <w:t>Original: English</w:t>
            </w:r>
          </w:p>
        </w:tc>
      </w:tr>
    </w:tbl>
    <w:p w:rsidR="00AE46F4" w:rsidRPr="00AE46F4" w:rsidRDefault="00AE46F4" w:rsidP="00C84ADA">
      <w:pPr>
        <w:spacing w:before="120" w:after="960" w:line="380" w:lineRule="exact"/>
        <w:rPr>
          <w:rFonts w:hint="cs"/>
          <w:b/>
          <w:bCs/>
          <w:sz w:val="36"/>
          <w:szCs w:val="36"/>
          <w:rtl/>
          <w:lang w:bidi="ar-TN"/>
        </w:rPr>
      </w:pPr>
      <w:r w:rsidRPr="00AE46F4">
        <w:rPr>
          <w:rFonts w:hint="cs"/>
          <w:b/>
          <w:bCs/>
          <w:sz w:val="36"/>
          <w:szCs w:val="36"/>
          <w:rtl/>
          <w:lang w:bidi="ar-TN"/>
        </w:rPr>
        <w:t>اللجنة المعنية بحقوق الإنسان</w:t>
      </w:r>
    </w:p>
    <w:p w:rsidR="00AE46F4" w:rsidRDefault="00AE46F4" w:rsidP="00AE46F4">
      <w:pPr>
        <w:pStyle w:val="HMGA"/>
        <w:rPr>
          <w:rFonts w:hint="cs"/>
          <w:rtl/>
          <w:lang w:bidi="ar-TN"/>
        </w:rPr>
      </w:pPr>
      <w:r>
        <w:rPr>
          <w:rFonts w:hint="cs"/>
          <w:rtl/>
          <w:lang w:bidi="ar-TN"/>
        </w:rPr>
        <w:tab/>
      </w:r>
      <w:r>
        <w:rPr>
          <w:rFonts w:hint="cs"/>
          <w:rtl/>
          <w:lang w:bidi="ar-TN"/>
        </w:rPr>
        <w:tab/>
        <w:t>النظر في التقارير المقدمة من الدول الأطراف بموجب</w:t>
      </w:r>
      <w:r w:rsidR="000D1177">
        <w:rPr>
          <w:rFonts w:hint="cs"/>
          <w:rtl/>
          <w:lang w:bidi="ar-TN"/>
        </w:rPr>
        <w:t xml:space="preserve">        </w:t>
      </w:r>
      <w:r>
        <w:rPr>
          <w:rFonts w:hint="cs"/>
          <w:rtl/>
          <w:lang w:bidi="ar-TN"/>
        </w:rPr>
        <w:t xml:space="preserve"> المادة 40 من العهد</w:t>
      </w:r>
    </w:p>
    <w:p w:rsidR="00AE46F4" w:rsidRDefault="00AE46F4" w:rsidP="00AE46F4">
      <w:pPr>
        <w:pStyle w:val="HMGA"/>
        <w:rPr>
          <w:rFonts w:hint="cs"/>
          <w:rtl/>
          <w:lang w:bidi="ar-TN"/>
        </w:rPr>
      </w:pPr>
      <w:r>
        <w:rPr>
          <w:rFonts w:hint="cs"/>
          <w:rtl/>
          <w:lang w:bidi="ar-TN"/>
        </w:rPr>
        <w:tab/>
      </w:r>
      <w:r>
        <w:rPr>
          <w:rFonts w:hint="cs"/>
          <w:rtl/>
          <w:lang w:bidi="ar-TN"/>
        </w:rPr>
        <w:tab/>
        <w:t>تونس</w:t>
      </w:r>
      <w:r w:rsidRPr="00AE46F4">
        <w:rPr>
          <w:rStyle w:val="FootnoteReference"/>
          <w:b/>
          <w:bCs w:val="0"/>
          <w:sz w:val="20"/>
          <w:vertAlign w:val="baseline"/>
          <w:rtl/>
          <w:lang w:bidi="ar-TN"/>
        </w:rPr>
        <w:footnoteReference w:customMarkFollows="1" w:id="1"/>
        <w:t>*</w:t>
      </w:r>
    </w:p>
    <w:p w:rsidR="00AE46F4" w:rsidRDefault="00AE46F4" w:rsidP="00AE46F4">
      <w:pPr>
        <w:pStyle w:val="HChGA"/>
        <w:rPr>
          <w:rFonts w:hint="cs"/>
          <w:rtl/>
        </w:rPr>
      </w:pPr>
      <w:r>
        <w:rPr>
          <w:rFonts w:hint="cs"/>
          <w:rtl/>
          <w:lang w:bidi="ar-TN"/>
        </w:rPr>
        <w:tab/>
      </w:r>
      <w:r>
        <w:rPr>
          <w:rFonts w:hint="cs"/>
          <w:rtl/>
          <w:lang w:bidi="ar-TN"/>
        </w:rPr>
        <w:tab/>
        <w:t xml:space="preserve">معلومات وردت من تونس بشأن تنفيذ الملاحظات الختامية للجنة المعنية بحقوق الإنسان </w:t>
      </w:r>
      <w:r>
        <w:rPr>
          <w:lang w:bidi="ar-TN"/>
        </w:rPr>
        <w:t>(CCPR/C/TUN/CO/5)</w:t>
      </w:r>
    </w:p>
    <w:p w:rsidR="00AE46F4" w:rsidRPr="00AE46F4" w:rsidRDefault="00AE46F4" w:rsidP="00621396">
      <w:pPr>
        <w:pStyle w:val="SingleTxtGA"/>
        <w:spacing w:before="240"/>
        <w:jc w:val="right"/>
        <w:rPr>
          <w:rFonts w:hint="cs"/>
          <w:rtl/>
        </w:rPr>
      </w:pPr>
      <w:r>
        <w:rPr>
          <w:rFonts w:hint="cs"/>
          <w:rtl/>
        </w:rPr>
        <w:t>[17 آذار/مارس 2010]</w:t>
      </w:r>
    </w:p>
    <w:p w:rsidR="00AE46F4" w:rsidRPr="003719D9" w:rsidRDefault="00AE46F4" w:rsidP="00AE46F4">
      <w:pPr>
        <w:pStyle w:val="HChGA"/>
        <w:spacing w:before="120"/>
        <w:rPr>
          <w:rFonts w:hint="cs"/>
          <w:rtl/>
          <w:lang w:bidi="ar-TN"/>
        </w:rPr>
      </w:pPr>
      <w:r>
        <w:rPr>
          <w:rtl/>
          <w:lang w:bidi="ar-TN"/>
        </w:rPr>
        <w:br w:type="page"/>
      </w:r>
      <w:r>
        <w:rPr>
          <w:rFonts w:hint="cs"/>
          <w:rtl/>
          <w:lang w:bidi="ar-TN"/>
        </w:rPr>
        <w:tab/>
      </w:r>
      <w:r>
        <w:rPr>
          <w:rFonts w:hint="cs"/>
          <w:rtl/>
          <w:lang w:bidi="ar-TN"/>
        </w:rPr>
        <w:tab/>
        <w:t xml:space="preserve">المعلومات الواردة من </w:t>
      </w:r>
      <w:r w:rsidRPr="003719D9">
        <w:rPr>
          <w:rFonts w:hint="cs"/>
          <w:rtl/>
          <w:lang w:bidi="ar-TN"/>
        </w:rPr>
        <w:t xml:space="preserve">تونس </w:t>
      </w:r>
      <w:r>
        <w:rPr>
          <w:rFonts w:hint="cs"/>
          <w:rtl/>
          <w:lang w:bidi="ar-TN"/>
        </w:rPr>
        <w:t>بشأن</w:t>
      </w:r>
      <w:r w:rsidRPr="003719D9">
        <w:rPr>
          <w:rFonts w:hint="cs"/>
          <w:rtl/>
          <w:lang w:bidi="ar-TN"/>
        </w:rPr>
        <w:t xml:space="preserve"> </w:t>
      </w:r>
      <w:r>
        <w:rPr>
          <w:rFonts w:hint="cs"/>
          <w:rtl/>
          <w:lang w:bidi="ar-TN"/>
        </w:rPr>
        <w:t xml:space="preserve">تنفيذ </w:t>
      </w:r>
      <w:r w:rsidRPr="003719D9">
        <w:rPr>
          <w:rFonts w:hint="cs"/>
          <w:rtl/>
          <w:lang w:bidi="ar-TN"/>
        </w:rPr>
        <w:t>الملاحظات الختامية للجنة المعنية بحقوق الإنسان</w:t>
      </w:r>
    </w:p>
    <w:p w:rsidR="00AE46F4" w:rsidRPr="0073707C" w:rsidRDefault="00AE46F4" w:rsidP="00AE46F4">
      <w:pPr>
        <w:pStyle w:val="SingleTxtGA"/>
        <w:rPr>
          <w:rFonts w:hint="cs"/>
          <w:rtl/>
          <w:lang w:bidi="ar-TN"/>
        </w:rPr>
      </w:pPr>
      <w:r>
        <w:rPr>
          <w:rFonts w:hint="cs"/>
          <w:rtl/>
          <w:lang w:bidi="ar-TN"/>
        </w:rPr>
        <w:t>1-</w:t>
      </w:r>
      <w:r>
        <w:rPr>
          <w:rFonts w:hint="cs"/>
          <w:rtl/>
          <w:lang w:bidi="ar-TN"/>
        </w:rPr>
        <w:tab/>
      </w:r>
      <w:r w:rsidRPr="0073707C">
        <w:rPr>
          <w:rFonts w:hint="cs"/>
          <w:rtl/>
          <w:lang w:bidi="ar-TN"/>
        </w:rPr>
        <w:t xml:space="preserve">تؤكد تونس في البداية اهتمامها بمزيد </w:t>
      </w:r>
      <w:r>
        <w:rPr>
          <w:rFonts w:hint="cs"/>
          <w:rtl/>
          <w:lang w:bidi="ar-TN"/>
        </w:rPr>
        <w:t xml:space="preserve">من </w:t>
      </w:r>
      <w:r w:rsidRPr="0073707C">
        <w:rPr>
          <w:rFonts w:hint="cs"/>
          <w:rtl/>
          <w:lang w:bidi="ar-TN"/>
        </w:rPr>
        <w:t>التعاون مع اللجنة المعنية بحقوق الإنسان</w:t>
      </w:r>
      <w:r>
        <w:rPr>
          <w:rFonts w:hint="cs"/>
          <w:rtl/>
          <w:lang w:bidi="ar-TN"/>
        </w:rPr>
        <w:t xml:space="preserve"> </w:t>
      </w:r>
      <w:r w:rsidRPr="0073707C">
        <w:rPr>
          <w:rFonts w:hint="cs"/>
          <w:rtl/>
          <w:lang w:bidi="ar-TN"/>
        </w:rPr>
        <w:t>ك</w:t>
      </w:r>
      <w:r w:rsidRPr="00484FDA">
        <w:rPr>
          <w:rFonts w:hint="cs"/>
          <w:rtl/>
          <w:lang w:bidi="ar-TN"/>
        </w:rPr>
        <w:t xml:space="preserve">ما أعلنت عن ذلك صراحة </w:t>
      </w:r>
      <w:r>
        <w:rPr>
          <w:rFonts w:hint="cs"/>
          <w:rtl/>
          <w:lang w:bidi="ar-TN"/>
        </w:rPr>
        <w:t xml:space="preserve">على </w:t>
      </w:r>
      <w:r w:rsidRPr="0073707C">
        <w:rPr>
          <w:rFonts w:hint="cs"/>
          <w:rtl/>
          <w:lang w:bidi="ar-TN"/>
        </w:rPr>
        <w:t xml:space="preserve">أعلى مستوى يومي 17 و18 </w:t>
      </w:r>
      <w:r>
        <w:rPr>
          <w:rFonts w:hint="cs"/>
          <w:rtl/>
          <w:lang w:bidi="ar-TN"/>
        </w:rPr>
        <w:t>آذار/</w:t>
      </w:r>
      <w:r w:rsidRPr="0073707C">
        <w:rPr>
          <w:rFonts w:hint="cs"/>
          <w:rtl/>
          <w:lang w:bidi="ar-TN"/>
        </w:rPr>
        <w:t>مارس 2008 بمناسبة تقديم تقريرها الدوري الخامس</w:t>
      </w:r>
      <w:r>
        <w:rPr>
          <w:rFonts w:hint="cs"/>
          <w:rtl/>
          <w:lang w:bidi="ar-TN"/>
        </w:rPr>
        <w:t xml:space="preserve">، </w:t>
      </w:r>
      <w:r w:rsidRPr="0073707C">
        <w:rPr>
          <w:rFonts w:hint="cs"/>
          <w:rtl/>
          <w:lang w:bidi="ar-TN"/>
        </w:rPr>
        <w:t xml:space="preserve">وهي إذ </w:t>
      </w:r>
      <w:r>
        <w:rPr>
          <w:rFonts w:hint="cs"/>
          <w:rtl/>
          <w:lang w:bidi="ar-TN"/>
        </w:rPr>
        <w:t>تقدم إلى</w:t>
      </w:r>
      <w:r w:rsidRPr="0073707C">
        <w:rPr>
          <w:rFonts w:hint="cs"/>
          <w:rtl/>
          <w:lang w:bidi="ar-TN"/>
        </w:rPr>
        <w:t xml:space="preserve"> اللجنة </w:t>
      </w:r>
      <w:r>
        <w:rPr>
          <w:rFonts w:hint="cs"/>
          <w:rtl/>
          <w:lang w:bidi="ar-TN"/>
        </w:rPr>
        <w:t>الردود</w:t>
      </w:r>
      <w:r w:rsidRPr="0073707C">
        <w:rPr>
          <w:rFonts w:hint="cs"/>
          <w:rtl/>
          <w:lang w:bidi="ar-TN"/>
        </w:rPr>
        <w:t xml:space="preserve"> على الأسئلة المتعلقة بطلب المعلومات الإضافية بخصوص بعض الفقرات الواردة</w:t>
      </w:r>
      <w:r>
        <w:rPr>
          <w:rFonts w:hint="cs"/>
          <w:rtl/>
          <w:lang w:bidi="ar-TN"/>
        </w:rPr>
        <w:t xml:space="preserve"> في </w:t>
      </w:r>
      <w:r w:rsidRPr="0073707C">
        <w:rPr>
          <w:rFonts w:hint="cs"/>
          <w:rtl/>
          <w:lang w:bidi="ar-TN"/>
        </w:rPr>
        <w:t>ملاحظاتها الختامية إثر مناقش</w:t>
      </w:r>
      <w:r>
        <w:rPr>
          <w:rFonts w:hint="cs"/>
          <w:rtl/>
          <w:lang w:bidi="ar-TN"/>
        </w:rPr>
        <w:t>تها</w:t>
      </w:r>
      <w:r w:rsidRPr="0073707C">
        <w:rPr>
          <w:rFonts w:hint="cs"/>
          <w:rtl/>
          <w:lang w:bidi="ar-TN"/>
        </w:rPr>
        <w:t xml:space="preserve"> </w:t>
      </w:r>
      <w:r>
        <w:rPr>
          <w:rFonts w:hint="cs"/>
          <w:rtl/>
          <w:lang w:bidi="ar-TN"/>
        </w:rPr>
        <w:t>ل</w:t>
      </w:r>
      <w:r w:rsidRPr="0073707C">
        <w:rPr>
          <w:rFonts w:hint="cs"/>
          <w:rtl/>
          <w:lang w:bidi="ar-TN"/>
        </w:rPr>
        <w:t>لتقرير المذكور،</w:t>
      </w:r>
      <w:r>
        <w:rPr>
          <w:rFonts w:hint="cs"/>
          <w:rtl/>
          <w:lang w:bidi="ar-TN"/>
        </w:rPr>
        <w:t xml:space="preserve"> </w:t>
      </w:r>
      <w:r w:rsidRPr="0073707C">
        <w:rPr>
          <w:rFonts w:hint="cs"/>
          <w:rtl/>
          <w:lang w:bidi="ar-TN"/>
        </w:rPr>
        <w:t>فإنها تبقى مستعدّة بأن تمدّ اللجنة بمزيد من المعلومات في تقريرها المقبل. ولقد شمل طلب المعلومات الإضافية الفقرات التالية:</w:t>
      </w:r>
    </w:p>
    <w:p w:rsidR="00AE46F4" w:rsidRPr="0073707C" w:rsidRDefault="0094366F" w:rsidP="0094366F">
      <w:pPr>
        <w:pStyle w:val="H1GA"/>
        <w:rPr>
          <w:rFonts w:hint="cs"/>
          <w:rtl/>
          <w:lang w:bidi="ar-TN"/>
        </w:rPr>
      </w:pPr>
      <w:r>
        <w:rPr>
          <w:rFonts w:hint="cs"/>
          <w:rtl/>
          <w:lang w:bidi="ar-TN"/>
        </w:rPr>
        <w:tab/>
      </w:r>
      <w:r>
        <w:rPr>
          <w:rFonts w:hint="cs"/>
          <w:rtl/>
          <w:lang w:bidi="ar-TN"/>
        </w:rPr>
        <w:tab/>
      </w:r>
      <w:r w:rsidR="00AE46F4">
        <w:rPr>
          <w:rFonts w:hint="cs"/>
          <w:rtl/>
          <w:lang w:bidi="ar-TN"/>
        </w:rPr>
        <w:t xml:space="preserve">الملاحظة رقم </w:t>
      </w:r>
      <w:r w:rsidR="00AE46F4" w:rsidRPr="0073707C">
        <w:rPr>
          <w:rFonts w:hint="cs"/>
          <w:rtl/>
          <w:lang w:bidi="ar-TN"/>
        </w:rPr>
        <w:t>11</w:t>
      </w:r>
    </w:p>
    <w:p w:rsidR="0094366F" w:rsidRDefault="0094366F" w:rsidP="00621396">
      <w:pPr>
        <w:spacing w:after="120" w:line="360" w:lineRule="exact"/>
        <w:ind w:left="2574" w:right="1247" w:hanging="646"/>
        <w:rPr>
          <w:rFonts w:hint="cs"/>
          <w:b/>
          <w:bCs/>
          <w:sz w:val="30"/>
          <w:rtl/>
          <w:lang w:bidi="ar-TN"/>
        </w:rPr>
      </w:pPr>
      <w:r>
        <w:rPr>
          <w:rFonts w:hint="cs"/>
          <w:b/>
          <w:bCs/>
          <w:sz w:val="30"/>
          <w:rtl/>
          <w:lang w:bidi="ar-TN"/>
        </w:rPr>
        <w:t>(أ)</w:t>
      </w:r>
      <w:r>
        <w:rPr>
          <w:rFonts w:hint="cs"/>
          <w:b/>
          <w:bCs/>
          <w:sz w:val="30"/>
          <w:rtl/>
          <w:lang w:bidi="ar-TN"/>
        </w:rPr>
        <w:tab/>
      </w:r>
      <w:r w:rsidR="00AE46F4" w:rsidRPr="0073707C">
        <w:rPr>
          <w:rFonts w:hint="cs"/>
          <w:b/>
          <w:bCs/>
          <w:sz w:val="30"/>
          <w:rtl/>
          <w:lang w:bidi="ar-TN"/>
        </w:rPr>
        <w:t xml:space="preserve">أن تضمن الدولة الطرف إجراء تحقيقات تقوم بها سلطة مستقلة في جميع ادعاءات ممارسة التعذيب وضروب المعاملة القاسية أو أللإنسانية أو المهينة مع توفير معطيات دقيقة حول ملاحقة المسؤولين عن هذه الأفعال، بمن فيهم رؤساؤهم، ومعاقبتهم، وعدم الاكتفاء </w:t>
      </w:r>
      <w:r w:rsidR="00C84ADA">
        <w:rPr>
          <w:rFonts w:hint="cs"/>
          <w:b/>
          <w:bCs/>
          <w:sz w:val="30"/>
          <w:rtl/>
          <w:lang w:bidi="ar-TN"/>
        </w:rPr>
        <w:t>بما يتعلق منها بالعنف</w:t>
      </w:r>
      <w:r w:rsidR="00AE46F4" w:rsidRPr="0073707C">
        <w:rPr>
          <w:rFonts w:hint="cs"/>
          <w:b/>
          <w:bCs/>
          <w:sz w:val="30"/>
          <w:rtl/>
          <w:lang w:bidi="ar-TN"/>
        </w:rPr>
        <w:t>، وجبر الضحايا بما في ذلك منحهم تعويضات مناسبة</w:t>
      </w:r>
      <w:r w:rsidR="00AE46F4">
        <w:rPr>
          <w:rFonts w:hint="cs"/>
          <w:b/>
          <w:bCs/>
          <w:sz w:val="30"/>
          <w:rtl/>
          <w:lang w:bidi="ar-TN"/>
        </w:rPr>
        <w:t xml:space="preserve">؛ </w:t>
      </w:r>
    </w:p>
    <w:p w:rsidR="00AE46F4" w:rsidRPr="0073707C" w:rsidRDefault="0094366F" w:rsidP="0094366F">
      <w:pPr>
        <w:spacing w:after="120" w:line="360" w:lineRule="exact"/>
        <w:ind w:left="2569" w:hanging="644"/>
        <w:rPr>
          <w:rFonts w:hint="cs"/>
          <w:b/>
          <w:bCs/>
          <w:sz w:val="30"/>
          <w:lang w:bidi="ar-TN"/>
        </w:rPr>
      </w:pPr>
      <w:r>
        <w:rPr>
          <w:rFonts w:hint="cs"/>
          <w:b/>
          <w:bCs/>
          <w:sz w:val="30"/>
          <w:rtl/>
          <w:lang w:bidi="ar-TN"/>
        </w:rPr>
        <w:t>(ب)</w:t>
      </w:r>
      <w:r>
        <w:rPr>
          <w:rFonts w:hint="cs"/>
          <w:b/>
          <w:bCs/>
          <w:sz w:val="30"/>
          <w:rtl/>
          <w:lang w:bidi="ar-TN"/>
        </w:rPr>
        <w:tab/>
      </w:r>
      <w:r w:rsidR="00AE46F4" w:rsidRPr="0073707C">
        <w:rPr>
          <w:rFonts w:hint="cs"/>
          <w:b/>
          <w:bCs/>
          <w:sz w:val="30"/>
          <w:rtl/>
          <w:lang w:bidi="ar-TN"/>
        </w:rPr>
        <w:t>أن تعمل على تحسين تدريب أعوان الدولة في هذا المجال.</w:t>
      </w:r>
    </w:p>
    <w:p w:rsidR="00AE46F4" w:rsidRPr="0073707C" w:rsidRDefault="0094366F" w:rsidP="0094366F">
      <w:pPr>
        <w:pStyle w:val="H1GA"/>
        <w:rPr>
          <w:rFonts w:hint="cs"/>
          <w:rtl/>
          <w:lang w:bidi="ar-TN"/>
        </w:rPr>
      </w:pPr>
      <w:r>
        <w:rPr>
          <w:rFonts w:hint="cs"/>
          <w:rtl/>
          <w:lang w:bidi="ar-TN"/>
        </w:rPr>
        <w:tab/>
      </w:r>
      <w:r>
        <w:rPr>
          <w:rFonts w:hint="cs"/>
          <w:rtl/>
          <w:lang w:bidi="ar-TN"/>
        </w:rPr>
        <w:tab/>
      </w:r>
      <w:r w:rsidR="00AE46F4">
        <w:rPr>
          <w:rFonts w:hint="cs"/>
          <w:rtl/>
          <w:lang w:bidi="ar-TN"/>
        </w:rPr>
        <w:t>الرد</w:t>
      </w:r>
    </w:p>
    <w:p w:rsidR="00AE46F4" w:rsidRPr="0073707C" w:rsidRDefault="00AE46F4" w:rsidP="0094366F">
      <w:pPr>
        <w:pStyle w:val="SingleTxtGA"/>
        <w:rPr>
          <w:rFonts w:hint="cs"/>
          <w:rtl/>
          <w:lang w:bidi="ar-TN"/>
        </w:rPr>
      </w:pPr>
      <w:r>
        <w:rPr>
          <w:rFonts w:hint="cs"/>
          <w:rtl/>
          <w:lang w:bidi="ar-TN"/>
        </w:rPr>
        <w:t>2</w:t>
      </w:r>
      <w:r w:rsidR="0094366F">
        <w:rPr>
          <w:rFonts w:hint="cs"/>
          <w:rtl/>
          <w:lang w:bidi="ar-TN"/>
        </w:rPr>
        <w:t>-</w:t>
      </w:r>
      <w:r>
        <w:rPr>
          <w:rFonts w:hint="cs"/>
          <w:rtl/>
          <w:lang w:bidi="ar-TN"/>
        </w:rPr>
        <w:tab/>
      </w:r>
      <w:r w:rsidRPr="0073707C">
        <w:rPr>
          <w:rFonts w:hint="cs"/>
          <w:rtl/>
          <w:lang w:bidi="ar-TN"/>
        </w:rPr>
        <w:t xml:space="preserve">إضافة إلى المعلومات السابقة التي قدّمتها تونس </w:t>
      </w:r>
      <w:r>
        <w:rPr>
          <w:rFonts w:hint="cs"/>
          <w:rtl/>
          <w:lang w:bidi="ar-TN"/>
        </w:rPr>
        <w:t>بخصوص</w:t>
      </w:r>
      <w:r w:rsidRPr="0073707C">
        <w:rPr>
          <w:rFonts w:hint="cs"/>
          <w:rtl/>
          <w:lang w:bidi="ar-TN"/>
        </w:rPr>
        <w:t xml:space="preserve"> هذه الفقرة والتي تم خلالها التأكيد على أنّ الدولة</w:t>
      </w:r>
      <w:r>
        <w:rPr>
          <w:rFonts w:hint="cs"/>
          <w:rtl/>
          <w:lang w:bidi="ar-TN"/>
        </w:rPr>
        <w:t xml:space="preserve">، </w:t>
      </w:r>
      <w:r w:rsidRPr="0073707C">
        <w:rPr>
          <w:rFonts w:hint="cs"/>
          <w:rtl/>
          <w:lang w:bidi="ar-TN"/>
        </w:rPr>
        <w:t xml:space="preserve">بكافة أجهزتها، تُولي أهمية قصوى لحماية الحرمة والسلامة البدنية والمعنوية للأفراد </w:t>
      </w:r>
      <w:r>
        <w:rPr>
          <w:rFonts w:hint="cs"/>
          <w:rtl/>
          <w:lang w:bidi="ar-TN"/>
        </w:rPr>
        <w:t>وتتعامل</w:t>
      </w:r>
      <w:r w:rsidRPr="0073707C">
        <w:rPr>
          <w:rFonts w:hint="cs"/>
          <w:rtl/>
          <w:lang w:bidi="ar-TN"/>
        </w:rPr>
        <w:t xml:space="preserve"> بكل حزم مع كل مَن يتسببون من أعوان مكلفين بتنفيذ القوانين في ارتكاب تجاوزات أو إخلالات أو أية ممارسات للتعذيب وغيره من ضروب المعاملة القاسية أو</w:t>
      </w:r>
      <w:r>
        <w:rPr>
          <w:rFonts w:hint="cs"/>
          <w:rtl/>
          <w:lang w:bidi="ar-TN"/>
        </w:rPr>
        <w:t xml:space="preserve"> اللاإنسانية</w:t>
      </w:r>
      <w:r w:rsidR="003B3E31">
        <w:rPr>
          <w:rFonts w:hint="cs"/>
          <w:rtl/>
          <w:lang w:bidi="ar-TN"/>
        </w:rPr>
        <w:t xml:space="preserve"> أو المهينة</w:t>
      </w:r>
      <w:r w:rsidRPr="0073707C">
        <w:rPr>
          <w:rFonts w:hint="cs"/>
          <w:rtl/>
          <w:lang w:bidi="ar-TN"/>
        </w:rPr>
        <w:t>، فإنّه يتجه لبيان مواصلة هذه السياسة الإرادية الحازمة للدولة إبراز حرص السلطات العمومية ف</w:t>
      </w:r>
      <w:r w:rsidRPr="00484FDA">
        <w:rPr>
          <w:rFonts w:hint="cs"/>
          <w:rtl/>
          <w:lang w:bidi="ar-TN"/>
        </w:rPr>
        <w:t>ي تونس على زيادة تفعيل آليات الرق</w:t>
      </w:r>
      <w:r w:rsidRPr="0073707C">
        <w:rPr>
          <w:rFonts w:hint="cs"/>
          <w:rtl/>
          <w:lang w:bidi="ar-TN"/>
        </w:rPr>
        <w:t>ابة</w:t>
      </w:r>
      <w:r>
        <w:rPr>
          <w:rFonts w:hint="cs"/>
          <w:rtl/>
          <w:lang w:bidi="ar-TN"/>
        </w:rPr>
        <w:t xml:space="preserve"> </w:t>
      </w:r>
      <w:r w:rsidRPr="0073707C">
        <w:rPr>
          <w:rFonts w:hint="cs"/>
          <w:rtl/>
          <w:lang w:bidi="ar-TN"/>
        </w:rPr>
        <w:t xml:space="preserve">الوطنية والدولية على مراكز الاحتفاظ والسجون من جهة أولى، وعلى ملاحقة </w:t>
      </w:r>
      <w:r>
        <w:rPr>
          <w:rFonts w:hint="cs"/>
          <w:rtl/>
          <w:lang w:bidi="ar-TN"/>
        </w:rPr>
        <w:t>المسؤولين</w:t>
      </w:r>
      <w:r w:rsidRPr="0073707C">
        <w:rPr>
          <w:rFonts w:hint="cs"/>
          <w:rtl/>
          <w:lang w:bidi="ar-TN"/>
        </w:rPr>
        <w:t xml:space="preserve"> عن</w:t>
      </w:r>
      <w:r>
        <w:rPr>
          <w:rFonts w:hint="cs"/>
          <w:rtl/>
          <w:lang w:bidi="ar-TN"/>
        </w:rPr>
        <w:t xml:space="preserve"> </w:t>
      </w:r>
      <w:r w:rsidRPr="0073707C">
        <w:rPr>
          <w:rFonts w:hint="cs"/>
          <w:rtl/>
          <w:lang w:bidi="ar-TN"/>
        </w:rPr>
        <w:t xml:space="preserve">أي ممارسات تعذيب أو غيره من ضروب المعاملة القاسية أو </w:t>
      </w:r>
      <w:r>
        <w:rPr>
          <w:rFonts w:hint="cs"/>
          <w:rtl/>
          <w:lang w:bidi="ar-TN"/>
        </w:rPr>
        <w:t>اللاإنسانية</w:t>
      </w:r>
      <w:r w:rsidRPr="0073707C">
        <w:rPr>
          <w:rFonts w:hint="cs"/>
          <w:rtl/>
          <w:lang w:bidi="ar-TN"/>
        </w:rPr>
        <w:t xml:space="preserve"> أو المهينة من جهة ثانية وفسح المجال للضحايا لجبر الضرر بما في ذلك من</w:t>
      </w:r>
      <w:r w:rsidR="003B3E31">
        <w:rPr>
          <w:rFonts w:hint="cs"/>
          <w:rtl/>
          <w:lang w:bidi="ar-TN"/>
        </w:rPr>
        <w:t>حهم تعويضات مناسبة من جهة ثالثة</w:t>
      </w:r>
      <w:r w:rsidRPr="0073707C">
        <w:rPr>
          <w:rFonts w:hint="cs"/>
          <w:rtl/>
          <w:lang w:bidi="ar-TN"/>
        </w:rPr>
        <w:t>، وأخيرا مواصلة بذل الجهد والعمل على تحسين تدريب الأعوان المكلفين بتنفيذ القوانين من جهة رابعة.</w:t>
      </w:r>
    </w:p>
    <w:p w:rsidR="00AE46F4" w:rsidRPr="0073707C" w:rsidRDefault="00621396" w:rsidP="0094366F">
      <w:pPr>
        <w:pStyle w:val="H23GA"/>
        <w:rPr>
          <w:rFonts w:hint="cs"/>
          <w:lang w:bidi="ar-TN"/>
        </w:rPr>
      </w:pPr>
      <w:r>
        <w:rPr>
          <w:rtl/>
          <w:lang w:bidi="ar-TN"/>
        </w:rPr>
        <w:br w:type="page"/>
      </w:r>
      <w:r w:rsidR="0094366F">
        <w:rPr>
          <w:rFonts w:hint="cs"/>
          <w:rtl/>
          <w:lang w:bidi="ar-TN"/>
        </w:rPr>
        <w:tab/>
        <w:t>1-</w:t>
      </w:r>
      <w:r w:rsidR="0094366F">
        <w:rPr>
          <w:rFonts w:hint="cs"/>
          <w:rtl/>
          <w:lang w:bidi="ar-TN"/>
        </w:rPr>
        <w:tab/>
      </w:r>
      <w:r w:rsidR="00AE46F4" w:rsidRPr="0073707C">
        <w:rPr>
          <w:rFonts w:hint="cs"/>
          <w:rtl/>
          <w:lang w:bidi="ar-TN"/>
        </w:rPr>
        <w:t>مواصلة تفعيل آليات الرقابة</w:t>
      </w:r>
      <w:r w:rsidR="00AE46F4">
        <w:rPr>
          <w:rFonts w:hint="cs"/>
          <w:rtl/>
          <w:lang w:bidi="ar-TN"/>
        </w:rPr>
        <w:t xml:space="preserve"> </w:t>
      </w:r>
      <w:r w:rsidR="00AE46F4" w:rsidRPr="0073707C">
        <w:rPr>
          <w:rFonts w:hint="cs"/>
          <w:rtl/>
          <w:lang w:bidi="ar-TN"/>
        </w:rPr>
        <w:t>الوطنية والدولية على مراكز الاحتفاظ والسجون</w:t>
      </w:r>
    </w:p>
    <w:p w:rsidR="00AE46F4" w:rsidRPr="0073707C" w:rsidRDefault="0094366F" w:rsidP="0094366F">
      <w:pPr>
        <w:pStyle w:val="SingleTxtGA"/>
        <w:rPr>
          <w:rFonts w:hint="cs"/>
          <w:rtl/>
          <w:lang w:bidi="ar-TN"/>
        </w:rPr>
      </w:pPr>
      <w:r>
        <w:rPr>
          <w:rFonts w:hint="cs"/>
          <w:rtl/>
          <w:lang w:bidi="ar-TN"/>
        </w:rPr>
        <w:t>3-</w:t>
      </w:r>
      <w:r w:rsidR="00AE46F4">
        <w:rPr>
          <w:rFonts w:hint="cs"/>
          <w:rtl/>
          <w:lang w:bidi="ar-TN"/>
        </w:rPr>
        <w:tab/>
        <w:t>ت</w:t>
      </w:r>
      <w:r w:rsidR="00AE46F4" w:rsidRPr="0073707C">
        <w:rPr>
          <w:rFonts w:hint="cs"/>
          <w:rtl/>
          <w:lang w:bidi="ar-TN"/>
        </w:rPr>
        <w:t>ظهر مواصلة تفعيل آليات الرقابة</w:t>
      </w:r>
      <w:r w:rsidR="00AE46F4">
        <w:rPr>
          <w:rFonts w:hint="cs"/>
          <w:rtl/>
          <w:lang w:bidi="ar-TN"/>
        </w:rPr>
        <w:t xml:space="preserve"> </w:t>
      </w:r>
      <w:r w:rsidR="00AE46F4" w:rsidRPr="0073707C">
        <w:rPr>
          <w:rFonts w:hint="cs"/>
          <w:rtl/>
          <w:lang w:bidi="ar-TN"/>
        </w:rPr>
        <w:t xml:space="preserve">الوطنية والدولية على مراكز الاحتفاظ والسجون للوقاية من كافة أشكال سوء المعاملة وذلك خاصة من خلال: </w:t>
      </w:r>
    </w:p>
    <w:p w:rsidR="0094366F" w:rsidRDefault="00AE46F4" w:rsidP="00621396">
      <w:pPr>
        <w:pStyle w:val="Bullet1GA"/>
        <w:tabs>
          <w:tab w:val="clear" w:pos="2041"/>
          <w:tab w:val="left" w:pos="2499"/>
        </w:tabs>
        <w:bidi/>
        <w:spacing w:line="340" w:lineRule="exact"/>
        <w:ind w:left="2500" w:hanging="533"/>
        <w:rPr>
          <w:rFonts w:hint="cs"/>
          <w:lang w:bidi="ar-TN"/>
        </w:rPr>
      </w:pPr>
      <w:r w:rsidRPr="0073707C">
        <w:rPr>
          <w:rFonts w:hint="cs"/>
          <w:rtl/>
          <w:lang w:bidi="ar-TN"/>
        </w:rPr>
        <w:t xml:space="preserve">استمرار الهيئة العليا لحقوق الإنسان والحريات الأساسية في أداء رئيسها لزيارات </w:t>
      </w:r>
      <w:r>
        <w:rPr>
          <w:rFonts w:hint="cs"/>
          <w:rtl/>
          <w:lang w:bidi="ar-TN"/>
        </w:rPr>
        <w:t>فجائية</w:t>
      </w:r>
      <w:r w:rsidRPr="0073707C">
        <w:rPr>
          <w:rFonts w:hint="cs"/>
          <w:rtl/>
          <w:lang w:bidi="ar-TN"/>
        </w:rPr>
        <w:t xml:space="preserve"> </w:t>
      </w:r>
      <w:r>
        <w:rPr>
          <w:rFonts w:hint="cs"/>
          <w:rtl/>
          <w:lang w:bidi="ar-TN"/>
        </w:rPr>
        <w:t xml:space="preserve">لوحدات السجون </w:t>
      </w:r>
      <w:r w:rsidRPr="0073707C">
        <w:rPr>
          <w:rFonts w:hint="cs"/>
          <w:rtl/>
          <w:lang w:bidi="ar-TN"/>
        </w:rPr>
        <w:t xml:space="preserve">ومراكز الاحتفاظ </w:t>
      </w:r>
      <w:r>
        <w:rPr>
          <w:rFonts w:hint="cs"/>
          <w:rtl/>
          <w:lang w:bidi="ar-TN"/>
        </w:rPr>
        <w:t>بهدف</w:t>
      </w:r>
      <w:r w:rsidRPr="0073707C">
        <w:rPr>
          <w:rFonts w:hint="cs"/>
          <w:rtl/>
          <w:lang w:bidi="ar-TN"/>
        </w:rPr>
        <w:t xml:space="preserve"> الإطلاع على أوضاع المساجين وطريقة معاملتهم، كما تكونت فرق عمل ضمت رئيس الهيئة وبعض الشخصيات الحقوقية المشهود لها بالخبرة والكفاءة والنزاهة للإطلاع على الأوضاع داخل السجون ورفع تقارير إلى رئيس الدولة</w:t>
      </w:r>
      <w:r w:rsidR="0094366F">
        <w:rPr>
          <w:rFonts w:hint="cs"/>
          <w:rtl/>
          <w:lang w:bidi="ar-TN"/>
        </w:rPr>
        <w:t>؛</w:t>
      </w:r>
    </w:p>
    <w:p w:rsidR="0094366F" w:rsidRDefault="00AE46F4" w:rsidP="00621396">
      <w:pPr>
        <w:pStyle w:val="Bullet1GA"/>
        <w:tabs>
          <w:tab w:val="clear" w:pos="2041"/>
          <w:tab w:val="left" w:pos="2499"/>
        </w:tabs>
        <w:bidi/>
        <w:spacing w:line="340" w:lineRule="exact"/>
        <w:ind w:left="2500" w:hanging="533"/>
        <w:rPr>
          <w:rFonts w:hint="cs"/>
          <w:lang w:bidi="ar-TN"/>
        </w:rPr>
      </w:pPr>
      <w:r w:rsidRPr="0073707C">
        <w:rPr>
          <w:rFonts w:hint="cs"/>
          <w:rtl/>
          <w:lang w:bidi="ar-TN"/>
        </w:rPr>
        <w:t>مواصلة اللجنة الدولية للصليب الأحمر أدا</w:t>
      </w:r>
      <w:r w:rsidRPr="0073707C">
        <w:rPr>
          <w:rFonts w:hint="eastAsia"/>
          <w:rtl/>
          <w:lang w:bidi="ar-TN"/>
        </w:rPr>
        <w:t>ء</w:t>
      </w:r>
      <w:r w:rsidRPr="0073707C">
        <w:rPr>
          <w:rFonts w:hint="cs"/>
          <w:rtl/>
          <w:lang w:bidi="ar-TN"/>
        </w:rPr>
        <w:t xml:space="preserve"> زيارات </w:t>
      </w:r>
      <w:r>
        <w:rPr>
          <w:rFonts w:hint="cs"/>
          <w:rtl/>
          <w:lang w:bidi="ar-TN"/>
        </w:rPr>
        <w:t>لوحدات السجون</w:t>
      </w:r>
      <w:r w:rsidRPr="0073707C">
        <w:rPr>
          <w:rFonts w:hint="cs"/>
          <w:rtl/>
          <w:lang w:bidi="ar-TN"/>
        </w:rPr>
        <w:t xml:space="preserve"> وذلك في إطار الاتفاق المبرم بينها وبين الحكومة التونسية منذ سنة 2005</w:t>
      </w:r>
      <w:r w:rsidR="0094366F">
        <w:rPr>
          <w:rFonts w:hint="cs"/>
          <w:rtl/>
          <w:lang w:bidi="ar-TN"/>
        </w:rPr>
        <w:t>؛</w:t>
      </w:r>
    </w:p>
    <w:p w:rsidR="0094366F" w:rsidRDefault="00AE46F4" w:rsidP="00621396">
      <w:pPr>
        <w:pStyle w:val="Bullet1GA"/>
        <w:tabs>
          <w:tab w:val="clear" w:pos="2041"/>
          <w:tab w:val="left" w:pos="2499"/>
        </w:tabs>
        <w:bidi/>
        <w:spacing w:line="340" w:lineRule="exact"/>
        <w:ind w:left="2500" w:hanging="533"/>
        <w:rPr>
          <w:rFonts w:hint="cs"/>
          <w:lang w:bidi="ar-TN"/>
        </w:rPr>
      </w:pPr>
      <w:r w:rsidRPr="0073707C">
        <w:rPr>
          <w:rFonts w:hint="cs"/>
          <w:rtl/>
          <w:lang w:bidi="ar-TN"/>
        </w:rPr>
        <w:t xml:space="preserve">فسح المجال للتعاون مع الجمعية التونسية لإدماج المساجين المفرج </w:t>
      </w:r>
      <w:r>
        <w:rPr>
          <w:rFonts w:hint="cs"/>
          <w:rtl/>
          <w:lang w:bidi="ar-TN"/>
        </w:rPr>
        <w:t xml:space="preserve">عنهم </w:t>
      </w:r>
      <w:r w:rsidRPr="0073707C">
        <w:rPr>
          <w:rFonts w:hint="cs"/>
          <w:rtl/>
          <w:lang w:bidi="ar-TN"/>
        </w:rPr>
        <w:t xml:space="preserve">بربط الصلة مع مصالح العمل الاجتماعي في </w:t>
      </w:r>
      <w:r>
        <w:rPr>
          <w:rFonts w:hint="cs"/>
          <w:rtl/>
          <w:lang w:bidi="ar-TN"/>
        </w:rPr>
        <w:t>وحدات السجون</w:t>
      </w:r>
      <w:r w:rsidRPr="0073707C">
        <w:rPr>
          <w:rFonts w:hint="cs"/>
          <w:rtl/>
          <w:lang w:bidi="ar-TN"/>
        </w:rPr>
        <w:t xml:space="preserve"> للمساعدة على تأهيل المساجين وتيسر إعادة إدماجهم في الحياة الحرة</w:t>
      </w:r>
      <w:r w:rsidR="0094366F">
        <w:rPr>
          <w:rFonts w:hint="cs"/>
          <w:rtl/>
          <w:lang w:bidi="ar-TN"/>
        </w:rPr>
        <w:t>؛</w:t>
      </w:r>
    </w:p>
    <w:p w:rsidR="00AE46F4" w:rsidRPr="0094366F" w:rsidRDefault="00AE46F4" w:rsidP="00621396">
      <w:pPr>
        <w:pStyle w:val="Bullet1GA"/>
        <w:tabs>
          <w:tab w:val="clear" w:pos="2041"/>
          <w:tab w:val="left" w:pos="2499"/>
        </w:tabs>
        <w:bidi/>
        <w:spacing w:line="340" w:lineRule="exact"/>
        <w:ind w:left="2500" w:hanging="533"/>
        <w:rPr>
          <w:rFonts w:hint="cs"/>
          <w:rtl/>
          <w:lang w:bidi="ar-TN"/>
        </w:rPr>
      </w:pPr>
      <w:r w:rsidRPr="0073707C">
        <w:rPr>
          <w:rFonts w:hint="cs"/>
          <w:sz w:val="30"/>
          <w:rtl/>
          <w:lang w:bidi="ar-TN"/>
        </w:rPr>
        <w:t xml:space="preserve">استقبال تونس </w:t>
      </w:r>
      <w:r>
        <w:rPr>
          <w:rFonts w:hint="cs"/>
          <w:sz w:val="30"/>
          <w:rtl/>
          <w:lang w:bidi="ar-TN"/>
        </w:rPr>
        <w:t xml:space="preserve">في الفترة </w:t>
      </w:r>
      <w:r w:rsidRPr="0073707C">
        <w:rPr>
          <w:rFonts w:hint="cs"/>
          <w:sz w:val="30"/>
          <w:rtl/>
          <w:lang w:bidi="ar-TN"/>
        </w:rPr>
        <w:t xml:space="preserve">من 22 إلى 26 </w:t>
      </w:r>
      <w:r>
        <w:rPr>
          <w:rFonts w:hint="cs"/>
          <w:sz w:val="30"/>
          <w:rtl/>
          <w:lang w:bidi="ar-TN"/>
        </w:rPr>
        <w:t xml:space="preserve">كانون الثاني/يناير </w:t>
      </w:r>
      <w:r w:rsidRPr="0073707C">
        <w:rPr>
          <w:rFonts w:hint="cs"/>
          <w:sz w:val="30"/>
          <w:rtl/>
          <w:lang w:bidi="ar-TN"/>
        </w:rPr>
        <w:t xml:space="preserve">2010 للمقرر الخاص </w:t>
      </w:r>
      <w:r>
        <w:rPr>
          <w:rFonts w:hint="cs"/>
          <w:sz w:val="30"/>
          <w:rtl/>
          <w:lang w:bidi="ar-TN"/>
        </w:rPr>
        <w:t>المعني بتعزيز وحماية حقوق الإنسان والحريات الأساسية في سياق مكافحة الإرهاب</w:t>
      </w:r>
      <w:r w:rsidRPr="0073707C">
        <w:rPr>
          <w:rFonts w:hint="cs"/>
          <w:sz w:val="30"/>
          <w:rtl/>
          <w:lang w:bidi="ar-TN"/>
        </w:rPr>
        <w:t xml:space="preserve"> وقيامه بأداء زيارات لأكبر وحدة سجنية في تونس واطلاعه عن كثب على أوضاع عدد من النزلاء وزيارة أحد مراكز الاحتفاظ ومقر جمعية ضحايا الإرهاب واتصاله بعدد من ضحايا الجرائم الإرهابية وبالعديد من المسؤولين </w:t>
      </w:r>
      <w:r>
        <w:rPr>
          <w:rFonts w:hint="cs"/>
          <w:sz w:val="30"/>
          <w:rtl/>
          <w:lang w:bidi="ar-TN"/>
        </w:rPr>
        <w:t xml:space="preserve">وممثلين عن </w:t>
      </w:r>
      <w:r w:rsidRPr="0073707C">
        <w:rPr>
          <w:rFonts w:hint="cs"/>
          <w:sz w:val="30"/>
          <w:rtl/>
          <w:lang w:bidi="ar-TN"/>
        </w:rPr>
        <w:t>مكونات المجتمع المدني.</w:t>
      </w:r>
    </w:p>
    <w:p w:rsidR="00AE46F4" w:rsidRPr="0073707C" w:rsidRDefault="0094366F" w:rsidP="0094366F">
      <w:pPr>
        <w:pStyle w:val="H23GA"/>
        <w:rPr>
          <w:rFonts w:hint="cs"/>
          <w:lang w:bidi="ar-TN"/>
        </w:rPr>
      </w:pPr>
      <w:r>
        <w:rPr>
          <w:rFonts w:hint="cs"/>
          <w:rtl/>
          <w:lang w:bidi="ar-TN"/>
        </w:rPr>
        <w:tab/>
        <w:t>2-</w:t>
      </w:r>
      <w:r>
        <w:rPr>
          <w:rFonts w:hint="cs"/>
          <w:rtl/>
          <w:lang w:bidi="ar-TN"/>
        </w:rPr>
        <w:tab/>
      </w:r>
      <w:r w:rsidR="00AE46F4" w:rsidRPr="0073707C">
        <w:rPr>
          <w:rFonts w:hint="cs"/>
          <w:rtl/>
          <w:lang w:bidi="ar-TN"/>
        </w:rPr>
        <w:t>ملاحقة المسؤولين عن</w:t>
      </w:r>
      <w:r w:rsidR="00AE46F4">
        <w:rPr>
          <w:rFonts w:hint="cs"/>
          <w:rtl/>
          <w:lang w:bidi="ar-TN"/>
        </w:rPr>
        <w:t xml:space="preserve"> </w:t>
      </w:r>
      <w:r w:rsidR="00AE46F4" w:rsidRPr="0073707C">
        <w:rPr>
          <w:rFonts w:hint="cs"/>
          <w:rtl/>
          <w:lang w:bidi="ar-TN"/>
        </w:rPr>
        <w:t>أي ممارسات مخلة بالقانون</w:t>
      </w:r>
    </w:p>
    <w:p w:rsidR="00AE46F4" w:rsidRPr="0073707C" w:rsidRDefault="00AE46F4" w:rsidP="0094366F">
      <w:pPr>
        <w:pStyle w:val="SingleTxtGA"/>
        <w:rPr>
          <w:rFonts w:hint="cs"/>
          <w:rtl/>
          <w:lang w:bidi="ar-TN"/>
        </w:rPr>
      </w:pPr>
      <w:r>
        <w:rPr>
          <w:rFonts w:hint="cs"/>
          <w:rtl/>
          <w:lang w:bidi="ar-TN"/>
        </w:rPr>
        <w:t>4</w:t>
      </w:r>
      <w:r w:rsidR="0094366F">
        <w:rPr>
          <w:rFonts w:hint="cs"/>
          <w:rtl/>
          <w:lang w:bidi="ar-TN"/>
        </w:rPr>
        <w:t>-</w:t>
      </w:r>
      <w:r>
        <w:rPr>
          <w:rFonts w:hint="cs"/>
          <w:rtl/>
          <w:lang w:bidi="ar-TN"/>
        </w:rPr>
        <w:tab/>
      </w:r>
      <w:r w:rsidRPr="0073707C">
        <w:rPr>
          <w:rFonts w:hint="cs"/>
          <w:rtl/>
          <w:lang w:bidi="ar-TN"/>
        </w:rPr>
        <w:t>واصل القضاء التونسي تصدّيه للأفعال والممارسات المخلة بالقانون</w:t>
      </w:r>
      <w:r>
        <w:rPr>
          <w:rFonts w:hint="cs"/>
          <w:rtl/>
          <w:lang w:bidi="ar-TN"/>
        </w:rPr>
        <w:t>،</w:t>
      </w:r>
      <w:r w:rsidRPr="0073707C">
        <w:rPr>
          <w:rFonts w:hint="cs"/>
          <w:rtl/>
          <w:lang w:bidi="ar-TN"/>
        </w:rPr>
        <w:t xml:space="preserve"> ولم تتردد السلطة القضائية في تتبع ومحاكمة وإدانة من ثبت تورطه في ارتكاب أعمال تشكل سوء معاملة أو</w:t>
      </w:r>
      <w:r>
        <w:rPr>
          <w:rFonts w:hint="cs"/>
          <w:rtl/>
          <w:lang w:bidi="ar-TN"/>
        </w:rPr>
        <w:t xml:space="preserve"> </w:t>
      </w:r>
      <w:r w:rsidRPr="0073707C">
        <w:rPr>
          <w:rFonts w:hint="cs"/>
          <w:rtl/>
          <w:lang w:bidi="ar-TN"/>
        </w:rPr>
        <w:t>تجاوز سلطة</w:t>
      </w:r>
      <w:r>
        <w:rPr>
          <w:rFonts w:hint="cs"/>
          <w:rtl/>
          <w:lang w:bidi="ar-TN"/>
        </w:rPr>
        <w:t>،</w:t>
      </w:r>
      <w:r w:rsidRPr="0073707C">
        <w:rPr>
          <w:rFonts w:hint="cs"/>
          <w:rtl/>
          <w:lang w:bidi="ar-TN"/>
        </w:rPr>
        <w:t xml:space="preserve"> وتوقيع عقوبات </w:t>
      </w:r>
      <w:r>
        <w:rPr>
          <w:rFonts w:hint="cs"/>
          <w:rtl/>
          <w:lang w:bidi="ar-TN"/>
        </w:rPr>
        <w:t>قاسية</w:t>
      </w:r>
      <w:r w:rsidRPr="0073707C">
        <w:rPr>
          <w:rFonts w:hint="cs"/>
          <w:rtl/>
          <w:lang w:bidi="ar-TN"/>
        </w:rPr>
        <w:t xml:space="preserve"> على مرتكبي هذه الجرائم بشكل يتناسب مع حجم ونوعية الجرائم المرتكبة. وفيما يلي بعض القرارات الصادرة في هذا الاتجاه:</w:t>
      </w:r>
    </w:p>
    <w:p w:rsidR="00AE46F4" w:rsidRPr="0073707C" w:rsidRDefault="00AE46F4" w:rsidP="0094366F">
      <w:pPr>
        <w:pStyle w:val="Bullet1GA"/>
        <w:tabs>
          <w:tab w:val="clear" w:pos="2041"/>
          <w:tab w:val="left" w:pos="2499"/>
        </w:tabs>
        <w:bidi/>
        <w:ind w:left="2499" w:hanging="532"/>
        <w:rPr>
          <w:rFonts w:hint="cs"/>
          <w:rtl/>
        </w:rPr>
      </w:pPr>
      <w:r w:rsidRPr="00424E37">
        <w:rPr>
          <w:rFonts w:hint="cs"/>
          <w:rtl/>
        </w:rPr>
        <w:t xml:space="preserve">القرار </w:t>
      </w:r>
      <w:r w:rsidRPr="0094366F">
        <w:rPr>
          <w:rFonts w:hint="cs"/>
          <w:sz w:val="30"/>
          <w:rtl/>
          <w:lang w:bidi="ar-TN"/>
        </w:rPr>
        <w:t>10372</w:t>
      </w:r>
      <w:r w:rsidRPr="00424E37">
        <w:rPr>
          <w:rFonts w:hint="cs"/>
          <w:rtl/>
        </w:rPr>
        <w:t xml:space="preserve"> الذي أصدرته محكمة الاستئناف</w:t>
      </w:r>
      <w:r>
        <w:rPr>
          <w:rFonts w:hint="cs"/>
          <w:rtl/>
        </w:rPr>
        <w:t xml:space="preserve"> </w:t>
      </w:r>
      <w:r w:rsidRPr="00424E37">
        <w:rPr>
          <w:rFonts w:hint="cs"/>
          <w:rtl/>
        </w:rPr>
        <w:t xml:space="preserve">في تونس بتاريخ 2 شباط/فبراير 2007 </w:t>
      </w:r>
      <w:r w:rsidRPr="0073707C">
        <w:rPr>
          <w:rFonts w:hint="cs"/>
          <w:rtl/>
        </w:rPr>
        <w:t>والذي أدانت</w:t>
      </w:r>
      <w:r w:rsidRPr="00A476BC">
        <w:rPr>
          <w:rFonts w:hint="cs"/>
          <w:rtl/>
        </w:rPr>
        <w:t xml:space="preserve"> فيه رئيس مركز شرطة بغرامة قدرها 500 دينار للعنف المرتكب من قبل موظف عمومي أثناء مباشرته وظيفته وذلك </w:t>
      </w:r>
      <w:r w:rsidRPr="0073707C">
        <w:rPr>
          <w:rFonts w:hint="cs"/>
          <w:rtl/>
        </w:rPr>
        <w:t>تطبيقا للفصل 101 من المجلة الجنائية</w:t>
      </w:r>
      <w:r>
        <w:rPr>
          <w:rFonts w:hint="cs"/>
          <w:rtl/>
        </w:rPr>
        <w:t>.</w:t>
      </w:r>
    </w:p>
    <w:p w:rsidR="00AE46F4" w:rsidRPr="0073707C" w:rsidRDefault="00AE46F4" w:rsidP="0094366F">
      <w:pPr>
        <w:pStyle w:val="SingleTxtGA"/>
        <w:rPr>
          <w:rFonts w:hint="cs"/>
          <w:rtl/>
        </w:rPr>
      </w:pPr>
      <w:r>
        <w:rPr>
          <w:rFonts w:hint="cs"/>
          <w:rtl/>
        </w:rPr>
        <w:t>5</w:t>
      </w:r>
      <w:r w:rsidR="0094366F">
        <w:rPr>
          <w:rFonts w:hint="cs"/>
          <w:rtl/>
        </w:rPr>
        <w:t>-</w:t>
      </w:r>
      <w:r>
        <w:rPr>
          <w:rFonts w:hint="cs"/>
          <w:rtl/>
        </w:rPr>
        <w:tab/>
      </w:r>
      <w:r w:rsidR="0094366F">
        <w:rPr>
          <w:rFonts w:hint="cs"/>
          <w:rtl/>
        </w:rPr>
        <w:t>و</w:t>
      </w:r>
      <w:r w:rsidRPr="0073707C">
        <w:rPr>
          <w:rFonts w:hint="cs"/>
          <w:rtl/>
        </w:rPr>
        <w:t xml:space="preserve">تمثلت أبرز وقائع هذه القضية في تعرض </w:t>
      </w:r>
      <w:r w:rsidRPr="00424E37">
        <w:rPr>
          <w:rFonts w:hint="cs"/>
          <w:i/>
          <w:iCs/>
          <w:rtl/>
        </w:rPr>
        <w:t>ب</w:t>
      </w:r>
      <w:r w:rsidR="00621396">
        <w:rPr>
          <w:rFonts w:hint="cs"/>
          <w:i/>
          <w:iCs/>
          <w:rtl/>
        </w:rPr>
        <w:t>.</w:t>
      </w:r>
      <w:r w:rsidRPr="00424E37">
        <w:rPr>
          <w:rFonts w:hint="cs"/>
          <w:i/>
          <w:iCs/>
          <w:rtl/>
        </w:rPr>
        <w:t xml:space="preserve"> ل</w:t>
      </w:r>
      <w:r w:rsidR="00621396">
        <w:rPr>
          <w:rFonts w:hint="cs"/>
          <w:rtl/>
        </w:rPr>
        <w:t>.</w:t>
      </w:r>
      <w:r w:rsidRPr="0073707C">
        <w:rPr>
          <w:rFonts w:hint="cs"/>
          <w:rtl/>
        </w:rPr>
        <w:t xml:space="preserve"> بتاريخ</w:t>
      </w:r>
      <w:r>
        <w:rPr>
          <w:rFonts w:hint="cs"/>
          <w:rtl/>
        </w:rPr>
        <w:t xml:space="preserve"> 23 آذار/مارس </w:t>
      </w:r>
      <w:r w:rsidRPr="0073707C">
        <w:rPr>
          <w:rFonts w:hint="cs"/>
          <w:rtl/>
        </w:rPr>
        <w:t>2006 للاعتداء بالعنف الشديد من قبل رئيس مركز الأمن بالوردية بعد أن أوقف صحبة عدد من الشبان مما تسبب في كسر يده.</w:t>
      </w:r>
    </w:p>
    <w:p w:rsidR="00AE46F4" w:rsidRPr="0073707C" w:rsidRDefault="00AE46F4" w:rsidP="000B354C">
      <w:pPr>
        <w:pStyle w:val="Bullet1GA"/>
        <w:tabs>
          <w:tab w:val="clear" w:pos="2041"/>
          <w:tab w:val="left" w:pos="2499"/>
        </w:tabs>
        <w:bidi/>
        <w:spacing w:line="360" w:lineRule="exact"/>
        <w:ind w:left="2500" w:hanging="533"/>
        <w:rPr>
          <w:rFonts w:hint="cs"/>
          <w:rtl/>
        </w:rPr>
      </w:pPr>
      <w:r w:rsidRPr="00424E37">
        <w:rPr>
          <w:rFonts w:hint="cs"/>
          <w:rtl/>
        </w:rPr>
        <w:t>القرار 12494 الذي أصدرته محكمة الاستئناف</w:t>
      </w:r>
      <w:r>
        <w:rPr>
          <w:rFonts w:hint="cs"/>
          <w:rtl/>
        </w:rPr>
        <w:t xml:space="preserve"> </w:t>
      </w:r>
      <w:r w:rsidRPr="00424E37">
        <w:rPr>
          <w:rFonts w:hint="cs"/>
          <w:rtl/>
        </w:rPr>
        <w:t>في تونس بتاريخ 3</w:t>
      </w:r>
      <w:r>
        <w:rPr>
          <w:rFonts w:hint="cs"/>
          <w:rtl/>
        </w:rPr>
        <w:t xml:space="preserve"> </w:t>
      </w:r>
      <w:r w:rsidRPr="00424E37">
        <w:rPr>
          <w:rFonts w:hint="cs"/>
          <w:rtl/>
        </w:rPr>
        <w:t>آذار/مارس 2009</w:t>
      </w:r>
      <w:r w:rsidRPr="0073707C">
        <w:rPr>
          <w:rFonts w:hint="cs"/>
          <w:b/>
          <w:bCs/>
          <w:rtl/>
        </w:rPr>
        <w:t xml:space="preserve"> </w:t>
      </w:r>
      <w:r w:rsidRPr="0073707C">
        <w:rPr>
          <w:rFonts w:hint="cs"/>
          <w:rtl/>
        </w:rPr>
        <w:t xml:space="preserve">والذي أدانت فيه أربعة أعوان أمن </w:t>
      </w:r>
      <w:r>
        <w:rPr>
          <w:rFonts w:hint="cs"/>
          <w:rtl/>
        </w:rPr>
        <w:t>بسبب</w:t>
      </w:r>
      <w:r w:rsidRPr="0073707C">
        <w:rPr>
          <w:rFonts w:hint="cs"/>
          <w:rtl/>
        </w:rPr>
        <w:t xml:space="preserve"> سوء معاملة شخص محتفظ به مما نتج عنه وفاته، وقد تم الحكم على عونين بالسجن مدة عشرين عاما</w:t>
      </w:r>
      <w:r w:rsidR="00C84ADA">
        <w:rPr>
          <w:rFonts w:hint="cs"/>
          <w:rtl/>
        </w:rPr>
        <w:t>ً</w:t>
      </w:r>
      <w:r w:rsidRPr="0073707C">
        <w:rPr>
          <w:rFonts w:hint="cs"/>
          <w:rtl/>
        </w:rPr>
        <w:t xml:space="preserve"> </w:t>
      </w:r>
      <w:r>
        <w:rPr>
          <w:rFonts w:hint="cs"/>
          <w:rtl/>
        </w:rPr>
        <w:t>بسبب</w:t>
      </w:r>
      <w:r w:rsidRPr="0073707C">
        <w:rPr>
          <w:rFonts w:hint="cs"/>
          <w:rtl/>
        </w:rPr>
        <w:t xml:space="preserve"> الضرب والجرح الناتج عنه الموت دون قصد القتل، أما العونين الآخرين فقد حكم عليهما بالسجن لمدة خمسة عشر عاما</w:t>
      </w:r>
      <w:r w:rsidR="00C84ADA">
        <w:rPr>
          <w:rFonts w:hint="cs"/>
          <w:rtl/>
        </w:rPr>
        <w:t>ً</w:t>
      </w:r>
      <w:r w:rsidRPr="0073707C">
        <w:rPr>
          <w:rFonts w:hint="cs"/>
          <w:rtl/>
        </w:rPr>
        <w:t xml:space="preserve"> وعشرة أعوام من أجل المشاركة في الأفعال المذكورة.</w:t>
      </w:r>
    </w:p>
    <w:p w:rsidR="00AE46F4" w:rsidRPr="0073707C" w:rsidRDefault="00AE46F4" w:rsidP="0094366F">
      <w:pPr>
        <w:pStyle w:val="SingleTxtGA"/>
        <w:rPr>
          <w:rFonts w:hint="cs"/>
          <w:rtl/>
        </w:rPr>
      </w:pPr>
      <w:r>
        <w:rPr>
          <w:rFonts w:hint="cs"/>
          <w:rtl/>
        </w:rPr>
        <w:t>6</w:t>
      </w:r>
      <w:r w:rsidR="0094366F">
        <w:rPr>
          <w:rFonts w:hint="cs"/>
          <w:rtl/>
        </w:rPr>
        <w:t>-</w:t>
      </w:r>
      <w:r>
        <w:rPr>
          <w:rFonts w:hint="cs"/>
          <w:rtl/>
        </w:rPr>
        <w:tab/>
        <w:t>وتمثلت</w:t>
      </w:r>
      <w:r w:rsidRPr="0073707C">
        <w:rPr>
          <w:rFonts w:hint="cs"/>
          <w:rtl/>
        </w:rPr>
        <w:t xml:space="preserve"> وقائع هذه القضية في حصول خلاف بين </w:t>
      </w:r>
      <w:r w:rsidRPr="00424E37">
        <w:rPr>
          <w:rFonts w:hint="cs"/>
          <w:i/>
          <w:iCs/>
          <w:rtl/>
        </w:rPr>
        <w:t>م</w:t>
      </w:r>
      <w:r w:rsidR="000B354C">
        <w:rPr>
          <w:rFonts w:hint="cs"/>
          <w:i/>
          <w:iCs/>
          <w:rtl/>
        </w:rPr>
        <w:t>.</w:t>
      </w:r>
      <w:r w:rsidRPr="00424E37">
        <w:rPr>
          <w:rFonts w:hint="cs"/>
          <w:i/>
          <w:iCs/>
          <w:rtl/>
        </w:rPr>
        <w:t xml:space="preserve"> س</w:t>
      </w:r>
      <w:r w:rsidR="000B354C">
        <w:rPr>
          <w:rFonts w:hint="cs"/>
          <w:i/>
          <w:iCs/>
          <w:rtl/>
        </w:rPr>
        <w:t>.</w:t>
      </w:r>
      <w:r>
        <w:rPr>
          <w:rFonts w:hint="cs"/>
          <w:rtl/>
        </w:rPr>
        <w:t xml:space="preserve"> وبين </w:t>
      </w:r>
      <w:r w:rsidRPr="0073707C">
        <w:rPr>
          <w:rFonts w:hint="cs"/>
          <w:rtl/>
        </w:rPr>
        <w:t>أعوان أمن سليمان لرفضه خلاص المشروبات التي تناول</w:t>
      </w:r>
      <w:r>
        <w:rPr>
          <w:rFonts w:hint="cs"/>
          <w:rtl/>
        </w:rPr>
        <w:t>ها</w:t>
      </w:r>
      <w:r w:rsidRPr="0073707C">
        <w:rPr>
          <w:rFonts w:hint="cs"/>
          <w:rtl/>
        </w:rPr>
        <w:t xml:space="preserve"> بنزل "مي دي سي" فتولوا رشه بالغاز </w:t>
      </w:r>
      <w:r>
        <w:rPr>
          <w:rFonts w:hint="cs"/>
          <w:rtl/>
        </w:rPr>
        <w:t>و</w:t>
      </w:r>
      <w:r w:rsidRPr="0073707C">
        <w:rPr>
          <w:rFonts w:hint="cs"/>
          <w:rtl/>
        </w:rPr>
        <w:t>تعنيفه ثم قاموا بتقييده ووضعه بالسيارة</w:t>
      </w:r>
      <w:r>
        <w:rPr>
          <w:rFonts w:hint="cs"/>
          <w:rtl/>
        </w:rPr>
        <w:t xml:space="preserve"> </w:t>
      </w:r>
      <w:r w:rsidRPr="0073707C">
        <w:rPr>
          <w:rFonts w:hint="cs"/>
          <w:rtl/>
        </w:rPr>
        <w:t>مما أدى إلى وفاته.</w:t>
      </w:r>
    </w:p>
    <w:p w:rsidR="00AE46F4" w:rsidRPr="00621396" w:rsidRDefault="00AE46F4" w:rsidP="0094366F">
      <w:pPr>
        <w:pStyle w:val="Bullet1GA"/>
        <w:tabs>
          <w:tab w:val="clear" w:pos="2041"/>
          <w:tab w:val="left" w:pos="2499"/>
        </w:tabs>
        <w:bidi/>
        <w:ind w:left="2499" w:hanging="532"/>
        <w:rPr>
          <w:rFonts w:hint="cs"/>
          <w:b/>
          <w:bCs/>
          <w:rtl/>
        </w:rPr>
      </w:pPr>
      <w:r w:rsidRPr="00621396">
        <w:rPr>
          <w:rFonts w:hint="cs"/>
          <w:rtl/>
        </w:rPr>
        <w:t>القرار 1579 الذي أصدرته محكمة الاستئناف بالمنستير بتاريخ 11 حزيران/يونيه 2009 والذي أدانت فيه عوني شرطة بسبب استعمال العنف أثناء قيامهما بوظائفهما، وقد حكم عليهما بالسجن مدة عامين اثنين لكل واحد منها.</w:t>
      </w:r>
    </w:p>
    <w:p w:rsidR="00AE46F4" w:rsidRPr="00D01D02" w:rsidRDefault="00AE46F4" w:rsidP="0094366F">
      <w:pPr>
        <w:pStyle w:val="SingleTxtGA"/>
        <w:rPr>
          <w:rFonts w:hint="cs"/>
          <w:rtl/>
        </w:rPr>
      </w:pPr>
      <w:r>
        <w:rPr>
          <w:rFonts w:hint="cs"/>
          <w:rtl/>
        </w:rPr>
        <w:t>7</w:t>
      </w:r>
      <w:r w:rsidR="0094366F">
        <w:rPr>
          <w:rFonts w:hint="cs"/>
          <w:rtl/>
        </w:rPr>
        <w:t>-</w:t>
      </w:r>
      <w:r>
        <w:rPr>
          <w:rFonts w:hint="cs"/>
          <w:rtl/>
        </w:rPr>
        <w:tab/>
      </w:r>
      <w:r w:rsidRPr="0073707C">
        <w:rPr>
          <w:rFonts w:hint="cs"/>
          <w:rtl/>
        </w:rPr>
        <w:t>و تمثلت وقائع هذه القضية في تعرض</w:t>
      </w:r>
      <w:r w:rsidRPr="00CE5932">
        <w:rPr>
          <w:rFonts w:hint="cs"/>
          <w:i/>
          <w:iCs/>
          <w:rtl/>
        </w:rPr>
        <w:t xml:space="preserve"> ف</w:t>
      </w:r>
      <w:r w:rsidR="000B354C">
        <w:rPr>
          <w:rFonts w:hint="cs"/>
          <w:i/>
          <w:iCs/>
          <w:rtl/>
        </w:rPr>
        <w:t>.</w:t>
      </w:r>
      <w:r w:rsidRPr="00CE5932">
        <w:rPr>
          <w:rFonts w:hint="cs"/>
          <w:i/>
          <w:iCs/>
          <w:rtl/>
        </w:rPr>
        <w:t xml:space="preserve"> ب</w:t>
      </w:r>
      <w:r w:rsidR="000B354C">
        <w:rPr>
          <w:rFonts w:hint="cs"/>
          <w:rtl/>
        </w:rPr>
        <w:t>.</w:t>
      </w:r>
      <w:r w:rsidRPr="0073707C">
        <w:rPr>
          <w:rFonts w:hint="cs"/>
          <w:rtl/>
        </w:rPr>
        <w:t xml:space="preserve"> إلى العنف من طرف عون أمن الذي اقتاد مرافقته للحديث معها لما كانت بصحبته بملهى نزل "كاب سراي" </w:t>
      </w:r>
      <w:r>
        <w:rPr>
          <w:rFonts w:hint="cs"/>
          <w:rtl/>
        </w:rPr>
        <w:t>ولما</w:t>
      </w:r>
      <w:r w:rsidRPr="0073707C">
        <w:rPr>
          <w:rFonts w:hint="cs"/>
          <w:rtl/>
        </w:rPr>
        <w:t xml:space="preserve"> حاول جلبها عن</w:t>
      </w:r>
      <w:r>
        <w:rPr>
          <w:rFonts w:hint="cs"/>
          <w:rtl/>
        </w:rPr>
        <w:t>ّ</w:t>
      </w:r>
      <w:r w:rsidRPr="0073707C">
        <w:rPr>
          <w:rFonts w:hint="cs"/>
          <w:rtl/>
        </w:rPr>
        <w:t xml:space="preserve">فه ووضع الغلال بيده </w:t>
      </w:r>
      <w:r>
        <w:rPr>
          <w:rFonts w:hint="cs"/>
          <w:rtl/>
        </w:rPr>
        <w:t xml:space="preserve">وبيد </w:t>
      </w:r>
      <w:r w:rsidRPr="0073707C">
        <w:rPr>
          <w:rFonts w:hint="cs"/>
          <w:rtl/>
        </w:rPr>
        <w:t xml:space="preserve">صديقه </w:t>
      </w:r>
      <w:r>
        <w:rPr>
          <w:rFonts w:hint="cs"/>
          <w:rtl/>
        </w:rPr>
        <w:t>وقام</w:t>
      </w:r>
      <w:r w:rsidRPr="0073707C">
        <w:rPr>
          <w:rFonts w:hint="cs"/>
          <w:rtl/>
        </w:rPr>
        <w:t xml:space="preserve"> بالاعتداء عليهما ب</w:t>
      </w:r>
      <w:r w:rsidRPr="00D01D02">
        <w:rPr>
          <w:rFonts w:hint="cs"/>
          <w:rtl/>
        </w:rPr>
        <w:t>واسطة هراوة على كامل أجزاء بدنهما ثم قام بإركابهما</w:t>
      </w:r>
      <w:r>
        <w:rPr>
          <w:rFonts w:hint="cs"/>
          <w:rtl/>
        </w:rPr>
        <w:t xml:space="preserve"> في </w:t>
      </w:r>
      <w:r w:rsidRPr="00D01D02">
        <w:rPr>
          <w:rFonts w:hint="cs"/>
          <w:rtl/>
        </w:rPr>
        <w:t>السيارة الإدارية</w:t>
      </w:r>
      <w:r>
        <w:rPr>
          <w:rFonts w:hint="cs"/>
          <w:rtl/>
        </w:rPr>
        <w:t>.</w:t>
      </w:r>
    </w:p>
    <w:p w:rsidR="00AE46F4" w:rsidRDefault="00AE46F4" w:rsidP="0094366F">
      <w:pPr>
        <w:pStyle w:val="SingleTxtGA"/>
        <w:rPr>
          <w:rFonts w:hint="cs"/>
          <w:rtl/>
        </w:rPr>
      </w:pPr>
      <w:r w:rsidRPr="00D01D02">
        <w:rPr>
          <w:rFonts w:hint="cs"/>
          <w:rtl/>
        </w:rPr>
        <w:t>8</w:t>
      </w:r>
      <w:r w:rsidR="0094366F">
        <w:rPr>
          <w:rFonts w:hint="cs"/>
          <w:rtl/>
        </w:rPr>
        <w:t>-</w:t>
      </w:r>
      <w:r w:rsidRPr="00D01D02">
        <w:rPr>
          <w:rFonts w:hint="cs"/>
          <w:rtl/>
        </w:rPr>
        <w:tab/>
        <w:t>ويبين</w:t>
      </w:r>
      <w:r w:rsidRPr="00265FCE">
        <w:rPr>
          <w:rFonts w:hint="cs"/>
          <w:rtl/>
        </w:rPr>
        <w:t xml:space="preserve"> الجدول التالي عدد أعوان الأمن الذين تمت إحالتهم على القضاء</w:t>
      </w:r>
      <w:r>
        <w:rPr>
          <w:rFonts w:hint="cs"/>
          <w:rtl/>
        </w:rPr>
        <w:t xml:space="preserve"> بسبب إساءة </w:t>
      </w:r>
      <w:r w:rsidRPr="00265FCE">
        <w:rPr>
          <w:rFonts w:hint="cs"/>
          <w:rtl/>
        </w:rPr>
        <w:t xml:space="preserve">المعاملة </w:t>
      </w:r>
      <w:r>
        <w:rPr>
          <w:rFonts w:hint="cs"/>
          <w:rtl/>
        </w:rPr>
        <w:t>وصدرت</w:t>
      </w:r>
      <w:r w:rsidRPr="00265FCE">
        <w:rPr>
          <w:rFonts w:hint="cs"/>
          <w:rtl/>
        </w:rPr>
        <w:t xml:space="preserve"> ضدهم أحكام باتة وذلك خلال الفترة الممتدة من سنة 1999 إلى أيلول/سبتمبر 2009:</w:t>
      </w:r>
    </w:p>
    <w:tbl>
      <w:tblPr>
        <w:bidiVisual/>
        <w:tblW w:w="0" w:type="auto"/>
        <w:tblInd w:w="2033" w:type="dxa"/>
        <w:tblBorders>
          <w:top w:val="single" w:sz="4" w:space="0" w:color="auto"/>
        </w:tblBorders>
        <w:tblLook w:val="01E0" w:firstRow="1" w:lastRow="1" w:firstColumn="1" w:lastColumn="1" w:noHBand="0" w:noVBand="0"/>
      </w:tblPr>
      <w:tblGrid>
        <w:gridCol w:w="5571"/>
        <w:gridCol w:w="924"/>
      </w:tblGrid>
      <w:tr w:rsidR="00AE46F4" w:rsidRPr="0094366F" w:rsidTr="00621396">
        <w:trPr>
          <w:trHeight w:val="70"/>
        </w:trPr>
        <w:tc>
          <w:tcPr>
            <w:tcW w:w="5571" w:type="dxa"/>
            <w:tcBorders>
              <w:top w:val="single" w:sz="4" w:space="0" w:color="auto"/>
              <w:bottom w:val="single" w:sz="12" w:space="0" w:color="auto"/>
            </w:tcBorders>
          </w:tcPr>
          <w:p w:rsidR="00AE46F4" w:rsidRPr="0094366F" w:rsidRDefault="00AE46F4" w:rsidP="00621396">
            <w:pPr>
              <w:spacing w:before="40" w:after="40" w:line="280" w:lineRule="exact"/>
              <w:rPr>
                <w:rFonts w:hint="cs"/>
                <w:i/>
                <w:iCs/>
                <w:szCs w:val="28"/>
                <w:rtl/>
              </w:rPr>
            </w:pPr>
            <w:r w:rsidRPr="0094366F">
              <w:rPr>
                <w:rFonts w:hint="cs"/>
                <w:i/>
                <w:iCs/>
                <w:szCs w:val="28"/>
                <w:rtl/>
              </w:rPr>
              <w:t>السنة</w:t>
            </w:r>
          </w:p>
        </w:tc>
        <w:tc>
          <w:tcPr>
            <w:tcW w:w="924" w:type="dxa"/>
            <w:tcBorders>
              <w:top w:val="single" w:sz="4" w:space="0" w:color="auto"/>
              <w:bottom w:val="single" w:sz="12" w:space="0" w:color="auto"/>
            </w:tcBorders>
          </w:tcPr>
          <w:p w:rsidR="00AE46F4" w:rsidRPr="0094366F" w:rsidRDefault="00AE46F4" w:rsidP="00621396">
            <w:pPr>
              <w:spacing w:before="40" w:after="40" w:line="280" w:lineRule="exact"/>
              <w:rPr>
                <w:rFonts w:hint="cs"/>
                <w:i/>
                <w:iCs/>
                <w:szCs w:val="28"/>
                <w:rtl/>
              </w:rPr>
            </w:pPr>
            <w:r w:rsidRPr="0094366F">
              <w:rPr>
                <w:rFonts w:hint="cs"/>
                <w:i/>
                <w:iCs/>
                <w:szCs w:val="28"/>
                <w:rtl/>
              </w:rPr>
              <w:t>العدد</w:t>
            </w:r>
          </w:p>
        </w:tc>
      </w:tr>
      <w:tr w:rsidR="00AE46F4" w:rsidRPr="0073707C" w:rsidTr="00621396">
        <w:trPr>
          <w:trHeight w:val="72"/>
        </w:trPr>
        <w:tc>
          <w:tcPr>
            <w:tcW w:w="5571" w:type="dxa"/>
            <w:tcBorders>
              <w:top w:val="single" w:sz="12" w:space="0" w:color="auto"/>
            </w:tcBorders>
          </w:tcPr>
          <w:p w:rsidR="00AE46F4" w:rsidRPr="0094366F" w:rsidRDefault="00AE46F4" w:rsidP="00621396">
            <w:pPr>
              <w:spacing w:before="40" w:after="40" w:line="280" w:lineRule="exact"/>
              <w:rPr>
                <w:rFonts w:hint="cs"/>
                <w:szCs w:val="28"/>
                <w:rtl/>
              </w:rPr>
            </w:pPr>
            <w:r w:rsidRPr="0094366F">
              <w:rPr>
                <w:rFonts w:hint="cs"/>
                <w:szCs w:val="28"/>
                <w:rtl/>
              </w:rPr>
              <w:t>1999</w:t>
            </w:r>
          </w:p>
        </w:tc>
        <w:tc>
          <w:tcPr>
            <w:tcW w:w="924" w:type="dxa"/>
            <w:tcBorders>
              <w:top w:val="single" w:sz="12" w:space="0" w:color="auto"/>
            </w:tcBorders>
          </w:tcPr>
          <w:p w:rsidR="00AE46F4" w:rsidRPr="0094366F" w:rsidRDefault="0094366F" w:rsidP="00621396">
            <w:pPr>
              <w:spacing w:before="40" w:after="40" w:line="280" w:lineRule="exact"/>
              <w:rPr>
                <w:rFonts w:hint="cs"/>
                <w:szCs w:val="28"/>
                <w:rtl/>
              </w:rPr>
            </w:pPr>
            <w:r w:rsidRPr="0094366F">
              <w:rPr>
                <w:rFonts w:hint="cs"/>
                <w:szCs w:val="28"/>
                <w:rtl/>
              </w:rPr>
              <w:t>4</w:t>
            </w:r>
          </w:p>
        </w:tc>
      </w:tr>
      <w:tr w:rsidR="00AE46F4" w:rsidRPr="0073707C" w:rsidTr="00621396">
        <w:trPr>
          <w:trHeight w:val="80"/>
        </w:trPr>
        <w:tc>
          <w:tcPr>
            <w:tcW w:w="5571" w:type="dxa"/>
          </w:tcPr>
          <w:p w:rsidR="00AE46F4" w:rsidRPr="0094366F" w:rsidRDefault="00AE46F4" w:rsidP="00621396">
            <w:pPr>
              <w:spacing w:before="40" w:after="40" w:line="280" w:lineRule="exact"/>
              <w:rPr>
                <w:rFonts w:hint="cs"/>
                <w:szCs w:val="28"/>
                <w:rtl/>
              </w:rPr>
            </w:pPr>
            <w:r w:rsidRPr="0094366F">
              <w:rPr>
                <w:rFonts w:hint="cs"/>
                <w:szCs w:val="28"/>
                <w:rtl/>
              </w:rPr>
              <w:t>2000</w:t>
            </w:r>
          </w:p>
        </w:tc>
        <w:tc>
          <w:tcPr>
            <w:tcW w:w="924" w:type="dxa"/>
          </w:tcPr>
          <w:p w:rsidR="00AE46F4" w:rsidRPr="0094366F" w:rsidRDefault="0094366F" w:rsidP="00621396">
            <w:pPr>
              <w:spacing w:before="40" w:after="40" w:line="280" w:lineRule="exact"/>
              <w:rPr>
                <w:rFonts w:hint="cs"/>
                <w:szCs w:val="28"/>
                <w:rtl/>
              </w:rPr>
            </w:pPr>
            <w:r w:rsidRPr="0094366F">
              <w:rPr>
                <w:rFonts w:hint="cs"/>
                <w:szCs w:val="28"/>
                <w:rtl/>
              </w:rPr>
              <w:t>5</w:t>
            </w:r>
          </w:p>
        </w:tc>
      </w:tr>
      <w:tr w:rsidR="00AE46F4" w:rsidRPr="0073707C" w:rsidTr="00621396">
        <w:trPr>
          <w:trHeight w:val="80"/>
        </w:trPr>
        <w:tc>
          <w:tcPr>
            <w:tcW w:w="5571" w:type="dxa"/>
          </w:tcPr>
          <w:p w:rsidR="00AE46F4" w:rsidRPr="0094366F" w:rsidRDefault="00AE46F4" w:rsidP="00621396">
            <w:pPr>
              <w:spacing w:before="40" w:after="40" w:line="280" w:lineRule="exact"/>
              <w:rPr>
                <w:rFonts w:hint="cs"/>
                <w:szCs w:val="28"/>
                <w:rtl/>
              </w:rPr>
            </w:pPr>
            <w:r w:rsidRPr="0094366F">
              <w:rPr>
                <w:rFonts w:hint="cs"/>
                <w:szCs w:val="28"/>
                <w:rtl/>
              </w:rPr>
              <w:t>2001</w:t>
            </w:r>
          </w:p>
        </w:tc>
        <w:tc>
          <w:tcPr>
            <w:tcW w:w="924" w:type="dxa"/>
          </w:tcPr>
          <w:p w:rsidR="00AE46F4" w:rsidRPr="0094366F" w:rsidRDefault="0094366F" w:rsidP="00621396">
            <w:pPr>
              <w:spacing w:before="40" w:after="40" w:line="280" w:lineRule="exact"/>
              <w:rPr>
                <w:rFonts w:hint="cs"/>
                <w:szCs w:val="28"/>
                <w:rtl/>
              </w:rPr>
            </w:pPr>
            <w:r w:rsidRPr="0094366F">
              <w:rPr>
                <w:rFonts w:hint="cs"/>
                <w:szCs w:val="28"/>
                <w:rtl/>
              </w:rPr>
              <w:t>2</w:t>
            </w:r>
          </w:p>
        </w:tc>
      </w:tr>
      <w:tr w:rsidR="00AE46F4" w:rsidRPr="0073707C" w:rsidTr="00C84ADA">
        <w:trPr>
          <w:trHeight w:val="103"/>
        </w:trPr>
        <w:tc>
          <w:tcPr>
            <w:tcW w:w="5571" w:type="dxa"/>
          </w:tcPr>
          <w:p w:rsidR="00AE46F4" w:rsidRPr="0094366F" w:rsidRDefault="00AE46F4" w:rsidP="00621396">
            <w:pPr>
              <w:spacing w:before="40" w:after="40" w:line="280" w:lineRule="exact"/>
              <w:rPr>
                <w:rFonts w:hint="cs"/>
                <w:szCs w:val="28"/>
                <w:rtl/>
              </w:rPr>
            </w:pPr>
            <w:r w:rsidRPr="0094366F">
              <w:rPr>
                <w:rFonts w:hint="cs"/>
                <w:szCs w:val="28"/>
                <w:rtl/>
              </w:rPr>
              <w:t>2002</w:t>
            </w:r>
          </w:p>
        </w:tc>
        <w:tc>
          <w:tcPr>
            <w:tcW w:w="924" w:type="dxa"/>
          </w:tcPr>
          <w:p w:rsidR="00AE46F4" w:rsidRPr="0094366F" w:rsidRDefault="0094366F" w:rsidP="00621396">
            <w:pPr>
              <w:spacing w:before="40" w:after="40" w:line="280" w:lineRule="exact"/>
              <w:rPr>
                <w:rFonts w:hint="cs"/>
                <w:szCs w:val="28"/>
                <w:rtl/>
              </w:rPr>
            </w:pPr>
            <w:r w:rsidRPr="0094366F">
              <w:rPr>
                <w:rFonts w:hint="cs"/>
                <w:szCs w:val="28"/>
                <w:rtl/>
              </w:rPr>
              <w:t>3</w:t>
            </w:r>
          </w:p>
        </w:tc>
      </w:tr>
      <w:tr w:rsidR="00AE46F4" w:rsidRPr="0073707C" w:rsidTr="00C84ADA">
        <w:tc>
          <w:tcPr>
            <w:tcW w:w="5571" w:type="dxa"/>
          </w:tcPr>
          <w:p w:rsidR="00AE46F4" w:rsidRPr="0094366F" w:rsidRDefault="00AE46F4" w:rsidP="00621396">
            <w:pPr>
              <w:spacing w:before="40" w:after="40" w:line="280" w:lineRule="exact"/>
              <w:rPr>
                <w:rFonts w:hint="cs"/>
                <w:szCs w:val="28"/>
                <w:rtl/>
              </w:rPr>
            </w:pPr>
            <w:r w:rsidRPr="0094366F">
              <w:rPr>
                <w:rFonts w:hint="cs"/>
                <w:szCs w:val="28"/>
                <w:rtl/>
              </w:rPr>
              <w:t>2003</w:t>
            </w:r>
          </w:p>
        </w:tc>
        <w:tc>
          <w:tcPr>
            <w:tcW w:w="924" w:type="dxa"/>
          </w:tcPr>
          <w:p w:rsidR="00AE46F4" w:rsidRPr="0094366F" w:rsidRDefault="0094366F" w:rsidP="00621396">
            <w:pPr>
              <w:spacing w:before="40" w:after="40" w:line="280" w:lineRule="exact"/>
              <w:rPr>
                <w:rFonts w:hint="cs"/>
                <w:szCs w:val="28"/>
                <w:rtl/>
              </w:rPr>
            </w:pPr>
            <w:r w:rsidRPr="0094366F">
              <w:rPr>
                <w:rFonts w:hint="cs"/>
                <w:szCs w:val="28"/>
                <w:rtl/>
              </w:rPr>
              <w:t>9</w:t>
            </w:r>
          </w:p>
        </w:tc>
      </w:tr>
      <w:tr w:rsidR="00AE46F4" w:rsidRPr="0073707C" w:rsidTr="00C84ADA">
        <w:tc>
          <w:tcPr>
            <w:tcW w:w="5571" w:type="dxa"/>
          </w:tcPr>
          <w:p w:rsidR="00AE46F4" w:rsidRPr="0094366F" w:rsidRDefault="00AE46F4" w:rsidP="00621396">
            <w:pPr>
              <w:spacing w:before="40" w:after="40" w:line="280" w:lineRule="exact"/>
              <w:rPr>
                <w:rFonts w:hint="cs"/>
                <w:szCs w:val="28"/>
                <w:rtl/>
              </w:rPr>
            </w:pPr>
            <w:r w:rsidRPr="0094366F">
              <w:rPr>
                <w:rFonts w:hint="cs"/>
                <w:szCs w:val="28"/>
                <w:rtl/>
              </w:rPr>
              <w:t>2004</w:t>
            </w:r>
          </w:p>
        </w:tc>
        <w:tc>
          <w:tcPr>
            <w:tcW w:w="924" w:type="dxa"/>
          </w:tcPr>
          <w:p w:rsidR="00AE46F4" w:rsidRPr="0094366F" w:rsidRDefault="00AE46F4" w:rsidP="00621396">
            <w:pPr>
              <w:spacing w:before="40" w:after="40" w:line="280" w:lineRule="exact"/>
              <w:rPr>
                <w:rFonts w:hint="cs"/>
                <w:szCs w:val="28"/>
                <w:rtl/>
              </w:rPr>
            </w:pPr>
            <w:r w:rsidRPr="0094366F">
              <w:rPr>
                <w:rFonts w:hint="cs"/>
                <w:szCs w:val="28"/>
                <w:rtl/>
              </w:rPr>
              <w:t>27</w:t>
            </w:r>
          </w:p>
        </w:tc>
      </w:tr>
      <w:tr w:rsidR="00AE46F4" w:rsidRPr="0073707C" w:rsidTr="00C84ADA">
        <w:tc>
          <w:tcPr>
            <w:tcW w:w="5571" w:type="dxa"/>
          </w:tcPr>
          <w:p w:rsidR="00AE46F4" w:rsidRPr="0094366F" w:rsidRDefault="00AE46F4" w:rsidP="00621396">
            <w:pPr>
              <w:spacing w:before="40" w:after="40" w:line="280" w:lineRule="exact"/>
              <w:rPr>
                <w:rFonts w:hint="cs"/>
                <w:szCs w:val="28"/>
                <w:rtl/>
              </w:rPr>
            </w:pPr>
            <w:r w:rsidRPr="0094366F">
              <w:rPr>
                <w:rFonts w:hint="cs"/>
                <w:szCs w:val="28"/>
                <w:rtl/>
              </w:rPr>
              <w:t>2005</w:t>
            </w:r>
          </w:p>
        </w:tc>
        <w:tc>
          <w:tcPr>
            <w:tcW w:w="924" w:type="dxa"/>
          </w:tcPr>
          <w:p w:rsidR="00AE46F4" w:rsidRPr="0094366F" w:rsidRDefault="00AE46F4" w:rsidP="00621396">
            <w:pPr>
              <w:spacing w:before="40" w:after="40" w:line="280" w:lineRule="exact"/>
              <w:rPr>
                <w:rFonts w:hint="cs"/>
                <w:szCs w:val="28"/>
                <w:rtl/>
              </w:rPr>
            </w:pPr>
            <w:r w:rsidRPr="0094366F">
              <w:rPr>
                <w:rFonts w:hint="cs"/>
                <w:szCs w:val="28"/>
                <w:rtl/>
              </w:rPr>
              <w:t>33</w:t>
            </w:r>
          </w:p>
        </w:tc>
      </w:tr>
      <w:tr w:rsidR="00AE46F4" w:rsidRPr="0073707C" w:rsidTr="00C84ADA">
        <w:tc>
          <w:tcPr>
            <w:tcW w:w="5571" w:type="dxa"/>
          </w:tcPr>
          <w:p w:rsidR="00AE46F4" w:rsidRPr="0094366F" w:rsidRDefault="00AE46F4" w:rsidP="00621396">
            <w:pPr>
              <w:spacing w:before="40" w:after="40" w:line="280" w:lineRule="exact"/>
              <w:rPr>
                <w:rFonts w:hint="cs"/>
                <w:szCs w:val="28"/>
                <w:rtl/>
              </w:rPr>
            </w:pPr>
            <w:r w:rsidRPr="0094366F">
              <w:rPr>
                <w:rFonts w:hint="cs"/>
                <w:szCs w:val="28"/>
                <w:rtl/>
              </w:rPr>
              <w:t>2006</w:t>
            </w:r>
          </w:p>
        </w:tc>
        <w:tc>
          <w:tcPr>
            <w:tcW w:w="924" w:type="dxa"/>
          </w:tcPr>
          <w:p w:rsidR="00AE46F4" w:rsidRPr="0094366F" w:rsidRDefault="00AE46F4" w:rsidP="00621396">
            <w:pPr>
              <w:spacing w:before="40" w:after="40" w:line="280" w:lineRule="exact"/>
              <w:rPr>
                <w:rFonts w:hint="cs"/>
                <w:szCs w:val="28"/>
                <w:rtl/>
              </w:rPr>
            </w:pPr>
            <w:r w:rsidRPr="0094366F">
              <w:rPr>
                <w:rFonts w:hint="cs"/>
                <w:szCs w:val="28"/>
                <w:rtl/>
              </w:rPr>
              <w:t>29</w:t>
            </w:r>
          </w:p>
        </w:tc>
      </w:tr>
      <w:tr w:rsidR="00AE46F4" w:rsidRPr="0073707C" w:rsidTr="00C84ADA">
        <w:tc>
          <w:tcPr>
            <w:tcW w:w="5571" w:type="dxa"/>
          </w:tcPr>
          <w:p w:rsidR="00AE46F4" w:rsidRPr="0094366F" w:rsidRDefault="00AE46F4" w:rsidP="00621396">
            <w:pPr>
              <w:spacing w:before="40" w:after="40" w:line="280" w:lineRule="exact"/>
              <w:rPr>
                <w:rFonts w:hint="cs"/>
                <w:szCs w:val="28"/>
                <w:rtl/>
              </w:rPr>
            </w:pPr>
            <w:r w:rsidRPr="0094366F">
              <w:rPr>
                <w:rFonts w:hint="cs"/>
                <w:szCs w:val="28"/>
                <w:rtl/>
              </w:rPr>
              <w:t>2007</w:t>
            </w:r>
          </w:p>
        </w:tc>
        <w:tc>
          <w:tcPr>
            <w:tcW w:w="924" w:type="dxa"/>
          </w:tcPr>
          <w:p w:rsidR="00AE46F4" w:rsidRPr="0094366F" w:rsidRDefault="00AE46F4" w:rsidP="00621396">
            <w:pPr>
              <w:spacing w:before="40" w:after="40" w:line="280" w:lineRule="exact"/>
              <w:rPr>
                <w:rFonts w:hint="cs"/>
                <w:szCs w:val="28"/>
                <w:rtl/>
              </w:rPr>
            </w:pPr>
            <w:r w:rsidRPr="0094366F">
              <w:rPr>
                <w:rFonts w:hint="cs"/>
                <w:szCs w:val="28"/>
                <w:rtl/>
              </w:rPr>
              <w:t>43</w:t>
            </w:r>
          </w:p>
        </w:tc>
      </w:tr>
      <w:tr w:rsidR="00AE46F4" w:rsidRPr="0073707C" w:rsidTr="00C84ADA">
        <w:tc>
          <w:tcPr>
            <w:tcW w:w="5571" w:type="dxa"/>
          </w:tcPr>
          <w:p w:rsidR="00AE46F4" w:rsidRPr="0094366F" w:rsidRDefault="00AE46F4" w:rsidP="00621396">
            <w:pPr>
              <w:spacing w:before="40" w:after="40" w:line="280" w:lineRule="exact"/>
              <w:rPr>
                <w:rFonts w:hint="cs"/>
                <w:szCs w:val="28"/>
                <w:rtl/>
              </w:rPr>
            </w:pPr>
            <w:r w:rsidRPr="0094366F">
              <w:rPr>
                <w:rFonts w:hint="cs"/>
                <w:szCs w:val="28"/>
                <w:rtl/>
              </w:rPr>
              <w:t>2008</w:t>
            </w:r>
          </w:p>
        </w:tc>
        <w:tc>
          <w:tcPr>
            <w:tcW w:w="924" w:type="dxa"/>
          </w:tcPr>
          <w:p w:rsidR="00AE46F4" w:rsidRPr="0094366F" w:rsidRDefault="00AE46F4" w:rsidP="00621396">
            <w:pPr>
              <w:spacing w:before="40" w:after="40" w:line="280" w:lineRule="exact"/>
              <w:rPr>
                <w:rFonts w:hint="cs"/>
                <w:szCs w:val="28"/>
                <w:rtl/>
              </w:rPr>
            </w:pPr>
            <w:r w:rsidRPr="0094366F">
              <w:rPr>
                <w:rFonts w:hint="cs"/>
                <w:szCs w:val="28"/>
                <w:rtl/>
              </w:rPr>
              <w:t>32</w:t>
            </w:r>
          </w:p>
        </w:tc>
      </w:tr>
      <w:tr w:rsidR="00AE46F4" w:rsidRPr="0073707C" w:rsidTr="00C84ADA">
        <w:tc>
          <w:tcPr>
            <w:tcW w:w="5571" w:type="dxa"/>
            <w:tcBorders>
              <w:bottom w:val="single" w:sz="4" w:space="0" w:color="auto"/>
            </w:tcBorders>
          </w:tcPr>
          <w:p w:rsidR="00AE46F4" w:rsidRPr="0094366F" w:rsidRDefault="00AE46F4" w:rsidP="00621396">
            <w:pPr>
              <w:spacing w:before="40" w:after="40" w:line="280" w:lineRule="exact"/>
              <w:rPr>
                <w:rFonts w:hint="cs"/>
                <w:szCs w:val="28"/>
                <w:rtl/>
              </w:rPr>
            </w:pPr>
            <w:r w:rsidRPr="0094366F">
              <w:rPr>
                <w:rFonts w:hint="cs"/>
                <w:szCs w:val="28"/>
                <w:rtl/>
              </w:rPr>
              <w:t>2009 (إلى 25</w:t>
            </w:r>
            <w:r w:rsidR="0094366F" w:rsidRPr="0094366F">
              <w:rPr>
                <w:rFonts w:hint="cs"/>
                <w:szCs w:val="28"/>
                <w:rtl/>
              </w:rPr>
              <w:t xml:space="preserve"> أيلول/سبتمبر </w:t>
            </w:r>
            <w:r w:rsidRPr="0094366F">
              <w:rPr>
                <w:rFonts w:hint="cs"/>
                <w:szCs w:val="28"/>
                <w:rtl/>
              </w:rPr>
              <w:t>2009)</w:t>
            </w:r>
          </w:p>
        </w:tc>
        <w:tc>
          <w:tcPr>
            <w:tcW w:w="924" w:type="dxa"/>
            <w:tcBorders>
              <w:bottom w:val="single" w:sz="4" w:space="0" w:color="auto"/>
            </w:tcBorders>
          </w:tcPr>
          <w:p w:rsidR="00AE46F4" w:rsidRPr="0094366F" w:rsidRDefault="00AE46F4" w:rsidP="00621396">
            <w:pPr>
              <w:spacing w:before="40" w:after="40" w:line="280" w:lineRule="exact"/>
              <w:rPr>
                <w:rFonts w:hint="cs"/>
                <w:szCs w:val="28"/>
                <w:rtl/>
              </w:rPr>
            </w:pPr>
            <w:r w:rsidRPr="0094366F">
              <w:rPr>
                <w:rFonts w:hint="cs"/>
                <w:szCs w:val="28"/>
                <w:rtl/>
              </w:rPr>
              <w:t>41</w:t>
            </w:r>
          </w:p>
        </w:tc>
      </w:tr>
      <w:tr w:rsidR="00AE46F4" w:rsidRPr="0094366F" w:rsidTr="00C84ADA">
        <w:tc>
          <w:tcPr>
            <w:tcW w:w="5571" w:type="dxa"/>
            <w:tcBorders>
              <w:top w:val="single" w:sz="4" w:space="0" w:color="auto"/>
              <w:bottom w:val="single" w:sz="12" w:space="0" w:color="auto"/>
            </w:tcBorders>
          </w:tcPr>
          <w:p w:rsidR="00AE46F4" w:rsidRPr="0094366F" w:rsidRDefault="0094366F" w:rsidP="00621396">
            <w:pPr>
              <w:spacing w:before="40" w:after="40" w:line="280" w:lineRule="exact"/>
              <w:rPr>
                <w:rFonts w:hint="cs"/>
                <w:b/>
                <w:bCs/>
                <w:szCs w:val="28"/>
                <w:rtl/>
              </w:rPr>
            </w:pPr>
            <w:r w:rsidRPr="0094366F">
              <w:rPr>
                <w:b/>
                <w:bCs/>
                <w:szCs w:val="28"/>
                <w:rtl/>
              </w:rPr>
              <w:tab/>
            </w:r>
            <w:r w:rsidR="00AE46F4" w:rsidRPr="0094366F">
              <w:rPr>
                <w:rFonts w:hint="cs"/>
                <w:b/>
                <w:bCs/>
                <w:szCs w:val="28"/>
                <w:rtl/>
              </w:rPr>
              <w:t>المجموع</w:t>
            </w:r>
          </w:p>
        </w:tc>
        <w:tc>
          <w:tcPr>
            <w:tcW w:w="924" w:type="dxa"/>
            <w:tcBorders>
              <w:top w:val="single" w:sz="4" w:space="0" w:color="auto"/>
              <w:bottom w:val="single" w:sz="12" w:space="0" w:color="auto"/>
            </w:tcBorders>
          </w:tcPr>
          <w:p w:rsidR="00AE46F4" w:rsidRPr="0094366F" w:rsidRDefault="00AE46F4" w:rsidP="00621396">
            <w:pPr>
              <w:spacing w:before="40" w:after="40" w:line="280" w:lineRule="exact"/>
              <w:rPr>
                <w:rFonts w:hint="cs"/>
                <w:b/>
                <w:bCs/>
                <w:szCs w:val="28"/>
                <w:rtl/>
              </w:rPr>
            </w:pPr>
            <w:r w:rsidRPr="0094366F">
              <w:rPr>
                <w:rFonts w:hint="cs"/>
                <w:b/>
                <w:bCs/>
                <w:szCs w:val="28"/>
                <w:rtl/>
              </w:rPr>
              <w:t>228</w:t>
            </w:r>
          </w:p>
        </w:tc>
      </w:tr>
    </w:tbl>
    <w:p w:rsidR="00AE46F4" w:rsidRPr="0073707C" w:rsidRDefault="0094366F" w:rsidP="0094366F">
      <w:pPr>
        <w:pStyle w:val="SingleTxtGA"/>
        <w:rPr>
          <w:rFonts w:hint="cs"/>
          <w:rtl/>
        </w:rPr>
      </w:pPr>
      <w:r>
        <w:rPr>
          <w:rtl/>
        </w:rPr>
        <w:br w:type="page"/>
      </w:r>
      <w:r w:rsidR="00AE46F4" w:rsidRPr="00D01D02">
        <w:rPr>
          <w:rFonts w:hint="cs"/>
          <w:rtl/>
        </w:rPr>
        <w:t>9</w:t>
      </w:r>
      <w:r>
        <w:rPr>
          <w:rFonts w:hint="cs"/>
          <w:rtl/>
        </w:rPr>
        <w:t>-</w:t>
      </w:r>
      <w:r w:rsidR="00AE46F4" w:rsidRPr="00D01D02">
        <w:rPr>
          <w:rFonts w:hint="cs"/>
          <w:rtl/>
        </w:rPr>
        <w:tab/>
      </w:r>
      <w:r w:rsidR="00AE46F4" w:rsidRPr="0073707C">
        <w:rPr>
          <w:rFonts w:hint="cs"/>
          <w:rtl/>
        </w:rPr>
        <w:t>و</w:t>
      </w:r>
      <w:r w:rsidR="00AE46F4">
        <w:rPr>
          <w:rFonts w:hint="cs"/>
          <w:rtl/>
        </w:rPr>
        <w:t xml:space="preserve">لا </w:t>
      </w:r>
      <w:r w:rsidR="00AE46F4" w:rsidRPr="0073707C">
        <w:rPr>
          <w:rFonts w:hint="cs"/>
          <w:rtl/>
        </w:rPr>
        <w:t>تغطي عبارة جرائم سوء المعاملة</w:t>
      </w:r>
      <w:r w:rsidR="00AE46F4" w:rsidRPr="0094366F">
        <w:rPr>
          <w:rFonts w:hint="cs"/>
          <w:rtl/>
        </w:rPr>
        <w:t xml:space="preserve"> </w:t>
      </w:r>
      <w:r w:rsidR="00AE46F4" w:rsidRPr="0073707C">
        <w:rPr>
          <w:rFonts w:hint="cs"/>
          <w:rtl/>
        </w:rPr>
        <w:t xml:space="preserve">جرائم العنف </w:t>
      </w:r>
      <w:r w:rsidR="00AE46F4">
        <w:rPr>
          <w:rFonts w:hint="cs"/>
          <w:rtl/>
        </w:rPr>
        <w:t xml:space="preserve">فحسب </w:t>
      </w:r>
      <w:r w:rsidR="00AE46F4" w:rsidRPr="0073707C">
        <w:rPr>
          <w:rFonts w:hint="cs"/>
          <w:rtl/>
        </w:rPr>
        <w:t>وإنما أيضا</w:t>
      </w:r>
      <w:r w:rsidR="00AE46F4" w:rsidRPr="0073707C">
        <w:rPr>
          <w:rFonts w:hint="cs"/>
          <w:b/>
          <w:bCs/>
          <w:rtl/>
        </w:rPr>
        <w:t xml:space="preserve"> </w:t>
      </w:r>
      <w:r w:rsidR="00AE46F4" w:rsidRPr="0073707C">
        <w:rPr>
          <w:rFonts w:hint="cs"/>
          <w:rtl/>
        </w:rPr>
        <w:t>الجرائم</w:t>
      </w:r>
      <w:r w:rsidR="00AE46F4" w:rsidRPr="0073707C">
        <w:rPr>
          <w:rFonts w:hint="cs"/>
          <w:b/>
          <w:bCs/>
          <w:rtl/>
        </w:rPr>
        <w:t xml:space="preserve"> </w:t>
      </w:r>
      <w:r w:rsidR="00AE46F4" w:rsidRPr="0073707C">
        <w:rPr>
          <w:rFonts w:hint="cs"/>
          <w:rtl/>
        </w:rPr>
        <w:t>التالية:</w:t>
      </w:r>
    </w:p>
    <w:p w:rsidR="00AE46F4" w:rsidRPr="0073707C" w:rsidRDefault="00AE46F4" w:rsidP="0094366F">
      <w:pPr>
        <w:pStyle w:val="Bullet1GA"/>
        <w:tabs>
          <w:tab w:val="clear" w:pos="2041"/>
          <w:tab w:val="left" w:pos="2499"/>
        </w:tabs>
        <w:bidi/>
        <w:spacing w:line="340" w:lineRule="exact"/>
        <w:ind w:left="2500" w:hanging="533"/>
        <w:rPr>
          <w:rFonts w:hint="cs"/>
          <w:rtl/>
        </w:rPr>
      </w:pPr>
      <w:r w:rsidRPr="0073707C">
        <w:rPr>
          <w:rFonts w:hint="cs"/>
          <w:rtl/>
        </w:rPr>
        <w:t xml:space="preserve">تجاوز السلطة المصحوب بممارسة العنف. </w:t>
      </w:r>
    </w:p>
    <w:p w:rsidR="00AE46F4" w:rsidRPr="0073707C" w:rsidRDefault="00AE46F4" w:rsidP="0094366F">
      <w:pPr>
        <w:pStyle w:val="Bullet1GA"/>
        <w:tabs>
          <w:tab w:val="clear" w:pos="2041"/>
          <w:tab w:val="left" w:pos="2499"/>
        </w:tabs>
        <w:bidi/>
        <w:spacing w:line="340" w:lineRule="exact"/>
        <w:ind w:left="2500" w:hanging="533"/>
        <w:rPr>
          <w:rFonts w:hint="cs"/>
          <w:rtl/>
        </w:rPr>
      </w:pPr>
      <w:r w:rsidRPr="0073707C">
        <w:rPr>
          <w:rFonts w:hint="cs"/>
          <w:rtl/>
        </w:rPr>
        <w:t xml:space="preserve">استعمال العنف من قبل موظف عمومي حال مباشرته للوظيفة. </w:t>
      </w:r>
    </w:p>
    <w:p w:rsidR="00AE46F4" w:rsidRPr="0073707C" w:rsidRDefault="00AE46F4" w:rsidP="0094366F">
      <w:pPr>
        <w:pStyle w:val="Bullet1GA"/>
        <w:tabs>
          <w:tab w:val="clear" w:pos="2041"/>
          <w:tab w:val="left" w:pos="2499"/>
        </w:tabs>
        <w:bidi/>
        <w:spacing w:line="340" w:lineRule="exact"/>
        <w:ind w:left="2500" w:hanging="533"/>
        <w:rPr>
          <w:rFonts w:hint="cs"/>
          <w:rtl/>
        </w:rPr>
      </w:pPr>
      <w:r w:rsidRPr="0073707C">
        <w:rPr>
          <w:rFonts w:hint="cs"/>
          <w:rtl/>
        </w:rPr>
        <w:t>استعمال العنف ضدّ ذي شبهة من اجل انتزاع اعترافات.</w:t>
      </w:r>
    </w:p>
    <w:p w:rsidR="00AE46F4" w:rsidRPr="0073707C" w:rsidRDefault="00AE46F4" w:rsidP="0094366F">
      <w:pPr>
        <w:pStyle w:val="Bullet1GA"/>
        <w:tabs>
          <w:tab w:val="clear" w:pos="2041"/>
          <w:tab w:val="left" w:pos="2499"/>
        </w:tabs>
        <w:bidi/>
        <w:spacing w:line="340" w:lineRule="exact"/>
        <w:ind w:left="2500" w:hanging="533"/>
        <w:rPr>
          <w:rFonts w:hint="cs"/>
          <w:rtl/>
        </w:rPr>
      </w:pPr>
      <w:r w:rsidRPr="0073707C">
        <w:rPr>
          <w:rFonts w:hint="cs"/>
          <w:rtl/>
        </w:rPr>
        <w:t xml:space="preserve">الإيقاف والاحتجاز التعسفي. </w:t>
      </w:r>
    </w:p>
    <w:p w:rsidR="00AE46F4" w:rsidRPr="0073707C" w:rsidRDefault="00AE46F4" w:rsidP="0094366F">
      <w:pPr>
        <w:pStyle w:val="Bullet1GA"/>
        <w:tabs>
          <w:tab w:val="clear" w:pos="2041"/>
          <w:tab w:val="left" w:pos="2499"/>
        </w:tabs>
        <w:bidi/>
        <w:ind w:left="2499" w:hanging="532"/>
        <w:rPr>
          <w:rFonts w:hint="cs"/>
          <w:rtl/>
        </w:rPr>
      </w:pPr>
      <w:r w:rsidRPr="0073707C">
        <w:rPr>
          <w:rFonts w:hint="cs"/>
          <w:rtl/>
        </w:rPr>
        <w:t xml:space="preserve">أشكال مختلفة من تجاوز السلطة وسوء المعاملة. </w:t>
      </w:r>
    </w:p>
    <w:p w:rsidR="00AE46F4" w:rsidRPr="00821C1F" w:rsidRDefault="00AE46F4" w:rsidP="0094366F">
      <w:pPr>
        <w:pStyle w:val="SingleTxtGA"/>
        <w:rPr>
          <w:rFonts w:hint="cs"/>
          <w:rtl/>
        </w:rPr>
      </w:pPr>
      <w:r w:rsidRPr="00E96DA5">
        <w:rPr>
          <w:rFonts w:hint="cs"/>
          <w:rtl/>
        </w:rPr>
        <w:t>10</w:t>
      </w:r>
      <w:r w:rsidR="0094366F">
        <w:rPr>
          <w:rFonts w:hint="cs"/>
          <w:i/>
          <w:iCs/>
          <w:rtl/>
        </w:rPr>
        <w:t>-</w:t>
      </w:r>
      <w:r w:rsidR="0094366F">
        <w:rPr>
          <w:rFonts w:hint="cs"/>
          <w:i/>
          <w:iCs/>
          <w:rtl/>
        </w:rPr>
        <w:tab/>
      </w:r>
      <w:r w:rsidRPr="00821C1F">
        <w:rPr>
          <w:rFonts w:hint="cs"/>
          <w:rtl/>
        </w:rPr>
        <w:t>والجدير بالتذكير أن هذه التتبعات والإدانات لا</w:t>
      </w:r>
      <w:r>
        <w:rPr>
          <w:rFonts w:hint="cs"/>
          <w:rtl/>
        </w:rPr>
        <w:t xml:space="preserve"> </w:t>
      </w:r>
      <w:r w:rsidRPr="00821C1F">
        <w:rPr>
          <w:rFonts w:hint="cs"/>
          <w:rtl/>
        </w:rPr>
        <w:t>تمنع الإدارة من ممارسة عمل تأديبي ضد موظفيها وذلك تطبيقا لمبدأ ازدواجية المخالفات الجنائية والتأديبية. ومرتكبو مثل هذه المخالفات هم عادة محل إجراءات</w:t>
      </w:r>
      <w:r>
        <w:rPr>
          <w:rFonts w:hint="cs"/>
          <w:rtl/>
        </w:rPr>
        <w:t xml:space="preserve"> </w:t>
      </w:r>
      <w:r w:rsidRPr="00821C1F">
        <w:rPr>
          <w:rFonts w:hint="cs"/>
          <w:rtl/>
        </w:rPr>
        <w:t>تأديبية بالعزل.</w:t>
      </w:r>
    </w:p>
    <w:p w:rsidR="00AE46F4" w:rsidRPr="00821C1F" w:rsidRDefault="00AE46F4" w:rsidP="000B354C">
      <w:pPr>
        <w:pStyle w:val="SingleTxtGA"/>
        <w:rPr>
          <w:rFonts w:hint="cs"/>
          <w:rtl/>
        </w:rPr>
      </w:pPr>
      <w:r>
        <w:rPr>
          <w:rFonts w:hint="cs"/>
          <w:rtl/>
        </w:rPr>
        <w:t>11</w:t>
      </w:r>
      <w:r w:rsidR="0094366F">
        <w:rPr>
          <w:rFonts w:hint="cs"/>
          <w:rtl/>
        </w:rPr>
        <w:t>-</w:t>
      </w:r>
      <w:r w:rsidR="0094366F">
        <w:rPr>
          <w:rFonts w:hint="cs"/>
          <w:rtl/>
        </w:rPr>
        <w:tab/>
      </w:r>
      <w:r>
        <w:rPr>
          <w:rFonts w:hint="cs"/>
          <w:rtl/>
        </w:rPr>
        <w:t>ويبين</w:t>
      </w:r>
      <w:r w:rsidRPr="00821C1F">
        <w:rPr>
          <w:rFonts w:hint="cs"/>
          <w:rtl/>
        </w:rPr>
        <w:t xml:space="preserve"> الجدول التالي عدد الأعوان الذين تم </w:t>
      </w:r>
      <w:r w:rsidRPr="00A476BC">
        <w:rPr>
          <w:rFonts w:hint="cs"/>
          <w:rtl/>
        </w:rPr>
        <w:t xml:space="preserve">عزلهم من الوظيفة </w:t>
      </w:r>
      <w:r>
        <w:rPr>
          <w:rFonts w:hint="cs"/>
          <w:rtl/>
        </w:rPr>
        <w:t>بمقتضى</w:t>
      </w:r>
      <w:r w:rsidRPr="00821C1F">
        <w:rPr>
          <w:rFonts w:hint="cs"/>
          <w:rtl/>
        </w:rPr>
        <w:t xml:space="preserve"> الفصل 53 من القانون الأساسي العام لقوات الأمن الداخلي إثر إحالتهم على القضاء</w:t>
      </w:r>
      <w:r>
        <w:rPr>
          <w:rFonts w:hint="cs"/>
          <w:rtl/>
        </w:rPr>
        <w:t xml:space="preserve"> بسبب</w:t>
      </w:r>
      <w:r w:rsidRPr="00821C1F">
        <w:rPr>
          <w:rFonts w:hint="cs"/>
          <w:rtl/>
        </w:rPr>
        <w:t xml:space="preserve"> </w:t>
      </w:r>
      <w:r>
        <w:rPr>
          <w:rFonts w:hint="cs"/>
          <w:rtl/>
        </w:rPr>
        <w:t>إساءة</w:t>
      </w:r>
      <w:r w:rsidRPr="00821C1F">
        <w:rPr>
          <w:rFonts w:hint="cs"/>
          <w:rtl/>
        </w:rPr>
        <w:t xml:space="preserve"> المعاملة من سنة 1999 </w:t>
      </w:r>
      <w:r>
        <w:rPr>
          <w:rFonts w:hint="cs"/>
          <w:rtl/>
        </w:rPr>
        <w:t>لغاية أيلول/</w:t>
      </w:r>
      <w:r w:rsidRPr="00821C1F">
        <w:rPr>
          <w:rFonts w:hint="cs"/>
          <w:rtl/>
        </w:rPr>
        <w:t>سبتمبر 2009:</w:t>
      </w:r>
    </w:p>
    <w:tbl>
      <w:tblPr>
        <w:bidiVisual/>
        <w:tblW w:w="0" w:type="auto"/>
        <w:tblInd w:w="2061" w:type="dxa"/>
        <w:tblBorders>
          <w:top w:val="single" w:sz="4" w:space="0" w:color="auto"/>
          <w:bottom w:val="single" w:sz="12" w:space="0" w:color="auto"/>
        </w:tblBorders>
        <w:tblLook w:val="01E0" w:firstRow="1" w:lastRow="1" w:firstColumn="1" w:lastColumn="1" w:noHBand="0" w:noVBand="0"/>
      </w:tblPr>
      <w:tblGrid>
        <w:gridCol w:w="5515"/>
        <w:gridCol w:w="938"/>
      </w:tblGrid>
      <w:tr w:rsidR="00AE46F4" w:rsidRPr="0094366F" w:rsidTr="00C84ADA">
        <w:tc>
          <w:tcPr>
            <w:tcW w:w="5515" w:type="dxa"/>
            <w:tcBorders>
              <w:top w:val="single" w:sz="4" w:space="0" w:color="auto"/>
              <w:bottom w:val="single" w:sz="12" w:space="0" w:color="auto"/>
            </w:tcBorders>
          </w:tcPr>
          <w:p w:rsidR="00AE46F4" w:rsidRPr="0094366F" w:rsidRDefault="00AE46F4" w:rsidP="0094366F">
            <w:pPr>
              <w:spacing w:before="60" w:after="60" w:line="280" w:lineRule="exact"/>
              <w:rPr>
                <w:rFonts w:hint="cs"/>
                <w:i/>
                <w:iCs/>
                <w:szCs w:val="28"/>
                <w:rtl/>
              </w:rPr>
            </w:pPr>
            <w:r w:rsidRPr="0094366F">
              <w:rPr>
                <w:rFonts w:hint="cs"/>
                <w:i/>
                <w:iCs/>
                <w:szCs w:val="28"/>
                <w:rtl/>
              </w:rPr>
              <w:t>السنة</w:t>
            </w:r>
          </w:p>
        </w:tc>
        <w:tc>
          <w:tcPr>
            <w:tcW w:w="938" w:type="dxa"/>
            <w:tcBorders>
              <w:top w:val="single" w:sz="4" w:space="0" w:color="auto"/>
              <w:bottom w:val="single" w:sz="12" w:space="0" w:color="auto"/>
            </w:tcBorders>
          </w:tcPr>
          <w:p w:rsidR="00AE46F4" w:rsidRPr="0094366F" w:rsidRDefault="00AE46F4" w:rsidP="0094366F">
            <w:pPr>
              <w:spacing w:before="60" w:after="60" w:line="280" w:lineRule="exact"/>
              <w:rPr>
                <w:rFonts w:hint="cs"/>
                <w:i/>
                <w:iCs/>
                <w:szCs w:val="28"/>
                <w:rtl/>
              </w:rPr>
            </w:pPr>
            <w:r w:rsidRPr="0094366F">
              <w:rPr>
                <w:rFonts w:hint="cs"/>
                <w:i/>
                <w:iCs/>
                <w:szCs w:val="28"/>
                <w:rtl/>
              </w:rPr>
              <w:t>العدد</w:t>
            </w:r>
          </w:p>
        </w:tc>
      </w:tr>
      <w:tr w:rsidR="00AE46F4" w:rsidRPr="0073707C" w:rsidTr="00C84ADA">
        <w:tc>
          <w:tcPr>
            <w:tcW w:w="5515" w:type="dxa"/>
            <w:tcBorders>
              <w:top w:val="single" w:sz="12" w:space="0" w:color="auto"/>
            </w:tcBorders>
          </w:tcPr>
          <w:p w:rsidR="00AE46F4" w:rsidRPr="0094366F" w:rsidRDefault="00AE46F4" w:rsidP="0094366F">
            <w:pPr>
              <w:spacing w:before="60" w:after="60" w:line="280" w:lineRule="exact"/>
              <w:rPr>
                <w:rFonts w:hint="cs"/>
                <w:szCs w:val="28"/>
                <w:rtl/>
              </w:rPr>
            </w:pPr>
            <w:r w:rsidRPr="0094366F">
              <w:rPr>
                <w:rFonts w:hint="cs"/>
                <w:szCs w:val="28"/>
                <w:rtl/>
              </w:rPr>
              <w:t>1999</w:t>
            </w:r>
          </w:p>
        </w:tc>
        <w:tc>
          <w:tcPr>
            <w:tcW w:w="938" w:type="dxa"/>
            <w:tcBorders>
              <w:top w:val="single" w:sz="12" w:space="0" w:color="auto"/>
            </w:tcBorders>
          </w:tcPr>
          <w:p w:rsidR="00AE46F4" w:rsidRPr="0094366F" w:rsidRDefault="00AE46F4" w:rsidP="0094366F">
            <w:pPr>
              <w:spacing w:before="60" w:after="60" w:line="280" w:lineRule="exact"/>
              <w:rPr>
                <w:rFonts w:hint="cs"/>
                <w:szCs w:val="28"/>
                <w:rtl/>
              </w:rPr>
            </w:pPr>
            <w:r w:rsidRPr="0094366F">
              <w:rPr>
                <w:rFonts w:hint="cs"/>
                <w:szCs w:val="28"/>
                <w:rtl/>
              </w:rPr>
              <w:t>1</w:t>
            </w:r>
          </w:p>
        </w:tc>
      </w:tr>
      <w:tr w:rsidR="00AE46F4" w:rsidRPr="0073707C" w:rsidTr="00C84ADA">
        <w:tc>
          <w:tcPr>
            <w:tcW w:w="5515" w:type="dxa"/>
          </w:tcPr>
          <w:p w:rsidR="00AE46F4" w:rsidRPr="0094366F" w:rsidRDefault="00AE46F4" w:rsidP="0094366F">
            <w:pPr>
              <w:spacing w:before="60" w:after="60" w:line="280" w:lineRule="exact"/>
              <w:rPr>
                <w:rFonts w:hint="cs"/>
                <w:szCs w:val="28"/>
                <w:rtl/>
              </w:rPr>
            </w:pPr>
            <w:r w:rsidRPr="0094366F">
              <w:rPr>
                <w:rFonts w:hint="cs"/>
                <w:szCs w:val="28"/>
                <w:rtl/>
              </w:rPr>
              <w:t>2000</w:t>
            </w:r>
          </w:p>
        </w:tc>
        <w:tc>
          <w:tcPr>
            <w:tcW w:w="938" w:type="dxa"/>
          </w:tcPr>
          <w:p w:rsidR="00AE46F4" w:rsidRPr="0094366F" w:rsidRDefault="00AE46F4" w:rsidP="0094366F">
            <w:pPr>
              <w:spacing w:before="60" w:after="60" w:line="280" w:lineRule="exact"/>
              <w:rPr>
                <w:rFonts w:hint="cs"/>
                <w:szCs w:val="28"/>
                <w:rtl/>
              </w:rPr>
            </w:pPr>
            <w:r w:rsidRPr="0094366F">
              <w:rPr>
                <w:rFonts w:hint="cs"/>
                <w:szCs w:val="28"/>
                <w:rtl/>
              </w:rPr>
              <w:t>1</w:t>
            </w:r>
          </w:p>
        </w:tc>
      </w:tr>
      <w:tr w:rsidR="00AE46F4" w:rsidRPr="0073707C" w:rsidTr="00C84ADA">
        <w:trPr>
          <w:trHeight w:val="304"/>
        </w:trPr>
        <w:tc>
          <w:tcPr>
            <w:tcW w:w="5515" w:type="dxa"/>
          </w:tcPr>
          <w:p w:rsidR="00AE46F4" w:rsidRPr="0094366F" w:rsidRDefault="00AE46F4" w:rsidP="0094366F">
            <w:pPr>
              <w:spacing w:before="60" w:after="60" w:line="280" w:lineRule="exact"/>
              <w:rPr>
                <w:rFonts w:hint="cs"/>
                <w:szCs w:val="28"/>
                <w:rtl/>
              </w:rPr>
            </w:pPr>
            <w:r w:rsidRPr="0094366F">
              <w:rPr>
                <w:rFonts w:hint="cs"/>
                <w:szCs w:val="28"/>
                <w:rtl/>
              </w:rPr>
              <w:t>2001</w:t>
            </w:r>
          </w:p>
        </w:tc>
        <w:tc>
          <w:tcPr>
            <w:tcW w:w="938" w:type="dxa"/>
          </w:tcPr>
          <w:p w:rsidR="00AE46F4" w:rsidRPr="0094366F" w:rsidRDefault="00AE46F4" w:rsidP="0094366F">
            <w:pPr>
              <w:spacing w:before="60" w:after="60" w:line="280" w:lineRule="exact"/>
              <w:rPr>
                <w:rFonts w:hint="cs"/>
                <w:szCs w:val="28"/>
                <w:rtl/>
              </w:rPr>
            </w:pPr>
            <w:r w:rsidRPr="0094366F">
              <w:rPr>
                <w:rFonts w:hint="cs"/>
                <w:szCs w:val="28"/>
                <w:rtl/>
              </w:rPr>
              <w:t>-</w:t>
            </w:r>
          </w:p>
        </w:tc>
      </w:tr>
      <w:tr w:rsidR="00AE46F4" w:rsidRPr="0073707C" w:rsidTr="00C84ADA">
        <w:tc>
          <w:tcPr>
            <w:tcW w:w="5515" w:type="dxa"/>
          </w:tcPr>
          <w:p w:rsidR="00AE46F4" w:rsidRPr="0094366F" w:rsidRDefault="00AE46F4" w:rsidP="0094366F">
            <w:pPr>
              <w:spacing w:before="60" w:after="60" w:line="280" w:lineRule="exact"/>
              <w:rPr>
                <w:rFonts w:hint="cs"/>
                <w:szCs w:val="28"/>
                <w:rtl/>
              </w:rPr>
            </w:pPr>
            <w:r w:rsidRPr="0094366F">
              <w:rPr>
                <w:rFonts w:hint="cs"/>
                <w:szCs w:val="28"/>
                <w:rtl/>
              </w:rPr>
              <w:t>2002</w:t>
            </w:r>
          </w:p>
        </w:tc>
        <w:tc>
          <w:tcPr>
            <w:tcW w:w="938" w:type="dxa"/>
          </w:tcPr>
          <w:p w:rsidR="00AE46F4" w:rsidRPr="0094366F" w:rsidRDefault="00AE46F4" w:rsidP="0094366F">
            <w:pPr>
              <w:spacing w:before="60" w:after="60" w:line="280" w:lineRule="exact"/>
              <w:rPr>
                <w:rFonts w:hint="cs"/>
                <w:szCs w:val="28"/>
                <w:rtl/>
              </w:rPr>
            </w:pPr>
            <w:r w:rsidRPr="0094366F">
              <w:rPr>
                <w:rFonts w:hint="cs"/>
                <w:szCs w:val="28"/>
                <w:rtl/>
              </w:rPr>
              <w:t>7</w:t>
            </w:r>
          </w:p>
        </w:tc>
      </w:tr>
      <w:tr w:rsidR="00AE46F4" w:rsidRPr="0073707C" w:rsidTr="00C84ADA">
        <w:tc>
          <w:tcPr>
            <w:tcW w:w="5515" w:type="dxa"/>
          </w:tcPr>
          <w:p w:rsidR="00AE46F4" w:rsidRPr="0094366F" w:rsidRDefault="00AE46F4" w:rsidP="0094366F">
            <w:pPr>
              <w:spacing w:before="60" w:after="60" w:line="280" w:lineRule="exact"/>
              <w:rPr>
                <w:rFonts w:hint="cs"/>
                <w:szCs w:val="28"/>
                <w:rtl/>
              </w:rPr>
            </w:pPr>
            <w:r w:rsidRPr="0094366F">
              <w:rPr>
                <w:rFonts w:hint="cs"/>
                <w:szCs w:val="28"/>
                <w:rtl/>
              </w:rPr>
              <w:t>2003</w:t>
            </w:r>
          </w:p>
        </w:tc>
        <w:tc>
          <w:tcPr>
            <w:tcW w:w="938" w:type="dxa"/>
          </w:tcPr>
          <w:p w:rsidR="00AE46F4" w:rsidRPr="0094366F" w:rsidRDefault="00AE46F4" w:rsidP="0094366F">
            <w:pPr>
              <w:spacing w:before="60" w:after="60" w:line="280" w:lineRule="exact"/>
              <w:rPr>
                <w:rFonts w:hint="cs"/>
                <w:szCs w:val="28"/>
                <w:rtl/>
              </w:rPr>
            </w:pPr>
            <w:r w:rsidRPr="0094366F">
              <w:rPr>
                <w:rFonts w:hint="cs"/>
                <w:szCs w:val="28"/>
                <w:rtl/>
              </w:rPr>
              <w:t>2</w:t>
            </w:r>
          </w:p>
        </w:tc>
      </w:tr>
      <w:tr w:rsidR="00AE46F4" w:rsidRPr="0073707C" w:rsidTr="00C84ADA">
        <w:tc>
          <w:tcPr>
            <w:tcW w:w="5515" w:type="dxa"/>
          </w:tcPr>
          <w:p w:rsidR="00AE46F4" w:rsidRPr="0094366F" w:rsidRDefault="00AE46F4" w:rsidP="0094366F">
            <w:pPr>
              <w:spacing w:before="60" w:after="60" w:line="280" w:lineRule="exact"/>
              <w:rPr>
                <w:rFonts w:hint="cs"/>
                <w:szCs w:val="28"/>
                <w:rtl/>
              </w:rPr>
            </w:pPr>
            <w:r w:rsidRPr="0094366F">
              <w:rPr>
                <w:rFonts w:hint="cs"/>
                <w:szCs w:val="28"/>
                <w:rtl/>
              </w:rPr>
              <w:t>2004</w:t>
            </w:r>
          </w:p>
        </w:tc>
        <w:tc>
          <w:tcPr>
            <w:tcW w:w="938" w:type="dxa"/>
          </w:tcPr>
          <w:p w:rsidR="00AE46F4" w:rsidRPr="0094366F" w:rsidRDefault="00AE46F4" w:rsidP="0094366F">
            <w:pPr>
              <w:spacing w:before="60" w:after="60" w:line="280" w:lineRule="exact"/>
              <w:rPr>
                <w:rFonts w:hint="cs"/>
                <w:szCs w:val="28"/>
                <w:rtl/>
              </w:rPr>
            </w:pPr>
            <w:r w:rsidRPr="0094366F">
              <w:rPr>
                <w:rFonts w:hint="cs"/>
                <w:szCs w:val="28"/>
                <w:rtl/>
              </w:rPr>
              <w:t>4</w:t>
            </w:r>
          </w:p>
        </w:tc>
      </w:tr>
      <w:tr w:rsidR="00AE46F4" w:rsidRPr="0073707C" w:rsidTr="00C84ADA">
        <w:tc>
          <w:tcPr>
            <w:tcW w:w="5515" w:type="dxa"/>
          </w:tcPr>
          <w:p w:rsidR="00AE46F4" w:rsidRPr="0094366F" w:rsidRDefault="00AE46F4" w:rsidP="0094366F">
            <w:pPr>
              <w:spacing w:before="60" w:after="60" w:line="280" w:lineRule="exact"/>
              <w:rPr>
                <w:rFonts w:hint="cs"/>
                <w:szCs w:val="28"/>
                <w:rtl/>
              </w:rPr>
            </w:pPr>
            <w:r w:rsidRPr="0094366F">
              <w:rPr>
                <w:rFonts w:hint="cs"/>
                <w:szCs w:val="28"/>
                <w:rtl/>
              </w:rPr>
              <w:t>2005</w:t>
            </w:r>
          </w:p>
        </w:tc>
        <w:tc>
          <w:tcPr>
            <w:tcW w:w="938" w:type="dxa"/>
          </w:tcPr>
          <w:p w:rsidR="00AE46F4" w:rsidRPr="0094366F" w:rsidRDefault="00AE46F4" w:rsidP="0094366F">
            <w:pPr>
              <w:spacing w:before="60" w:after="60" w:line="280" w:lineRule="exact"/>
              <w:rPr>
                <w:rFonts w:hint="cs"/>
                <w:szCs w:val="28"/>
                <w:rtl/>
              </w:rPr>
            </w:pPr>
            <w:r w:rsidRPr="0094366F">
              <w:rPr>
                <w:rFonts w:hint="cs"/>
                <w:szCs w:val="28"/>
                <w:rtl/>
              </w:rPr>
              <w:t>2</w:t>
            </w:r>
          </w:p>
        </w:tc>
      </w:tr>
      <w:tr w:rsidR="00AE46F4" w:rsidRPr="0073707C" w:rsidTr="00C84ADA">
        <w:trPr>
          <w:trHeight w:val="285"/>
        </w:trPr>
        <w:tc>
          <w:tcPr>
            <w:tcW w:w="5515" w:type="dxa"/>
          </w:tcPr>
          <w:p w:rsidR="00AE46F4" w:rsidRPr="0094366F" w:rsidRDefault="00AE46F4" w:rsidP="0094366F">
            <w:pPr>
              <w:spacing w:before="60" w:after="60" w:line="280" w:lineRule="exact"/>
              <w:rPr>
                <w:rFonts w:hint="cs"/>
                <w:szCs w:val="28"/>
                <w:rtl/>
              </w:rPr>
            </w:pPr>
            <w:r w:rsidRPr="0094366F">
              <w:rPr>
                <w:rFonts w:hint="cs"/>
                <w:szCs w:val="28"/>
                <w:rtl/>
              </w:rPr>
              <w:t>2006</w:t>
            </w:r>
          </w:p>
        </w:tc>
        <w:tc>
          <w:tcPr>
            <w:tcW w:w="938" w:type="dxa"/>
          </w:tcPr>
          <w:p w:rsidR="00AE46F4" w:rsidRPr="0094366F" w:rsidRDefault="00AE46F4" w:rsidP="0094366F">
            <w:pPr>
              <w:spacing w:before="60" w:after="60" w:line="280" w:lineRule="exact"/>
              <w:rPr>
                <w:rFonts w:hint="cs"/>
                <w:szCs w:val="28"/>
                <w:rtl/>
              </w:rPr>
            </w:pPr>
            <w:r w:rsidRPr="0094366F">
              <w:rPr>
                <w:rFonts w:hint="cs"/>
                <w:szCs w:val="28"/>
                <w:rtl/>
              </w:rPr>
              <w:t>-</w:t>
            </w:r>
          </w:p>
        </w:tc>
      </w:tr>
      <w:tr w:rsidR="00AE46F4" w:rsidRPr="0073707C" w:rsidTr="00C84ADA">
        <w:tc>
          <w:tcPr>
            <w:tcW w:w="5515" w:type="dxa"/>
          </w:tcPr>
          <w:p w:rsidR="00AE46F4" w:rsidRPr="0094366F" w:rsidRDefault="00AE46F4" w:rsidP="0094366F">
            <w:pPr>
              <w:spacing w:before="60" w:after="60" w:line="280" w:lineRule="exact"/>
              <w:rPr>
                <w:rFonts w:hint="cs"/>
                <w:szCs w:val="28"/>
                <w:rtl/>
              </w:rPr>
            </w:pPr>
            <w:r w:rsidRPr="0094366F">
              <w:rPr>
                <w:rFonts w:hint="cs"/>
                <w:szCs w:val="28"/>
                <w:rtl/>
              </w:rPr>
              <w:t>2007</w:t>
            </w:r>
          </w:p>
        </w:tc>
        <w:tc>
          <w:tcPr>
            <w:tcW w:w="938" w:type="dxa"/>
          </w:tcPr>
          <w:p w:rsidR="00AE46F4" w:rsidRPr="0094366F" w:rsidRDefault="00AE46F4" w:rsidP="0094366F">
            <w:pPr>
              <w:spacing w:before="60" w:after="60" w:line="280" w:lineRule="exact"/>
              <w:rPr>
                <w:rFonts w:hint="cs"/>
                <w:szCs w:val="28"/>
                <w:rtl/>
              </w:rPr>
            </w:pPr>
            <w:r w:rsidRPr="0094366F">
              <w:rPr>
                <w:rFonts w:hint="cs"/>
                <w:szCs w:val="28"/>
                <w:rtl/>
              </w:rPr>
              <w:t>-</w:t>
            </w:r>
          </w:p>
        </w:tc>
      </w:tr>
      <w:tr w:rsidR="00AE46F4" w:rsidRPr="0073707C" w:rsidTr="00C84ADA">
        <w:tc>
          <w:tcPr>
            <w:tcW w:w="5515" w:type="dxa"/>
          </w:tcPr>
          <w:p w:rsidR="00AE46F4" w:rsidRPr="0094366F" w:rsidRDefault="00AE46F4" w:rsidP="0094366F">
            <w:pPr>
              <w:spacing w:before="60" w:after="60" w:line="280" w:lineRule="exact"/>
              <w:rPr>
                <w:rFonts w:hint="cs"/>
                <w:szCs w:val="28"/>
                <w:rtl/>
              </w:rPr>
            </w:pPr>
            <w:r w:rsidRPr="0094366F">
              <w:rPr>
                <w:rFonts w:hint="cs"/>
                <w:szCs w:val="28"/>
                <w:rtl/>
              </w:rPr>
              <w:t>2008</w:t>
            </w:r>
          </w:p>
        </w:tc>
        <w:tc>
          <w:tcPr>
            <w:tcW w:w="938" w:type="dxa"/>
          </w:tcPr>
          <w:p w:rsidR="00AE46F4" w:rsidRPr="0094366F" w:rsidRDefault="00AE46F4" w:rsidP="0094366F">
            <w:pPr>
              <w:spacing w:before="60" w:after="60" w:line="280" w:lineRule="exact"/>
              <w:rPr>
                <w:rFonts w:hint="cs"/>
                <w:szCs w:val="28"/>
                <w:rtl/>
              </w:rPr>
            </w:pPr>
            <w:r w:rsidRPr="0094366F">
              <w:rPr>
                <w:rFonts w:hint="cs"/>
                <w:szCs w:val="28"/>
                <w:rtl/>
              </w:rPr>
              <w:t>1</w:t>
            </w:r>
          </w:p>
        </w:tc>
      </w:tr>
      <w:tr w:rsidR="00AE46F4" w:rsidRPr="0073707C" w:rsidTr="00C84ADA">
        <w:tc>
          <w:tcPr>
            <w:tcW w:w="5515" w:type="dxa"/>
            <w:tcBorders>
              <w:bottom w:val="single" w:sz="4" w:space="0" w:color="auto"/>
            </w:tcBorders>
          </w:tcPr>
          <w:p w:rsidR="00AE46F4" w:rsidRPr="0094366F" w:rsidRDefault="00AE46F4" w:rsidP="0094366F">
            <w:pPr>
              <w:spacing w:before="60" w:after="60" w:line="280" w:lineRule="exact"/>
              <w:rPr>
                <w:rFonts w:hint="cs"/>
                <w:szCs w:val="28"/>
                <w:rtl/>
              </w:rPr>
            </w:pPr>
            <w:r w:rsidRPr="0094366F">
              <w:rPr>
                <w:rFonts w:hint="cs"/>
                <w:szCs w:val="28"/>
                <w:rtl/>
              </w:rPr>
              <w:t>2009</w:t>
            </w:r>
            <w:r w:rsidR="0094366F">
              <w:rPr>
                <w:rFonts w:hint="cs"/>
                <w:szCs w:val="28"/>
                <w:rtl/>
              </w:rPr>
              <w:t xml:space="preserve"> </w:t>
            </w:r>
            <w:r w:rsidRPr="0094366F">
              <w:rPr>
                <w:rFonts w:hint="cs"/>
                <w:szCs w:val="28"/>
                <w:rtl/>
              </w:rPr>
              <w:t>(إلى 25</w:t>
            </w:r>
            <w:r w:rsidR="0094366F">
              <w:rPr>
                <w:rFonts w:hint="cs"/>
                <w:szCs w:val="28"/>
                <w:rtl/>
              </w:rPr>
              <w:t xml:space="preserve"> أيلول/سبتمبر </w:t>
            </w:r>
            <w:r w:rsidRPr="0094366F">
              <w:rPr>
                <w:rFonts w:hint="cs"/>
                <w:szCs w:val="28"/>
                <w:rtl/>
              </w:rPr>
              <w:t>2009)</w:t>
            </w:r>
          </w:p>
        </w:tc>
        <w:tc>
          <w:tcPr>
            <w:tcW w:w="938" w:type="dxa"/>
            <w:tcBorders>
              <w:bottom w:val="single" w:sz="4" w:space="0" w:color="auto"/>
            </w:tcBorders>
          </w:tcPr>
          <w:p w:rsidR="00AE46F4" w:rsidRPr="0094366F" w:rsidRDefault="00AE46F4" w:rsidP="0094366F">
            <w:pPr>
              <w:spacing w:before="60" w:after="60" w:line="280" w:lineRule="exact"/>
              <w:rPr>
                <w:rFonts w:hint="cs"/>
                <w:szCs w:val="28"/>
                <w:rtl/>
              </w:rPr>
            </w:pPr>
            <w:r w:rsidRPr="0094366F">
              <w:rPr>
                <w:rFonts w:hint="cs"/>
                <w:szCs w:val="28"/>
                <w:rtl/>
              </w:rPr>
              <w:t>-</w:t>
            </w:r>
          </w:p>
        </w:tc>
      </w:tr>
      <w:tr w:rsidR="00AE46F4" w:rsidRPr="0094366F" w:rsidTr="00C84ADA">
        <w:tc>
          <w:tcPr>
            <w:tcW w:w="5515" w:type="dxa"/>
            <w:tcBorders>
              <w:top w:val="single" w:sz="4" w:space="0" w:color="auto"/>
              <w:bottom w:val="single" w:sz="12" w:space="0" w:color="auto"/>
            </w:tcBorders>
          </w:tcPr>
          <w:p w:rsidR="00AE46F4" w:rsidRPr="0094366F" w:rsidRDefault="0094366F" w:rsidP="0094366F">
            <w:pPr>
              <w:spacing w:before="60" w:after="60" w:line="280" w:lineRule="exact"/>
              <w:rPr>
                <w:rFonts w:hint="cs"/>
                <w:b/>
                <w:bCs/>
                <w:szCs w:val="28"/>
                <w:rtl/>
              </w:rPr>
            </w:pPr>
            <w:r w:rsidRPr="0094366F">
              <w:rPr>
                <w:b/>
                <w:bCs/>
                <w:szCs w:val="28"/>
                <w:rtl/>
              </w:rPr>
              <w:tab/>
            </w:r>
            <w:r w:rsidR="00AE46F4" w:rsidRPr="0094366F">
              <w:rPr>
                <w:rFonts w:hint="cs"/>
                <w:b/>
                <w:bCs/>
                <w:szCs w:val="28"/>
                <w:rtl/>
              </w:rPr>
              <w:t>المجموع</w:t>
            </w:r>
          </w:p>
        </w:tc>
        <w:tc>
          <w:tcPr>
            <w:tcW w:w="938" w:type="dxa"/>
            <w:tcBorders>
              <w:top w:val="single" w:sz="4" w:space="0" w:color="auto"/>
              <w:bottom w:val="single" w:sz="12" w:space="0" w:color="auto"/>
            </w:tcBorders>
          </w:tcPr>
          <w:p w:rsidR="00AE46F4" w:rsidRPr="0094366F" w:rsidRDefault="00AE46F4" w:rsidP="0094366F">
            <w:pPr>
              <w:spacing w:before="60" w:after="60" w:line="280" w:lineRule="exact"/>
              <w:rPr>
                <w:rFonts w:hint="cs"/>
                <w:b/>
                <w:bCs/>
                <w:szCs w:val="28"/>
                <w:rtl/>
              </w:rPr>
            </w:pPr>
            <w:r w:rsidRPr="0094366F">
              <w:rPr>
                <w:rFonts w:hint="cs"/>
                <w:b/>
                <w:bCs/>
                <w:szCs w:val="28"/>
                <w:rtl/>
              </w:rPr>
              <w:t>18</w:t>
            </w:r>
          </w:p>
        </w:tc>
      </w:tr>
    </w:tbl>
    <w:p w:rsidR="00AE46F4" w:rsidRPr="0073707C" w:rsidRDefault="0094366F" w:rsidP="0094366F">
      <w:pPr>
        <w:pStyle w:val="H23GA"/>
        <w:rPr>
          <w:rFonts w:hint="cs"/>
          <w:lang w:bidi="ar-TN"/>
        </w:rPr>
      </w:pPr>
      <w:r>
        <w:rPr>
          <w:rFonts w:hint="cs"/>
          <w:rtl/>
          <w:lang w:bidi="ar-TN"/>
        </w:rPr>
        <w:tab/>
        <w:t>3-</w:t>
      </w:r>
      <w:r>
        <w:rPr>
          <w:rFonts w:hint="cs"/>
          <w:rtl/>
          <w:lang w:bidi="ar-TN"/>
        </w:rPr>
        <w:tab/>
      </w:r>
      <w:r w:rsidR="00AE46F4" w:rsidRPr="0073707C">
        <w:rPr>
          <w:rFonts w:hint="cs"/>
          <w:rtl/>
          <w:lang w:bidi="ar-TN"/>
        </w:rPr>
        <w:t>فسح المجال للضحايا لجبر الضرر</w:t>
      </w:r>
      <w:r w:rsidR="00AE46F4">
        <w:rPr>
          <w:rFonts w:hint="cs"/>
          <w:rtl/>
          <w:lang w:bidi="ar-TN"/>
        </w:rPr>
        <w:t xml:space="preserve">، </w:t>
      </w:r>
      <w:r w:rsidR="00AE46F4" w:rsidRPr="0073707C">
        <w:rPr>
          <w:rFonts w:hint="cs"/>
          <w:rtl/>
          <w:lang w:bidi="ar-TN"/>
        </w:rPr>
        <w:t>بما في ذلك منحهم تعويضات مناسبة</w:t>
      </w:r>
    </w:p>
    <w:p w:rsidR="00AE46F4" w:rsidRPr="0073707C" w:rsidRDefault="00AE46F4" w:rsidP="0094366F">
      <w:pPr>
        <w:pStyle w:val="SingleTxtGA"/>
        <w:rPr>
          <w:rFonts w:hint="cs"/>
          <w:rtl/>
        </w:rPr>
      </w:pPr>
      <w:r>
        <w:rPr>
          <w:rFonts w:hint="cs"/>
          <w:rtl/>
        </w:rPr>
        <w:t>12</w:t>
      </w:r>
      <w:r w:rsidR="0094366F">
        <w:rPr>
          <w:rFonts w:hint="cs"/>
          <w:rtl/>
        </w:rPr>
        <w:t>-</w:t>
      </w:r>
      <w:r>
        <w:rPr>
          <w:rFonts w:hint="cs"/>
          <w:rtl/>
        </w:rPr>
        <w:tab/>
      </w:r>
      <w:r w:rsidRPr="0073707C">
        <w:rPr>
          <w:rFonts w:hint="cs"/>
          <w:rtl/>
        </w:rPr>
        <w:t>يضمن القانون التونسي للمتضرّر من أفعال إجرامية القيام ضد من تسبب له في الضرر للحصول على تعويضات مناسبة. ويمكن أن يحصل هذا القيام في إطار القضية الجزائية نفسها التي يتم فيها تتبع مرتكب الجريمة عن طريق القيام بالحق الشخصي أو عن طريق القيام بقضية مدني</w:t>
      </w:r>
      <w:r>
        <w:rPr>
          <w:rFonts w:hint="cs"/>
          <w:rtl/>
        </w:rPr>
        <w:t>ّ</w:t>
      </w:r>
      <w:r w:rsidRPr="0073707C">
        <w:rPr>
          <w:rFonts w:hint="cs"/>
          <w:rtl/>
        </w:rPr>
        <w:t>ة مستقلة في غرم الضرر.</w:t>
      </w:r>
    </w:p>
    <w:p w:rsidR="00AE46F4" w:rsidRPr="0073707C" w:rsidRDefault="00AE46F4" w:rsidP="0094366F">
      <w:pPr>
        <w:pStyle w:val="SingleTxtGA"/>
        <w:rPr>
          <w:rFonts w:hint="cs"/>
          <w:rtl/>
        </w:rPr>
      </w:pPr>
      <w:r>
        <w:rPr>
          <w:rFonts w:hint="cs"/>
          <w:rtl/>
        </w:rPr>
        <w:t>13</w:t>
      </w:r>
      <w:r w:rsidR="0094366F">
        <w:rPr>
          <w:rFonts w:hint="cs"/>
          <w:rtl/>
        </w:rPr>
        <w:t>-</w:t>
      </w:r>
      <w:r>
        <w:rPr>
          <w:rFonts w:hint="cs"/>
          <w:rtl/>
        </w:rPr>
        <w:tab/>
      </w:r>
      <w:r w:rsidRPr="0073707C">
        <w:rPr>
          <w:rFonts w:hint="cs"/>
          <w:rtl/>
        </w:rPr>
        <w:t xml:space="preserve">ومن بين الأمثلة التي نظر فيها فقه القضاء التونسي في هذا السياق يمكن أن نذكر تلك القضية التي نظرت فيها محكمة الاستئناف </w:t>
      </w:r>
      <w:r>
        <w:rPr>
          <w:rFonts w:hint="cs"/>
          <w:rtl/>
        </w:rPr>
        <w:t xml:space="preserve">في تونس </w:t>
      </w:r>
      <w:r w:rsidRPr="0073707C">
        <w:rPr>
          <w:rFonts w:hint="cs"/>
          <w:rtl/>
        </w:rPr>
        <w:t>سنة 2002 والتي تمثلت أبرز وقائعه</w:t>
      </w:r>
      <w:r w:rsidRPr="0073707C">
        <w:rPr>
          <w:rFonts w:hint="eastAsia"/>
          <w:rtl/>
        </w:rPr>
        <w:t>ا</w:t>
      </w:r>
      <w:r w:rsidRPr="0073707C">
        <w:rPr>
          <w:rFonts w:hint="cs"/>
          <w:rtl/>
        </w:rPr>
        <w:t xml:space="preserve"> في إقدام</w:t>
      </w:r>
      <w:r>
        <w:rPr>
          <w:rFonts w:hint="cs"/>
          <w:rtl/>
        </w:rPr>
        <w:t xml:space="preserve"> أربعة </w:t>
      </w:r>
      <w:r w:rsidRPr="0073707C">
        <w:rPr>
          <w:rFonts w:hint="cs"/>
          <w:rtl/>
        </w:rPr>
        <w:t>أعوان سجون على تكبيل سجين صعب المراس على مستوى الرجلين</w:t>
      </w:r>
      <w:r>
        <w:rPr>
          <w:rFonts w:hint="cs"/>
          <w:rtl/>
        </w:rPr>
        <w:t xml:space="preserve"> </w:t>
      </w:r>
      <w:r w:rsidRPr="0073707C">
        <w:rPr>
          <w:rFonts w:hint="cs"/>
          <w:rtl/>
        </w:rPr>
        <w:t>مما أدى إلى حصول تعفن بهما</w:t>
      </w:r>
      <w:r>
        <w:rPr>
          <w:rFonts w:hint="cs"/>
          <w:rtl/>
        </w:rPr>
        <w:t>،</w:t>
      </w:r>
      <w:r w:rsidRPr="0073707C">
        <w:rPr>
          <w:rFonts w:hint="cs"/>
          <w:rtl/>
        </w:rPr>
        <w:t xml:space="preserve"> أدّى في نهاية الأمر إل</w:t>
      </w:r>
      <w:r w:rsidRPr="0073707C">
        <w:rPr>
          <w:rFonts w:hint="eastAsia"/>
          <w:rtl/>
        </w:rPr>
        <w:t>ى</w:t>
      </w:r>
      <w:r w:rsidRPr="0073707C">
        <w:rPr>
          <w:rFonts w:hint="cs"/>
          <w:rtl/>
        </w:rPr>
        <w:t xml:space="preserve"> بترهما.</w:t>
      </w:r>
      <w:r>
        <w:rPr>
          <w:rFonts w:hint="cs"/>
          <w:rtl/>
        </w:rPr>
        <w:t xml:space="preserve"> </w:t>
      </w:r>
      <w:r w:rsidRPr="0073707C">
        <w:rPr>
          <w:rFonts w:hint="cs"/>
          <w:rtl/>
        </w:rPr>
        <w:t xml:space="preserve">وقد قضت المحكمة المذكورة بسجن كل واحد منهم أربعة أعوام </w:t>
      </w:r>
      <w:r>
        <w:rPr>
          <w:rFonts w:hint="cs"/>
          <w:rtl/>
        </w:rPr>
        <w:t>بسبب</w:t>
      </w:r>
      <w:r w:rsidR="003B3E31">
        <w:rPr>
          <w:rFonts w:hint="cs"/>
          <w:rtl/>
        </w:rPr>
        <w:t xml:space="preserve"> تجاوز حد السلطة و</w:t>
      </w:r>
      <w:r w:rsidRPr="0073707C">
        <w:rPr>
          <w:rFonts w:hint="cs"/>
          <w:rtl/>
        </w:rPr>
        <w:t xml:space="preserve">المشاركة في ذلك </w:t>
      </w:r>
      <w:r>
        <w:rPr>
          <w:rFonts w:hint="cs"/>
          <w:rtl/>
        </w:rPr>
        <w:t>و</w:t>
      </w:r>
      <w:r w:rsidRPr="0073707C">
        <w:rPr>
          <w:rFonts w:hint="cs"/>
          <w:rtl/>
        </w:rPr>
        <w:t xml:space="preserve">الاعتداء بالعنف الشديد الواقع من موظف عمومي على متهم باستعمال </w:t>
      </w:r>
      <w:r w:rsidRPr="00484FDA">
        <w:rPr>
          <w:rFonts w:hint="cs"/>
          <w:rtl/>
        </w:rPr>
        <w:t>صلاحيات ا</w:t>
      </w:r>
      <w:r>
        <w:rPr>
          <w:rFonts w:hint="cs"/>
          <w:rtl/>
        </w:rPr>
        <w:t>لوظيفة</w:t>
      </w:r>
      <w:r w:rsidRPr="0073707C">
        <w:rPr>
          <w:rFonts w:hint="cs"/>
          <w:rtl/>
        </w:rPr>
        <w:t xml:space="preserve"> نتج عنه </w:t>
      </w:r>
      <w:r>
        <w:rPr>
          <w:rFonts w:hint="cs"/>
          <w:rtl/>
        </w:rPr>
        <w:t>بتر</w:t>
      </w:r>
      <w:r w:rsidRPr="0073707C">
        <w:rPr>
          <w:rFonts w:hint="cs"/>
          <w:rtl/>
        </w:rPr>
        <w:t xml:space="preserve"> عضو</w:t>
      </w:r>
      <w:r>
        <w:rPr>
          <w:rFonts w:hint="cs"/>
          <w:rtl/>
        </w:rPr>
        <w:t>.</w:t>
      </w:r>
    </w:p>
    <w:p w:rsidR="00AE46F4" w:rsidRPr="0073707C" w:rsidRDefault="00AE46F4" w:rsidP="000B354C">
      <w:pPr>
        <w:pStyle w:val="SingleTxtGA"/>
        <w:rPr>
          <w:rFonts w:hint="cs"/>
          <w:rtl/>
        </w:rPr>
      </w:pPr>
      <w:r>
        <w:rPr>
          <w:rFonts w:hint="cs"/>
          <w:rtl/>
        </w:rPr>
        <w:t>14</w:t>
      </w:r>
      <w:r w:rsidR="0094366F">
        <w:rPr>
          <w:rFonts w:hint="cs"/>
          <w:rtl/>
        </w:rPr>
        <w:t>-</w:t>
      </w:r>
      <w:r>
        <w:rPr>
          <w:rFonts w:hint="cs"/>
          <w:rtl/>
        </w:rPr>
        <w:tab/>
      </w:r>
      <w:r w:rsidRPr="000B354C">
        <w:rPr>
          <w:rFonts w:hint="cs"/>
          <w:spacing w:val="-6"/>
          <w:rtl/>
        </w:rPr>
        <w:t>واستنادا</w:t>
      </w:r>
      <w:r w:rsidR="0094366F" w:rsidRPr="000B354C">
        <w:rPr>
          <w:rFonts w:hint="cs"/>
          <w:spacing w:val="-6"/>
          <w:rtl/>
        </w:rPr>
        <w:t>ً</w:t>
      </w:r>
      <w:r w:rsidRPr="000B354C">
        <w:rPr>
          <w:rFonts w:hint="cs"/>
          <w:spacing w:val="-6"/>
          <w:rtl/>
        </w:rPr>
        <w:t xml:space="preserve"> إلى ما ينص عليه الفصل 49 القانون عدد 70 المؤرخ 6 آب/أغسطس </w:t>
      </w:r>
      <w:r w:rsidRPr="0073707C">
        <w:rPr>
          <w:rFonts w:hint="cs"/>
          <w:rtl/>
        </w:rPr>
        <w:t>1982 المتعلق</w:t>
      </w:r>
      <w:r>
        <w:rPr>
          <w:rFonts w:hint="cs"/>
          <w:rtl/>
        </w:rPr>
        <w:t xml:space="preserve"> </w:t>
      </w:r>
      <w:r w:rsidRPr="0073707C">
        <w:rPr>
          <w:rFonts w:hint="cs"/>
          <w:rtl/>
        </w:rPr>
        <w:t xml:space="preserve">بالنظام الأساسي لقوات الأمن الداخلي من أنّه إذا ما وقع تتبع أحد أعوان قوات الأمن الداخلي </w:t>
      </w:r>
      <w:r>
        <w:rPr>
          <w:rFonts w:hint="cs"/>
          <w:rtl/>
        </w:rPr>
        <w:t>بسبب</w:t>
      </w:r>
      <w:r w:rsidRPr="0073707C">
        <w:rPr>
          <w:rFonts w:hint="cs"/>
          <w:rtl/>
        </w:rPr>
        <w:t xml:space="preserve"> خط</w:t>
      </w:r>
      <w:r w:rsidR="000B354C">
        <w:rPr>
          <w:rFonts w:hint="cs"/>
          <w:rtl/>
        </w:rPr>
        <w:t>أ</w:t>
      </w:r>
      <w:r w:rsidRPr="0073707C">
        <w:rPr>
          <w:rFonts w:hint="cs"/>
          <w:rtl/>
        </w:rPr>
        <w:t xml:space="preserve"> ارتكبه أثناء ممارسة وظيفته أو بمناسبة مباشرته لها فإنه يجب على الإدارة أن تضمن للمتضرر حق الحصول على تعويض مدني، فقد تم الحكم بإلزام المكلف العام بنزاعات الدولة في حق وزارة العدل بأن يؤدي للقائم بالحق الشخصي </w:t>
      </w:r>
      <w:r w:rsidRPr="009670E4">
        <w:rPr>
          <w:rFonts w:hint="cs"/>
          <w:i/>
          <w:iCs/>
          <w:rtl/>
        </w:rPr>
        <w:t>م</w:t>
      </w:r>
      <w:r w:rsidR="007B74CB">
        <w:rPr>
          <w:rFonts w:hint="cs"/>
          <w:i/>
          <w:iCs/>
          <w:rtl/>
        </w:rPr>
        <w:t>.</w:t>
      </w:r>
      <w:r w:rsidRPr="009670E4">
        <w:rPr>
          <w:rFonts w:hint="cs"/>
          <w:i/>
          <w:iCs/>
          <w:rtl/>
        </w:rPr>
        <w:t xml:space="preserve"> ع</w:t>
      </w:r>
      <w:r w:rsidR="007B74CB">
        <w:rPr>
          <w:rFonts w:hint="cs"/>
          <w:i/>
          <w:iCs/>
          <w:rtl/>
        </w:rPr>
        <w:t>.</w:t>
      </w:r>
      <w:r w:rsidRPr="009670E4">
        <w:rPr>
          <w:rFonts w:hint="cs"/>
          <w:i/>
          <w:iCs/>
          <w:rtl/>
        </w:rPr>
        <w:t xml:space="preserve"> م</w:t>
      </w:r>
      <w:r w:rsidR="007B74CB">
        <w:rPr>
          <w:rFonts w:hint="cs"/>
          <w:rtl/>
        </w:rPr>
        <w:t>.</w:t>
      </w:r>
      <w:r w:rsidRPr="0073707C">
        <w:rPr>
          <w:rFonts w:hint="cs"/>
          <w:rtl/>
        </w:rPr>
        <w:t xml:space="preserve"> مائتي ألف دينار لقاء الضرر البدني </w:t>
      </w:r>
      <w:r>
        <w:rPr>
          <w:rFonts w:hint="cs"/>
          <w:rtl/>
        </w:rPr>
        <w:t>ومائة</w:t>
      </w:r>
      <w:r w:rsidRPr="0073707C">
        <w:rPr>
          <w:rFonts w:hint="cs"/>
          <w:rtl/>
        </w:rPr>
        <w:t xml:space="preserve"> ألف دينار لقاء الضرر المعنوي </w:t>
      </w:r>
      <w:r>
        <w:rPr>
          <w:rFonts w:hint="cs"/>
          <w:rtl/>
        </w:rPr>
        <w:t>وستة</w:t>
      </w:r>
      <w:r w:rsidRPr="0073707C">
        <w:rPr>
          <w:rFonts w:hint="cs"/>
          <w:rtl/>
        </w:rPr>
        <w:t xml:space="preserve"> ألاف دينار مصاريف تركيب أعضاء اصطناعية.</w:t>
      </w:r>
    </w:p>
    <w:p w:rsidR="00AE46F4" w:rsidRPr="0073707C" w:rsidRDefault="0094366F" w:rsidP="0094366F">
      <w:pPr>
        <w:pStyle w:val="H23GA"/>
        <w:rPr>
          <w:rFonts w:hint="cs"/>
          <w:lang w:bidi="ar-TN"/>
        </w:rPr>
      </w:pPr>
      <w:r>
        <w:rPr>
          <w:rFonts w:hint="cs"/>
          <w:rtl/>
          <w:lang w:bidi="ar-TN"/>
        </w:rPr>
        <w:tab/>
        <w:t>4-</w:t>
      </w:r>
      <w:r>
        <w:rPr>
          <w:rFonts w:hint="cs"/>
          <w:rtl/>
          <w:lang w:bidi="ar-TN"/>
        </w:rPr>
        <w:tab/>
      </w:r>
      <w:r w:rsidR="00AE46F4" w:rsidRPr="0073707C">
        <w:rPr>
          <w:rFonts w:hint="cs"/>
          <w:rtl/>
          <w:lang w:bidi="ar-TN"/>
        </w:rPr>
        <w:t>العمل على تحسين تدريب الأعوان المكلفين بتنفيذ القوانين</w:t>
      </w:r>
    </w:p>
    <w:p w:rsidR="00AE46F4" w:rsidRPr="0073707C" w:rsidRDefault="00AE46F4" w:rsidP="007B74CB">
      <w:pPr>
        <w:pStyle w:val="SingleTxtGA"/>
        <w:rPr>
          <w:rFonts w:hint="cs"/>
          <w:rtl/>
        </w:rPr>
      </w:pPr>
      <w:r>
        <w:rPr>
          <w:rFonts w:hint="cs"/>
          <w:rtl/>
        </w:rPr>
        <w:t>15</w:t>
      </w:r>
      <w:r w:rsidR="007B74CB">
        <w:rPr>
          <w:rFonts w:hint="cs"/>
          <w:rtl/>
        </w:rPr>
        <w:t>-</w:t>
      </w:r>
      <w:r>
        <w:rPr>
          <w:rFonts w:hint="cs"/>
          <w:rtl/>
        </w:rPr>
        <w:tab/>
      </w:r>
      <w:r w:rsidRPr="0073707C">
        <w:rPr>
          <w:rFonts w:hint="cs"/>
          <w:rtl/>
        </w:rPr>
        <w:t>تولي</w:t>
      </w:r>
      <w:r w:rsidRPr="0073707C">
        <w:rPr>
          <w:rFonts w:hint="cs"/>
          <w:rtl/>
          <w:lang w:bidi="ar-TN"/>
        </w:rPr>
        <w:t xml:space="preserve"> </w:t>
      </w:r>
      <w:r>
        <w:rPr>
          <w:rFonts w:hint="cs"/>
          <w:rtl/>
        </w:rPr>
        <w:t>تونس</w:t>
      </w:r>
      <w:r w:rsidRPr="0073707C">
        <w:rPr>
          <w:rFonts w:hint="cs"/>
          <w:rtl/>
        </w:rPr>
        <w:t xml:space="preserve"> اهتماما كبيرا </w:t>
      </w:r>
      <w:r>
        <w:rPr>
          <w:rFonts w:hint="cs"/>
          <w:rtl/>
        </w:rPr>
        <w:t xml:space="preserve">بتحسين </w:t>
      </w:r>
      <w:r w:rsidRPr="0073707C">
        <w:rPr>
          <w:rFonts w:hint="cs"/>
          <w:rtl/>
          <w:lang w:bidi="ar-TN"/>
        </w:rPr>
        <w:t xml:space="preserve">تدريب الأعوان المكلفين </w:t>
      </w:r>
      <w:r>
        <w:rPr>
          <w:rFonts w:hint="cs"/>
          <w:rtl/>
          <w:lang w:bidi="ar-TN"/>
        </w:rPr>
        <w:t>بإنفاذ</w:t>
      </w:r>
      <w:r w:rsidRPr="0073707C">
        <w:rPr>
          <w:rFonts w:hint="cs"/>
          <w:rtl/>
          <w:lang w:bidi="ar-TN"/>
        </w:rPr>
        <w:t xml:space="preserve"> القوانين</w:t>
      </w:r>
      <w:r w:rsidRPr="0073707C">
        <w:rPr>
          <w:rFonts w:hint="cs"/>
          <w:rtl/>
        </w:rPr>
        <w:t xml:space="preserve"> وذلك بالتركيز </w:t>
      </w:r>
      <w:r>
        <w:rPr>
          <w:rFonts w:hint="cs"/>
          <w:rtl/>
        </w:rPr>
        <w:t xml:space="preserve">بشكل خاص </w:t>
      </w:r>
      <w:r w:rsidRPr="0073707C">
        <w:rPr>
          <w:rFonts w:hint="cs"/>
          <w:rtl/>
        </w:rPr>
        <w:t xml:space="preserve">على التربية </w:t>
      </w:r>
      <w:r>
        <w:rPr>
          <w:rFonts w:hint="cs"/>
          <w:rtl/>
        </w:rPr>
        <w:t xml:space="preserve">على </w:t>
      </w:r>
      <w:r w:rsidRPr="0073707C">
        <w:rPr>
          <w:rFonts w:hint="cs"/>
          <w:rtl/>
        </w:rPr>
        <w:t>ثقافة حقوق الإنسان التي تعتبر المدخل الأساسي لنشر هذه الثقافة وتغيير السلوكيات نحو الأفضل</w:t>
      </w:r>
      <w:r>
        <w:rPr>
          <w:rFonts w:hint="cs"/>
          <w:rtl/>
        </w:rPr>
        <w:t>،</w:t>
      </w:r>
      <w:r w:rsidRPr="0073707C">
        <w:rPr>
          <w:rFonts w:hint="cs"/>
          <w:rtl/>
        </w:rPr>
        <w:t xml:space="preserve"> باعتبار أن القوانين والتعليمات رغم أهميتها تبقى فاعليتها مرتبطة بمدى التشبع بثقافة حقوق الإنسان والتربية عليها</w:t>
      </w:r>
      <w:r>
        <w:rPr>
          <w:rFonts w:hint="cs"/>
          <w:rtl/>
        </w:rPr>
        <w:t>.</w:t>
      </w:r>
      <w:r w:rsidRPr="0073707C">
        <w:rPr>
          <w:rFonts w:hint="cs"/>
          <w:rtl/>
        </w:rPr>
        <w:t xml:space="preserve"> </w:t>
      </w:r>
    </w:p>
    <w:p w:rsidR="00AE46F4" w:rsidRPr="0073707C" w:rsidRDefault="00AE46F4" w:rsidP="007B74CB">
      <w:pPr>
        <w:pStyle w:val="SingleTxtGA"/>
        <w:rPr>
          <w:rFonts w:hint="cs"/>
          <w:rtl/>
        </w:rPr>
      </w:pPr>
      <w:r>
        <w:rPr>
          <w:rFonts w:hint="cs"/>
          <w:rtl/>
        </w:rPr>
        <w:t>16</w:t>
      </w:r>
      <w:r w:rsidR="007B74CB">
        <w:rPr>
          <w:rFonts w:hint="cs"/>
          <w:rtl/>
        </w:rPr>
        <w:t>-</w:t>
      </w:r>
      <w:r>
        <w:rPr>
          <w:rFonts w:hint="cs"/>
          <w:rtl/>
        </w:rPr>
        <w:tab/>
        <w:t>ويتم</w:t>
      </w:r>
      <w:r w:rsidR="003B3E31">
        <w:rPr>
          <w:rFonts w:hint="cs"/>
          <w:rtl/>
        </w:rPr>
        <w:t xml:space="preserve"> تدريس اتفاقية مناهضة التعذيب و</w:t>
      </w:r>
      <w:r w:rsidRPr="0073707C">
        <w:rPr>
          <w:rFonts w:hint="cs"/>
          <w:rtl/>
        </w:rPr>
        <w:t xml:space="preserve">غيره من ضروب المعاملة أو العقوبة القاسية أو اللاإنسانية أو المهينة </w:t>
      </w:r>
      <w:r>
        <w:rPr>
          <w:rFonts w:hint="cs"/>
          <w:rtl/>
        </w:rPr>
        <w:t>و</w:t>
      </w:r>
      <w:r w:rsidRPr="0073707C">
        <w:rPr>
          <w:rFonts w:hint="cs"/>
          <w:rtl/>
        </w:rPr>
        <w:t xml:space="preserve">سائر الصكوك الدولية </w:t>
      </w:r>
      <w:r>
        <w:rPr>
          <w:rFonts w:hint="cs"/>
          <w:rtl/>
        </w:rPr>
        <w:t>المتعلقة</w:t>
      </w:r>
      <w:r w:rsidRPr="0073707C">
        <w:rPr>
          <w:rFonts w:hint="cs"/>
          <w:rtl/>
        </w:rPr>
        <w:t xml:space="preserve"> خاصة بضحايا استعمال السلطة وذلك </w:t>
      </w:r>
      <w:r>
        <w:rPr>
          <w:rFonts w:hint="cs"/>
          <w:rtl/>
        </w:rPr>
        <w:t>بشكل خاص</w:t>
      </w:r>
      <w:r w:rsidRPr="0073707C">
        <w:rPr>
          <w:rFonts w:hint="cs"/>
          <w:rtl/>
        </w:rPr>
        <w:t xml:space="preserve"> في مدارس قوات الأمن</w:t>
      </w:r>
      <w:r>
        <w:rPr>
          <w:rFonts w:hint="cs"/>
          <w:rtl/>
        </w:rPr>
        <w:t>،</w:t>
      </w:r>
      <w:r w:rsidRPr="0073707C">
        <w:rPr>
          <w:rFonts w:hint="cs"/>
          <w:rtl/>
        </w:rPr>
        <w:t xml:space="preserve"> من حرس وشرطة</w:t>
      </w:r>
      <w:r>
        <w:rPr>
          <w:rFonts w:hint="cs"/>
          <w:rtl/>
        </w:rPr>
        <w:t xml:space="preserve">، </w:t>
      </w:r>
      <w:r w:rsidRPr="0073707C">
        <w:rPr>
          <w:rFonts w:hint="cs"/>
          <w:rtl/>
        </w:rPr>
        <w:t>وكذلك في المدرسة الوطنية للسجون والإصلاح وفي المعهد الأعلى للقضاء والمعهد الأعلى للمحاماة.</w:t>
      </w:r>
    </w:p>
    <w:p w:rsidR="00AE46F4" w:rsidRPr="0073707C" w:rsidRDefault="00AE46F4" w:rsidP="007B74CB">
      <w:pPr>
        <w:pStyle w:val="SingleTxtGA"/>
        <w:rPr>
          <w:rFonts w:hint="cs"/>
          <w:rtl/>
        </w:rPr>
      </w:pPr>
      <w:r>
        <w:rPr>
          <w:rFonts w:hint="cs"/>
          <w:rtl/>
        </w:rPr>
        <w:t>17</w:t>
      </w:r>
      <w:r w:rsidR="007B74CB">
        <w:rPr>
          <w:rFonts w:hint="cs"/>
          <w:rtl/>
        </w:rPr>
        <w:t>-</w:t>
      </w:r>
      <w:r>
        <w:rPr>
          <w:rFonts w:hint="cs"/>
          <w:rtl/>
        </w:rPr>
        <w:tab/>
      </w:r>
      <w:r w:rsidRPr="0073707C">
        <w:rPr>
          <w:rFonts w:hint="cs"/>
          <w:rtl/>
        </w:rPr>
        <w:t>ولأن إدراج التعليم والإعلام فيما يتعلق بحظر التعذيب في برامج التدريب الموجه للأشخاص المكلفين بإنفاذ القوانين هو جزء لا يتجزأ من التربية على ثقافة حقوق الإنسان، فقد تم العمل منذ مدة عل</w:t>
      </w:r>
      <w:r w:rsidRPr="0073707C">
        <w:rPr>
          <w:rFonts w:hint="eastAsia"/>
          <w:rtl/>
        </w:rPr>
        <w:t>ى</w:t>
      </w:r>
      <w:r w:rsidRPr="0073707C">
        <w:rPr>
          <w:rFonts w:hint="cs"/>
          <w:rtl/>
        </w:rPr>
        <w:t xml:space="preserve"> تعميم هذا الإدراج وتوسيع نطاقه ليشمل كافة الأشخاص المكلفين</w:t>
      </w:r>
      <w:r>
        <w:rPr>
          <w:rFonts w:hint="cs"/>
          <w:rtl/>
        </w:rPr>
        <w:t xml:space="preserve"> بإنفاذ</w:t>
      </w:r>
      <w:r w:rsidRPr="0073707C">
        <w:rPr>
          <w:rFonts w:hint="cs"/>
          <w:rtl/>
        </w:rPr>
        <w:t xml:space="preserve"> القوانين والتابعين خاصة لكل من وزارة الداخلية والتنمية المحلية</w:t>
      </w:r>
      <w:r>
        <w:rPr>
          <w:rFonts w:hint="cs"/>
          <w:rtl/>
        </w:rPr>
        <w:t>،</w:t>
      </w:r>
      <w:r w:rsidRPr="0073707C">
        <w:rPr>
          <w:rFonts w:hint="cs"/>
          <w:rtl/>
        </w:rPr>
        <w:t xml:space="preserve"> ووزارة العدل وحقوق الإنسان.</w:t>
      </w:r>
      <w:r>
        <w:rPr>
          <w:rFonts w:hint="cs"/>
          <w:rtl/>
        </w:rPr>
        <w:t xml:space="preserve"> </w:t>
      </w:r>
    </w:p>
    <w:p w:rsidR="00AE46F4" w:rsidRPr="007B74CB" w:rsidRDefault="00AE46F4" w:rsidP="007B74CB">
      <w:pPr>
        <w:pStyle w:val="SingleTxtGA"/>
        <w:rPr>
          <w:rFonts w:hint="cs"/>
          <w:spacing w:val="-2"/>
          <w:rtl/>
        </w:rPr>
      </w:pPr>
      <w:r w:rsidRPr="007B74CB">
        <w:rPr>
          <w:rFonts w:hint="cs"/>
          <w:spacing w:val="-2"/>
          <w:rtl/>
        </w:rPr>
        <w:t>18</w:t>
      </w:r>
      <w:r w:rsidR="007B74CB" w:rsidRPr="007B74CB">
        <w:rPr>
          <w:rFonts w:hint="cs"/>
          <w:spacing w:val="-2"/>
          <w:rtl/>
        </w:rPr>
        <w:t>-</w:t>
      </w:r>
      <w:r w:rsidRPr="007B74CB">
        <w:rPr>
          <w:rFonts w:hint="cs"/>
          <w:spacing w:val="-2"/>
          <w:rtl/>
        </w:rPr>
        <w:tab/>
        <w:t>وي</w:t>
      </w:r>
      <w:r w:rsidRPr="007B74CB">
        <w:rPr>
          <w:rFonts w:hint="eastAsia"/>
          <w:spacing w:val="-2"/>
          <w:rtl/>
        </w:rPr>
        <w:t>تم</w:t>
      </w:r>
      <w:r w:rsidRPr="007B74CB">
        <w:rPr>
          <w:rFonts w:hint="cs"/>
          <w:spacing w:val="-2"/>
          <w:rtl/>
        </w:rPr>
        <w:t>ّ في</w:t>
      </w:r>
      <w:r w:rsidRPr="007B74CB">
        <w:rPr>
          <w:rFonts w:hint="eastAsia"/>
          <w:spacing w:val="-2"/>
          <w:rtl/>
        </w:rPr>
        <w:t xml:space="preserve"> مدارس</w:t>
      </w:r>
      <w:r w:rsidRPr="007B74CB">
        <w:rPr>
          <w:spacing w:val="-2"/>
          <w:rtl/>
        </w:rPr>
        <w:t xml:space="preserve"> قوات الأمن اعتماد تدريس مادتي حقوق الإنسان والسلوك الحضاري ضمن برامج التكوين </w:t>
      </w:r>
      <w:r w:rsidRPr="007B74CB">
        <w:rPr>
          <w:rFonts w:hint="eastAsia"/>
          <w:spacing w:val="-2"/>
          <w:rtl/>
        </w:rPr>
        <w:t>الأساسي</w:t>
      </w:r>
      <w:r w:rsidRPr="007B74CB">
        <w:rPr>
          <w:spacing w:val="-2"/>
          <w:rtl/>
        </w:rPr>
        <w:t xml:space="preserve"> والمستمر والتخص</w:t>
      </w:r>
      <w:r w:rsidRPr="007B74CB">
        <w:rPr>
          <w:rFonts w:hint="cs"/>
          <w:spacing w:val="-2"/>
          <w:rtl/>
        </w:rPr>
        <w:t>ّ</w:t>
      </w:r>
      <w:r w:rsidRPr="007B74CB">
        <w:rPr>
          <w:spacing w:val="-2"/>
          <w:rtl/>
        </w:rPr>
        <w:t>صي لمختلف الرتب</w:t>
      </w:r>
      <w:r w:rsidRPr="007B74CB">
        <w:rPr>
          <w:rFonts w:hint="cs"/>
          <w:spacing w:val="-2"/>
          <w:rtl/>
        </w:rPr>
        <w:t xml:space="preserve"> من الإطارات والأعوان</w:t>
      </w:r>
      <w:r w:rsidRPr="007B74CB">
        <w:rPr>
          <w:spacing w:val="-2"/>
          <w:rtl/>
        </w:rPr>
        <w:t xml:space="preserve">، إلى جانب دورات </w:t>
      </w:r>
      <w:r w:rsidRPr="007B74CB">
        <w:rPr>
          <w:rFonts w:hint="cs"/>
          <w:spacing w:val="-2"/>
          <w:rtl/>
        </w:rPr>
        <w:t>توعية وتدريب</w:t>
      </w:r>
      <w:r w:rsidRPr="007B74CB">
        <w:rPr>
          <w:spacing w:val="-2"/>
          <w:rtl/>
        </w:rPr>
        <w:t xml:space="preserve">. كما يقوم مركز تأهيل ورسكلة </w:t>
      </w:r>
      <w:r w:rsidRPr="007B74CB">
        <w:rPr>
          <w:rFonts w:hint="cs"/>
          <w:spacing w:val="-2"/>
          <w:rtl/>
        </w:rPr>
        <w:t xml:space="preserve">(إعادة تدريب) </w:t>
      </w:r>
      <w:r w:rsidRPr="007B74CB">
        <w:rPr>
          <w:rFonts w:hint="eastAsia"/>
          <w:spacing w:val="-2"/>
          <w:rtl/>
        </w:rPr>
        <w:t>الإطارات</w:t>
      </w:r>
      <w:r w:rsidRPr="007B74CB">
        <w:rPr>
          <w:spacing w:val="-2"/>
          <w:rtl/>
        </w:rPr>
        <w:t xml:space="preserve"> التابعة لوزارة الداخلية </w:t>
      </w:r>
      <w:r w:rsidRPr="007B74CB">
        <w:rPr>
          <w:rFonts w:hint="cs"/>
          <w:spacing w:val="-2"/>
          <w:rtl/>
        </w:rPr>
        <w:t xml:space="preserve">والتنمية المحلّية </w:t>
      </w:r>
      <w:r w:rsidRPr="007B74CB">
        <w:rPr>
          <w:spacing w:val="-2"/>
          <w:rtl/>
        </w:rPr>
        <w:t xml:space="preserve">بدور فعّال في نشر ثقافة حقوق الإنسان والتعريف </w:t>
      </w:r>
      <w:r w:rsidRPr="007B74CB">
        <w:rPr>
          <w:rFonts w:hint="eastAsia"/>
          <w:spacing w:val="-2"/>
          <w:rtl/>
        </w:rPr>
        <w:t>بها</w:t>
      </w:r>
      <w:r w:rsidRPr="007B74CB">
        <w:rPr>
          <w:spacing w:val="-2"/>
          <w:rtl/>
        </w:rPr>
        <w:t xml:space="preserve"> لدى الإطارات التابعة</w:t>
      </w:r>
      <w:r w:rsidRPr="007B74CB">
        <w:rPr>
          <w:rFonts w:hint="cs"/>
          <w:spacing w:val="-2"/>
          <w:rtl/>
        </w:rPr>
        <w:t>.</w:t>
      </w:r>
      <w:r w:rsidRPr="007B74CB">
        <w:rPr>
          <w:spacing w:val="-2"/>
          <w:rtl/>
        </w:rPr>
        <w:t xml:space="preserve"> </w:t>
      </w:r>
      <w:r w:rsidRPr="007B74CB">
        <w:rPr>
          <w:rFonts w:hint="cs"/>
          <w:spacing w:val="-2"/>
          <w:rtl/>
        </w:rPr>
        <w:t>ومن بين ما يتم القيام به في المدرسة العليا لقوات الأمن الداخلي تكليف متدرّب</w:t>
      </w:r>
      <w:r w:rsidR="007B74CB" w:rsidRPr="007B74CB">
        <w:rPr>
          <w:rFonts w:hint="cs"/>
          <w:spacing w:val="-2"/>
          <w:rtl/>
        </w:rPr>
        <w:t>ي</w:t>
      </w:r>
      <w:r w:rsidRPr="007B74CB">
        <w:rPr>
          <w:rFonts w:hint="cs"/>
          <w:spacing w:val="-2"/>
          <w:rtl/>
        </w:rPr>
        <w:t xml:space="preserve"> الدّورات التكوينية بإعداد دراسات وبحوث تهمّ حقوق الإنسان، ومن بين المواضيع التي كانت موضو</w:t>
      </w:r>
      <w:r w:rsidR="00C84ADA">
        <w:rPr>
          <w:rFonts w:hint="cs"/>
          <w:spacing w:val="-2"/>
          <w:rtl/>
        </w:rPr>
        <w:t>ع بحث خلال السنة الدراسية 2009-</w:t>
      </w:r>
      <w:r w:rsidRPr="007B74CB">
        <w:rPr>
          <w:rFonts w:hint="cs"/>
          <w:spacing w:val="-2"/>
          <w:rtl/>
        </w:rPr>
        <w:t>2009، التعذيب والمعاملة المهينة لكرامة الإنسان في القانون التونسي، والأدوات القانونية لمكافحة الإرهاب، والمفهوم الجديد والمتطور لعقوبة السجن، وجرائم الاتجار بالنساء والأطفال.</w:t>
      </w:r>
    </w:p>
    <w:p w:rsidR="00AE46F4" w:rsidRPr="0073707C" w:rsidRDefault="00AE46F4" w:rsidP="007B74CB">
      <w:pPr>
        <w:pStyle w:val="SingleTxtGA"/>
        <w:rPr>
          <w:rFonts w:hint="cs"/>
          <w:rtl/>
        </w:rPr>
      </w:pPr>
      <w:r>
        <w:rPr>
          <w:rFonts w:hint="cs"/>
          <w:rtl/>
        </w:rPr>
        <w:t>19</w:t>
      </w:r>
      <w:r w:rsidR="007B74CB">
        <w:rPr>
          <w:rFonts w:hint="cs"/>
          <w:rtl/>
        </w:rPr>
        <w:t>-</w:t>
      </w:r>
      <w:r>
        <w:rPr>
          <w:rFonts w:hint="cs"/>
          <w:rtl/>
        </w:rPr>
        <w:tab/>
      </w:r>
      <w:r w:rsidRPr="0073707C">
        <w:rPr>
          <w:rFonts w:hint="cs"/>
          <w:rtl/>
        </w:rPr>
        <w:t xml:space="preserve">ولقد قامت وزارة الداخلية والتنمية المحلية في السنوات الماضية بتنظيم </w:t>
      </w:r>
      <w:r>
        <w:rPr>
          <w:rFonts w:hint="cs"/>
          <w:rtl/>
        </w:rPr>
        <w:t>ال</w:t>
      </w:r>
      <w:r w:rsidRPr="0073707C">
        <w:rPr>
          <w:rFonts w:hint="cs"/>
          <w:rtl/>
        </w:rPr>
        <w:t>عديد</w:t>
      </w:r>
      <w:r>
        <w:rPr>
          <w:rFonts w:hint="cs"/>
          <w:rtl/>
        </w:rPr>
        <w:t xml:space="preserve"> من </w:t>
      </w:r>
      <w:r w:rsidRPr="0073707C">
        <w:rPr>
          <w:rFonts w:hint="cs"/>
          <w:rtl/>
        </w:rPr>
        <w:t>الملتقيات والنّدوات في مجال حقوق الإنسان،</w:t>
      </w:r>
      <w:r>
        <w:rPr>
          <w:rFonts w:hint="cs"/>
          <w:rtl/>
        </w:rPr>
        <w:t xml:space="preserve"> منها</w:t>
      </w:r>
      <w:r w:rsidRPr="0073707C">
        <w:rPr>
          <w:rFonts w:hint="cs"/>
          <w:rtl/>
        </w:rPr>
        <w:t xml:space="preserve">: </w:t>
      </w:r>
    </w:p>
    <w:p w:rsidR="007B74CB" w:rsidRDefault="00AE46F4" w:rsidP="000B354C">
      <w:pPr>
        <w:pStyle w:val="Bullet1GA"/>
        <w:tabs>
          <w:tab w:val="clear" w:pos="2041"/>
          <w:tab w:val="left" w:pos="2499"/>
        </w:tabs>
        <w:bidi/>
        <w:ind w:left="2499" w:hanging="532"/>
        <w:rPr>
          <w:rFonts w:hint="cs"/>
        </w:rPr>
      </w:pPr>
      <w:r w:rsidRPr="0073707C">
        <w:rPr>
          <w:rFonts w:hint="cs"/>
          <w:rtl/>
        </w:rPr>
        <w:t xml:space="preserve">برمجة جملة من المحاضرات والندوات العلمية في إطار الدّورات التدريبية والأيام الدراسية بمدارس الأمن لمختلف </w:t>
      </w:r>
      <w:r w:rsidRPr="00FF7764">
        <w:rPr>
          <w:rFonts w:hint="cs"/>
          <w:rtl/>
        </w:rPr>
        <w:t>المراحل.</w:t>
      </w:r>
    </w:p>
    <w:p w:rsidR="007B74CB" w:rsidRDefault="00AE46F4" w:rsidP="000B354C">
      <w:pPr>
        <w:pStyle w:val="Bullet1GA"/>
        <w:tabs>
          <w:tab w:val="clear" w:pos="2041"/>
          <w:tab w:val="left" w:pos="2499"/>
        </w:tabs>
        <w:bidi/>
        <w:ind w:left="2499" w:hanging="532"/>
        <w:rPr>
          <w:rFonts w:hint="cs"/>
        </w:rPr>
      </w:pPr>
      <w:r w:rsidRPr="0073707C">
        <w:rPr>
          <w:rFonts w:hint="cs"/>
          <w:rtl/>
        </w:rPr>
        <w:t>التطرّق إلى مواضيع حماية حقوق الإنسان والحريّات العامّة خلال الندوات الدوريّة لرؤساء المناطق وآمري الأفواج، وكذلك خلال اجتماعات رؤساء الفرق ورؤساء المراكز.</w:t>
      </w:r>
    </w:p>
    <w:p w:rsidR="007B74CB" w:rsidRDefault="00AE46F4" w:rsidP="007B74CB">
      <w:pPr>
        <w:pStyle w:val="Bullet1GA"/>
        <w:tabs>
          <w:tab w:val="clear" w:pos="2041"/>
          <w:tab w:val="left" w:pos="2499"/>
        </w:tabs>
        <w:bidi/>
        <w:ind w:left="2499" w:hanging="532"/>
        <w:rPr>
          <w:rFonts w:hint="cs"/>
        </w:rPr>
      </w:pPr>
      <w:r w:rsidRPr="0073707C">
        <w:rPr>
          <w:rFonts w:hint="cs"/>
          <w:rtl/>
        </w:rPr>
        <w:t>تنظيم أيّام دراسية على مستوى الجهات بالتنسيق مع المؤسّسة القضائية تهدف إلى التعريف بالإجراءات والتنقيحات الجديدة التي أدخلت على التشريعات والقوانين الصادرة في المجال.</w:t>
      </w:r>
    </w:p>
    <w:p w:rsidR="00AE46F4" w:rsidRPr="0073707C" w:rsidRDefault="00AE46F4" w:rsidP="000B354C">
      <w:pPr>
        <w:pStyle w:val="Bullet1GA"/>
        <w:tabs>
          <w:tab w:val="clear" w:pos="2041"/>
          <w:tab w:val="left" w:pos="2499"/>
        </w:tabs>
        <w:bidi/>
        <w:ind w:left="2499" w:hanging="532"/>
      </w:pPr>
      <w:r w:rsidRPr="0073707C">
        <w:rPr>
          <w:rFonts w:hint="cs"/>
          <w:rtl/>
        </w:rPr>
        <w:t>تنظيم الأسابيع المغلقة لحقوق الإنسان والتعريف بالآليات الوطنيّة لحمايتها بالمدرسة الوطنيّة لضبّاط الشرطة المساعدين ببنزرت</w:t>
      </w:r>
      <w:r>
        <w:rPr>
          <w:rFonts w:hint="cs"/>
          <w:rtl/>
        </w:rPr>
        <w:t>.</w:t>
      </w:r>
    </w:p>
    <w:p w:rsidR="00AE46F4" w:rsidRPr="0073707C" w:rsidRDefault="00AE46F4" w:rsidP="007B74CB">
      <w:pPr>
        <w:pStyle w:val="SingleTxtGA"/>
        <w:rPr>
          <w:rFonts w:hint="cs"/>
          <w:rtl/>
        </w:rPr>
      </w:pPr>
      <w:r>
        <w:rPr>
          <w:rFonts w:hint="cs"/>
          <w:rtl/>
        </w:rPr>
        <w:t>20</w:t>
      </w:r>
      <w:r w:rsidR="007B74CB">
        <w:rPr>
          <w:rFonts w:hint="cs"/>
          <w:rtl/>
        </w:rPr>
        <w:t>-</w:t>
      </w:r>
      <w:r>
        <w:rPr>
          <w:rFonts w:hint="cs"/>
          <w:rtl/>
        </w:rPr>
        <w:tab/>
      </w:r>
      <w:r w:rsidRPr="0073707C">
        <w:rPr>
          <w:rFonts w:hint="cs"/>
          <w:rtl/>
        </w:rPr>
        <w:t>كما تم إصدار دليل يجمع</w:t>
      </w:r>
      <w:r w:rsidRPr="0073707C">
        <w:rPr>
          <w:rFonts w:hint="cs"/>
          <w:b/>
          <w:bCs/>
          <w:rtl/>
        </w:rPr>
        <w:t xml:space="preserve"> </w:t>
      </w:r>
      <w:r w:rsidRPr="0073707C">
        <w:rPr>
          <w:rFonts w:hint="cs"/>
          <w:rtl/>
        </w:rPr>
        <w:t xml:space="preserve">نصوص الأمم المتحدة والنصوص الوطنية المتعلّقة </w:t>
      </w:r>
      <w:r w:rsidRPr="00FF7764">
        <w:rPr>
          <w:rFonts w:hint="cs"/>
          <w:rtl/>
        </w:rPr>
        <w:t>بحقوق الإنسان، مع</w:t>
      </w:r>
      <w:r>
        <w:rPr>
          <w:rFonts w:hint="cs"/>
          <w:rtl/>
        </w:rPr>
        <w:t xml:space="preserve"> </w:t>
      </w:r>
      <w:r w:rsidRPr="00FF7764">
        <w:rPr>
          <w:rFonts w:hint="cs"/>
          <w:rtl/>
        </w:rPr>
        <w:t>تحديثها، و</w:t>
      </w:r>
      <w:r w:rsidRPr="0073707C">
        <w:rPr>
          <w:rFonts w:hint="cs"/>
          <w:rtl/>
        </w:rPr>
        <w:t xml:space="preserve">قد وقع توزيعه على كافة </w:t>
      </w:r>
      <w:r>
        <w:rPr>
          <w:rFonts w:hint="cs"/>
          <w:rtl/>
        </w:rPr>
        <w:t>الموظفين</w:t>
      </w:r>
      <w:r w:rsidRPr="0073707C">
        <w:rPr>
          <w:rFonts w:hint="cs"/>
          <w:rtl/>
        </w:rPr>
        <w:t xml:space="preserve"> المكلّفين </w:t>
      </w:r>
      <w:r>
        <w:rPr>
          <w:rFonts w:hint="cs"/>
          <w:rtl/>
        </w:rPr>
        <w:t>بإنفاذ</w:t>
      </w:r>
      <w:r w:rsidRPr="0073707C">
        <w:rPr>
          <w:rFonts w:hint="cs"/>
          <w:rtl/>
        </w:rPr>
        <w:t xml:space="preserve"> القوانين وذلك بهدف جعله أداة عمل ومرجعا</w:t>
      </w:r>
      <w:r w:rsidR="00C84ADA">
        <w:rPr>
          <w:rFonts w:hint="cs"/>
          <w:rtl/>
        </w:rPr>
        <w:t>ً</w:t>
      </w:r>
      <w:r w:rsidRPr="0073707C">
        <w:rPr>
          <w:rFonts w:hint="cs"/>
          <w:rtl/>
        </w:rPr>
        <w:t xml:space="preserve"> دائما</w:t>
      </w:r>
      <w:r w:rsidR="00C84ADA">
        <w:rPr>
          <w:rFonts w:hint="cs"/>
          <w:rtl/>
        </w:rPr>
        <w:t>ً</w:t>
      </w:r>
      <w:r w:rsidRPr="0073707C">
        <w:rPr>
          <w:rFonts w:hint="cs"/>
          <w:rtl/>
        </w:rPr>
        <w:t xml:space="preserve"> لطريقة عملهم.</w:t>
      </w:r>
      <w:r>
        <w:rPr>
          <w:rFonts w:hint="cs"/>
          <w:rtl/>
        </w:rPr>
        <w:t xml:space="preserve"> </w:t>
      </w:r>
      <w:r w:rsidRPr="0073707C">
        <w:rPr>
          <w:rFonts w:hint="cs"/>
          <w:rtl/>
        </w:rPr>
        <w:t>ومن أبرز الصكوك الدولية التي يحتويها هذا الدليل:</w:t>
      </w:r>
    </w:p>
    <w:p w:rsidR="007B74CB" w:rsidRDefault="00AE46F4" w:rsidP="00C84ADA">
      <w:pPr>
        <w:pStyle w:val="Bullet1GA"/>
        <w:tabs>
          <w:tab w:val="clear" w:pos="2041"/>
          <w:tab w:val="left" w:pos="2499"/>
        </w:tabs>
        <w:bidi/>
        <w:ind w:left="2499" w:hanging="532"/>
        <w:rPr>
          <w:rFonts w:hint="cs"/>
        </w:rPr>
      </w:pPr>
      <w:r w:rsidRPr="0073707C">
        <w:rPr>
          <w:rFonts w:hint="cs"/>
          <w:rtl/>
        </w:rPr>
        <w:t>اتفاقية مناهضة التعذيب وغيره من ضروب المعاملة أو العقوبة القاسية واللاإنسانية أو المهينة</w:t>
      </w:r>
      <w:r w:rsidR="00C84ADA">
        <w:rPr>
          <w:rFonts w:hint="cs"/>
          <w:rtl/>
        </w:rPr>
        <w:t>؛</w:t>
      </w:r>
    </w:p>
    <w:p w:rsidR="007B74CB" w:rsidRDefault="00AE46F4" w:rsidP="00C84ADA">
      <w:pPr>
        <w:pStyle w:val="Bullet1GA"/>
        <w:tabs>
          <w:tab w:val="clear" w:pos="2041"/>
          <w:tab w:val="left" w:pos="2499"/>
        </w:tabs>
        <w:bidi/>
        <w:ind w:left="2499" w:hanging="532"/>
        <w:rPr>
          <w:rFonts w:hint="cs"/>
        </w:rPr>
      </w:pPr>
      <w:r w:rsidRPr="0073707C">
        <w:rPr>
          <w:rFonts w:hint="cs"/>
          <w:rtl/>
        </w:rPr>
        <w:t xml:space="preserve">مقتطفات من مجلة الإجراءات الجزائية تتعلّق بالاحتفاظ وإجراءات </w:t>
      </w:r>
      <w:r w:rsidR="00C84ADA">
        <w:rPr>
          <w:rFonts w:hint="cs"/>
          <w:rtl/>
        </w:rPr>
        <w:t xml:space="preserve">        </w:t>
      </w:r>
      <w:r w:rsidRPr="0073707C">
        <w:rPr>
          <w:rFonts w:hint="cs"/>
          <w:rtl/>
        </w:rPr>
        <w:t>معاملة الموقوفين</w:t>
      </w:r>
      <w:r w:rsidR="00C84ADA">
        <w:rPr>
          <w:rFonts w:hint="cs"/>
          <w:rtl/>
        </w:rPr>
        <w:t>؛</w:t>
      </w:r>
    </w:p>
    <w:p w:rsidR="007B74CB" w:rsidRDefault="00AE46F4" w:rsidP="00C84ADA">
      <w:pPr>
        <w:pStyle w:val="Bullet1GA"/>
        <w:tabs>
          <w:tab w:val="clear" w:pos="2041"/>
          <w:tab w:val="left" w:pos="2499"/>
        </w:tabs>
        <w:bidi/>
        <w:ind w:left="2499" w:hanging="532"/>
        <w:rPr>
          <w:rFonts w:hint="cs"/>
        </w:rPr>
      </w:pPr>
      <w:r w:rsidRPr="0073707C">
        <w:rPr>
          <w:rFonts w:hint="cs"/>
          <w:rtl/>
        </w:rPr>
        <w:t>القانو</w:t>
      </w:r>
      <w:r w:rsidRPr="0073707C">
        <w:rPr>
          <w:rFonts w:hint="eastAsia"/>
          <w:rtl/>
        </w:rPr>
        <w:t>ن</w:t>
      </w:r>
      <w:r w:rsidRPr="0073707C">
        <w:rPr>
          <w:rFonts w:hint="cs"/>
          <w:rtl/>
        </w:rPr>
        <w:t xml:space="preserve"> المتعلق بنظام السجون</w:t>
      </w:r>
      <w:r w:rsidR="00C84ADA">
        <w:rPr>
          <w:rFonts w:hint="cs"/>
          <w:rtl/>
        </w:rPr>
        <w:t>؛</w:t>
      </w:r>
    </w:p>
    <w:p w:rsidR="007B74CB" w:rsidRDefault="00AE46F4" w:rsidP="00C84ADA">
      <w:pPr>
        <w:pStyle w:val="Bullet1GA"/>
        <w:tabs>
          <w:tab w:val="clear" w:pos="2041"/>
          <w:tab w:val="left" w:pos="2499"/>
        </w:tabs>
        <w:bidi/>
        <w:ind w:left="2499" w:hanging="532"/>
        <w:rPr>
          <w:rFonts w:hint="cs"/>
        </w:rPr>
      </w:pPr>
      <w:r>
        <w:rPr>
          <w:rFonts w:hint="cs"/>
          <w:rtl/>
        </w:rPr>
        <w:t>مدونة لقواعد سلوك الموظفين المكلفين بإنفاذ القوانين</w:t>
      </w:r>
      <w:r w:rsidR="00C84ADA">
        <w:rPr>
          <w:rFonts w:hint="cs"/>
          <w:rtl/>
        </w:rPr>
        <w:t>؛</w:t>
      </w:r>
    </w:p>
    <w:p w:rsidR="007B74CB" w:rsidRDefault="00AE46F4" w:rsidP="00C84ADA">
      <w:pPr>
        <w:pStyle w:val="Bullet1GA"/>
        <w:tabs>
          <w:tab w:val="clear" w:pos="2041"/>
          <w:tab w:val="left" w:pos="2499"/>
        </w:tabs>
        <w:bidi/>
        <w:ind w:left="2499" w:hanging="532"/>
        <w:rPr>
          <w:rFonts w:hint="cs"/>
        </w:rPr>
      </w:pPr>
      <w:r w:rsidRPr="0073707C">
        <w:rPr>
          <w:rFonts w:hint="cs"/>
          <w:rtl/>
        </w:rPr>
        <w:t xml:space="preserve">القواعد </w:t>
      </w:r>
      <w:r>
        <w:rPr>
          <w:rFonts w:hint="cs"/>
          <w:rtl/>
        </w:rPr>
        <w:t>النموذجية الدنيا لمعاملة السجناء</w:t>
      </w:r>
      <w:r w:rsidR="00C84ADA">
        <w:rPr>
          <w:rFonts w:hint="cs"/>
          <w:rtl/>
        </w:rPr>
        <w:t>؛</w:t>
      </w:r>
    </w:p>
    <w:p w:rsidR="007B74CB" w:rsidRDefault="00AE46F4" w:rsidP="00C84ADA">
      <w:pPr>
        <w:pStyle w:val="Bullet1GA"/>
        <w:tabs>
          <w:tab w:val="clear" w:pos="2041"/>
          <w:tab w:val="left" w:pos="2499"/>
        </w:tabs>
        <w:bidi/>
        <w:ind w:left="2499" w:hanging="532"/>
        <w:rPr>
          <w:rFonts w:hint="cs"/>
        </w:rPr>
      </w:pPr>
      <w:r w:rsidRPr="0073707C">
        <w:rPr>
          <w:rFonts w:hint="cs"/>
          <w:rtl/>
        </w:rPr>
        <w:t>مبادئ مجلة واجبات الطبيب التي لها علاقة بمهام موظفي السلط</w:t>
      </w:r>
      <w:r>
        <w:rPr>
          <w:rFonts w:hint="cs"/>
          <w:rtl/>
        </w:rPr>
        <w:t>ات</w:t>
      </w:r>
      <w:r w:rsidRPr="0073707C">
        <w:rPr>
          <w:rFonts w:hint="cs"/>
          <w:rtl/>
        </w:rPr>
        <w:t xml:space="preserve"> الطبّية خاصة منهم الأطباء إذا تعلق الأمر بحماية المساجين والأشخاص الموقوفين ضد كل أشكال التعذيب وشتى المعاملات المهينة</w:t>
      </w:r>
      <w:r w:rsidR="00C84ADA">
        <w:rPr>
          <w:rFonts w:hint="cs"/>
          <w:rtl/>
        </w:rPr>
        <w:t>؛</w:t>
      </w:r>
    </w:p>
    <w:p w:rsidR="007B74CB" w:rsidRDefault="00AE46F4" w:rsidP="00C84ADA">
      <w:pPr>
        <w:pStyle w:val="Bullet1GA"/>
        <w:tabs>
          <w:tab w:val="clear" w:pos="2041"/>
          <w:tab w:val="left" w:pos="2499"/>
        </w:tabs>
        <w:bidi/>
        <w:ind w:left="2499" w:hanging="532"/>
        <w:rPr>
          <w:rFonts w:hint="cs"/>
        </w:rPr>
      </w:pPr>
      <w:r w:rsidRPr="0073707C">
        <w:rPr>
          <w:rFonts w:hint="cs"/>
          <w:rtl/>
        </w:rPr>
        <w:t xml:space="preserve">إعلان </w:t>
      </w:r>
      <w:r>
        <w:rPr>
          <w:rFonts w:hint="cs"/>
          <w:rtl/>
        </w:rPr>
        <w:t>بشأن القضاء على جميع</w:t>
      </w:r>
      <w:r w:rsidRPr="0073707C">
        <w:rPr>
          <w:rFonts w:hint="cs"/>
          <w:rtl/>
        </w:rPr>
        <w:t xml:space="preserve"> أشكال </w:t>
      </w:r>
      <w:r>
        <w:rPr>
          <w:rFonts w:hint="cs"/>
          <w:rtl/>
        </w:rPr>
        <w:t xml:space="preserve">التعصب والتمييز القائمين على أساس </w:t>
      </w:r>
      <w:r w:rsidRPr="0073707C">
        <w:rPr>
          <w:rFonts w:hint="cs"/>
          <w:rtl/>
        </w:rPr>
        <w:t>الدين أو المعتقد</w:t>
      </w:r>
      <w:r w:rsidR="00C84ADA">
        <w:rPr>
          <w:rFonts w:hint="cs"/>
          <w:rtl/>
        </w:rPr>
        <w:t>؛</w:t>
      </w:r>
    </w:p>
    <w:p w:rsidR="007B74CB" w:rsidRDefault="00AE46F4" w:rsidP="00C84ADA">
      <w:pPr>
        <w:pStyle w:val="Bullet1GA"/>
        <w:tabs>
          <w:tab w:val="clear" w:pos="2041"/>
          <w:tab w:val="left" w:pos="2499"/>
        </w:tabs>
        <w:bidi/>
        <w:ind w:left="2499" w:hanging="532"/>
        <w:rPr>
          <w:rFonts w:hint="cs"/>
        </w:rPr>
      </w:pPr>
      <w:r>
        <w:rPr>
          <w:rFonts w:hint="cs"/>
          <w:rtl/>
        </w:rPr>
        <w:t xml:space="preserve">مبادئ أساسية بشأن استخدام </w:t>
      </w:r>
      <w:r w:rsidRPr="0073707C">
        <w:rPr>
          <w:rFonts w:hint="cs"/>
          <w:rtl/>
        </w:rPr>
        <w:t xml:space="preserve">القوة والأسلحة النارية من </w:t>
      </w:r>
      <w:r>
        <w:rPr>
          <w:rFonts w:hint="cs"/>
          <w:rtl/>
        </w:rPr>
        <w:t xml:space="preserve">جانب الموظفين </w:t>
      </w:r>
      <w:r w:rsidRPr="0073707C">
        <w:rPr>
          <w:rFonts w:hint="cs"/>
          <w:rtl/>
        </w:rPr>
        <w:t xml:space="preserve">المكلفين </w:t>
      </w:r>
      <w:r>
        <w:rPr>
          <w:rFonts w:hint="cs"/>
          <w:rtl/>
        </w:rPr>
        <w:t>بإنفاذ</w:t>
      </w:r>
      <w:r w:rsidRPr="0073707C">
        <w:rPr>
          <w:rFonts w:hint="cs"/>
          <w:rtl/>
        </w:rPr>
        <w:t xml:space="preserve"> القوانين</w:t>
      </w:r>
      <w:r w:rsidR="00C84ADA">
        <w:rPr>
          <w:rFonts w:hint="cs"/>
          <w:rtl/>
        </w:rPr>
        <w:t>؛</w:t>
      </w:r>
    </w:p>
    <w:p w:rsidR="00AE46F4" w:rsidRPr="007B74CB" w:rsidRDefault="00AE46F4" w:rsidP="00C84ADA">
      <w:pPr>
        <w:pStyle w:val="Bullet1GA"/>
        <w:tabs>
          <w:tab w:val="clear" w:pos="2041"/>
          <w:tab w:val="left" w:pos="2499"/>
        </w:tabs>
        <w:bidi/>
        <w:ind w:left="2499" w:hanging="532"/>
        <w:rPr>
          <w:rFonts w:hint="cs"/>
          <w:rtl/>
        </w:rPr>
      </w:pPr>
      <w:r w:rsidRPr="0073707C">
        <w:rPr>
          <w:rFonts w:hint="cs"/>
          <w:color w:val="000000"/>
          <w:sz w:val="30"/>
          <w:rtl/>
        </w:rPr>
        <w:t xml:space="preserve">المبادئ الأساسية </w:t>
      </w:r>
      <w:r>
        <w:rPr>
          <w:rFonts w:hint="cs"/>
          <w:color w:val="000000"/>
          <w:sz w:val="30"/>
          <w:rtl/>
        </w:rPr>
        <w:t xml:space="preserve">بشأن دور </w:t>
      </w:r>
      <w:r w:rsidRPr="0073707C">
        <w:rPr>
          <w:rFonts w:hint="cs"/>
          <w:color w:val="000000"/>
          <w:sz w:val="30"/>
          <w:rtl/>
        </w:rPr>
        <w:t>المحامين</w:t>
      </w:r>
      <w:r w:rsidR="00C84ADA">
        <w:rPr>
          <w:rFonts w:hint="cs"/>
          <w:color w:val="000000"/>
          <w:sz w:val="30"/>
          <w:rtl/>
        </w:rPr>
        <w:t>.</w:t>
      </w:r>
    </w:p>
    <w:p w:rsidR="00AE46F4" w:rsidRPr="0073707C" w:rsidRDefault="00AE46F4" w:rsidP="007B74CB">
      <w:pPr>
        <w:pStyle w:val="SingleTxtGA"/>
        <w:rPr>
          <w:rtl/>
        </w:rPr>
      </w:pPr>
      <w:r>
        <w:rPr>
          <w:rFonts w:hint="cs"/>
          <w:rtl/>
        </w:rPr>
        <w:t>21</w:t>
      </w:r>
      <w:r w:rsidR="007B74CB">
        <w:rPr>
          <w:rFonts w:hint="cs"/>
          <w:rtl/>
        </w:rPr>
        <w:t>-</w:t>
      </w:r>
      <w:r>
        <w:rPr>
          <w:rFonts w:hint="cs"/>
          <w:rtl/>
        </w:rPr>
        <w:tab/>
      </w:r>
      <w:r w:rsidRPr="0073707C">
        <w:rPr>
          <w:rFonts w:hint="cs"/>
          <w:rtl/>
        </w:rPr>
        <w:t>ومن جهتها تبذل وزارة العدل وحقوق الإنسان جهودا كبيرة لا فقط في مجال إقامة العدل وإنما أيضا في مجال</w:t>
      </w:r>
      <w:r>
        <w:rPr>
          <w:rFonts w:hint="cs"/>
          <w:rtl/>
        </w:rPr>
        <w:t xml:space="preserve"> </w:t>
      </w:r>
      <w:r w:rsidRPr="0073707C">
        <w:rPr>
          <w:rFonts w:hint="cs"/>
          <w:rtl/>
        </w:rPr>
        <w:t>التربية على حقوق الإنسان ونشر ثقافتها وذلك خاصة</w:t>
      </w:r>
      <w:r>
        <w:rPr>
          <w:rFonts w:hint="cs"/>
          <w:rtl/>
        </w:rPr>
        <w:t xml:space="preserve"> </w:t>
      </w:r>
      <w:r w:rsidRPr="0073707C">
        <w:rPr>
          <w:rFonts w:hint="cs"/>
          <w:rtl/>
        </w:rPr>
        <w:t>على مستوى مدرسة تكوين إطارات وأعوان السجون والإصلاح</w:t>
      </w:r>
      <w:r>
        <w:rPr>
          <w:rFonts w:hint="cs"/>
          <w:rtl/>
        </w:rPr>
        <w:t>،</w:t>
      </w:r>
      <w:r w:rsidRPr="0073707C">
        <w:rPr>
          <w:rFonts w:hint="cs"/>
          <w:rtl/>
        </w:rPr>
        <w:t xml:space="preserve"> إذ أدرجت الإدارة العامّة للسجون والإصلاح، مادّة</w:t>
      </w:r>
      <w:r w:rsidRPr="0073707C">
        <w:rPr>
          <w:rtl/>
        </w:rPr>
        <w:t xml:space="preserve"> حقوق الإنسان كمادة أساسية موجهة إلى كافة أصناف </w:t>
      </w:r>
      <w:r>
        <w:rPr>
          <w:rFonts w:hint="cs"/>
          <w:rtl/>
        </w:rPr>
        <w:t>المتدّربين</w:t>
      </w:r>
      <w:r w:rsidRPr="0073707C">
        <w:rPr>
          <w:rtl/>
        </w:rPr>
        <w:t xml:space="preserve"> خلال تنفيذ برامج </w:t>
      </w:r>
      <w:r>
        <w:rPr>
          <w:rFonts w:hint="cs"/>
          <w:rtl/>
        </w:rPr>
        <w:t>التدريب</w:t>
      </w:r>
      <w:r w:rsidRPr="0073707C">
        <w:rPr>
          <w:rtl/>
        </w:rPr>
        <w:t xml:space="preserve"> الأساسي للتلاميذ</w:t>
      </w:r>
      <w:r w:rsidR="003B3E31">
        <w:rPr>
          <w:rtl/>
        </w:rPr>
        <w:t xml:space="preserve"> المستجدين على اختلاف أصنافهم و</w:t>
      </w:r>
      <w:r w:rsidRPr="0073707C">
        <w:rPr>
          <w:rtl/>
        </w:rPr>
        <w:t xml:space="preserve">كذلك للضباط المتربصين خلال </w:t>
      </w:r>
      <w:r>
        <w:rPr>
          <w:rFonts w:hint="cs"/>
          <w:rtl/>
        </w:rPr>
        <w:t>التدريب</w:t>
      </w:r>
      <w:r w:rsidRPr="0073707C">
        <w:rPr>
          <w:rtl/>
        </w:rPr>
        <w:t xml:space="preserve"> التطبيقي</w:t>
      </w:r>
      <w:r>
        <w:rPr>
          <w:rtl/>
        </w:rPr>
        <w:t xml:space="preserve"> </w:t>
      </w:r>
      <w:r>
        <w:rPr>
          <w:rFonts w:hint="cs"/>
          <w:rtl/>
        </w:rPr>
        <w:t xml:space="preserve">في </w:t>
      </w:r>
      <w:r w:rsidRPr="0073707C">
        <w:rPr>
          <w:rtl/>
        </w:rPr>
        <w:t>المدرسة الوطنية للسجون والإصلاح</w:t>
      </w:r>
      <w:r w:rsidRPr="0073707C">
        <w:rPr>
          <w:rFonts w:hint="cs"/>
          <w:rtl/>
        </w:rPr>
        <w:t>. كما تمّ تنظيم العديد من دورات</w:t>
      </w:r>
      <w:r>
        <w:rPr>
          <w:rFonts w:hint="cs"/>
          <w:rtl/>
        </w:rPr>
        <w:t xml:space="preserve"> التدريب</w:t>
      </w:r>
      <w:r w:rsidRPr="0073707C">
        <w:rPr>
          <w:rFonts w:hint="cs"/>
          <w:rtl/>
        </w:rPr>
        <w:t xml:space="preserve"> التنشيطي، وذلك في نطاق تحسين خبرة أعوان السجون المباشرين </w:t>
      </w:r>
      <w:r>
        <w:rPr>
          <w:rFonts w:hint="cs"/>
          <w:rtl/>
        </w:rPr>
        <w:t>بهدف</w:t>
      </w:r>
      <w:r w:rsidRPr="0073707C">
        <w:rPr>
          <w:rFonts w:hint="cs"/>
          <w:rtl/>
        </w:rPr>
        <w:t xml:space="preserve"> تنمية زادهم المعرفي وإطلاعهم على آخر المستجدّات في مجال حقوق الإنسان، </w:t>
      </w:r>
      <w:r w:rsidRPr="0073707C">
        <w:rPr>
          <w:rtl/>
        </w:rPr>
        <w:t xml:space="preserve">وذلك بالتركيز </w:t>
      </w:r>
      <w:r w:rsidRPr="0073707C">
        <w:rPr>
          <w:rFonts w:hint="cs"/>
          <w:rtl/>
        </w:rPr>
        <w:t xml:space="preserve">خاصّة </w:t>
      </w:r>
      <w:r w:rsidRPr="0073707C">
        <w:rPr>
          <w:rtl/>
        </w:rPr>
        <w:t>على المحاور الآتية:</w:t>
      </w:r>
    </w:p>
    <w:p w:rsidR="007B74CB" w:rsidRDefault="00AE46F4" w:rsidP="00C84ADA">
      <w:pPr>
        <w:pStyle w:val="Bullet1GA"/>
        <w:tabs>
          <w:tab w:val="clear" w:pos="2041"/>
          <w:tab w:val="left" w:pos="2499"/>
        </w:tabs>
        <w:bidi/>
        <w:ind w:left="2499" w:hanging="532"/>
        <w:rPr>
          <w:rFonts w:hint="cs"/>
        </w:rPr>
      </w:pPr>
      <w:r w:rsidRPr="0073707C">
        <w:rPr>
          <w:rtl/>
        </w:rPr>
        <w:t>حقوق السجين وواجباته والقواعد المنظمة لها</w:t>
      </w:r>
      <w:r w:rsidR="00C84ADA">
        <w:rPr>
          <w:rFonts w:hint="cs"/>
          <w:rtl/>
        </w:rPr>
        <w:t>؛</w:t>
      </w:r>
    </w:p>
    <w:p w:rsidR="007B74CB" w:rsidRDefault="00AE46F4" w:rsidP="00C84ADA">
      <w:pPr>
        <w:pStyle w:val="Bullet1GA"/>
        <w:tabs>
          <w:tab w:val="clear" w:pos="2041"/>
          <w:tab w:val="left" w:pos="2499"/>
        </w:tabs>
        <w:bidi/>
        <w:ind w:left="2499" w:hanging="532"/>
        <w:rPr>
          <w:rFonts w:hint="cs"/>
        </w:rPr>
      </w:pPr>
      <w:r w:rsidRPr="0073707C">
        <w:rPr>
          <w:rtl/>
        </w:rPr>
        <w:t>كيفية معاملة السجناء</w:t>
      </w:r>
      <w:r w:rsidR="00C84ADA">
        <w:rPr>
          <w:rFonts w:hint="cs"/>
          <w:rtl/>
        </w:rPr>
        <w:t>؛</w:t>
      </w:r>
    </w:p>
    <w:p w:rsidR="00AE46F4" w:rsidRPr="0073707C" w:rsidRDefault="00AE46F4" w:rsidP="00C84ADA">
      <w:pPr>
        <w:pStyle w:val="Bullet1GA"/>
        <w:tabs>
          <w:tab w:val="clear" w:pos="2041"/>
          <w:tab w:val="left" w:pos="2499"/>
        </w:tabs>
        <w:bidi/>
        <w:ind w:left="2499" w:hanging="532"/>
        <w:rPr>
          <w:rtl/>
        </w:rPr>
      </w:pPr>
      <w:r w:rsidRPr="0073707C">
        <w:rPr>
          <w:rtl/>
        </w:rPr>
        <w:t>أساليب التواصل والتخاطب</w:t>
      </w:r>
      <w:r w:rsidR="00C84ADA">
        <w:rPr>
          <w:rFonts w:hint="cs"/>
          <w:rtl/>
        </w:rPr>
        <w:t>.</w:t>
      </w:r>
    </w:p>
    <w:p w:rsidR="00AE46F4" w:rsidRPr="0073707C" w:rsidRDefault="00AE46F4" w:rsidP="007B74CB">
      <w:pPr>
        <w:pStyle w:val="SingleTxtGA"/>
        <w:rPr>
          <w:rFonts w:hint="cs"/>
          <w:rtl/>
        </w:rPr>
      </w:pPr>
      <w:r>
        <w:rPr>
          <w:rFonts w:hint="cs"/>
          <w:rtl/>
        </w:rPr>
        <w:t>22</w:t>
      </w:r>
      <w:r w:rsidR="007B74CB">
        <w:rPr>
          <w:rFonts w:hint="cs"/>
          <w:rtl/>
        </w:rPr>
        <w:t>-</w:t>
      </w:r>
      <w:r>
        <w:rPr>
          <w:rFonts w:hint="cs"/>
          <w:rtl/>
        </w:rPr>
        <w:tab/>
      </w:r>
      <w:r w:rsidRPr="0073707C">
        <w:rPr>
          <w:rFonts w:hint="cs"/>
          <w:rtl/>
        </w:rPr>
        <w:t>وتولّت</w:t>
      </w:r>
      <w:r w:rsidRPr="0073707C">
        <w:rPr>
          <w:rtl/>
        </w:rPr>
        <w:t xml:space="preserve"> الإدارة العامة للسجون والإصلاح تنظيم أيام </w:t>
      </w:r>
      <w:r w:rsidRPr="0073707C">
        <w:rPr>
          <w:rFonts w:hint="cs"/>
          <w:rtl/>
        </w:rPr>
        <w:t xml:space="preserve">توعية في مجال حقوق الإنسان </w:t>
      </w:r>
      <w:r w:rsidRPr="0073707C">
        <w:rPr>
          <w:rtl/>
        </w:rPr>
        <w:t>موج</w:t>
      </w:r>
      <w:r w:rsidRPr="0073707C">
        <w:rPr>
          <w:rFonts w:hint="cs"/>
          <w:rtl/>
        </w:rPr>
        <w:t>ّ</w:t>
      </w:r>
      <w:r w:rsidRPr="0073707C">
        <w:rPr>
          <w:rtl/>
        </w:rPr>
        <w:t xml:space="preserve">هة للموظفين المباشرين بكافة </w:t>
      </w:r>
      <w:r>
        <w:rPr>
          <w:rFonts w:hint="cs"/>
          <w:rtl/>
        </w:rPr>
        <w:t>وحدات السجون</w:t>
      </w:r>
      <w:r w:rsidRPr="0073707C">
        <w:rPr>
          <w:rtl/>
        </w:rPr>
        <w:t xml:space="preserve"> والإصلاحية تشرف عليها إطارات من الإدارة العام</w:t>
      </w:r>
      <w:r w:rsidRPr="0073707C">
        <w:rPr>
          <w:rFonts w:hint="cs"/>
          <w:rtl/>
        </w:rPr>
        <w:t>ّ</w:t>
      </w:r>
      <w:r w:rsidRPr="0073707C">
        <w:rPr>
          <w:rtl/>
        </w:rPr>
        <w:t>ة.</w:t>
      </w:r>
    </w:p>
    <w:p w:rsidR="00AE46F4" w:rsidRPr="0073707C" w:rsidRDefault="00621396" w:rsidP="007B74CB">
      <w:pPr>
        <w:pStyle w:val="H1GA"/>
        <w:rPr>
          <w:rFonts w:hint="cs"/>
          <w:rtl/>
          <w:lang w:bidi="ar-TN"/>
        </w:rPr>
      </w:pPr>
      <w:r>
        <w:rPr>
          <w:rFonts w:hint="cs"/>
          <w:rtl/>
          <w:lang w:bidi="ar-TN"/>
        </w:rPr>
        <w:tab/>
      </w:r>
      <w:r>
        <w:rPr>
          <w:rFonts w:hint="cs"/>
          <w:rtl/>
          <w:lang w:bidi="ar-TN"/>
        </w:rPr>
        <w:tab/>
      </w:r>
      <w:r w:rsidR="00AE46F4">
        <w:rPr>
          <w:rFonts w:hint="cs"/>
          <w:rtl/>
          <w:lang w:bidi="ar-TN"/>
        </w:rPr>
        <w:t>الملاحظة رقم</w:t>
      </w:r>
      <w:r w:rsidR="00AE46F4" w:rsidRPr="0073707C">
        <w:rPr>
          <w:rFonts w:hint="cs"/>
          <w:rtl/>
          <w:lang w:bidi="ar-TN"/>
        </w:rPr>
        <w:t xml:space="preserve"> 20</w:t>
      </w:r>
    </w:p>
    <w:p w:rsidR="00AE46F4" w:rsidRPr="00CC6C89" w:rsidRDefault="00CC6C89" w:rsidP="00CC6C89">
      <w:pPr>
        <w:pStyle w:val="SingleTxtGA"/>
        <w:rPr>
          <w:rFonts w:hint="cs"/>
          <w:b/>
          <w:bCs/>
          <w:rtl/>
          <w:lang w:bidi="ar-TN"/>
        </w:rPr>
      </w:pPr>
      <w:r>
        <w:rPr>
          <w:rFonts w:hint="cs"/>
          <w:b/>
          <w:bCs/>
          <w:rtl/>
          <w:lang w:bidi="ar-TN"/>
        </w:rPr>
        <w:tab/>
      </w:r>
      <w:r w:rsidR="00AE46F4" w:rsidRPr="00CC6C89">
        <w:rPr>
          <w:rFonts w:hint="cs"/>
          <w:b/>
          <w:bCs/>
          <w:rtl/>
          <w:lang w:bidi="ar-TN"/>
        </w:rPr>
        <w:t>التدابير التي تم اتخاذها لاحترام وحماية الأنشطة السلمية التي تضطلع بها المنظمات والمدافعون عن حقوق الإنسان، ومعلومات حول التحقيقات التي أجريت في خصوص ادعاءات التخويف والمضايقات.</w:t>
      </w:r>
    </w:p>
    <w:p w:rsidR="00AE46F4" w:rsidRPr="0073707C" w:rsidRDefault="0040540C" w:rsidP="003B3E31">
      <w:pPr>
        <w:pStyle w:val="H1GA"/>
        <w:spacing w:before="120"/>
        <w:rPr>
          <w:rFonts w:hint="cs"/>
          <w:rtl/>
          <w:lang w:bidi="ar-TN"/>
        </w:rPr>
      </w:pPr>
      <w:r>
        <w:rPr>
          <w:rFonts w:hint="cs"/>
          <w:rtl/>
          <w:lang w:bidi="ar-TN"/>
        </w:rPr>
        <w:tab/>
      </w:r>
      <w:r>
        <w:rPr>
          <w:rFonts w:hint="cs"/>
          <w:rtl/>
          <w:lang w:bidi="ar-TN"/>
        </w:rPr>
        <w:tab/>
      </w:r>
      <w:r w:rsidR="00AE46F4">
        <w:rPr>
          <w:rFonts w:hint="cs"/>
          <w:rtl/>
          <w:lang w:bidi="ar-TN"/>
        </w:rPr>
        <w:t>الرد</w:t>
      </w:r>
    </w:p>
    <w:p w:rsidR="00AE46F4" w:rsidRPr="0073707C" w:rsidRDefault="00AE46F4" w:rsidP="00CC6C89">
      <w:pPr>
        <w:pStyle w:val="SingleTxtGA"/>
        <w:rPr>
          <w:lang w:bidi="ar-TN"/>
        </w:rPr>
      </w:pPr>
      <w:r>
        <w:rPr>
          <w:rFonts w:hint="cs"/>
          <w:rtl/>
          <w:lang w:bidi="ar-TN"/>
        </w:rPr>
        <w:t>23</w:t>
      </w:r>
      <w:r w:rsidR="00CC6C89">
        <w:rPr>
          <w:rFonts w:hint="cs"/>
          <w:rtl/>
          <w:lang w:bidi="ar-TN"/>
        </w:rPr>
        <w:t>-</w:t>
      </w:r>
      <w:r>
        <w:rPr>
          <w:rFonts w:hint="cs"/>
          <w:rtl/>
          <w:lang w:bidi="ar-TN"/>
        </w:rPr>
        <w:tab/>
      </w:r>
      <w:r w:rsidRPr="0073707C">
        <w:rPr>
          <w:rFonts w:hint="cs"/>
          <w:rtl/>
          <w:lang w:bidi="ar-TN"/>
        </w:rPr>
        <w:t>يتجه بادئ ذي</w:t>
      </w:r>
      <w:r w:rsidRPr="0073707C">
        <w:rPr>
          <w:rFonts w:hint="cs"/>
          <w:b/>
          <w:bCs/>
          <w:rtl/>
          <w:lang w:bidi="ar-TN"/>
        </w:rPr>
        <w:t xml:space="preserve"> </w:t>
      </w:r>
      <w:r w:rsidRPr="0073707C">
        <w:rPr>
          <w:rFonts w:hint="cs"/>
          <w:rtl/>
          <w:lang w:bidi="ar-TN"/>
        </w:rPr>
        <w:t>بدء التأكيد على أنّ السلطات التونسية تشجع وتحمي الناشطين في مجال حقوق الإنسان وتوفر</w:t>
      </w:r>
      <w:r>
        <w:rPr>
          <w:rFonts w:hint="cs"/>
          <w:rtl/>
          <w:lang w:bidi="ar-TN"/>
        </w:rPr>
        <w:t xml:space="preserve"> </w:t>
      </w:r>
      <w:r w:rsidRPr="0073707C">
        <w:rPr>
          <w:rFonts w:hint="cs"/>
          <w:rtl/>
          <w:lang w:bidi="ar-TN"/>
        </w:rPr>
        <w:t>لهم الإطار القانوني الملائم لممارسة نشاطهم الحقوقي سواء تعلق الأمر بأشخاص طبيعيين أو بمنظمات.</w:t>
      </w:r>
    </w:p>
    <w:p w:rsidR="00AE46F4" w:rsidRPr="0073707C" w:rsidRDefault="00AE46F4" w:rsidP="00CC6C89">
      <w:pPr>
        <w:pStyle w:val="SingleTxtGA"/>
        <w:rPr>
          <w:rFonts w:hint="cs"/>
          <w:rtl/>
          <w:lang w:bidi="ar-TN"/>
        </w:rPr>
      </w:pPr>
      <w:r>
        <w:rPr>
          <w:rFonts w:hint="cs"/>
          <w:rtl/>
          <w:lang w:bidi="ar-TN"/>
        </w:rPr>
        <w:t>24</w:t>
      </w:r>
      <w:r w:rsidR="00CC6C89">
        <w:rPr>
          <w:rFonts w:hint="cs"/>
          <w:rtl/>
          <w:lang w:bidi="ar-TN"/>
        </w:rPr>
        <w:t>-</w:t>
      </w:r>
      <w:r>
        <w:rPr>
          <w:rFonts w:hint="cs"/>
          <w:rtl/>
          <w:lang w:bidi="ar-TN"/>
        </w:rPr>
        <w:tab/>
      </w:r>
      <w:r w:rsidRPr="0073707C">
        <w:rPr>
          <w:rFonts w:hint="cs"/>
          <w:rtl/>
          <w:lang w:bidi="ar-TN"/>
        </w:rPr>
        <w:t>كما يتجه التوضيح أنه لم يقع اتخاذ أي تدبير خاص طالما أنّ ما ورد بالأحكام القانونية العامة المقررة في المجلة الجزائية ومجلة الإجراءات الجزائية يكفي لحماية جميع المواطنين على قدم المساواة. وكل إفراد لصنف معين من المواطنين بأحكام قانونية حمائية خاصة بهم يُؤدّي حتما إلى خرق مبدأ المساواة المقرّر بالدستور.</w:t>
      </w:r>
    </w:p>
    <w:p w:rsidR="00AE46F4" w:rsidRPr="0073707C" w:rsidRDefault="00AE46F4" w:rsidP="00CC6C89">
      <w:pPr>
        <w:pStyle w:val="SingleTxtGA"/>
        <w:rPr>
          <w:rFonts w:hint="cs"/>
          <w:rtl/>
          <w:lang w:bidi="ar-TN"/>
        </w:rPr>
      </w:pPr>
      <w:r>
        <w:rPr>
          <w:rFonts w:hint="cs"/>
          <w:rtl/>
          <w:lang w:bidi="ar-TN"/>
        </w:rPr>
        <w:t>25</w:t>
      </w:r>
      <w:r w:rsidR="00CC6C89">
        <w:rPr>
          <w:rFonts w:hint="cs"/>
          <w:rtl/>
          <w:lang w:bidi="ar-TN"/>
        </w:rPr>
        <w:t>-</w:t>
      </w:r>
      <w:r>
        <w:rPr>
          <w:rFonts w:hint="cs"/>
          <w:rtl/>
          <w:lang w:bidi="ar-TN"/>
        </w:rPr>
        <w:tab/>
      </w:r>
      <w:r w:rsidRPr="0073707C">
        <w:rPr>
          <w:rFonts w:hint="cs"/>
          <w:rtl/>
          <w:lang w:bidi="ar-TN"/>
        </w:rPr>
        <w:t>كما يتّجه التوضيح أيضا أنّه لم يقع اتّخاذ أي تدبير عملي خاص طالما أنّ في ذلك خروج على مبدأ المساواة التي تقتضي معاملة جميع الأفراد بنفس المعاملة.</w:t>
      </w:r>
    </w:p>
    <w:p w:rsidR="00AE46F4" w:rsidRPr="0073707C" w:rsidRDefault="00AE46F4" w:rsidP="00CC6C89">
      <w:pPr>
        <w:pStyle w:val="SingleTxtGA"/>
        <w:rPr>
          <w:rFonts w:hint="cs"/>
          <w:rtl/>
          <w:lang w:bidi="ar-TN"/>
        </w:rPr>
      </w:pPr>
      <w:r>
        <w:rPr>
          <w:rFonts w:hint="cs"/>
          <w:rtl/>
          <w:lang w:bidi="ar-TN"/>
        </w:rPr>
        <w:t>26</w:t>
      </w:r>
      <w:r w:rsidR="00CC6C89">
        <w:rPr>
          <w:rFonts w:hint="cs"/>
          <w:rtl/>
          <w:lang w:bidi="ar-TN"/>
        </w:rPr>
        <w:t>-</w:t>
      </w:r>
      <w:r>
        <w:rPr>
          <w:rFonts w:hint="cs"/>
          <w:rtl/>
          <w:lang w:bidi="ar-TN"/>
        </w:rPr>
        <w:tab/>
      </w:r>
      <w:r w:rsidRPr="0073707C">
        <w:rPr>
          <w:rFonts w:hint="cs"/>
          <w:rtl/>
          <w:lang w:bidi="ar-TN"/>
        </w:rPr>
        <w:t>وإذ تكفل السلطات التونسية حقوق الناشطين والمدافعين عن حقوق الإنسان فإنها تلفت انتباه لجنة حقوق الإنسان إلى ما يلي:</w:t>
      </w:r>
    </w:p>
    <w:p w:rsidR="00AE46F4" w:rsidRDefault="0040540C" w:rsidP="0040540C">
      <w:pPr>
        <w:pStyle w:val="H23GA"/>
        <w:rPr>
          <w:rFonts w:hint="cs"/>
          <w:rtl/>
          <w:lang w:bidi="ar-TN"/>
        </w:rPr>
      </w:pPr>
      <w:r>
        <w:rPr>
          <w:rFonts w:hint="cs"/>
          <w:rtl/>
          <w:lang w:bidi="ar-TN"/>
        </w:rPr>
        <w:tab/>
      </w:r>
      <w:r>
        <w:rPr>
          <w:rFonts w:hint="cs"/>
          <w:rtl/>
          <w:lang w:bidi="ar-TN"/>
        </w:rPr>
        <w:tab/>
      </w:r>
      <w:r w:rsidR="00AE46F4">
        <w:rPr>
          <w:rFonts w:hint="cs"/>
          <w:rtl/>
          <w:lang w:bidi="ar-TN"/>
        </w:rPr>
        <w:t>أولا</w:t>
      </w:r>
      <w:r>
        <w:rPr>
          <w:rFonts w:hint="cs"/>
          <w:rtl/>
          <w:lang w:bidi="ar-TN"/>
        </w:rPr>
        <w:t>ً</w:t>
      </w:r>
    </w:p>
    <w:p w:rsidR="00AE46F4" w:rsidRPr="0073707C" w:rsidRDefault="00AE46F4" w:rsidP="0040540C">
      <w:pPr>
        <w:pStyle w:val="SingleTxtGA"/>
        <w:rPr>
          <w:rFonts w:hint="cs"/>
          <w:rtl/>
          <w:lang w:bidi="ar-TN"/>
        </w:rPr>
      </w:pPr>
      <w:r>
        <w:rPr>
          <w:rFonts w:hint="cs"/>
          <w:rtl/>
          <w:lang w:bidi="ar-TN"/>
        </w:rPr>
        <w:t>27</w:t>
      </w:r>
      <w:r w:rsidR="0040540C">
        <w:rPr>
          <w:rFonts w:hint="cs"/>
          <w:rtl/>
          <w:lang w:bidi="ar-TN"/>
        </w:rPr>
        <w:t>-</w:t>
      </w:r>
      <w:r>
        <w:rPr>
          <w:rFonts w:hint="cs"/>
          <w:rtl/>
          <w:lang w:bidi="ar-TN"/>
        </w:rPr>
        <w:tab/>
      </w:r>
      <w:r w:rsidRPr="0073707C">
        <w:rPr>
          <w:rFonts w:hint="cs"/>
          <w:rtl/>
          <w:lang w:bidi="ar-TN"/>
        </w:rPr>
        <w:t>أنّ صفة النّاشط أو</w:t>
      </w:r>
      <w:r>
        <w:rPr>
          <w:rFonts w:hint="cs"/>
          <w:rtl/>
          <w:lang w:bidi="ar-TN"/>
        </w:rPr>
        <w:t xml:space="preserve"> </w:t>
      </w:r>
      <w:r w:rsidRPr="0073707C">
        <w:rPr>
          <w:rFonts w:hint="cs"/>
          <w:rtl/>
          <w:lang w:bidi="ar-TN"/>
        </w:rPr>
        <w:t>المدافع عن حقوق الإنسان لا ينبغي أن يتم توظيفها أو استغلالها لقضاء مآرب خاصة أو للقيام بأعمال لا تمت بصلة للأنشطة السلمية وللأهداف النبيلة التي تحملها قيم ومبادئ حقوق الإنسان، وبالتالي فإن حصل هذا التوظيف أو</w:t>
      </w:r>
      <w:r>
        <w:rPr>
          <w:rFonts w:hint="cs"/>
          <w:rtl/>
          <w:lang w:bidi="ar-TN"/>
        </w:rPr>
        <w:t xml:space="preserve"> </w:t>
      </w:r>
      <w:r w:rsidRPr="0073707C">
        <w:rPr>
          <w:rFonts w:hint="cs"/>
          <w:rtl/>
          <w:lang w:bidi="ar-TN"/>
        </w:rPr>
        <w:t>الاستغلال تفقد صفة الناشط أو</w:t>
      </w:r>
      <w:r>
        <w:rPr>
          <w:rFonts w:hint="cs"/>
          <w:rtl/>
          <w:lang w:bidi="ar-TN"/>
        </w:rPr>
        <w:t xml:space="preserve"> </w:t>
      </w:r>
      <w:r w:rsidRPr="0073707C">
        <w:rPr>
          <w:rFonts w:hint="cs"/>
          <w:rtl/>
          <w:lang w:bidi="ar-TN"/>
        </w:rPr>
        <w:t>المدافع عن حقوق الإنسان العلّة والغاية التي وُجدت من أجلها بل ويكون الناشط أو</w:t>
      </w:r>
      <w:r>
        <w:rPr>
          <w:rFonts w:hint="cs"/>
          <w:rtl/>
          <w:lang w:bidi="ar-TN"/>
        </w:rPr>
        <w:t xml:space="preserve"> </w:t>
      </w:r>
      <w:r w:rsidRPr="0073707C">
        <w:rPr>
          <w:rFonts w:hint="cs"/>
          <w:rtl/>
          <w:lang w:bidi="ar-TN"/>
        </w:rPr>
        <w:t>المدافع عن حقوق الإنسان في وضع أخلاقي أسوأ ممّن يخرق القانون دون أن يُسند لنفسه تلك الصفة أو يُسندها له الغير.</w:t>
      </w:r>
    </w:p>
    <w:p w:rsidR="00AE46F4" w:rsidRPr="0073707C" w:rsidRDefault="00AE46F4" w:rsidP="0040540C">
      <w:pPr>
        <w:pStyle w:val="SingleTxtGA"/>
        <w:rPr>
          <w:rFonts w:hint="cs"/>
          <w:rtl/>
          <w:lang w:bidi="ar-TN"/>
        </w:rPr>
      </w:pPr>
      <w:r>
        <w:rPr>
          <w:rFonts w:hint="cs"/>
          <w:rtl/>
          <w:lang w:bidi="ar-TN"/>
        </w:rPr>
        <w:t>28</w:t>
      </w:r>
      <w:r w:rsidR="0040540C">
        <w:rPr>
          <w:rFonts w:hint="cs"/>
          <w:rtl/>
          <w:lang w:bidi="ar-TN"/>
        </w:rPr>
        <w:t>-</w:t>
      </w:r>
      <w:r>
        <w:rPr>
          <w:rFonts w:hint="cs"/>
          <w:rtl/>
          <w:lang w:bidi="ar-TN"/>
        </w:rPr>
        <w:tab/>
      </w:r>
      <w:r w:rsidRPr="0073707C">
        <w:rPr>
          <w:rFonts w:hint="cs"/>
          <w:rtl/>
          <w:lang w:bidi="ar-TN"/>
        </w:rPr>
        <w:t>وإذا كان تسييس حقوق الإنسان من قبل بعض المدافعين عن حقوق الإنسان لا يُساعد على خدمة قضايا حقوق الإنسان، فإنّ الدولة تحاول بكل ما أوتيت من جهد أن تساعد النشطا</w:t>
      </w:r>
      <w:r w:rsidRPr="0073707C">
        <w:rPr>
          <w:rFonts w:hint="eastAsia"/>
          <w:rtl/>
          <w:lang w:bidi="ar-TN"/>
        </w:rPr>
        <w:t>ء</w:t>
      </w:r>
      <w:r w:rsidRPr="0073707C">
        <w:rPr>
          <w:rFonts w:hint="cs"/>
          <w:rtl/>
          <w:lang w:bidi="ar-TN"/>
        </w:rPr>
        <w:t xml:space="preserve"> والمدافعين عن حقوق الإنسان على القيام بأنشطتهم وعلى المراهنة عند حصول أي إشكال</w:t>
      </w:r>
      <w:r>
        <w:rPr>
          <w:rFonts w:hint="cs"/>
          <w:rtl/>
          <w:lang w:bidi="ar-TN"/>
        </w:rPr>
        <w:t xml:space="preserve"> </w:t>
      </w:r>
      <w:r w:rsidRPr="0073707C">
        <w:rPr>
          <w:rFonts w:hint="cs"/>
          <w:rtl/>
          <w:lang w:bidi="ar-TN"/>
        </w:rPr>
        <w:t>أو سوء تفاهم على الحوار بالدرجة الأولى لما له من دور في فض المشاكل</w:t>
      </w:r>
      <w:r>
        <w:rPr>
          <w:rFonts w:hint="cs"/>
          <w:rtl/>
          <w:lang w:bidi="ar-TN"/>
        </w:rPr>
        <w:t xml:space="preserve"> </w:t>
      </w:r>
      <w:r w:rsidRPr="0073707C">
        <w:rPr>
          <w:rFonts w:hint="cs"/>
          <w:rtl/>
          <w:lang w:bidi="ar-TN"/>
        </w:rPr>
        <w:t>بعيدا عن الشطط</w:t>
      </w:r>
      <w:r>
        <w:rPr>
          <w:rFonts w:hint="cs"/>
          <w:rtl/>
          <w:lang w:bidi="ar-TN"/>
        </w:rPr>
        <w:t xml:space="preserve"> </w:t>
      </w:r>
      <w:r w:rsidRPr="0073707C">
        <w:rPr>
          <w:rFonts w:hint="cs"/>
          <w:rtl/>
          <w:lang w:bidi="ar-TN"/>
        </w:rPr>
        <w:t>والمزايدات.</w:t>
      </w:r>
    </w:p>
    <w:p w:rsidR="00AE46F4" w:rsidRDefault="0040540C" w:rsidP="0040540C">
      <w:pPr>
        <w:pStyle w:val="H23GA"/>
        <w:rPr>
          <w:rFonts w:hint="cs"/>
          <w:rtl/>
          <w:lang w:bidi="ar-TN"/>
        </w:rPr>
      </w:pPr>
      <w:r>
        <w:rPr>
          <w:rFonts w:hint="cs"/>
          <w:rtl/>
          <w:lang w:bidi="ar-TN"/>
        </w:rPr>
        <w:tab/>
      </w:r>
      <w:r>
        <w:rPr>
          <w:rFonts w:hint="cs"/>
          <w:rtl/>
          <w:lang w:bidi="ar-TN"/>
        </w:rPr>
        <w:tab/>
      </w:r>
      <w:r w:rsidR="00AE46F4" w:rsidRPr="00307B7D">
        <w:rPr>
          <w:rFonts w:hint="cs"/>
          <w:rtl/>
          <w:lang w:bidi="ar-TN"/>
        </w:rPr>
        <w:t>ثانيا</w:t>
      </w:r>
      <w:r>
        <w:rPr>
          <w:rFonts w:hint="cs"/>
          <w:rtl/>
          <w:lang w:bidi="ar-TN"/>
        </w:rPr>
        <w:t>ً</w:t>
      </w:r>
    </w:p>
    <w:p w:rsidR="00AE46F4" w:rsidRPr="0073707C" w:rsidRDefault="00AE46F4" w:rsidP="0040540C">
      <w:pPr>
        <w:pStyle w:val="SingleTxtGA"/>
        <w:rPr>
          <w:rFonts w:hint="cs"/>
          <w:rtl/>
          <w:lang w:bidi="ar-TN"/>
        </w:rPr>
      </w:pPr>
      <w:r>
        <w:rPr>
          <w:rFonts w:hint="cs"/>
          <w:rtl/>
          <w:lang w:bidi="ar-TN"/>
        </w:rPr>
        <w:t>29</w:t>
      </w:r>
      <w:r w:rsidR="0040540C">
        <w:rPr>
          <w:rFonts w:hint="cs"/>
          <w:rtl/>
          <w:lang w:bidi="ar-TN"/>
        </w:rPr>
        <w:t>-</w:t>
      </w:r>
      <w:r>
        <w:rPr>
          <w:rFonts w:hint="cs"/>
          <w:rtl/>
          <w:lang w:bidi="ar-TN"/>
        </w:rPr>
        <w:tab/>
      </w:r>
      <w:r w:rsidRPr="0073707C">
        <w:rPr>
          <w:rFonts w:hint="cs"/>
          <w:rtl/>
          <w:lang w:bidi="ar-TN"/>
        </w:rPr>
        <w:t>أنّ إمكانية خرق النّاشط أو</w:t>
      </w:r>
      <w:r>
        <w:rPr>
          <w:rFonts w:hint="cs"/>
          <w:rtl/>
          <w:lang w:bidi="ar-TN"/>
        </w:rPr>
        <w:t xml:space="preserve"> </w:t>
      </w:r>
      <w:r w:rsidRPr="0073707C">
        <w:rPr>
          <w:rFonts w:hint="cs"/>
          <w:rtl/>
          <w:lang w:bidi="ar-TN"/>
        </w:rPr>
        <w:t>المدافع عن حقوق الإنسان للقانون سواء حصل التوظيف أو الاستغلال لصفة الناشط أو المدافع أو لم يحصل لا يمكن أن تكون محل شك أو</w:t>
      </w:r>
      <w:r>
        <w:rPr>
          <w:rFonts w:hint="cs"/>
          <w:rtl/>
          <w:lang w:bidi="ar-TN"/>
        </w:rPr>
        <w:t xml:space="preserve"> </w:t>
      </w:r>
      <w:r w:rsidRPr="0073707C">
        <w:rPr>
          <w:rFonts w:hint="cs"/>
          <w:rtl/>
          <w:lang w:bidi="ar-TN"/>
        </w:rPr>
        <w:t>جدل. فالنّاشط أو</w:t>
      </w:r>
      <w:r>
        <w:rPr>
          <w:rFonts w:hint="cs"/>
          <w:rtl/>
          <w:lang w:bidi="ar-TN"/>
        </w:rPr>
        <w:t xml:space="preserve"> </w:t>
      </w:r>
      <w:r w:rsidRPr="0073707C">
        <w:rPr>
          <w:rFonts w:hint="cs"/>
          <w:rtl/>
          <w:lang w:bidi="ar-TN"/>
        </w:rPr>
        <w:t>المدافع عن حقوق الإنسان ليس معصوما من الزلل والخطأ وبالتالي فإنّه استنادا لمبدأ المساواة بين المواطنين لا يمكن التذرع بصفة النّاشط أو</w:t>
      </w:r>
      <w:r>
        <w:rPr>
          <w:rFonts w:hint="cs"/>
          <w:rtl/>
          <w:lang w:bidi="ar-TN"/>
        </w:rPr>
        <w:t xml:space="preserve"> </w:t>
      </w:r>
      <w:r w:rsidRPr="0073707C">
        <w:rPr>
          <w:rFonts w:hint="cs"/>
          <w:rtl/>
          <w:lang w:bidi="ar-TN"/>
        </w:rPr>
        <w:t>المدافع عن حقوق الإن</w:t>
      </w:r>
      <w:r w:rsidRPr="00A476BC">
        <w:rPr>
          <w:rFonts w:hint="cs"/>
          <w:rtl/>
          <w:lang w:bidi="ar-TN"/>
        </w:rPr>
        <w:t>سان للتملص من الأفعال التي قد يتم ارتكابها والتي تدخل تحت طائلة القانون. فالصّفة المذكورة على أهميتها ونبلها لا يمكن في</w:t>
      </w:r>
      <w:r w:rsidRPr="0073707C">
        <w:rPr>
          <w:rFonts w:hint="cs"/>
          <w:rtl/>
          <w:lang w:bidi="ar-TN"/>
        </w:rPr>
        <w:t xml:space="preserve"> دولة قانون ومؤسسات أن تمنح صاحبها حقوقا أكثر من حقوق سائر المواطنين.</w:t>
      </w:r>
    </w:p>
    <w:p w:rsidR="00AE46F4" w:rsidRPr="0073707C" w:rsidRDefault="00AE46F4" w:rsidP="0040540C">
      <w:pPr>
        <w:pStyle w:val="SingleTxtGA"/>
        <w:rPr>
          <w:rFonts w:hint="cs"/>
          <w:rtl/>
          <w:lang w:bidi="ar-TN"/>
        </w:rPr>
      </w:pPr>
      <w:r>
        <w:rPr>
          <w:rFonts w:hint="cs"/>
          <w:rtl/>
          <w:lang w:bidi="ar-TN"/>
        </w:rPr>
        <w:t>30</w:t>
      </w:r>
      <w:r w:rsidR="0040540C">
        <w:rPr>
          <w:rFonts w:hint="cs"/>
          <w:rtl/>
          <w:lang w:bidi="ar-TN"/>
        </w:rPr>
        <w:t>-</w:t>
      </w:r>
      <w:r>
        <w:rPr>
          <w:rFonts w:hint="cs"/>
          <w:rtl/>
          <w:lang w:bidi="ar-TN"/>
        </w:rPr>
        <w:tab/>
        <w:t>و</w:t>
      </w:r>
      <w:r w:rsidRPr="0073707C">
        <w:rPr>
          <w:rFonts w:hint="cs"/>
          <w:rtl/>
          <w:lang w:bidi="ar-TN"/>
        </w:rPr>
        <w:t>لكنَّ اقتناع السلطات العمومية في تونس بنُبل رسالة المدافع عن حقوق الإنسان جعلها تُراه</w:t>
      </w:r>
      <w:r w:rsidRPr="00484FDA">
        <w:rPr>
          <w:rFonts w:hint="cs"/>
          <w:rtl/>
          <w:lang w:bidi="ar-TN"/>
        </w:rPr>
        <w:t>ن على زيادة دفع نشاطهم وتعميق مسار التربية على حقوق الإنسان باعتباره المدخل الرئيسي لازدهار نشاطهم وتحقيق أهدافهم النبيلة. ولا شك أنه ينبغي التحلي بالصبر وطول النفس كي يتعوّد الجميع على أنّ الدفاع عن حقوق الإنسان ليس حربا بين</w:t>
      </w:r>
      <w:r w:rsidRPr="0073707C">
        <w:rPr>
          <w:rFonts w:hint="cs"/>
          <w:rtl/>
          <w:lang w:bidi="ar-TN"/>
        </w:rPr>
        <w:t xml:space="preserve"> المدافعين عن حقوق الإنسان والسلطة أو</w:t>
      </w:r>
      <w:r>
        <w:rPr>
          <w:rFonts w:hint="cs"/>
          <w:rtl/>
          <w:lang w:bidi="ar-TN"/>
        </w:rPr>
        <w:t xml:space="preserve"> </w:t>
      </w:r>
      <w:r w:rsidRPr="0073707C">
        <w:rPr>
          <w:rFonts w:hint="cs"/>
          <w:rtl/>
          <w:lang w:bidi="ar-TN"/>
        </w:rPr>
        <w:t>العكس وإنما هو مسار بناء وتطوير مستمر لأوضاع حقوق الإنسان في الواقع المعيش</w:t>
      </w:r>
      <w:r>
        <w:rPr>
          <w:rFonts w:hint="cs"/>
          <w:rtl/>
          <w:lang w:bidi="ar-TN"/>
        </w:rPr>
        <w:t>ي</w:t>
      </w:r>
      <w:r w:rsidRPr="0073707C">
        <w:rPr>
          <w:rFonts w:hint="cs"/>
          <w:rtl/>
          <w:lang w:bidi="ar-TN"/>
        </w:rPr>
        <w:t xml:space="preserve"> في كنف التحلي بالاتزان والاعتدال .</w:t>
      </w:r>
    </w:p>
    <w:p w:rsidR="00AE46F4" w:rsidRPr="0073707C" w:rsidRDefault="0040540C" w:rsidP="0040540C">
      <w:pPr>
        <w:pStyle w:val="H23GA"/>
        <w:rPr>
          <w:rFonts w:hint="cs"/>
          <w:rtl/>
          <w:lang w:bidi="ar-TN"/>
        </w:rPr>
      </w:pPr>
      <w:r>
        <w:rPr>
          <w:rFonts w:hint="cs"/>
          <w:rtl/>
          <w:lang w:bidi="ar-TN"/>
        </w:rPr>
        <w:tab/>
      </w:r>
      <w:r>
        <w:rPr>
          <w:rFonts w:hint="cs"/>
          <w:rtl/>
          <w:lang w:bidi="ar-TN"/>
        </w:rPr>
        <w:tab/>
      </w:r>
      <w:r w:rsidR="00AE46F4">
        <w:rPr>
          <w:rFonts w:hint="cs"/>
          <w:rtl/>
          <w:lang w:bidi="ar-TN"/>
        </w:rPr>
        <w:t>ثالثا</w:t>
      </w:r>
      <w:r>
        <w:rPr>
          <w:rFonts w:hint="cs"/>
          <w:rtl/>
          <w:lang w:bidi="ar-TN"/>
        </w:rPr>
        <w:t>ً</w:t>
      </w:r>
    </w:p>
    <w:p w:rsidR="00AE46F4" w:rsidRDefault="00AE46F4" w:rsidP="0040540C">
      <w:pPr>
        <w:pStyle w:val="SingleTxtGA"/>
        <w:rPr>
          <w:rFonts w:hint="cs"/>
          <w:rtl/>
          <w:lang w:bidi="ar-TN"/>
        </w:rPr>
      </w:pPr>
      <w:r>
        <w:rPr>
          <w:rFonts w:hint="cs"/>
          <w:rtl/>
          <w:lang w:bidi="ar-TN"/>
        </w:rPr>
        <w:t>31</w:t>
      </w:r>
      <w:r w:rsidR="0040540C">
        <w:rPr>
          <w:rFonts w:hint="cs"/>
          <w:rtl/>
          <w:lang w:bidi="ar-TN"/>
        </w:rPr>
        <w:t>-</w:t>
      </w:r>
      <w:r w:rsidRPr="009521B6">
        <w:rPr>
          <w:rFonts w:hint="cs"/>
          <w:rtl/>
          <w:lang w:bidi="ar-TN"/>
        </w:rPr>
        <w:tab/>
      </w:r>
      <w:r w:rsidRPr="0073707C">
        <w:rPr>
          <w:rFonts w:hint="cs"/>
          <w:rtl/>
          <w:lang w:bidi="ar-TN"/>
        </w:rPr>
        <w:t xml:space="preserve">أنّ السلطات العمومية في تونس بقدر الأهمية التي تعطيها </w:t>
      </w:r>
      <w:r>
        <w:rPr>
          <w:rFonts w:hint="cs"/>
          <w:rtl/>
          <w:lang w:bidi="ar-TN"/>
        </w:rPr>
        <w:t>للشكاوى</w:t>
      </w:r>
      <w:r w:rsidRPr="0073707C">
        <w:rPr>
          <w:rFonts w:hint="cs"/>
          <w:rtl/>
          <w:lang w:bidi="ar-TN"/>
        </w:rPr>
        <w:t xml:space="preserve"> المتعلقة بادعاءات التخويف والمضايقات التي يتقدم بها في بعض الأحيان مَن ينتسبون إلى مجال الدفاع عن حقوق الإنسان بالقدر الذي تعطيه من أهمية</w:t>
      </w:r>
      <w:r>
        <w:rPr>
          <w:rFonts w:hint="cs"/>
          <w:rtl/>
          <w:lang w:bidi="ar-TN"/>
        </w:rPr>
        <w:t xml:space="preserve"> للشكاوى</w:t>
      </w:r>
      <w:r w:rsidRPr="0073707C">
        <w:rPr>
          <w:rFonts w:hint="cs"/>
          <w:rtl/>
          <w:lang w:bidi="ar-TN"/>
        </w:rPr>
        <w:t xml:space="preserve"> التي يتقدّم بها بعض الأفراد ضد مَن ينتسبون إلى مجال الدفاع عن حقوق الإنسان. فجميع هذه </w:t>
      </w:r>
      <w:r>
        <w:rPr>
          <w:rFonts w:hint="cs"/>
          <w:rtl/>
          <w:lang w:bidi="ar-TN"/>
        </w:rPr>
        <w:t>الشكاوى</w:t>
      </w:r>
      <w:r w:rsidRPr="0073707C">
        <w:rPr>
          <w:rFonts w:hint="cs"/>
          <w:rtl/>
          <w:lang w:bidi="ar-TN"/>
        </w:rPr>
        <w:t xml:space="preserve"> من هذا الجانب أو</w:t>
      </w:r>
      <w:r>
        <w:rPr>
          <w:rFonts w:hint="cs"/>
          <w:rtl/>
          <w:lang w:bidi="ar-TN"/>
        </w:rPr>
        <w:t xml:space="preserve"> </w:t>
      </w:r>
      <w:r w:rsidRPr="0073707C">
        <w:rPr>
          <w:rFonts w:hint="cs"/>
          <w:rtl/>
          <w:lang w:bidi="ar-TN"/>
        </w:rPr>
        <w:t>ذاك تحظى بعناية كبيرة من السلطة القضائية بدءا من مصالح النيابة العمومية التي تتحرّى في كل ما يرد إليها وصولا إلى محاكم القضاء في صورة تعهدها بقضايا من هذا الطرف أو ذاك.</w:t>
      </w:r>
    </w:p>
    <w:p w:rsidR="00AE46F4" w:rsidRPr="0073707C" w:rsidRDefault="0040540C" w:rsidP="0040540C">
      <w:pPr>
        <w:pStyle w:val="H23GA"/>
        <w:rPr>
          <w:rFonts w:hint="cs"/>
          <w:rtl/>
          <w:lang w:bidi="ar-TN"/>
        </w:rPr>
      </w:pPr>
      <w:r>
        <w:rPr>
          <w:rFonts w:hint="cs"/>
          <w:rtl/>
          <w:lang w:bidi="ar-TN"/>
        </w:rPr>
        <w:tab/>
      </w:r>
      <w:r>
        <w:rPr>
          <w:rFonts w:hint="cs"/>
          <w:rtl/>
          <w:lang w:bidi="ar-TN"/>
        </w:rPr>
        <w:tab/>
      </w:r>
      <w:r w:rsidR="00AE46F4">
        <w:rPr>
          <w:rFonts w:hint="cs"/>
          <w:rtl/>
          <w:lang w:bidi="ar-TN"/>
        </w:rPr>
        <w:t>رابعا</w:t>
      </w:r>
      <w:r>
        <w:rPr>
          <w:rFonts w:hint="cs"/>
          <w:rtl/>
          <w:lang w:bidi="ar-TN"/>
        </w:rPr>
        <w:t>ً</w:t>
      </w:r>
    </w:p>
    <w:p w:rsidR="00AE46F4" w:rsidRPr="0073707C" w:rsidRDefault="00AE46F4" w:rsidP="0040540C">
      <w:pPr>
        <w:pStyle w:val="SingleTxtGA"/>
        <w:rPr>
          <w:rFonts w:hint="cs"/>
          <w:rtl/>
          <w:lang w:bidi="ar-TN"/>
        </w:rPr>
      </w:pPr>
      <w:r>
        <w:rPr>
          <w:rFonts w:hint="cs"/>
          <w:rtl/>
          <w:lang w:bidi="ar-TN"/>
        </w:rPr>
        <w:t>32</w:t>
      </w:r>
      <w:r w:rsidR="0040540C">
        <w:rPr>
          <w:rFonts w:hint="cs"/>
          <w:rtl/>
          <w:lang w:bidi="ar-TN"/>
        </w:rPr>
        <w:t>-</w:t>
      </w:r>
      <w:r w:rsidRPr="009521B6">
        <w:rPr>
          <w:rFonts w:hint="cs"/>
          <w:rtl/>
          <w:lang w:bidi="ar-TN"/>
        </w:rPr>
        <w:tab/>
      </w:r>
      <w:r w:rsidRPr="0073707C">
        <w:rPr>
          <w:rFonts w:hint="cs"/>
          <w:rtl/>
          <w:lang w:bidi="ar-TN"/>
        </w:rPr>
        <w:t xml:space="preserve">أنّ عددا من </w:t>
      </w:r>
      <w:r>
        <w:rPr>
          <w:rFonts w:hint="cs"/>
          <w:rtl/>
          <w:lang w:bidi="ar-TN"/>
        </w:rPr>
        <w:t>الشكاوى</w:t>
      </w:r>
      <w:r w:rsidRPr="0073707C">
        <w:rPr>
          <w:rFonts w:hint="cs"/>
          <w:rtl/>
          <w:lang w:bidi="ar-TN"/>
        </w:rPr>
        <w:t xml:space="preserve"> التي تقدم بها بعض </w:t>
      </w:r>
      <w:r>
        <w:rPr>
          <w:rFonts w:hint="cs"/>
          <w:rtl/>
          <w:lang w:bidi="ar-TN"/>
        </w:rPr>
        <w:t xml:space="preserve">ممّن </w:t>
      </w:r>
      <w:r w:rsidRPr="0073707C">
        <w:rPr>
          <w:rFonts w:hint="cs"/>
          <w:rtl/>
          <w:lang w:bidi="ar-TN"/>
        </w:rPr>
        <w:t>يدّعون الانتساب لمجال حقوق الإنسان والتي تمّ حفظها على مستوى النيابة العمومية تبيّن بعد التحرّي فيها إمّا تجرّدها وخلوّها من أيّة ب</w:t>
      </w:r>
      <w:r w:rsidRPr="00056C0C">
        <w:rPr>
          <w:rFonts w:hint="cs"/>
          <w:rtl/>
          <w:lang w:bidi="ar-TN"/>
        </w:rPr>
        <w:t>داية حجة أو بناؤها على</w:t>
      </w:r>
      <w:r w:rsidRPr="0073707C">
        <w:rPr>
          <w:rFonts w:hint="cs"/>
          <w:rtl/>
          <w:lang w:bidi="ar-TN"/>
        </w:rPr>
        <w:t xml:space="preserve"> معطيات مغلوطة، أو أن القضايا التي تمّ إجراء تحقيقات فيها لم يثبت أن أصحابها تمت إدانتهم فيها بسبب أنهم مدافعون عن حقوق الإنسان أو بمناسبة نشاطهم في مجال الدفاع عن حقوق الإنسان.</w:t>
      </w:r>
      <w:r>
        <w:rPr>
          <w:rFonts w:hint="cs"/>
          <w:rtl/>
          <w:lang w:bidi="ar-TN"/>
        </w:rPr>
        <w:t xml:space="preserve"> </w:t>
      </w:r>
      <w:r w:rsidRPr="0073707C">
        <w:rPr>
          <w:rFonts w:hint="cs"/>
          <w:rtl/>
          <w:lang w:bidi="ar-TN"/>
        </w:rPr>
        <w:t>ومن بين الأمثلة التي تعهّد بها فقه القضاء في هذا السياق يمكن أن نذكر المثالين التاليين</w:t>
      </w:r>
      <w:r>
        <w:rPr>
          <w:rFonts w:hint="cs"/>
          <w:rtl/>
          <w:lang w:bidi="ar-TN"/>
        </w:rPr>
        <w:t>:</w:t>
      </w:r>
    </w:p>
    <w:p w:rsidR="00AE46F4" w:rsidRPr="0073707C" w:rsidRDefault="0040540C" w:rsidP="0040540C">
      <w:pPr>
        <w:pStyle w:val="H23GA"/>
        <w:rPr>
          <w:rFonts w:hint="cs"/>
          <w:lang w:bidi="ar-TN"/>
        </w:rPr>
      </w:pPr>
      <w:r>
        <w:rPr>
          <w:rFonts w:hint="cs"/>
          <w:rtl/>
          <w:lang w:bidi="ar-TN"/>
        </w:rPr>
        <w:tab/>
      </w:r>
      <w:r>
        <w:rPr>
          <w:rFonts w:hint="cs"/>
          <w:rtl/>
          <w:lang w:bidi="ar-TN"/>
        </w:rPr>
        <w:tab/>
      </w:r>
      <w:r w:rsidR="00AE46F4" w:rsidRPr="0073707C">
        <w:rPr>
          <w:rFonts w:hint="cs"/>
          <w:rtl/>
          <w:lang w:bidi="ar-TN"/>
        </w:rPr>
        <w:t>المثال الأوّل</w:t>
      </w:r>
    </w:p>
    <w:p w:rsidR="00AE46F4" w:rsidRPr="0073707C" w:rsidRDefault="00AE46F4" w:rsidP="000B354C">
      <w:pPr>
        <w:pStyle w:val="SingleTxtGA"/>
        <w:rPr>
          <w:rFonts w:hint="cs"/>
          <w:rtl/>
          <w:lang w:bidi="ar-TN"/>
        </w:rPr>
      </w:pPr>
      <w:r>
        <w:rPr>
          <w:rFonts w:hint="cs"/>
          <w:rtl/>
          <w:lang w:bidi="ar-TN"/>
        </w:rPr>
        <w:t>33</w:t>
      </w:r>
      <w:r w:rsidR="0040540C">
        <w:rPr>
          <w:rFonts w:hint="cs"/>
          <w:rtl/>
          <w:lang w:bidi="ar-TN"/>
        </w:rPr>
        <w:t>-</w:t>
      </w:r>
      <w:r>
        <w:rPr>
          <w:rFonts w:hint="cs"/>
          <w:rtl/>
          <w:lang w:bidi="ar-TN"/>
        </w:rPr>
        <w:tab/>
      </w:r>
      <w:r w:rsidRPr="0073707C">
        <w:rPr>
          <w:rFonts w:hint="cs"/>
          <w:rtl/>
          <w:lang w:bidi="ar-TN"/>
        </w:rPr>
        <w:t>بلغ إلى علم السلطات التونسية في النصف الأول من سنة 2008 أنه إثر حصول حركة احتجاجية لمدينة الرديف بقفصة أنّ عددا</w:t>
      </w:r>
      <w:r w:rsidR="0040540C">
        <w:rPr>
          <w:rFonts w:hint="cs"/>
          <w:rtl/>
          <w:lang w:bidi="ar-TN"/>
        </w:rPr>
        <w:t>ً</w:t>
      </w:r>
      <w:r w:rsidRPr="0073707C">
        <w:rPr>
          <w:rFonts w:hint="cs"/>
          <w:rtl/>
          <w:lang w:bidi="ar-TN"/>
        </w:rPr>
        <w:t xml:space="preserve"> من المدافعين والنشطاء ف</w:t>
      </w:r>
      <w:r w:rsidR="003B3E31">
        <w:rPr>
          <w:rFonts w:hint="cs"/>
          <w:rtl/>
          <w:lang w:bidi="ar-TN"/>
        </w:rPr>
        <w:t>ي المجال النقابي قد تم تتبعهم و</w:t>
      </w:r>
      <w:r w:rsidRPr="0073707C">
        <w:rPr>
          <w:rFonts w:hint="cs"/>
          <w:rtl/>
          <w:lang w:bidi="ar-TN"/>
        </w:rPr>
        <w:t xml:space="preserve">سجنهم </w:t>
      </w:r>
      <w:r>
        <w:rPr>
          <w:rFonts w:hint="cs"/>
          <w:rtl/>
          <w:lang w:bidi="ar-TN"/>
        </w:rPr>
        <w:t>بسبب</w:t>
      </w:r>
      <w:r w:rsidRPr="0073707C">
        <w:rPr>
          <w:rFonts w:hint="cs"/>
          <w:rtl/>
          <w:lang w:bidi="ar-TN"/>
        </w:rPr>
        <w:t xml:space="preserve"> نشاطهم الحقوقي</w:t>
      </w:r>
      <w:r>
        <w:rPr>
          <w:rFonts w:hint="cs"/>
          <w:rtl/>
          <w:lang w:bidi="ar-TN"/>
        </w:rPr>
        <w:t xml:space="preserve"> والنقابي</w:t>
      </w:r>
      <w:r w:rsidRPr="0073707C">
        <w:rPr>
          <w:rFonts w:hint="cs"/>
          <w:rtl/>
          <w:lang w:bidi="ar-TN"/>
        </w:rPr>
        <w:t>. غير أن التحقيق الذي تم فتحه في الموضوع أثبت أن ا</w:t>
      </w:r>
      <w:r w:rsidRPr="009521B6">
        <w:rPr>
          <w:rFonts w:hint="cs"/>
          <w:rtl/>
          <w:lang w:bidi="ar-TN"/>
        </w:rPr>
        <w:t>لمعنيين بالأمر كوّنوا وفاقا اله</w:t>
      </w:r>
      <w:r w:rsidRPr="0073707C">
        <w:rPr>
          <w:rFonts w:hint="cs"/>
          <w:rtl/>
          <w:lang w:bidi="ar-TN"/>
        </w:rPr>
        <w:t>دف منه الحث على العصيان المدني فتحولت هكذا الحركة الاحتجاجية المدنية النقابية إلى عصيان مع توزيع مناشير تدعو إلى استعمال</w:t>
      </w:r>
      <w:r>
        <w:rPr>
          <w:rFonts w:hint="cs"/>
          <w:rtl/>
          <w:lang w:bidi="ar-TN"/>
        </w:rPr>
        <w:t xml:space="preserve"> </w:t>
      </w:r>
      <w:r w:rsidRPr="0073707C">
        <w:rPr>
          <w:rFonts w:hint="cs"/>
          <w:rtl/>
          <w:lang w:bidi="ar-TN"/>
        </w:rPr>
        <w:t>العنف الذي تم اللجوء إ</w:t>
      </w:r>
      <w:r w:rsidR="003B3E31">
        <w:rPr>
          <w:rFonts w:hint="cs"/>
          <w:rtl/>
          <w:lang w:bidi="ar-TN"/>
        </w:rPr>
        <w:t>ليه فعلاً باستعمال قنابل حارقة و</w:t>
      </w:r>
      <w:r w:rsidRPr="0073707C">
        <w:rPr>
          <w:rFonts w:hint="cs"/>
          <w:rtl/>
          <w:lang w:bidi="ar-TN"/>
        </w:rPr>
        <w:t>أسلحة بيضاء</w:t>
      </w:r>
      <w:r w:rsidR="003B3E31">
        <w:rPr>
          <w:rFonts w:hint="cs"/>
          <w:rtl/>
          <w:lang w:bidi="ar-TN"/>
        </w:rPr>
        <w:t xml:space="preserve"> مع وضع حواجز بالطرقات العامة وعلى خطوط السكك الحديدية. و</w:t>
      </w:r>
      <w:r w:rsidRPr="0073707C">
        <w:rPr>
          <w:rFonts w:hint="cs"/>
          <w:rtl/>
          <w:lang w:bidi="ar-TN"/>
        </w:rPr>
        <w:t xml:space="preserve">قد أسفرت تلك الأعمال عن إلحاق </w:t>
      </w:r>
      <w:r w:rsidR="003B3E31">
        <w:rPr>
          <w:rFonts w:hint="cs"/>
          <w:rtl/>
          <w:lang w:bidi="ar-TN"/>
        </w:rPr>
        <w:t>أضرار بدنية بعديد الأشخاص وبالممتلكات العامة و</w:t>
      </w:r>
      <w:r w:rsidRPr="0073707C">
        <w:rPr>
          <w:rFonts w:hint="cs"/>
          <w:rtl/>
          <w:lang w:bidi="ar-TN"/>
        </w:rPr>
        <w:t>الخاصة.</w:t>
      </w:r>
      <w:r w:rsidRPr="00070D5E">
        <w:rPr>
          <w:rFonts w:hint="cs"/>
          <w:rtl/>
          <w:lang w:bidi="ar-TN"/>
        </w:rPr>
        <w:t xml:space="preserve"> </w:t>
      </w:r>
      <w:r w:rsidRPr="0073707C">
        <w:rPr>
          <w:rFonts w:hint="cs"/>
          <w:rtl/>
          <w:lang w:bidi="ar-TN"/>
        </w:rPr>
        <w:t xml:space="preserve">وقد تمت إدانة هؤلاء </w:t>
      </w:r>
      <w:r>
        <w:rPr>
          <w:rFonts w:hint="cs"/>
          <w:rtl/>
          <w:lang w:bidi="ar-TN"/>
        </w:rPr>
        <w:t>بسبب</w:t>
      </w:r>
      <w:r w:rsidRPr="0073707C">
        <w:rPr>
          <w:rFonts w:hint="cs"/>
          <w:rtl/>
          <w:lang w:bidi="ar-TN"/>
        </w:rPr>
        <w:t xml:space="preserve"> الجرائم المنسوبة إليهم ثم أفرج عنهم بموجب سراح شرطي.</w:t>
      </w:r>
    </w:p>
    <w:p w:rsidR="00AE46F4" w:rsidRPr="0073707C" w:rsidRDefault="00AE46F4" w:rsidP="0040540C">
      <w:pPr>
        <w:pStyle w:val="SingleTxtGA"/>
        <w:rPr>
          <w:rFonts w:hint="cs"/>
          <w:rtl/>
          <w:lang w:bidi="ar-TN"/>
        </w:rPr>
      </w:pPr>
      <w:r>
        <w:rPr>
          <w:rFonts w:hint="cs"/>
          <w:rtl/>
          <w:lang w:bidi="ar-TN"/>
        </w:rPr>
        <w:t>34</w:t>
      </w:r>
      <w:r w:rsidR="0040540C">
        <w:rPr>
          <w:rFonts w:hint="cs"/>
          <w:rtl/>
          <w:lang w:bidi="ar-TN"/>
        </w:rPr>
        <w:t>-</w:t>
      </w:r>
      <w:r>
        <w:rPr>
          <w:rFonts w:hint="cs"/>
          <w:rtl/>
          <w:lang w:bidi="ar-TN"/>
        </w:rPr>
        <w:tab/>
      </w:r>
      <w:r w:rsidRPr="0073707C">
        <w:rPr>
          <w:rFonts w:hint="cs"/>
          <w:rtl/>
          <w:lang w:bidi="ar-TN"/>
        </w:rPr>
        <w:t>وما يمكن استنتاجه من هذه القضية هو ضرورة التفريق بين أنشطة الدفاع عن حقوق الإنسان</w:t>
      </w:r>
      <w:r>
        <w:rPr>
          <w:rFonts w:hint="cs"/>
          <w:rtl/>
          <w:lang w:bidi="ar-TN"/>
        </w:rPr>
        <w:t xml:space="preserve"> </w:t>
      </w:r>
      <w:r w:rsidRPr="0073707C">
        <w:rPr>
          <w:rFonts w:hint="cs"/>
          <w:rtl/>
          <w:lang w:bidi="ar-TN"/>
        </w:rPr>
        <w:t xml:space="preserve">بما فيها الحقوق النقابية </w:t>
      </w:r>
      <w:r>
        <w:rPr>
          <w:rFonts w:hint="cs"/>
          <w:rtl/>
          <w:lang w:bidi="ar-TN"/>
        </w:rPr>
        <w:t>وبين</w:t>
      </w:r>
      <w:r w:rsidRPr="0073707C">
        <w:rPr>
          <w:rFonts w:hint="cs"/>
          <w:rtl/>
          <w:lang w:bidi="ar-TN"/>
        </w:rPr>
        <w:t xml:space="preserve"> الأنشطة الإجرامية التي </w:t>
      </w:r>
      <w:r w:rsidR="003B3E31">
        <w:rPr>
          <w:rFonts w:hint="cs"/>
          <w:rtl/>
          <w:lang w:bidi="ar-TN"/>
        </w:rPr>
        <w:t>تؤدي إلى الاعتداء على الأشخاص و</w:t>
      </w:r>
      <w:r w:rsidRPr="0073707C">
        <w:rPr>
          <w:rFonts w:hint="cs"/>
          <w:rtl/>
          <w:lang w:bidi="ar-TN"/>
        </w:rPr>
        <w:t>الأملاك.</w:t>
      </w:r>
      <w:r>
        <w:rPr>
          <w:rFonts w:hint="cs"/>
          <w:rtl/>
          <w:lang w:bidi="ar-TN"/>
        </w:rPr>
        <w:t xml:space="preserve"> </w:t>
      </w:r>
    </w:p>
    <w:p w:rsidR="00AE46F4" w:rsidRPr="0073707C" w:rsidRDefault="0040540C" w:rsidP="0040540C">
      <w:pPr>
        <w:pStyle w:val="H23GA"/>
        <w:rPr>
          <w:rFonts w:hint="cs"/>
          <w:lang w:bidi="ar-TN"/>
        </w:rPr>
      </w:pPr>
      <w:r>
        <w:rPr>
          <w:rFonts w:hint="cs"/>
          <w:rtl/>
          <w:lang w:bidi="ar-TN"/>
        </w:rPr>
        <w:tab/>
      </w:r>
      <w:r>
        <w:rPr>
          <w:rFonts w:hint="cs"/>
          <w:rtl/>
          <w:lang w:bidi="ar-TN"/>
        </w:rPr>
        <w:tab/>
      </w:r>
      <w:r w:rsidR="00AE46F4" w:rsidRPr="0073707C">
        <w:rPr>
          <w:rFonts w:hint="cs"/>
          <w:rtl/>
          <w:lang w:bidi="ar-TN"/>
        </w:rPr>
        <w:t>ال</w:t>
      </w:r>
      <w:r>
        <w:rPr>
          <w:rFonts w:hint="cs"/>
          <w:rtl/>
          <w:lang w:bidi="ar-TN"/>
        </w:rPr>
        <w:t>مثال الثاني</w:t>
      </w:r>
    </w:p>
    <w:p w:rsidR="00AE46F4" w:rsidRPr="0073707C" w:rsidRDefault="00AE46F4" w:rsidP="000B354C">
      <w:pPr>
        <w:pStyle w:val="SingleTxtGA"/>
        <w:rPr>
          <w:rFonts w:hint="cs"/>
          <w:rtl/>
          <w:lang w:bidi="ar-TN"/>
        </w:rPr>
      </w:pPr>
      <w:r>
        <w:rPr>
          <w:rFonts w:hint="cs"/>
          <w:rtl/>
          <w:lang w:bidi="ar-TN"/>
        </w:rPr>
        <w:t>35</w:t>
      </w:r>
      <w:r w:rsidR="0040540C">
        <w:rPr>
          <w:rFonts w:hint="cs"/>
          <w:rtl/>
          <w:lang w:bidi="ar-TN"/>
        </w:rPr>
        <w:t>-</w:t>
      </w:r>
      <w:r>
        <w:rPr>
          <w:rFonts w:hint="cs"/>
          <w:rtl/>
          <w:lang w:bidi="ar-TN"/>
        </w:rPr>
        <w:tab/>
      </w:r>
      <w:r w:rsidRPr="0073707C">
        <w:rPr>
          <w:rFonts w:hint="cs"/>
          <w:rtl/>
          <w:lang w:bidi="ar-TN"/>
        </w:rPr>
        <w:t xml:space="preserve">حصلت ادعاءات خلال شهر </w:t>
      </w:r>
      <w:r>
        <w:rPr>
          <w:rFonts w:hint="cs"/>
          <w:rtl/>
          <w:lang w:bidi="ar-TN"/>
        </w:rPr>
        <w:t>تشرين الأول/</w:t>
      </w:r>
      <w:r w:rsidRPr="0073707C">
        <w:rPr>
          <w:rFonts w:hint="cs"/>
          <w:rtl/>
          <w:lang w:bidi="ar-TN"/>
        </w:rPr>
        <w:t>أكتوبر 2008 مفادها أنّ السيد المختار الجلالي</w:t>
      </w:r>
      <w:r>
        <w:rPr>
          <w:rFonts w:hint="cs"/>
          <w:rtl/>
          <w:lang w:bidi="ar-TN"/>
        </w:rPr>
        <w:t>،</w:t>
      </w:r>
      <w:r w:rsidRPr="0073707C">
        <w:rPr>
          <w:rFonts w:hint="cs"/>
          <w:rtl/>
          <w:lang w:bidi="ar-TN"/>
        </w:rPr>
        <w:t xml:space="preserve"> وهو ناشط حقوقي ينتمي إلى حزب معارض تم إيقافه </w:t>
      </w:r>
      <w:r>
        <w:rPr>
          <w:rFonts w:hint="cs"/>
          <w:rtl/>
          <w:lang w:bidi="ar-TN"/>
        </w:rPr>
        <w:t>بسبب</w:t>
      </w:r>
      <w:r w:rsidRPr="0073707C">
        <w:rPr>
          <w:rFonts w:hint="cs"/>
          <w:rtl/>
          <w:lang w:bidi="ar-TN"/>
        </w:rPr>
        <w:t xml:space="preserve"> نشاطه في مجال حقوق الإنسان. </w:t>
      </w:r>
      <w:r>
        <w:rPr>
          <w:rFonts w:hint="cs"/>
          <w:rtl/>
          <w:lang w:bidi="ar-TN"/>
        </w:rPr>
        <w:t>و</w:t>
      </w:r>
      <w:r w:rsidRPr="0073707C">
        <w:rPr>
          <w:rFonts w:hint="cs"/>
          <w:rtl/>
          <w:lang w:bidi="ar-TN"/>
        </w:rPr>
        <w:t>أثبت التحقيق المجرى في الموضوع أن السيد المختار الجلالي كان طرفا</w:t>
      </w:r>
      <w:r w:rsidR="003B3E31">
        <w:rPr>
          <w:rFonts w:hint="cs"/>
          <w:rtl/>
          <w:lang w:bidi="ar-TN"/>
        </w:rPr>
        <w:t>ً</w:t>
      </w:r>
      <w:r w:rsidR="00C84ADA">
        <w:rPr>
          <w:rFonts w:hint="cs"/>
          <w:rtl/>
          <w:lang w:bidi="ar-TN"/>
        </w:rPr>
        <w:t xml:space="preserve"> </w:t>
      </w:r>
      <w:r w:rsidRPr="0073707C">
        <w:rPr>
          <w:rFonts w:hint="cs"/>
          <w:rtl/>
          <w:lang w:bidi="ar-TN"/>
        </w:rPr>
        <w:t>في حادث مرور حصل في مدينة تونس يوم 13</w:t>
      </w:r>
      <w:r>
        <w:rPr>
          <w:rFonts w:hint="cs"/>
          <w:rtl/>
          <w:lang w:bidi="ar-TN"/>
        </w:rPr>
        <w:t xml:space="preserve"> تشرين الأول/</w:t>
      </w:r>
      <w:r w:rsidRPr="0073707C">
        <w:rPr>
          <w:rFonts w:hint="cs"/>
          <w:rtl/>
          <w:lang w:bidi="ar-TN"/>
        </w:rPr>
        <w:t>أكتوبر 2008 أسفر عن وفاة مترجّل.</w:t>
      </w:r>
    </w:p>
    <w:p w:rsidR="00AE46F4" w:rsidRPr="0073707C" w:rsidRDefault="00AE46F4" w:rsidP="000B354C">
      <w:pPr>
        <w:pStyle w:val="SingleTxtGA"/>
        <w:rPr>
          <w:rFonts w:hint="cs"/>
          <w:rtl/>
          <w:lang w:bidi="ar-TN"/>
        </w:rPr>
      </w:pPr>
      <w:r>
        <w:rPr>
          <w:rFonts w:hint="cs"/>
          <w:rtl/>
          <w:lang w:bidi="ar-TN"/>
        </w:rPr>
        <w:t>36</w:t>
      </w:r>
      <w:r w:rsidR="0040540C">
        <w:rPr>
          <w:rFonts w:hint="cs"/>
          <w:rtl/>
          <w:lang w:bidi="ar-TN"/>
        </w:rPr>
        <w:t>-</w:t>
      </w:r>
      <w:r>
        <w:rPr>
          <w:rFonts w:hint="cs"/>
          <w:rtl/>
          <w:lang w:bidi="ar-TN"/>
        </w:rPr>
        <w:tab/>
        <w:t>و</w:t>
      </w:r>
      <w:r w:rsidRPr="0073707C">
        <w:rPr>
          <w:rFonts w:hint="cs"/>
          <w:rtl/>
          <w:lang w:bidi="ar-TN"/>
        </w:rPr>
        <w:t xml:space="preserve">تم تتبع المعني بالأمر </w:t>
      </w:r>
      <w:r>
        <w:rPr>
          <w:rFonts w:hint="cs"/>
          <w:rtl/>
          <w:lang w:bidi="ar-TN"/>
        </w:rPr>
        <w:t>ومحاكمته</w:t>
      </w:r>
      <w:r w:rsidRPr="0073707C">
        <w:rPr>
          <w:rFonts w:hint="cs"/>
          <w:rtl/>
          <w:lang w:bidi="ar-TN"/>
        </w:rPr>
        <w:t xml:space="preserve"> </w:t>
      </w:r>
      <w:r>
        <w:rPr>
          <w:rFonts w:hint="cs"/>
          <w:rtl/>
          <w:lang w:bidi="ar-TN"/>
        </w:rPr>
        <w:t>بسبب</w:t>
      </w:r>
      <w:r w:rsidRPr="0073707C">
        <w:rPr>
          <w:rFonts w:hint="cs"/>
          <w:rtl/>
          <w:lang w:bidi="ar-TN"/>
        </w:rPr>
        <w:t xml:space="preserve"> جريمة القتل على وجه الخطأ </w:t>
      </w:r>
      <w:r w:rsidR="000B354C">
        <w:rPr>
          <w:rFonts w:hint="cs"/>
          <w:rtl/>
          <w:lang w:bidi="ar-TN"/>
        </w:rPr>
        <w:t>إ</w:t>
      </w:r>
      <w:r w:rsidRPr="0073707C">
        <w:rPr>
          <w:rFonts w:hint="cs"/>
          <w:rtl/>
          <w:lang w:bidi="ar-TN"/>
        </w:rPr>
        <w:t xml:space="preserve">ثر حادث مرور، بعد أن ثبتت مسؤوليته في الحادث بإفراطه في السرعة وسط منطقة عمرانية وعدم أخذه الاحتياطات اللازمة أثناء السياقة. </w:t>
      </w:r>
    </w:p>
    <w:p w:rsidR="00AE46F4" w:rsidRPr="0073707C" w:rsidRDefault="00AE46F4" w:rsidP="0040540C">
      <w:pPr>
        <w:pStyle w:val="SingleTxtGA"/>
        <w:rPr>
          <w:rFonts w:hint="cs"/>
          <w:rtl/>
          <w:lang w:bidi="ar-TN"/>
        </w:rPr>
      </w:pPr>
      <w:r>
        <w:rPr>
          <w:rFonts w:hint="cs"/>
          <w:rtl/>
          <w:lang w:bidi="ar-TN"/>
        </w:rPr>
        <w:t>37</w:t>
      </w:r>
      <w:r w:rsidR="0040540C">
        <w:rPr>
          <w:rFonts w:hint="cs"/>
          <w:rtl/>
          <w:lang w:bidi="ar-TN"/>
        </w:rPr>
        <w:t>-</w:t>
      </w:r>
      <w:r>
        <w:rPr>
          <w:rFonts w:hint="cs"/>
          <w:rtl/>
          <w:lang w:bidi="ar-TN"/>
        </w:rPr>
        <w:tab/>
      </w:r>
      <w:r w:rsidRPr="0073707C">
        <w:rPr>
          <w:rFonts w:hint="cs"/>
          <w:rtl/>
          <w:lang w:bidi="ar-TN"/>
        </w:rPr>
        <w:t xml:space="preserve">ويبرز هذا المثال الثاني بوضوح أن تتبع هذا الناشط في المجال الحقوقي لا صلة له بنشاطه في حد ذاته </w:t>
      </w:r>
      <w:r>
        <w:rPr>
          <w:rFonts w:hint="cs"/>
          <w:rtl/>
          <w:lang w:bidi="ar-TN"/>
        </w:rPr>
        <w:t>وإنما</w:t>
      </w:r>
      <w:r w:rsidRPr="0073707C">
        <w:rPr>
          <w:rFonts w:hint="cs"/>
          <w:rtl/>
          <w:lang w:bidi="ar-TN"/>
        </w:rPr>
        <w:t xml:space="preserve"> بحادث مرور أثبتت الأبحاث تحمله للمسؤولية فيه.</w:t>
      </w:r>
    </w:p>
    <w:p w:rsidR="00AE46F4" w:rsidRPr="0073707C" w:rsidRDefault="0040540C" w:rsidP="0040540C">
      <w:pPr>
        <w:pStyle w:val="H1GA"/>
        <w:rPr>
          <w:rFonts w:hint="cs"/>
          <w:rtl/>
          <w:lang w:bidi="ar-TN"/>
        </w:rPr>
      </w:pPr>
      <w:r>
        <w:rPr>
          <w:rFonts w:hint="cs"/>
          <w:rtl/>
          <w:lang w:bidi="ar-TN"/>
        </w:rPr>
        <w:tab/>
      </w:r>
      <w:r>
        <w:rPr>
          <w:rFonts w:hint="cs"/>
          <w:rtl/>
          <w:lang w:bidi="ar-TN"/>
        </w:rPr>
        <w:tab/>
      </w:r>
      <w:r w:rsidR="00AE46F4">
        <w:rPr>
          <w:rFonts w:hint="cs"/>
          <w:rtl/>
          <w:lang w:bidi="ar-TN"/>
        </w:rPr>
        <w:t xml:space="preserve">الملاحظة رقم </w:t>
      </w:r>
      <w:r w:rsidR="00AE46F4" w:rsidRPr="0073707C">
        <w:rPr>
          <w:rFonts w:hint="cs"/>
          <w:rtl/>
          <w:lang w:bidi="ar-TN"/>
        </w:rPr>
        <w:t>21</w:t>
      </w:r>
    </w:p>
    <w:p w:rsidR="00AE46F4" w:rsidRPr="0040540C" w:rsidRDefault="0040540C" w:rsidP="0040540C">
      <w:pPr>
        <w:pStyle w:val="SingleTxtGA"/>
        <w:rPr>
          <w:rFonts w:hint="cs"/>
          <w:b/>
          <w:bCs/>
          <w:rtl/>
          <w:lang w:bidi="ar-TN"/>
        </w:rPr>
      </w:pPr>
      <w:r>
        <w:rPr>
          <w:rFonts w:hint="cs"/>
          <w:rtl/>
          <w:lang w:bidi="ar-TN"/>
        </w:rPr>
        <w:tab/>
      </w:r>
      <w:r w:rsidR="00AE46F4" w:rsidRPr="0040540C">
        <w:rPr>
          <w:rFonts w:hint="cs"/>
          <w:b/>
          <w:bCs/>
          <w:rtl/>
          <w:lang w:bidi="ar-TN"/>
        </w:rPr>
        <w:t>معلومات خاصة حول تسجيل جمعيات الدفاع عن حقوق الإنسان والنظر في كل حالات الطعون المتعلقة برفض التسجيل، مع أمثلة في رفض التسجيل والطعون التي تم القيام بها في مثل هذه الحالات.</w:t>
      </w:r>
    </w:p>
    <w:p w:rsidR="00AE46F4" w:rsidRPr="0073707C" w:rsidRDefault="0040540C" w:rsidP="0040540C">
      <w:pPr>
        <w:pStyle w:val="H1GA"/>
        <w:rPr>
          <w:rFonts w:hint="cs"/>
          <w:rtl/>
          <w:lang w:bidi="ar-TN"/>
        </w:rPr>
      </w:pPr>
      <w:r>
        <w:rPr>
          <w:rFonts w:hint="cs"/>
          <w:rtl/>
          <w:lang w:bidi="ar-TN"/>
        </w:rPr>
        <w:tab/>
      </w:r>
      <w:r>
        <w:rPr>
          <w:rFonts w:hint="cs"/>
          <w:rtl/>
          <w:lang w:bidi="ar-TN"/>
        </w:rPr>
        <w:tab/>
      </w:r>
      <w:r w:rsidR="00AE46F4">
        <w:rPr>
          <w:rFonts w:hint="cs"/>
          <w:rtl/>
          <w:lang w:bidi="ar-TN"/>
        </w:rPr>
        <w:t>الرد</w:t>
      </w:r>
    </w:p>
    <w:p w:rsidR="00AE46F4" w:rsidRPr="0073707C" w:rsidRDefault="00AE46F4" w:rsidP="0040540C">
      <w:pPr>
        <w:pStyle w:val="SingleTxtGA"/>
        <w:rPr>
          <w:rFonts w:hint="cs"/>
          <w:rtl/>
          <w:lang w:bidi="ar-TN"/>
        </w:rPr>
      </w:pPr>
      <w:r>
        <w:rPr>
          <w:rFonts w:hint="cs"/>
          <w:rtl/>
          <w:lang w:bidi="ar-TN"/>
        </w:rPr>
        <w:t>38</w:t>
      </w:r>
      <w:r w:rsidR="0040540C">
        <w:rPr>
          <w:rFonts w:hint="cs"/>
          <w:rtl/>
          <w:lang w:bidi="ar-TN"/>
        </w:rPr>
        <w:t>-</w:t>
      </w:r>
      <w:r>
        <w:rPr>
          <w:rFonts w:hint="cs"/>
          <w:rtl/>
          <w:lang w:bidi="ar-TN"/>
        </w:rPr>
        <w:tab/>
      </w:r>
      <w:r w:rsidRPr="0073707C">
        <w:rPr>
          <w:rFonts w:hint="cs"/>
          <w:rtl/>
          <w:lang w:bidi="ar-TN"/>
        </w:rPr>
        <w:t xml:space="preserve">يُعدّ تشجيع الدولة التونسية للمجتمع المدني من الاختيارات السياسية، وقد عزّز القانون الأساسي عدد 25-92 المؤرخ في 2 </w:t>
      </w:r>
      <w:r>
        <w:rPr>
          <w:rFonts w:hint="cs"/>
          <w:rtl/>
          <w:lang w:bidi="ar-TN"/>
        </w:rPr>
        <w:t>نيسان/أبريل</w:t>
      </w:r>
      <w:r w:rsidRPr="0073707C">
        <w:rPr>
          <w:rFonts w:hint="cs"/>
          <w:rtl/>
          <w:lang w:bidi="ar-TN"/>
        </w:rPr>
        <w:t xml:space="preserve"> 1992 الطعن في صورة رفض تسجيل الجمعيات المستقلة المدافعة عن حقوق الإنسان.</w:t>
      </w:r>
    </w:p>
    <w:p w:rsidR="00AE46F4" w:rsidRPr="0073707C" w:rsidRDefault="00AE46F4" w:rsidP="0040540C">
      <w:pPr>
        <w:pStyle w:val="SingleTxtGA"/>
        <w:rPr>
          <w:rFonts w:hint="cs"/>
          <w:rtl/>
          <w:lang w:bidi="ar-TN"/>
        </w:rPr>
      </w:pPr>
      <w:r>
        <w:rPr>
          <w:rFonts w:hint="cs"/>
          <w:rtl/>
          <w:lang w:bidi="ar-TN"/>
        </w:rPr>
        <w:t>39</w:t>
      </w:r>
      <w:r w:rsidR="0040540C">
        <w:rPr>
          <w:rFonts w:hint="cs"/>
          <w:rtl/>
          <w:lang w:bidi="ar-TN"/>
        </w:rPr>
        <w:t>-</w:t>
      </w:r>
      <w:r>
        <w:rPr>
          <w:rFonts w:hint="cs"/>
          <w:rtl/>
          <w:lang w:bidi="ar-TN"/>
        </w:rPr>
        <w:tab/>
      </w:r>
      <w:r w:rsidRPr="0073707C">
        <w:rPr>
          <w:rFonts w:hint="cs"/>
          <w:rtl/>
          <w:lang w:bidi="ar-TN"/>
        </w:rPr>
        <w:t xml:space="preserve">ومن بين الأمثلة التي نظر فيها فقه القضاء الإداري القضية عدد 3643 والتي رفعتها الرابطة التونسية للدفاع عن حقوق الإنسان </w:t>
      </w:r>
      <w:r w:rsidRPr="000B354C">
        <w:rPr>
          <w:rFonts w:hint="cs"/>
          <w:i/>
          <w:iCs/>
          <w:rtl/>
          <w:lang w:bidi="ar-TN"/>
        </w:rPr>
        <w:t>ضد وزير الداخلية</w:t>
      </w:r>
      <w:r w:rsidRPr="0073707C">
        <w:rPr>
          <w:rFonts w:hint="cs"/>
          <w:rtl/>
          <w:lang w:bidi="ar-TN"/>
        </w:rPr>
        <w:t xml:space="preserve"> طعنا</w:t>
      </w:r>
      <w:r w:rsidR="003B3E31">
        <w:rPr>
          <w:rFonts w:hint="cs"/>
          <w:rtl/>
          <w:lang w:bidi="ar-TN"/>
        </w:rPr>
        <w:t>ً</w:t>
      </w:r>
      <w:r w:rsidRPr="0073707C">
        <w:rPr>
          <w:rFonts w:hint="cs"/>
          <w:rtl/>
          <w:lang w:bidi="ar-TN"/>
        </w:rPr>
        <w:t xml:space="preserve"> في القرار الصادر عنه بتاريخ 14 </w:t>
      </w:r>
      <w:r>
        <w:rPr>
          <w:rFonts w:hint="cs"/>
          <w:rtl/>
          <w:lang w:bidi="ar-TN"/>
        </w:rPr>
        <w:t>أيار/مايو</w:t>
      </w:r>
      <w:r w:rsidRPr="0073707C">
        <w:rPr>
          <w:rFonts w:hint="cs"/>
          <w:rtl/>
          <w:lang w:bidi="ar-TN"/>
        </w:rPr>
        <w:t xml:space="preserve"> 1992 المبلّغ إليها بنفس التاريخ والقاضي بتصنيف الرابطة ضمن الجمعيات ذات الصبغة العامة.</w:t>
      </w:r>
    </w:p>
    <w:p w:rsidR="00AE46F4" w:rsidRPr="0073707C" w:rsidRDefault="00AE46F4" w:rsidP="0040540C">
      <w:pPr>
        <w:pStyle w:val="SingleTxtGA"/>
        <w:rPr>
          <w:rFonts w:hint="cs"/>
          <w:rtl/>
          <w:lang w:bidi="ar-TN"/>
        </w:rPr>
      </w:pPr>
      <w:r>
        <w:rPr>
          <w:rFonts w:hint="cs"/>
          <w:rtl/>
          <w:lang w:bidi="ar-TN"/>
        </w:rPr>
        <w:t>40</w:t>
      </w:r>
      <w:r w:rsidR="0040540C">
        <w:rPr>
          <w:rFonts w:hint="cs"/>
          <w:rtl/>
          <w:lang w:bidi="ar-TN"/>
        </w:rPr>
        <w:t>-</w:t>
      </w:r>
      <w:r>
        <w:rPr>
          <w:rFonts w:hint="cs"/>
          <w:rtl/>
          <w:lang w:bidi="ar-TN"/>
        </w:rPr>
        <w:tab/>
      </w:r>
      <w:r w:rsidRPr="0073707C">
        <w:rPr>
          <w:rFonts w:hint="cs"/>
          <w:rtl/>
          <w:lang w:bidi="ar-TN"/>
        </w:rPr>
        <w:t>وقد عابت المدعية على الإدارة كونها لم توفّر الضمانات القانونية عند إعدادها القرار المطعون فيه ومنها بالخصوص حقوق الدفاع.</w:t>
      </w:r>
    </w:p>
    <w:p w:rsidR="00AE46F4" w:rsidRPr="003B3E31" w:rsidRDefault="00AE46F4" w:rsidP="000B354C">
      <w:pPr>
        <w:pStyle w:val="SingleTxtGA"/>
        <w:rPr>
          <w:rFonts w:hint="cs"/>
          <w:spacing w:val="-2"/>
          <w:rtl/>
          <w:lang w:bidi="ar-TN"/>
        </w:rPr>
      </w:pPr>
      <w:r w:rsidRPr="003B3E31">
        <w:rPr>
          <w:rFonts w:hint="cs"/>
          <w:spacing w:val="-2"/>
          <w:rtl/>
          <w:lang w:bidi="ar-TN"/>
        </w:rPr>
        <w:t>41</w:t>
      </w:r>
      <w:r w:rsidR="0040540C" w:rsidRPr="003B3E31">
        <w:rPr>
          <w:rFonts w:hint="cs"/>
          <w:spacing w:val="-2"/>
          <w:rtl/>
          <w:lang w:bidi="ar-TN"/>
        </w:rPr>
        <w:t>-</w:t>
      </w:r>
      <w:r w:rsidRPr="003B3E31">
        <w:rPr>
          <w:rFonts w:hint="cs"/>
          <w:spacing w:val="-2"/>
          <w:rtl/>
          <w:lang w:bidi="ar-TN"/>
        </w:rPr>
        <w:tab/>
        <w:t>وقد اعتبرت المحكمة الإدارية أن عدم قيام الإدارة بإعلام المدعية بما كانت تعدّه إزائها والاستماع إلى وجهة نظرها قبل إصدار القرار من شأنه أن يجعل القرار فاقدا للشرعية سيما وأن ذلك القرار المتعلق بتصنيف العارضة بما انطوى عليه من خطر حلّها، إن هي لم تمتثل إليه مثلما اقتضى ذلك الفصل 3 من القانون المذكور هو من القرارات الخطيرة لما يمكن أن يكون له من تأثير على سير نشاطها. واستنادا لما تقدّم قضت المحكمة بتاريخ 21 أيار/مايو 1996 بقبول الدعو</w:t>
      </w:r>
      <w:r w:rsidR="000B354C">
        <w:rPr>
          <w:rFonts w:hint="cs"/>
          <w:spacing w:val="-2"/>
          <w:rtl/>
          <w:lang w:bidi="ar-TN"/>
        </w:rPr>
        <w:t>ى</w:t>
      </w:r>
      <w:r w:rsidRPr="003B3E31">
        <w:rPr>
          <w:rFonts w:hint="cs"/>
          <w:spacing w:val="-2"/>
          <w:rtl/>
          <w:lang w:bidi="ar-TN"/>
        </w:rPr>
        <w:t xml:space="preserve"> شكلا وأصلا وإلغاء القرار المطعون فيه. </w:t>
      </w:r>
    </w:p>
    <w:p w:rsidR="00AE46F4" w:rsidRPr="0073707C" w:rsidRDefault="00AE46F4" w:rsidP="0040540C">
      <w:pPr>
        <w:pStyle w:val="SingleTxtGA"/>
        <w:rPr>
          <w:rFonts w:hint="cs"/>
          <w:rtl/>
          <w:lang w:bidi="ar-TN"/>
        </w:rPr>
      </w:pPr>
      <w:r>
        <w:rPr>
          <w:rFonts w:hint="cs"/>
          <w:rtl/>
          <w:lang w:bidi="ar-TN"/>
        </w:rPr>
        <w:t>42</w:t>
      </w:r>
      <w:r w:rsidR="0040540C">
        <w:rPr>
          <w:rFonts w:hint="cs"/>
          <w:rtl/>
          <w:lang w:bidi="ar-TN"/>
        </w:rPr>
        <w:t>-</w:t>
      </w:r>
      <w:r>
        <w:rPr>
          <w:rFonts w:hint="cs"/>
          <w:rtl/>
          <w:lang w:bidi="ar-TN"/>
        </w:rPr>
        <w:tab/>
      </w:r>
      <w:r w:rsidRPr="0073707C">
        <w:rPr>
          <w:rFonts w:hint="cs"/>
          <w:rtl/>
          <w:lang w:bidi="ar-TN"/>
        </w:rPr>
        <w:t xml:space="preserve">ومن جهة أخرى يتّجه التذكير أنّ أسباب رفض هذه الجمعيات لا يرجع إلى اعتبارها ناشطة في مجال حقوق الإنسان وإنما يعود ذلك إلى أسباب مخالفة تكوينها للقانون أو مساسها بالنظام العام </w:t>
      </w:r>
      <w:r>
        <w:rPr>
          <w:rFonts w:hint="cs"/>
          <w:rtl/>
          <w:lang w:bidi="ar-TN"/>
        </w:rPr>
        <w:t>وبالتالي</w:t>
      </w:r>
      <w:r w:rsidR="003B3E31">
        <w:rPr>
          <w:rFonts w:hint="cs"/>
          <w:rtl/>
          <w:lang w:bidi="ar-TN"/>
        </w:rPr>
        <w:t xml:space="preserve"> فان حق الاجتماع و</w:t>
      </w:r>
      <w:r w:rsidRPr="0073707C">
        <w:rPr>
          <w:rFonts w:hint="cs"/>
          <w:rtl/>
          <w:lang w:bidi="ar-TN"/>
        </w:rPr>
        <w:t xml:space="preserve">حرية التعبير مكفول </w:t>
      </w:r>
      <w:r>
        <w:rPr>
          <w:rFonts w:hint="cs"/>
          <w:rtl/>
          <w:lang w:bidi="ar-TN"/>
        </w:rPr>
        <w:t>ولكن</w:t>
      </w:r>
      <w:r w:rsidRPr="0073707C">
        <w:rPr>
          <w:rFonts w:hint="cs"/>
          <w:rtl/>
          <w:lang w:bidi="ar-TN"/>
        </w:rPr>
        <w:t xml:space="preserve"> في إطار القانون ولا يمكن التمسك بالانتماء لجمعية ناشطة في مجال حقوق الإنسان للحصول على حصانة في صورة مخالفة القوانين. </w:t>
      </w:r>
    </w:p>
    <w:p w:rsidR="00AE46F4" w:rsidRPr="0073707C" w:rsidRDefault="00AE46F4" w:rsidP="003B3E31">
      <w:pPr>
        <w:pStyle w:val="SingleTxtGA"/>
        <w:rPr>
          <w:rFonts w:hint="cs"/>
          <w:rtl/>
          <w:lang w:bidi="ar-TN"/>
        </w:rPr>
      </w:pPr>
      <w:r>
        <w:rPr>
          <w:rFonts w:hint="cs"/>
          <w:rtl/>
          <w:lang w:bidi="ar-TN"/>
        </w:rPr>
        <w:t>43</w:t>
      </w:r>
      <w:r w:rsidR="0040540C">
        <w:rPr>
          <w:rFonts w:hint="cs"/>
          <w:rtl/>
          <w:lang w:bidi="ar-TN"/>
        </w:rPr>
        <w:t>-</w:t>
      </w:r>
      <w:r>
        <w:rPr>
          <w:rFonts w:hint="cs"/>
          <w:rtl/>
          <w:lang w:bidi="ar-TN"/>
        </w:rPr>
        <w:tab/>
      </w:r>
      <w:r w:rsidRPr="0073707C">
        <w:rPr>
          <w:rFonts w:hint="cs"/>
          <w:rtl/>
          <w:lang w:bidi="ar-TN"/>
        </w:rPr>
        <w:t>وتهدف عملية مراقبة تسجيل الجمعيات إلى ضرورة عدم تعلق أهدافها بمخالفة النظام الجمهوري والتطرف الديني و</w:t>
      </w:r>
      <w:r w:rsidR="003B3E31">
        <w:rPr>
          <w:rFonts w:hint="cs"/>
          <w:rtl/>
          <w:lang w:bidi="ar-TN"/>
        </w:rPr>
        <w:t>ا</w:t>
      </w:r>
      <w:r w:rsidRPr="0073707C">
        <w:rPr>
          <w:rFonts w:hint="cs"/>
          <w:rtl/>
          <w:lang w:bidi="ar-TN"/>
        </w:rPr>
        <w:t>لتمييز والعنصرية وعدم التسامح وكراهية الأديان والإرهاب.</w:t>
      </w:r>
    </w:p>
    <w:p w:rsidR="00AE46F4" w:rsidRPr="00C84ADA" w:rsidRDefault="00AE46F4" w:rsidP="0040540C">
      <w:pPr>
        <w:pStyle w:val="SingleTxtGA"/>
        <w:rPr>
          <w:spacing w:val="-2"/>
          <w:lang w:bidi="ar-TN"/>
        </w:rPr>
      </w:pPr>
      <w:r w:rsidRPr="00C84ADA">
        <w:rPr>
          <w:rFonts w:hint="cs"/>
          <w:spacing w:val="-2"/>
          <w:rtl/>
          <w:lang w:bidi="ar-TN"/>
        </w:rPr>
        <w:t>44</w:t>
      </w:r>
      <w:r w:rsidR="0040540C" w:rsidRPr="00C84ADA">
        <w:rPr>
          <w:rFonts w:hint="cs"/>
          <w:spacing w:val="-2"/>
          <w:rtl/>
          <w:lang w:bidi="ar-TN"/>
        </w:rPr>
        <w:t>-</w:t>
      </w:r>
      <w:r w:rsidRPr="00C84ADA">
        <w:rPr>
          <w:rFonts w:hint="cs"/>
          <w:spacing w:val="-2"/>
          <w:rtl/>
          <w:lang w:bidi="ar-TN"/>
        </w:rPr>
        <w:tab/>
        <w:t>وتحرص الدولة التونسية على توفيق الآراء بين مختلف الجهات المعنية بمراقبة تسجيل الجمعيات وتحديد الآجال بما يضمن ويدعم الحق في الاجتماع ويجعله مطابقا للمعايير الدولية.</w:t>
      </w:r>
    </w:p>
    <w:p w:rsidR="00AE46F4" w:rsidRPr="0073707C" w:rsidRDefault="00AE46F4" w:rsidP="0040540C">
      <w:pPr>
        <w:pStyle w:val="SingleTxtGA"/>
        <w:rPr>
          <w:rFonts w:hint="cs"/>
          <w:b/>
          <w:bCs/>
          <w:lang w:bidi="ar-TN"/>
        </w:rPr>
      </w:pPr>
      <w:r>
        <w:rPr>
          <w:rFonts w:hint="cs"/>
          <w:rtl/>
          <w:lang w:bidi="ar-TN"/>
        </w:rPr>
        <w:t>45</w:t>
      </w:r>
      <w:r w:rsidR="0040540C">
        <w:rPr>
          <w:rFonts w:hint="cs"/>
          <w:rtl/>
          <w:lang w:bidi="ar-TN"/>
        </w:rPr>
        <w:t>-</w:t>
      </w:r>
      <w:r>
        <w:rPr>
          <w:rFonts w:hint="cs"/>
          <w:rtl/>
          <w:lang w:bidi="ar-TN"/>
        </w:rPr>
        <w:tab/>
      </w:r>
      <w:r w:rsidRPr="0073707C">
        <w:rPr>
          <w:rFonts w:hint="cs"/>
          <w:rtl/>
          <w:lang w:bidi="ar-TN"/>
        </w:rPr>
        <w:t>وأخيرا تجدر الإشارة إلى أنه في إطار تفاعل تونس مع اللجنة المعنية بحقوق الإنسان، واعتبارا لما توليه اللجنة من اعتبار لدعم الحقوق والحريات وتوفير مزيد من الضمانات للأشخاص المجردين من حريتهم على وجه الخصوص</w:t>
      </w:r>
      <w:r>
        <w:rPr>
          <w:rFonts w:hint="cs"/>
          <w:rtl/>
          <w:lang w:bidi="ar-TN"/>
        </w:rPr>
        <w:t>،</w:t>
      </w:r>
      <w:r w:rsidRPr="0073707C">
        <w:rPr>
          <w:rFonts w:hint="cs"/>
          <w:rtl/>
          <w:lang w:bidi="ar-TN"/>
        </w:rPr>
        <w:t xml:space="preserve"> فقد طوّرت تونس تشريعاتها في الآونة الأخيرة في العديد من المجالات بإصدارها القوانين التالية:</w:t>
      </w:r>
    </w:p>
    <w:p w:rsidR="00AE46F4" w:rsidRPr="0040540C" w:rsidRDefault="00AE46F4" w:rsidP="0040540C">
      <w:pPr>
        <w:pStyle w:val="SingleTxtGA"/>
        <w:rPr>
          <w:rFonts w:hint="cs"/>
          <w:b/>
          <w:bCs/>
          <w:lang w:bidi="ar-TN"/>
        </w:rPr>
      </w:pPr>
      <w:r w:rsidRPr="0040540C">
        <w:rPr>
          <w:rFonts w:hint="cs"/>
          <w:b/>
          <w:bCs/>
          <w:rtl/>
          <w:lang w:bidi="ar-TN"/>
        </w:rPr>
        <w:t xml:space="preserve">القانون رقم 21 لعام 2008 المؤرخ 4 آذار/ مارس 2008 المتعلق بوجوب التمديد في قرار الاحتفاظ والإيقاف التحفظي </w:t>
      </w:r>
    </w:p>
    <w:p w:rsidR="00AE46F4" w:rsidRPr="0073707C" w:rsidRDefault="00AE46F4" w:rsidP="0040540C">
      <w:pPr>
        <w:pStyle w:val="SingleTxtGA"/>
        <w:rPr>
          <w:rFonts w:hint="cs"/>
          <w:rtl/>
        </w:rPr>
      </w:pPr>
      <w:r>
        <w:rPr>
          <w:rFonts w:hint="cs"/>
          <w:rtl/>
        </w:rPr>
        <w:t>46</w:t>
      </w:r>
      <w:r w:rsidR="0040540C">
        <w:rPr>
          <w:rFonts w:hint="cs"/>
          <w:rtl/>
        </w:rPr>
        <w:t>-</w:t>
      </w:r>
      <w:r>
        <w:rPr>
          <w:rFonts w:hint="cs"/>
          <w:rtl/>
        </w:rPr>
        <w:tab/>
      </w:r>
      <w:r w:rsidRPr="0073707C">
        <w:rPr>
          <w:rFonts w:hint="cs"/>
          <w:rtl/>
        </w:rPr>
        <w:t xml:space="preserve">تضمن هذا القانون تنقيح الفصول 13 مكرر و57 و85 من مجلة الإجراءات الجزائية وذلك بالتنصيص صراحة ضمن مقتضياتها على ضرورة التعليل الكتابي لأسانيد الواقعية والقانونية التي </w:t>
      </w:r>
      <w:r>
        <w:rPr>
          <w:rFonts w:hint="cs"/>
          <w:rtl/>
        </w:rPr>
        <w:t>انبنى</w:t>
      </w:r>
      <w:r w:rsidRPr="0073707C">
        <w:rPr>
          <w:rFonts w:hint="cs"/>
          <w:rtl/>
        </w:rPr>
        <w:t xml:space="preserve"> عليها قرار التمديد بالنسبة للاحتفاظ وكذلك لقرار الإيقاف التحفظي</w:t>
      </w:r>
      <w:r>
        <w:rPr>
          <w:rFonts w:hint="cs"/>
          <w:rtl/>
        </w:rPr>
        <w:t>،</w:t>
      </w:r>
      <w:r w:rsidRPr="0073707C">
        <w:rPr>
          <w:rFonts w:hint="cs"/>
          <w:rtl/>
        </w:rPr>
        <w:t xml:space="preserve"> وهو الأمر الذي يخول لوكيل الجمهورية في مادة الاحتفاظ من مراقبة الأسباب التي تبرر التمديد كالتثبت من وجود جريمة من عدمه وت</w:t>
      </w:r>
      <w:r w:rsidR="003B3E31">
        <w:rPr>
          <w:rFonts w:hint="cs"/>
          <w:rtl/>
        </w:rPr>
        <w:t>لافي إمكانية اقتراف جرائم جديدة</w:t>
      </w:r>
      <w:r w:rsidRPr="0073707C">
        <w:rPr>
          <w:rFonts w:hint="cs"/>
          <w:rtl/>
        </w:rPr>
        <w:t xml:space="preserve">، وتقييم أوجه التمديد في الأبحاث </w:t>
      </w:r>
      <w:r>
        <w:rPr>
          <w:rFonts w:hint="cs"/>
          <w:rtl/>
        </w:rPr>
        <w:t>كسماع</w:t>
      </w:r>
      <w:r w:rsidRPr="0073707C">
        <w:rPr>
          <w:rFonts w:hint="cs"/>
          <w:rtl/>
        </w:rPr>
        <w:t xml:space="preserve"> شهود أو إيقاف مضنون فيه بحالة فرار، وتقدير القرائن التي استلزمت الإيقاف بصفة عامة.</w:t>
      </w:r>
    </w:p>
    <w:p w:rsidR="00AE46F4" w:rsidRPr="0073707C" w:rsidRDefault="00AE46F4" w:rsidP="0040540C">
      <w:pPr>
        <w:pStyle w:val="SingleTxtGA"/>
        <w:rPr>
          <w:rFonts w:hint="cs"/>
          <w:rtl/>
        </w:rPr>
      </w:pPr>
      <w:r>
        <w:rPr>
          <w:rFonts w:hint="cs"/>
          <w:rtl/>
        </w:rPr>
        <w:t>47</w:t>
      </w:r>
      <w:r w:rsidR="0040540C">
        <w:rPr>
          <w:rFonts w:hint="cs"/>
          <w:rtl/>
        </w:rPr>
        <w:t>-</w:t>
      </w:r>
      <w:r>
        <w:rPr>
          <w:rFonts w:hint="cs"/>
          <w:rtl/>
        </w:rPr>
        <w:tab/>
      </w:r>
      <w:r w:rsidRPr="0073707C">
        <w:rPr>
          <w:rFonts w:hint="cs"/>
          <w:rtl/>
        </w:rPr>
        <w:t>كما أن اقتضاء هذا التعليل لقرار الإيقاف التحفظي من طرف قاضي التحقيق يوفر لدائرة الاتهام عند الطعن في قرارات هذا الأخير إمكانية مراقبة مدى وجاهة هذا التعليل والتمعن في مبرراته توصلا إلى اتخاذ الملائمة في شانه بما في ذلك مراقبة مدى التقيد بحالات السراح الوجوبية وذلك إنفاذا لقاعدة أن الحرية هي القاعدة والإيقاف هو الاستثناء.</w:t>
      </w:r>
    </w:p>
    <w:p w:rsidR="00AE46F4" w:rsidRPr="0073707C" w:rsidRDefault="00AE46F4" w:rsidP="0040540C">
      <w:pPr>
        <w:pStyle w:val="SingleTxtGA"/>
        <w:rPr>
          <w:rFonts w:hint="cs"/>
          <w:rtl/>
        </w:rPr>
      </w:pPr>
      <w:r>
        <w:rPr>
          <w:rFonts w:hint="cs"/>
          <w:rtl/>
        </w:rPr>
        <w:t>48</w:t>
      </w:r>
      <w:r w:rsidR="0040540C">
        <w:rPr>
          <w:rFonts w:hint="cs"/>
          <w:rtl/>
        </w:rPr>
        <w:t>-</w:t>
      </w:r>
      <w:r>
        <w:rPr>
          <w:rFonts w:hint="cs"/>
          <w:rtl/>
        </w:rPr>
        <w:tab/>
      </w:r>
      <w:r w:rsidRPr="0073707C">
        <w:rPr>
          <w:rFonts w:hint="cs"/>
          <w:rtl/>
        </w:rPr>
        <w:t>ويسمح التعليل هكذا بضمان المصلحة الشرعية للمضمون فيه لكن دون المساس بالنجاعة المطلوبة من الاحتفا</w:t>
      </w:r>
      <w:r w:rsidRPr="0073707C">
        <w:rPr>
          <w:rFonts w:hint="eastAsia"/>
          <w:rtl/>
        </w:rPr>
        <w:t>ظ</w:t>
      </w:r>
      <w:r w:rsidRPr="0073707C">
        <w:rPr>
          <w:rFonts w:hint="cs"/>
          <w:rtl/>
        </w:rPr>
        <w:t xml:space="preserve"> أو الإيقاف التحفظي في مجال معاينة الجرائم وجمع أدلتها والبحث عن مرتكبيها وتقديمهم للمحاكمة حفاظا على النظام والأمن العامين.</w:t>
      </w:r>
    </w:p>
    <w:p w:rsidR="00AE46F4" w:rsidRPr="0073707C" w:rsidRDefault="00AE46F4" w:rsidP="0040540C">
      <w:pPr>
        <w:pStyle w:val="SingleTxtGA"/>
      </w:pPr>
      <w:r>
        <w:rPr>
          <w:rFonts w:hint="cs"/>
          <w:rtl/>
        </w:rPr>
        <w:t>49</w:t>
      </w:r>
      <w:r w:rsidR="0040540C">
        <w:rPr>
          <w:rFonts w:hint="cs"/>
          <w:rtl/>
        </w:rPr>
        <w:t>-</w:t>
      </w:r>
      <w:r>
        <w:rPr>
          <w:rFonts w:hint="cs"/>
          <w:rtl/>
        </w:rPr>
        <w:tab/>
      </w:r>
      <w:r w:rsidRPr="0073707C">
        <w:rPr>
          <w:rFonts w:hint="cs"/>
          <w:rtl/>
        </w:rPr>
        <w:t xml:space="preserve">ومن شأن هذا التنقيح أن يطور المنظومة الجزائية في سبيل توفير </w:t>
      </w:r>
      <w:r>
        <w:rPr>
          <w:rFonts w:hint="cs"/>
          <w:rtl/>
        </w:rPr>
        <w:t xml:space="preserve">مزيد من </w:t>
      </w:r>
      <w:r w:rsidRPr="0073707C">
        <w:rPr>
          <w:rFonts w:hint="cs"/>
          <w:rtl/>
        </w:rPr>
        <w:t>الضمانات لكل شخص فقد حريته بوضع ضوابط قانونية</w:t>
      </w:r>
      <w:r>
        <w:rPr>
          <w:rFonts w:hint="cs"/>
          <w:rtl/>
        </w:rPr>
        <w:t xml:space="preserve"> </w:t>
      </w:r>
      <w:r w:rsidRPr="0073707C">
        <w:rPr>
          <w:rFonts w:hint="cs"/>
          <w:rtl/>
        </w:rPr>
        <w:t>لعدم النيل منها ويؤكد الرقابة القضائية للاحتفاظ والطابع الاستثنائي للإيقاف التحفظي اللذين اقرهما الدستور.</w:t>
      </w:r>
    </w:p>
    <w:p w:rsidR="00AE46F4" w:rsidRPr="0073707C" w:rsidRDefault="0040540C" w:rsidP="0040540C">
      <w:pPr>
        <w:pStyle w:val="H23GA"/>
        <w:rPr>
          <w:rFonts w:hint="cs"/>
        </w:rPr>
      </w:pPr>
      <w:r>
        <w:rPr>
          <w:rFonts w:hint="cs"/>
          <w:rtl/>
        </w:rPr>
        <w:tab/>
      </w:r>
      <w:r>
        <w:rPr>
          <w:rFonts w:hint="cs"/>
          <w:rtl/>
        </w:rPr>
        <w:tab/>
      </w:r>
      <w:r w:rsidR="00AE46F4" w:rsidRPr="0073707C">
        <w:rPr>
          <w:rFonts w:hint="cs"/>
          <w:rtl/>
        </w:rPr>
        <w:t xml:space="preserve">القانون </w:t>
      </w:r>
      <w:r w:rsidR="00AE46F4">
        <w:rPr>
          <w:rFonts w:hint="cs"/>
          <w:rtl/>
        </w:rPr>
        <w:t>رقم</w:t>
      </w:r>
      <w:r w:rsidR="00AE46F4" w:rsidRPr="0073707C">
        <w:rPr>
          <w:rFonts w:hint="cs"/>
          <w:rtl/>
        </w:rPr>
        <w:t xml:space="preserve"> 58 </w:t>
      </w:r>
      <w:r w:rsidR="00AE46F4">
        <w:rPr>
          <w:rFonts w:hint="cs"/>
          <w:rtl/>
        </w:rPr>
        <w:t>لعام</w:t>
      </w:r>
      <w:r w:rsidR="00AE46F4" w:rsidRPr="0073707C">
        <w:rPr>
          <w:rFonts w:hint="cs"/>
          <w:rtl/>
        </w:rPr>
        <w:t xml:space="preserve"> 2008 </w:t>
      </w:r>
      <w:r w:rsidR="00AE46F4">
        <w:rPr>
          <w:rFonts w:hint="cs"/>
          <w:rtl/>
        </w:rPr>
        <w:t>ال</w:t>
      </w:r>
      <w:r w:rsidR="00AE46F4" w:rsidRPr="0073707C">
        <w:rPr>
          <w:rFonts w:hint="cs"/>
          <w:rtl/>
        </w:rPr>
        <w:t xml:space="preserve">مؤرخ </w:t>
      </w:r>
      <w:r w:rsidR="00AE46F4">
        <w:rPr>
          <w:rFonts w:hint="cs"/>
          <w:rtl/>
        </w:rPr>
        <w:t>4 آب/أغسطس</w:t>
      </w:r>
      <w:r w:rsidR="00AE46F4" w:rsidRPr="0073707C">
        <w:rPr>
          <w:rFonts w:hint="cs"/>
          <w:rtl/>
        </w:rPr>
        <w:t xml:space="preserve"> 2008 المتعلق بالأمّ السجينة الحامل والمرضع</w:t>
      </w:r>
      <w:r w:rsidR="00AE46F4" w:rsidRPr="0073707C">
        <w:rPr>
          <w:rFonts w:hint="eastAsia"/>
          <w:rtl/>
        </w:rPr>
        <w:t>ة</w:t>
      </w:r>
    </w:p>
    <w:p w:rsidR="00AE46F4" w:rsidRPr="0073707C" w:rsidRDefault="00AE46F4" w:rsidP="0040540C">
      <w:pPr>
        <w:pStyle w:val="SingleTxtGA"/>
        <w:rPr>
          <w:rFonts w:hint="cs"/>
          <w:rtl/>
        </w:rPr>
      </w:pPr>
      <w:r>
        <w:rPr>
          <w:rFonts w:hint="cs"/>
          <w:rtl/>
        </w:rPr>
        <w:t>50</w:t>
      </w:r>
      <w:r w:rsidR="0040540C">
        <w:rPr>
          <w:rFonts w:hint="cs"/>
          <w:rtl/>
        </w:rPr>
        <w:t>-</w:t>
      </w:r>
      <w:r>
        <w:rPr>
          <w:rFonts w:hint="cs"/>
          <w:rtl/>
        </w:rPr>
        <w:tab/>
      </w:r>
      <w:r w:rsidRPr="0073707C">
        <w:rPr>
          <w:rFonts w:hint="cs"/>
          <w:rtl/>
        </w:rPr>
        <w:t xml:space="preserve">يقرّ هذا القانون إحداث فضاء خاص بالسجينة الحامل أو المرضعة من </w:t>
      </w:r>
      <w:r>
        <w:rPr>
          <w:rFonts w:hint="cs"/>
          <w:rtl/>
        </w:rPr>
        <w:t>ناحية</w:t>
      </w:r>
      <w:r w:rsidRPr="0073707C">
        <w:rPr>
          <w:rFonts w:hint="cs"/>
          <w:rtl/>
        </w:rPr>
        <w:t xml:space="preserve"> ويراجع السنّ القصوى لبقاء الطفل المصاحب لأمه السجينة من </w:t>
      </w:r>
      <w:r>
        <w:rPr>
          <w:rFonts w:hint="cs"/>
          <w:rtl/>
        </w:rPr>
        <w:t>ناحية أخرى</w:t>
      </w:r>
      <w:r w:rsidRPr="0073707C">
        <w:rPr>
          <w:rFonts w:hint="cs"/>
          <w:rtl/>
        </w:rPr>
        <w:t>.</w:t>
      </w:r>
    </w:p>
    <w:p w:rsidR="00AE46F4" w:rsidRPr="0073707C" w:rsidRDefault="0040540C" w:rsidP="0040540C">
      <w:pPr>
        <w:pStyle w:val="H1GA"/>
        <w:rPr>
          <w:rFonts w:hint="cs"/>
        </w:rPr>
      </w:pPr>
      <w:r>
        <w:rPr>
          <w:rFonts w:hint="cs"/>
          <w:rtl/>
        </w:rPr>
        <w:tab/>
      </w:r>
      <w:r w:rsidR="00AE46F4" w:rsidRPr="0073707C">
        <w:rPr>
          <w:rFonts w:hint="cs"/>
          <w:rtl/>
        </w:rPr>
        <w:t>أولا</w:t>
      </w:r>
      <w:r>
        <w:rPr>
          <w:rFonts w:hint="cs"/>
          <w:rtl/>
        </w:rPr>
        <w:t>ً -</w:t>
      </w:r>
      <w:r>
        <w:rPr>
          <w:rFonts w:hint="cs"/>
          <w:rtl/>
        </w:rPr>
        <w:tab/>
      </w:r>
      <w:r w:rsidR="00AE46F4" w:rsidRPr="0073707C">
        <w:rPr>
          <w:rFonts w:hint="cs"/>
          <w:rtl/>
        </w:rPr>
        <w:t>إحداث فضاء خاص بالسجينة الحامل أو المرضعة</w:t>
      </w:r>
    </w:p>
    <w:p w:rsidR="00AE46F4" w:rsidRPr="0073707C" w:rsidRDefault="00AE46F4" w:rsidP="0040540C">
      <w:pPr>
        <w:pStyle w:val="SingleTxtGA"/>
        <w:rPr>
          <w:rFonts w:hint="cs"/>
          <w:rtl/>
        </w:rPr>
      </w:pPr>
      <w:r>
        <w:rPr>
          <w:rFonts w:hint="cs"/>
          <w:rtl/>
        </w:rPr>
        <w:t>51</w:t>
      </w:r>
      <w:r w:rsidR="0040540C">
        <w:rPr>
          <w:rFonts w:hint="cs"/>
          <w:rtl/>
        </w:rPr>
        <w:t>-</w:t>
      </w:r>
      <w:r>
        <w:rPr>
          <w:rFonts w:hint="cs"/>
          <w:rtl/>
        </w:rPr>
        <w:tab/>
      </w:r>
      <w:r w:rsidRPr="0073707C">
        <w:rPr>
          <w:rFonts w:hint="cs"/>
          <w:rtl/>
        </w:rPr>
        <w:t>خلافا</w:t>
      </w:r>
      <w:r w:rsidR="0040540C">
        <w:rPr>
          <w:rFonts w:hint="cs"/>
          <w:rtl/>
        </w:rPr>
        <w:t>ً</w:t>
      </w:r>
      <w:r w:rsidRPr="0073707C">
        <w:rPr>
          <w:rFonts w:hint="cs"/>
          <w:rtl/>
        </w:rPr>
        <w:t xml:space="preserve"> لبقية السجينات، فإنّ السجينة الحامل أو المرضعة توجد في وضعية خاصّة تتطلّب رعاية صحية ونفسية وحتى اجتماعية متميّزة لها وللطفل المصاحب لها</w:t>
      </w:r>
      <w:r>
        <w:rPr>
          <w:rFonts w:hint="cs"/>
          <w:rtl/>
        </w:rPr>
        <w:t xml:space="preserve">، </w:t>
      </w:r>
      <w:r w:rsidRPr="0073707C">
        <w:rPr>
          <w:rFonts w:hint="cs"/>
          <w:rtl/>
        </w:rPr>
        <w:t>وهو ما يبرّر ضرورة إيجاد فضاء خاص بها يضاهي المحيط الطبيعي</w:t>
      </w:r>
      <w:r>
        <w:rPr>
          <w:rFonts w:hint="cs"/>
          <w:rtl/>
        </w:rPr>
        <w:t>،</w:t>
      </w:r>
      <w:r w:rsidRPr="0073707C">
        <w:rPr>
          <w:rFonts w:hint="cs"/>
          <w:rtl/>
        </w:rPr>
        <w:t xml:space="preserve"> كما يضمن للطفل الرعاية الصحية والنفسية ويوفر له تنشئة سليمة وحماية من التّأثيرات السلبية.</w:t>
      </w:r>
    </w:p>
    <w:p w:rsidR="00AE46F4" w:rsidRPr="0073707C" w:rsidRDefault="00AE46F4" w:rsidP="0040540C">
      <w:pPr>
        <w:pStyle w:val="SingleTxtGA"/>
        <w:rPr>
          <w:rFonts w:hint="cs"/>
          <w:rtl/>
        </w:rPr>
      </w:pPr>
      <w:r>
        <w:rPr>
          <w:rFonts w:hint="cs"/>
          <w:rtl/>
        </w:rPr>
        <w:t>52</w:t>
      </w:r>
      <w:r w:rsidR="0040540C">
        <w:rPr>
          <w:rFonts w:hint="cs"/>
          <w:rtl/>
        </w:rPr>
        <w:t>-</w:t>
      </w:r>
      <w:r>
        <w:rPr>
          <w:rFonts w:hint="cs"/>
          <w:rtl/>
        </w:rPr>
        <w:tab/>
      </w:r>
      <w:r w:rsidRPr="0073707C">
        <w:rPr>
          <w:rFonts w:hint="cs"/>
          <w:rtl/>
        </w:rPr>
        <w:t>ويمثّل هذا القانون من هذه الناحية تكريسا جديدا لرعاية الأسرة ولشمولية حقوق الإنسان وتكاملها وترابطها التي أقرّها الدستور التونسي، كما يكرّس أيضا مبدأ حماية المصلحة الفضلى للطفل التي أصبحت عنصرا ثابتا في التشريع التونسي سواء في مجلة الأحوال الشخصية أو في مجلة حماية الطفل.</w:t>
      </w:r>
    </w:p>
    <w:p w:rsidR="00AE46F4" w:rsidRPr="0073707C" w:rsidRDefault="0040540C" w:rsidP="0040540C">
      <w:pPr>
        <w:pStyle w:val="H1GA"/>
        <w:rPr>
          <w:rFonts w:hint="cs"/>
        </w:rPr>
      </w:pPr>
      <w:r>
        <w:rPr>
          <w:rFonts w:hint="cs"/>
          <w:rtl/>
        </w:rPr>
        <w:tab/>
      </w:r>
      <w:r w:rsidR="00AE46F4" w:rsidRPr="0073707C">
        <w:rPr>
          <w:rFonts w:hint="cs"/>
          <w:rtl/>
        </w:rPr>
        <w:t>ثانيا</w:t>
      </w:r>
      <w:r>
        <w:rPr>
          <w:rFonts w:hint="cs"/>
          <w:rtl/>
        </w:rPr>
        <w:t>ً -</w:t>
      </w:r>
      <w:r>
        <w:rPr>
          <w:rFonts w:hint="cs"/>
          <w:rtl/>
        </w:rPr>
        <w:tab/>
      </w:r>
      <w:r w:rsidR="00AE46F4" w:rsidRPr="0073707C">
        <w:rPr>
          <w:rFonts w:hint="cs"/>
          <w:rtl/>
        </w:rPr>
        <w:t>مراجعة السنّ القصوى لبقاء الطفل مصاحبا لأمّه السجينة</w:t>
      </w:r>
    </w:p>
    <w:p w:rsidR="00AE46F4" w:rsidRPr="0073707C" w:rsidRDefault="00AE46F4" w:rsidP="0040540C">
      <w:pPr>
        <w:pStyle w:val="SingleTxtGA"/>
        <w:rPr>
          <w:rFonts w:hint="cs"/>
          <w:rtl/>
        </w:rPr>
      </w:pPr>
      <w:r>
        <w:rPr>
          <w:rFonts w:hint="cs"/>
          <w:rtl/>
        </w:rPr>
        <w:t>53</w:t>
      </w:r>
      <w:r w:rsidR="0040540C">
        <w:rPr>
          <w:rFonts w:hint="cs"/>
          <w:rtl/>
        </w:rPr>
        <w:t>-</w:t>
      </w:r>
      <w:r>
        <w:rPr>
          <w:rFonts w:hint="cs"/>
          <w:rtl/>
        </w:rPr>
        <w:tab/>
      </w:r>
      <w:r w:rsidRPr="0073707C">
        <w:rPr>
          <w:rFonts w:hint="cs"/>
          <w:rtl/>
        </w:rPr>
        <w:t>إن إيداع السّجينة الحامل أو المرضعة بفضاء معدّ للغرض إنّما يتمّ طيلة فترة الحمل والرّضاعة وهو ما يعني قضاء بقية العقاب بسجن النّسوة أو بالجناح المخصّص لهن بالسّجن.</w:t>
      </w:r>
    </w:p>
    <w:p w:rsidR="00AE46F4" w:rsidRPr="0073707C" w:rsidRDefault="00AE46F4" w:rsidP="0040540C">
      <w:pPr>
        <w:pStyle w:val="SingleTxtGA"/>
        <w:rPr>
          <w:rFonts w:hint="cs"/>
          <w:rtl/>
        </w:rPr>
      </w:pPr>
      <w:r>
        <w:rPr>
          <w:rFonts w:hint="cs"/>
          <w:rtl/>
        </w:rPr>
        <w:t>54</w:t>
      </w:r>
      <w:r w:rsidR="0040540C">
        <w:rPr>
          <w:rFonts w:hint="cs"/>
          <w:rtl/>
        </w:rPr>
        <w:t>-</w:t>
      </w:r>
      <w:r>
        <w:rPr>
          <w:rFonts w:hint="cs"/>
          <w:rtl/>
        </w:rPr>
        <w:tab/>
      </w:r>
      <w:r w:rsidRPr="0073707C">
        <w:rPr>
          <w:rFonts w:hint="cs"/>
          <w:rtl/>
        </w:rPr>
        <w:t>وفي التشريع السابق كان يتم قبول الأطفال المصاحبين لأمهاتهم السّجينات إلى سنّ الثّالثة من عمرهم، يقع على إثرها تسليم الطّفل لوالده أو لشخص تختاره الأم</w:t>
      </w:r>
      <w:r>
        <w:rPr>
          <w:rFonts w:hint="cs"/>
          <w:rtl/>
        </w:rPr>
        <w:t>،</w:t>
      </w:r>
      <w:r w:rsidRPr="0073707C">
        <w:rPr>
          <w:rFonts w:hint="cs"/>
          <w:rtl/>
        </w:rPr>
        <w:t xml:space="preserve"> وعند التّعذر تتولّى إدارة السّجن إعلام قاضي تنفيذ العقوبات الذي يعهد بذلك إلى قاضي الأسرة المختص ترابيّا للإذن بالإجراء الذي يتناسب مع مصلحة الطفل الفضلى كتسليمه لإحدى هياكل رعاية الطفولة.</w:t>
      </w:r>
    </w:p>
    <w:p w:rsidR="00AE46F4" w:rsidRPr="0073707C" w:rsidRDefault="00AE46F4" w:rsidP="000B354C">
      <w:pPr>
        <w:pStyle w:val="SingleTxtGA"/>
        <w:rPr>
          <w:rFonts w:hint="cs"/>
          <w:rtl/>
        </w:rPr>
      </w:pPr>
      <w:r>
        <w:rPr>
          <w:rFonts w:hint="cs"/>
          <w:rtl/>
        </w:rPr>
        <w:t>55</w:t>
      </w:r>
      <w:r w:rsidR="0040540C">
        <w:rPr>
          <w:rFonts w:hint="cs"/>
          <w:rtl/>
        </w:rPr>
        <w:t>-</w:t>
      </w:r>
      <w:r>
        <w:rPr>
          <w:rFonts w:hint="cs"/>
          <w:rtl/>
        </w:rPr>
        <w:tab/>
      </w:r>
      <w:r w:rsidRPr="0073707C">
        <w:rPr>
          <w:rFonts w:hint="cs"/>
          <w:rtl/>
        </w:rPr>
        <w:t>وتعتبر مدّة الثّلاث سنوات التي كانت معتمدة بالقانون المتعلّق بنظام السّجون ببلادنا طويلة نسبيّا خاصّة و</w:t>
      </w:r>
      <w:r w:rsidR="000B354C">
        <w:rPr>
          <w:rFonts w:hint="cs"/>
          <w:rtl/>
        </w:rPr>
        <w:t>إ</w:t>
      </w:r>
      <w:r w:rsidRPr="0073707C">
        <w:rPr>
          <w:rFonts w:hint="cs"/>
          <w:rtl/>
        </w:rPr>
        <w:t xml:space="preserve">ن بلوغ الطفل سنّ الثلاثة أعوام يتزامن مع بداية وعيه بمحيطه وهو </w:t>
      </w:r>
      <w:r w:rsidR="003B3E31">
        <w:rPr>
          <w:rFonts w:hint="cs"/>
          <w:rtl/>
        </w:rPr>
        <w:t xml:space="preserve">     </w:t>
      </w:r>
      <w:r w:rsidRPr="0073707C">
        <w:rPr>
          <w:rFonts w:hint="cs"/>
          <w:rtl/>
        </w:rPr>
        <w:t>ما يخشى منه تأثيره السّلبي على نفسيّته وتنشئته ونموّه.</w:t>
      </w:r>
    </w:p>
    <w:p w:rsidR="00AE46F4" w:rsidRPr="0073707C" w:rsidRDefault="00AE46F4" w:rsidP="0040540C">
      <w:pPr>
        <w:pStyle w:val="SingleTxtGA"/>
        <w:rPr>
          <w:rFonts w:hint="cs"/>
          <w:rtl/>
        </w:rPr>
      </w:pPr>
      <w:r>
        <w:rPr>
          <w:rFonts w:hint="cs"/>
          <w:rtl/>
        </w:rPr>
        <w:t>56</w:t>
      </w:r>
      <w:r w:rsidR="0040540C">
        <w:rPr>
          <w:rFonts w:hint="cs"/>
          <w:rtl/>
        </w:rPr>
        <w:t>-</w:t>
      </w:r>
      <w:r>
        <w:rPr>
          <w:rFonts w:hint="cs"/>
          <w:rtl/>
        </w:rPr>
        <w:tab/>
      </w:r>
      <w:r w:rsidRPr="0073707C">
        <w:rPr>
          <w:rFonts w:hint="cs"/>
          <w:rtl/>
        </w:rPr>
        <w:t>وتأسيسا</w:t>
      </w:r>
      <w:r w:rsidR="0040540C">
        <w:rPr>
          <w:rFonts w:hint="cs"/>
          <w:rtl/>
        </w:rPr>
        <w:t>ً</w:t>
      </w:r>
      <w:r w:rsidRPr="0073707C">
        <w:rPr>
          <w:rFonts w:hint="cs"/>
          <w:rtl/>
        </w:rPr>
        <w:t xml:space="preserve"> على ذلك أقرّ</w:t>
      </w:r>
      <w:r>
        <w:rPr>
          <w:rFonts w:hint="cs"/>
          <w:rtl/>
        </w:rPr>
        <w:t xml:space="preserve"> </w:t>
      </w:r>
      <w:r w:rsidRPr="0073707C">
        <w:rPr>
          <w:rFonts w:hint="cs"/>
          <w:rtl/>
        </w:rPr>
        <w:t>هذا القانون أنّ فترة الرضاعة تقدّر بعام وهي مدة قابلة للتمديد فيها لفترة لا تتجاوز عاما آخر ويبتّ في ذلك قاضي الأسرة المختص ترابيا بطلب من الأم وفقا لما تقتضيه مصلحة الطفل الفضلى وهو ما يتفق مع فترة الرضاعة القصوى المتفق على كونها عامين كاملين ويراعي مختلف الوضعيات الاجتماعية والنفسية والصحية الخاصّة بكلّ أم سجينة أو رضيعها.</w:t>
      </w:r>
    </w:p>
    <w:p w:rsidR="00AE46F4" w:rsidRPr="0073707C" w:rsidRDefault="0040540C" w:rsidP="0040540C">
      <w:pPr>
        <w:pStyle w:val="H23GA"/>
        <w:rPr>
          <w:rFonts w:hint="cs"/>
          <w:rtl/>
          <w:lang w:bidi="ar-TN"/>
        </w:rPr>
      </w:pPr>
      <w:r>
        <w:rPr>
          <w:rFonts w:hint="cs"/>
          <w:rtl/>
          <w:lang w:bidi="ar-TN"/>
        </w:rPr>
        <w:tab/>
      </w:r>
      <w:r>
        <w:rPr>
          <w:rFonts w:hint="cs"/>
          <w:rtl/>
          <w:lang w:bidi="ar-TN"/>
        </w:rPr>
        <w:tab/>
      </w:r>
      <w:r w:rsidR="00AE46F4" w:rsidRPr="0073707C">
        <w:rPr>
          <w:rFonts w:hint="cs"/>
          <w:rtl/>
          <w:lang w:bidi="ar-TN"/>
        </w:rPr>
        <w:t>القانون</w:t>
      </w:r>
      <w:r w:rsidR="00AE46F4">
        <w:rPr>
          <w:rFonts w:hint="cs"/>
          <w:rtl/>
          <w:lang w:bidi="ar-TN"/>
        </w:rPr>
        <w:t xml:space="preserve"> رقم </w:t>
      </w:r>
      <w:r w:rsidR="00AE46F4" w:rsidRPr="0073707C">
        <w:rPr>
          <w:rFonts w:hint="cs"/>
          <w:rtl/>
          <w:lang w:bidi="ar-TN"/>
        </w:rPr>
        <w:t xml:space="preserve">75 </w:t>
      </w:r>
      <w:r w:rsidR="00AE46F4">
        <w:rPr>
          <w:rFonts w:hint="cs"/>
          <w:rtl/>
          <w:lang w:bidi="ar-TN"/>
        </w:rPr>
        <w:t xml:space="preserve">لعام </w:t>
      </w:r>
      <w:r w:rsidR="00AE46F4" w:rsidRPr="0073707C">
        <w:rPr>
          <w:rFonts w:hint="cs"/>
          <w:rtl/>
          <w:lang w:bidi="ar-TN"/>
        </w:rPr>
        <w:t xml:space="preserve">2008 </w:t>
      </w:r>
      <w:r w:rsidR="00AE46F4">
        <w:rPr>
          <w:rFonts w:hint="cs"/>
          <w:rtl/>
          <w:lang w:bidi="ar-TN"/>
        </w:rPr>
        <w:t>ال</w:t>
      </w:r>
      <w:r w:rsidR="00AE46F4" w:rsidRPr="0073707C">
        <w:rPr>
          <w:rFonts w:hint="cs"/>
          <w:rtl/>
          <w:lang w:bidi="ar-TN"/>
        </w:rPr>
        <w:t>مؤرّخ</w:t>
      </w:r>
      <w:r w:rsidR="00AE46F4">
        <w:rPr>
          <w:rFonts w:hint="cs"/>
          <w:rtl/>
          <w:lang w:bidi="ar-TN"/>
        </w:rPr>
        <w:t xml:space="preserve"> </w:t>
      </w:r>
      <w:r w:rsidR="00AE46F4" w:rsidRPr="0073707C">
        <w:rPr>
          <w:rFonts w:hint="cs"/>
          <w:rtl/>
          <w:lang w:bidi="ar-TN"/>
        </w:rPr>
        <w:t xml:space="preserve">11 </w:t>
      </w:r>
      <w:r w:rsidR="00AE46F4">
        <w:rPr>
          <w:rFonts w:hint="cs"/>
          <w:rtl/>
          <w:lang w:bidi="ar-TN"/>
        </w:rPr>
        <w:t>كانون الأول/</w:t>
      </w:r>
      <w:r w:rsidR="00AE46F4" w:rsidRPr="0073707C">
        <w:rPr>
          <w:rFonts w:hint="cs"/>
          <w:rtl/>
          <w:lang w:bidi="ar-TN"/>
        </w:rPr>
        <w:t>ديسمبر 2008 المتعلق بتدعيم ضمانات المتهم وتطوير وضعية الموقوفين وتيسير شروط الإدماج</w:t>
      </w:r>
    </w:p>
    <w:p w:rsidR="00AE46F4" w:rsidRDefault="00AE46F4" w:rsidP="0040540C">
      <w:pPr>
        <w:pStyle w:val="SingleTxtGA"/>
        <w:rPr>
          <w:rFonts w:hint="cs"/>
          <w:b/>
          <w:bCs/>
          <w:rtl/>
          <w:lang w:bidi="ar-TN"/>
        </w:rPr>
      </w:pPr>
      <w:r>
        <w:rPr>
          <w:rFonts w:hint="cs"/>
          <w:rtl/>
          <w:lang w:bidi="ar-TN"/>
        </w:rPr>
        <w:t>57</w:t>
      </w:r>
      <w:r w:rsidR="0040540C">
        <w:rPr>
          <w:rFonts w:hint="cs"/>
          <w:rtl/>
          <w:lang w:bidi="ar-TN"/>
        </w:rPr>
        <w:t>-</w:t>
      </w:r>
      <w:r>
        <w:rPr>
          <w:rFonts w:hint="cs"/>
          <w:rtl/>
          <w:lang w:bidi="ar-TN"/>
        </w:rPr>
        <w:tab/>
      </w:r>
      <w:r w:rsidRPr="0073707C">
        <w:rPr>
          <w:rFonts w:hint="cs"/>
          <w:rtl/>
          <w:lang w:bidi="ar-TN"/>
        </w:rPr>
        <w:t xml:space="preserve">أقرّ هذا القانون بالخصوص تطوير وضعية الموقوفين بما يضمن عدم تجاوز المدة القانونية للإيقاف التحفظي </w:t>
      </w:r>
      <w:r>
        <w:rPr>
          <w:rFonts w:hint="cs"/>
          <w:rtl/>
          <w:lang w:bidi="ar-TN"/>
        </w:rPr>
        <w:t xml:space="preserve">ومرجعة </w:t>
      </w:r>
      <w:r w:rsidRPr="0073707C">
        <w:rPr>
          <w:rFonts w:hint="cs"/>
          <w:rtl/>
          <w:lang w:bidi="ar-TN"/>
        </w:rPr>
        <w:t>شروط استرداد الحقوق تيسيرا لإعادة إدماج من زلّت بهم القدم</w:t>
      </w:r>
      <w:r>
        <w:rPr>
          <w:rFonts w:hint="cs"/>
          <w:b/>
          <w:bCs/>
          <w:rtl/>
          <w:lang w:bidi="ar-TN"/>
        </w:rPr>
        <w:t>.</w:t>
      </w:r>
    </w:p>
    <w:p w:rsidR="00AE46F4" w:rsidRPr="0073707C" w:rsidRDefault="0040540C" w:rsidP="0040540C">
      <w:pPr>
        <w:pStyle w:val="H1GA"/>
        <w:rPr>
          <w:rFonts w:hint="cs"/>
          <w:rtl/>
          <w:lang w:bidi="ar-TN"/>
        </w:rPr>
      </w:pPr>
      <w:r>
        <w:rPr>
          <w:rFonts w:hint="cs"/>
          <w:rtl/>
          <w:lang w:bidi="ar-TN"/>
        </w:rPr>
        <w:tab/>
      </w:r>
      <w:r w:rsidR="00AE46F4" w:rsidRPr="0073707C">
        <w:rPr>
          <w:rFonts w:hint="cs"/>
          <w:rtl/>
          <w:lang w:bidi="ar-TN"/>
        </w:rPr>
        <w:t>أولا</w:t>
      </w:r>
      <w:r>
        <w:rPr>
          <w:rFonts w:hint="cs"/>
          <w:rtl/>
          <w:lang w:bidi="ar-TN"/>
        </w:rPr>
        <w:t xml:space="preserve">ً </w:t>
      </w:r>
      <w:r w:rsidR="00AE46F4" w:rsidRPr="0073707C">
        <w:rPr>
          <w:rFonts w:hint="cs"/>
          <w:rtl/>
          <w:lang w:bidi="ar-TN"/>
        </w:rPr>
        <w:t>-</w:t>
      </w:r>
      <w:r>
        <w:rPr>
          <w:rFonts w:hint="cs"/>
          <w:rtl/>
          <w:lang w:bidi="ar-TN"/>
        </w:rPr>
        <w:tab/>
      </w:r>
      <w:r w:rsidR="00AE46F4" w:rsidRPr="0073707C">
        <w:rPr>
          <w:rFonts w:hint="cs"/>
          <w:rtl/>
          <w:lang w:bidi="ar-TN"/>
        </w:rPr>
        <w:t>تطوير وضعية الموقوفين تحفظيّا</w:t>
      </w:r>
    </w:p>
    <w:p w:rsidR="00AE46F4" w:rsidRPr="0073707C" w:rsidRDefault="00AE46F4" w:rsidP="0040540C">
      <w:pPr>
        <w:pStyle w:val="SingleTxtGA"/>
        <w:rPr>
          <w:rFonts w:hint="cs"/>
          <w:lang w:bidi="ar-TN"/>
        </w:rPr>
      </w:pPr>
      <w:r>
        <w:rPr>
          <w:rFonts w:hint="cs"/>
          <w:rtl/>
          <w:lang w:bidi="ar-TN"/>
        </w:rPr>
        <w:t>58</w:t>
      </w:r>
      <w:r w:rsidR="0040540C">
        <w:rPr>
          <w:rFonts w:hint="cs"/>
          <w:rtl/>
          <w:lang w:bidi="ar-TN"/>
        </w:rPr>
        <w:t>-</w:t>
      </w:r>
      <w:r>
        <w:rPr>
          <w:rFonts w:hint="cs"/>
          <w:rtl/>
          <w:lang w:bidi="ar-TN"/>
        </w:rPr>
        <w:tab/>
      </w:r>
      <w:r w:rsidRPr="0073707C">
        <w:rPr>
          <w:rFonts w:hint="cs"/>
          <w:rtl/>
          <w:lang w:bidi="ar-TN"/>
        </w:rPr>
        <w:t xml:space="preserve">نصّ هذا القانون على عدة أحكام جديدة تهدف خاصة </w:t>
      </w:r>
      <w:r w:rsidRPr="00484FDA">
        <w:rPr>
          <w:rFonts w:hint="cs"/>
          <w:rtl/>
          <w:lang w:bidi="ar-TN"/>
        </w:rPr>
        <w:t>إلى مزيد من إحكام تنظيم الإ</w:t>
      </w:r>
      <w:r w:rsidRPr="0073707C">
        <w:rPr>
          <w:rFonts w:hint="cs"/>
          <w:rtl/>
          <w:lang w:bidi="ar-TN"/>
        </w:rPr>
        <w:t>يقاف التحفظي للمتهم وتوسيع حالات السراح الوجوبي</w:t>
      </w:r>
      <w:r>
        <w:rPr>
          <w:rFonts w:hint="cs"/>
          <w:rtl/>
          <w:lang w:bidi="ar-TN"/>
        </w:rPr>
        <w:t>.</w:t>
      </w:r>
    </w:p>
    <w:p w:rsidR="00AE46F4" w:rsidRPr="0073707C" w:rsidRDefault="0040540C" w:rsidP="0040540C">
      <w:pPr>
        <w:pStyle w:val="H23GA"/>
        <w:rPr>
          <w:lang w:bidi="ar-TN"/>
        </w:rPr>
      </w:pPr>
      <w:r>
        <w:rPr>
          <w:rFonts w:hint="cs"/>
          <w:rtl/>
          <w:lang w:bidi="ar-TN"/>
        </w:rPr>
        <w:tab/>
        <w:t>1-</w:t>
      </w:r>
      <w:r>
        <w:rPr>
          <w:rFonts w:hint="cs"/>
          <w:rtl/>
          <w:lang w:bidi="ar-TN"/>
        </w:rPr>
        <w:tab/>
      </w:r>
      <w:r w:rsidR="00AE46F4" w:rsidRPr="0073707C">
        <w:rPr>
          <w:rFonts w:hint="cs"/>
          <w:rtl/>
          <w:lang w:bidi="ar-TN"/>
        </w:rPr>
        <w:t>تنظيم الإيقاف التحفظي</w:t>
      </w:r>
    </w:p>
    <w:p w:rsidR="00AE46F4" w:rsidRPr="0073707C" w:rsidRDefault="00AE46F4" w:rsidP="0040540C">
      <w:pPr>
        <w:pStyle w:val="SingleTxtGA"/>
        <w:rPr>
          <w:rFonts w:hint="cs"/>
          <w:rtl/>
          <w:lang w:bidi="ar-TN"/>
        </w:rPr>
      </w:pPr>
      <w:r>
        <w:rPr>
          <w:rFonts w:hint="cs"/>
          <w:rtl/>
          <w:lang w:bidi="ar-TN"/>
        </w:rPr>
        <w:t>59</w:t>
      </w:r>
      <w:r w:rsidR="0040540C">
        <w:rPr>
          <w:rFonts w:hint="cs"/>
          <w:rtl/>
          <w:lang w:bidi="ar-TN"/>
        </w:rPr>
        <w:t>-</w:t>
      </w:r>
      <w:r>
        <w:rPr>
          <w:rFonts w:hint="cs"/>
          <w:rtl/>
          <w:lang w:bidi="ar-TN"/>
        </w:rPr>
        <w:tab/>
      </w:r>
      <w:r w:rsidRPr="0073707C">
        <w:rPr>
          <w:rFonts w:hint="cs"/>
          <w:rtl/>
          <w:lang w:bidi="ar-TN"/>
        </w:rPr>
        <w:t xml:space="preserve">كان الفصل 85 من مجلة الإجراءات الجزائية يتضمن إمكانية إيقاف المظنون فيه تحفظيا في الجنايات والجنح المتلبس بها كلما ظهرت قرائن قوية تستلزم الإيقاف باعتباره وسيلة أمن يتلافى بها اقتراف جرائم جديدة أو ضمانا لتنفيذ العقوبة أو طريقة توفر سلامة سير البحث على ألا تتجاوز مدة الإيقاف التحفظي ستة أشهر مع إمكانية التمديد فيها بقرار معلل وبعد أخذ رأي وكيل الجمهورية مرة واحدة لا تزيد عن ثلاثة أشهر بالنسبة للجنح ومرتين لا تزيد كل واحدة على أربعة أشهر بالنسبة للجنايات. </w:t>
      </w:r>
    </w:p>
    <w:p w:rsidR="00AE46F4" w:rsidRPr="0073707C" w:rsidRDefault="00AE46F4" w:rsidP="0040540C">
      <w:pPr>
        <w:pStyle w:val="SingleTxtGA"/>
        <w:rPr>
          <w:rFonts w:hint="cs"/>
          <w:rtl/>
          <w:lang w:bidi="ar-TN"/>
        </w:rPr>
      </w:pPr>
      <w:r>
        <w:rPr>
          <w:rFonts w:hint="cs"/>
          <w:rtl/>
          <w:lang w:bidi="ar-TN"/>
        </w:rPr>
        <w:t>60</w:t>
      </w:r>
      <w:r w:rsidR="0040540C">
        <w:rPr>
          <w:rFonts w:hint="cs"/>
          <w:rtl/>
          <w:lang w:bidi="ar-TN"/>
        </w:rPr>
        <w:t>-</w:t>
      </w:r>
      <w:r>
        <w:rPr>
          <w:rFonts w:hint="cs"/>
          <w:rtl/>
          <w:lang w:bidi="ar-TN"/>
        </w:rPr>
        <w:tab/>
      </w:r>
      <w:r w:rsidRPr="0073707C">
        <w:rPr>
          <w:rFonts w:hint="cs"/>
          <w:rtl/>
          <w:lang w:bidi="ar-TN"/>
        </w:rPr>
        <w:t>إلا أن هذا الفصل لم يبين بصفة صريحة ما إذا كانت آجال الإيقاف التحفظي تشمل أيضا مرحلة التحقيق التي تلي قرار إرجاع القضية لقاضي التحقيق من قبل دائرة الاتهام لاستكمال الأبحاث فيها وهي الصورة التي يصبح فيها قاضي التحقيق غير متعهد بالقضية أصالة وإنما بصفته مكلفا بتنفيذ</w:t>
      </w:r>
      <w:r>
        <w:rPr>
          <w:rFonts w:hint="cs"/>
          <w:rtl/>
          <w:lang w:bidi="ar-TN"/>
        </w:rPr>
        <w:t xml:space="preserve"> </w:t>
      </w:r>
      <w:r w:rsidRPr="0073707C">
        <w:rPr>
          <w:rFonts w:hint="cs"/>
          <w:rtl/>
          <w:lang w:bidi="ar-TN"/>
        </w:rPr>
        <w:t>ما جاء بقرار دائرة الاتهام.</w:t>
      </w:r>
    </w:p>
    <w:p w:rsidR="00AE46F4" w:rsidRPr="0073707C" w:rsidRDefault="00AE46F4" w:rsidP="0040540C">
      <w:pPr>
        <w:pStyle w:val="SingleTxtGA"/>
        <w:rPr>
          <w:rFonts w:hint="cs"/>
          <w:rtl/>
          <w:lang w:bidi="ar-TN"/>
        </w:rPr>
      </w:pPr>
      <w:r>
        <w:rPr>
          <w:rFonts w:hint="cs"/>
          <w:rtl/>
          <w:lang w:bidi="ar-TN"/>
        </w:rPr>
        <w:t>61</w:t>
      </w:r>
      <w:r w:rsidR="0040540C">
        <w:rPr>
          <w:rFonts w:hint="cs"/>
          <w:rtl/>
          <w:lang w:bidi="ar-TN"/>
        </w:rPr>
        <w:t>-</w:t>
      </w:r>
      <w:r>
        <w:rPr>
          <w:rFonts w:hint="cs"/>
          <w:rtl/>
          <w:lang w:bidi="ar-TN"/>
        </w:rPr>
        <w:tab/>
      </w:r>
      <w:r w:rsidRPr="0073707C">
        <w:rPr>
          <w:rFonts w:hint="cs"/>
          <w:rtl/>
          <w:lang w:bidi="ar-TN"/>
        </w:rPr>
        <w:t>وحفاظا</w:t>
      </w:r>
      <w:r w:rsidR="0040540C">
        <w:rPr>
          <w:rFonts w:hint="cs"/>
          <w:rtl/>
          <w:lang w:bidi="ar-TN"/>
        </w:rPr>
        <w:t>ً</w:t>
      </w:r>
      <w:r w:rsidRPr="0073707C">
        <w:rPr>
          <w:rFonts w:hint="cs"/>
          <w:rtl/>
          <w:lang w:bidi="ar-TN"/>
        </w:rPr>
        <w:t xml:space="preserve"> على حقوق المتهم أقر القانون الجديد صراحة أنه لا يترتب عن قرار دائرة الاتهام بإحالة الملف إلى قاضي التحقيق لمواصلة بعض الأعمال التي تقتضيها تهيئة القضية للفصل تجاوز المدة القصوى للإيقاف التحفظي للمتهم إذ يتحتم على قاضي التحقيق أو دائرة الاتهام بانقضاء هذه المدة الإذن بالإفراج عنه مؤقتا.</w:t>
      </w:r>
    </w:p>
    <w:p w:rsidR="00AE46F4" w:rsidRPr="0073707C" w:rsidRDefault="00AE46F4" w:rsidP="0040540C">
      <w:pPr>
        <w:pStyle w:val="SingleTxtGA"/>
        <w:rPr>
          <w:lang w:bidi="ar-TN"/>
        </w:rPr>
      </w:pPr>
      <w:r>
        <w:rPr>
          <w:rFonts w:hint="cs"/>
          <w:rtl/>
          <w:lang w:bidi="ar-TN"/>
        </w:rPr>
        <w:t>62</w:t>
      </w:r>
      <w:r w:rsidR="0040540C">
        <w:rPr>
          <w:rFonts w:hint="cs"/>
          <w:rtl/>
          <w:lang w:bidi="ar-TN"/>
        </w:rPr>
        <w:t>-</w:t>
      </w:r>
      <w:r>
        <w:rPr>
          <w:rFonts w:hint="cs"/>
          <w:rtl/>
          <w:lang w:bidi="ar-TN"/>
        </w:rPr>
        <w:tab/>
      </w:r>
      <w:r w:rsidRPr="0073707C">
        <w:rPr>
          <w:rFonts w:hint="cs"/>
          <w:rtl/>
          <w:lang w:bidi="ar-TN"/>
        </w:rPr>
        <w:t>وضمانا</w:t>
      </w:r>
      <w:r w:rsidR="0040540C">
        <w:rPr>
          <w:rFonts w:hint="cs"/>
          <w:rtl/>
          <w:lang w:bidi="ar-TN"/>
        </w:rPr>
        <w:t>ً</w:t>
      </w:r>
      <w:r w:rsidRPr="0073707C">
        <w:rPr>
          <w:rFonts w:hint="cs"/>
          <w:rtl/>
          <w:lang w:bidi="ar-TN"/>
        </w:rPr>
        <w:t xml:space="preserve"> لحضور المتهم المفرج عنه أمام المحكمة كلّما اقتضت الضرورة ذلك فقد تم في المقابل تخويل قاضي التحقيق أو دائرة الاتهام حسب الأحوال اتخاذ التدابير اللازمة لضمان حضوره بما في ذلك اتخاذ مقرّ له بدائرة المحكمة والإعلام بتنقلاته لأماكن معينة وتحجير السفر عليه عند الاقتضاء إلى غير ذلك من التدابير المشابهة.</w:t>
      </w:r>
    </w:p>
    <w:p w:rsidR="00AE46F4" w:rsidRPr="0073707C" w:rsidRDefault="0040540C" w:rsidP="0040540C">
      <w:pPr>
        <w:pStyle w:val="H23GA"/>
      </w:pPr>
      <w:r>
        <w:rPr>
          <w:rFonts w:hint="cs"/>
          <w:rtl/>
        </w:rPr>
        <w:tab/>
      </w:r>
      <w:r w:rsidR="00AE46F4" w:rsidRPr="00767F46">
        <w:rPr>
          <w:rFonts w:hint="cs"/>
          <w:rtl/>
        </w:rPr>
        <w:t>2-</w:t>
      </w:r>
      <w:r>
        <w:rPr>
          <w:rFonts w:hint="cs"/>
          <w:rtl/>
        </w:rPr>
        <w:tab/>
      </w:r>
      <w:r w:rsidR="00AE46F4" w:rsidRPr="00767F46">
        <w:rPr>
          <w:rFonts w:hint="cs"/>
          <w:rtl/>
        </w:rPr>
        <w:t>توسيع نظام الإفراج بضمان أو بدونه</w:t>
      </w:r>
    </w:p>
    <w:p w:rsidR="00AE46F4" w:rsidRPr="0073707C" w:rsidRDefault="00AE46F4" w:rsidP="00C84ADA">
      <w:pPr>
        <w:pStyle w:val="SingleTxtGA"/>
        <w:rPr>
          <w:rFonts w:hint="cs"/>
          <w:rtl/>
          <w:lang w:bidi="ar-TN"/>
        </w:rPr>
      </w:pPr>
      <w:r>
        <w:rPr>
          <w:rFonts w:hint="cs"/>
          <w:rtl/>
          <w:lang w:bidi="ar-TN"/>
        </w:rPr>
        <w:t>63</w:t>
      </w:r>
      <w:r w:rsidR="00C84ADA">
        <w:rPr>
          <w:rFonts w:hint="cs"/>
          <w:rtl/>
          <w:lang w:bidi="ar-TN"/>
        </w:rPr>
        <w:t>-</w:t>
      </w:r>
      <w:r>
        <w:rPr>
          <w:rFonts w:hint="cs"/>
          <w:rtl/>
          <w:lang w:bidi="ar-TN"/>
        </w:rPr>
        <w:tab/>
      </w:r>
      <w:r w:rsidRPr="0073707C">
        <w:rPr>
          <w:rFonts w:hint="cs"/>
          <w:rtl/>
          <w:lang w:bidi="ar-TN"/>
        </w:rPr>
        <w:t>كانت الفقرة الأخيرة من الفصل 85 من مجلة الإجراءات الجزائية تُحتم الإفراج بضمان أو بدونه بعد استنطاق المظنون فيه بخمسة أيام إن كان له مقر معين بالتراب التونسي ولم يسبق الحكم عليه بأكثر من ثلاثة أشهر سجنا إذا كان أقصى العقاب المقرر قانونا</w:t>
      </w:r>
      <w:r w:rsidR="00C84ADA">
        <w:rPr>
          <w:rFonts w:hint="cs"/>
          <w:rtl/>
          <w:lang w:bidi="ar-TN"/>
        </w:rPr>
        <w:t>ً</w:t>
      </w:r>
      <w:r w:rsidRPr="0073707C">
        <w:rPr>
          <w:rFonts w:hint="cs"/>
          <w:rtl/>
          <w:lang w:bidi="ar-TN"/>
        </w:rPr>
        <w:t xml:space="preserve"> </w:t>
      </w:r>
      <w:r w:rsidR="00C84ADA">
        <w:rPr>
          <w:rFonts w:hint="cs"/>
          <w:rtl/>
          <w:lang w:bidi="ar-TN"/>
        </w:rPr>
        <w:t xml:space="preserve">       </w:t>
      </w:r>
      <w:r w:rsidRPr="0073707C">
        <w:rPr>
          <w:rFonts w:hint="cs"/>
          <w:rtl/>
          <w:lang w:bidi="ar-TN"/>
        </w:rPr>
        <w:t>لا يتجاوز العام سجنا</w:t>
      </w:r>
      <w:r w:rsidR="00C84ADA">
        <w:rPr>
          <w:rFonts w:hint="cs"/>
          <w:rtl/>
          <w:lang w:bidi="ar-TN"/>
        </w:rPr>
        <w:t>ً</w:t>
      </w:r>
      <w:r w:rsidRPr="0073707C">
        <w:rPr>
          <w:rFonts w:hint="cs"/>
          <w:rtl/>
          <w:lang w:bidi="ar-TN"/>
        </w:rPr>
        <w:t>.</w:t>
      </w:r>
    </w:p>
    <w:p w:rsidR="00AE46F4" w:rsidRPr="0073707C" w:rsidRDefault="00AE46F4" w:rsidP="00C84ADA">
      <w:pPr>
        <w:pStyle w:val="SingleTxtGA"/>
        <w:rPr>
          <w:rFonts w:hint="cs"/>
          <w:rtl/>
          <w:lang w:bidi="ar-TN"/>
        </w:rPr>
      </w:pPr>
      <w:r>
        <w:rPr>
          <w:rFonts w:hint="cs"/>
          <w:rtl/>
          <w:lang w:bidi="ar-TN"/>
        </w:rPr>
        <w:t>64</w:t>
      </w:r>
      <w:r w:rsidR="00C84ADA">
        <w:rPr>
          <w:rFonts w:hint="cs"/>
          <w:rtl/>
          <w:lang w:bidi="ar-TN"/>
        </w:rPr>
        <w:t>-</w:t>
      </w:r>
      <w:r>
        <w:rPr>
          <w:rFonts w:hint="cs"/>
          <w:rtl/>
          <w:lang w:bidi="ar-TN"/>
        </w:rPr>
        <w:tab/>
      </w:r>
      <w:r w:rsidRPr="0073707C">
        <w:rPr>
          <w:rFonts w:hint="cs"/>
          <w:rtl/>
          <w:lang w:bidi="ar-TN"/>
        </w:rPr>
        <w:t>لكن تبين أن حالات تطبيق هذا الفصل محدودة لأن الشرطين المذكورين لا يتوفران إلا في عدد ضئيل من الموقوفين، لذلك تضم</w:t>
      </w:r>
      <w:r>
        <w:rPr>
          <w:rFonts w:hint="cs"/>
          <w:rtl/>
          <w:lang w:bidi="ar-TN"/>
        </w:rPr>
        <w:t>ّ</w:t>
      </w:r>
      <w:r w:rsidRPr="0073707C">
        <w:rPr>
          <w:rFonts w:hint="cs"/>
          <w:rtl/>
          <w:lang w:bidi="ar-TN"/>
        </w:rPr>
        <w:t>ن هذا القان</w:t>
      </w:r>
      <w:r w:rsidR="003B3E31">
        <w:rPr>
          <w:rFonts w:hint="cs"/>
          <w:rtl/>
          <w:lang w:bidi="ar-TN"/>
        </w:rPr>
        <w:t>ون</w:t>
      </w:r>
      <w:r w:rsidRPr="00484FDA">
        <w:rPr>
          <w:rFonts w:hint="cs"/>
          <w:rtl/>
          <w:lang w:bidi="ar-TN"/>
        </w:rPr>
        <w:t>، في إطار زيادة</w:t>
      </w:r>
      <w:r>
        <w:rPr>
          <w:rFonts w:hint="cs"/>
          <w:rtl/>
          <w:lang w:bidi="ar-TN"/>
        </w:rPr>
        <w:t xml:space="preserve"> </w:t>
      </w:r>
      <w:r w:rsidRPr="00484FDA">
        <w:rPr>
          <w:rFonts w:hint="cs"/>
          <w:rtl/>
          <w:lang w:bidi="ar-TN"/>
        </w:rPr>
        <w:t>ترسيخ الص</w:t>
      </w:r>
      <w:r w:rsidRPr="0073707C">
        <w:rPr>
          <w:rFonts w:hint="cs"/>
          <w:rtl/>
          <w:lang w:bidi="ar-TN"/>
        </w:rPr>
        <w:t>بغة الاستثنائية للإيقاف التحفظي، توسيع نظام الإفراج بضمان أو بدونه بعد الاستنطاق بخمسة أيام لفائدة المظنون فيه الذي له مقر معيّن بالتراب التونسي ولم يسبق الحكم عليه بأكثر من ستة أشهر سجنا</w:t>
      </w:r>
      <w:r w:rsidR="003B3E31">
        <w:rPr>
          <w:rFonts w:hint="cs"/>
          <w:rtl/>
          <w:lang w:bidi="ar-TN"/>
        </w:rPr>
        <w:t>ً</w:t>
      </w:r>
      <w:r w:rsidRPr="0073707C">
        <w:rPr>
          <w:rFonts w:hint="cs"/>
          <w:rtl/>
          <w:lang w:bidi="ar-TN"/>
        </w:rPr>
        <w:t xml:space="preserve"> إذا كان أقصى العقاب المق</w:t>
      </w:r>
      <w:r w:rsidR="00C84ADA">
        <w:rPr>
          <w:rFonts w:hint="cs"/>
          <w:rtl/>
          <w:lang w:bidi="ar-TN"/>
        </w:rPr>
        <w:t>رّر قانونا</w:t>
      </w:r>
      <w:r w:rsidR="003B3E31">
        <w:rPr>
          <w:rFonts w:hint="cs"/>
          <w:rtl/>
          <w:lang w:bidi="ar-TN"/>
        </w:rPr>
        <w:t>ً</w:t>
      </w:r>
      <w:r w:rsidR="00C84ADA">
        <w:rPr>
          <w:rFonts w:hint="cs"/>
          <w:rtl/>
          <w:lang w:bidi="ar-TN"/>
        </w:rPr>
        <w:t xml:space="preserve"> لا يتجاوز عامين سجناً</w:t>
      </w:r>
      <w:r w:rsidRPr="0073707C">
        <w:rPr>
          <w:rFonts w:hint="cs"/>
          <w:rtl/>
          <w:lang w:bidi="ar-TN"/>
        </w:rPr>
        <w:t>.</w:t>
      </w:r>
    </w:p>
    <w:p w:rsidR="00AE46F4" w:rsidRPr="0073707C" w:rsidRDefault="00AE46F4" w:rsidP="00C84ADA">
      <w:pPr>
        <w:pStyle w:val="SingleTxtGA"/>
        <w:rPr>
          <w:lang w:bidi="ar-TN"/>
        </w:rPr>
      </w:pPr>
      <w:r>
        <w:rPr>
          <w:rFonts w:hint="cs"/>
          <w:rtl/>
          <w:lang w:bidi="ar-TN"/>
        </w:rPr>
        <w:t>65</w:t>
      </w:r>
      <w:r w:rsidR="00C84ADA">
        <w:rPr>
          <w:rFonts w:hint="cs"/>
          <w:rtl/>
          <w:lang w:bidi="ar-TN"/>
        </w:rPr>
        <w:t>-</w:t>
      </w:r>
      <w:r>
        <w:rPr>
          <w:rFonts w:hint="cs"/>
          <w:rtl/>
          <w:lang w:bidi="ar-TN"/>
        </w:rPr>
        <w:tab/>
      </w:r>
      <w:r w:rsidRPr="0073707C">
        <w:rPr>
          <w:rFonts w:hint="cs"/>
          <w:rtl/>
          <w:lang w:bidi="ar-TN"/>
        </w:rPr>
        <w:t>إلا أنه لم يقع تكريس هذه القاعدة على إطلاقها وأُقرت لها بعض الاستثناءات لاعتبارات تتعلق بخطورة بعض الجرائم لما لها من</w:t>
      </w:r>
      <w:r>
        <w:rPr>
          <w:rFonts w:hint="cs"/>
          <w:rtl/>
          <w:lang w:bidi="ar-TN"/>
        </w:rPr>
        <w:t xml:space="preserve"> </w:t>
      </w:r>
      <w:r w:rsidR="00C84ADA">
        <w:rPr>
          <w:rFonts w:hint="cs"/>
          <w:rtl/>
          <w:lang w:bidi="ar-TN"/>
        </w:rPr>
        <w:t>مساس بالأمن العام</w:t>
      </w:r>
      <w:r w:rsidRPr="0073707C">
        <w:rPr>
          <w:rFonts w:hint="cs"/>
          <w:rtl/>
          <w:lang w:bidi="ar-TN"/>
        </w:rPr>
        <w:t>.</w:t>
      </w:r>
    </w:p>
    <w:p w:rsidR="00AE46F4" w:rsidRPr="0073707C" w:rsidRDefault="00C84ADA" w:rsidP="00C84ADA">
      <w:pPr>
        <w:pStyle w:val="H1GA"/>
        <w:rPr>
          <w:rFonts w:hint="cs"/>
        </w:rPr>
      </w:pPr>
      <w:r>
        <w:rPr>
          <w:rFonts w:hint="cs"/>
          <w:rtl/>
          <w:lang w:bidi="ar-TN"/>
        </w:rPr>
        <w:tab/>
      </w:r>
      <w:r w:rsidR="00AE46F4" w:rsidRPr="0073707C">
        <w:rPr>
          <w:rFonts w:hint="cs"/>
          <w:rtl/>
          <w:lang w:bidi="ar-TN"/>
        </w:rPr>
        <w:t>ثانيا</w:t>
      </w:r>
      <w:r>
        <w:rPr>
          <w:rFonts w:hint="cs"/>
          <w:rtl/>
          <w:lang w:bidi="ar-TN"/>
        </w:rPr>
        <w:t xml:space="preserve">ً </w:t>
      </w:r>
      <w:r w:rsidR="00AE46F4" w:rsidRPr="0073707C">
        <w:rPr>
          <w:rFonts w:hint="cs"/>
          <w:rtl/>
          <w:lang w:bidi="ar-TN"/>
        </w:rPr>
        <w:t>-</w:t>
      </w:r>
      <w:r>
        <w:rPr>
          <w:rFonts w:hint="cs"/>
          <w:rtl/>
          <w:lang w:bidi="ar-TN"/>
        </w:rPr>
        <w:tab/>
      </w:r>
      <w:r w:rsidR="00AE46F4" w:rsidRPr="0073707C">
        <w:rPr>
          <w:rFonts w:hint="cs"/>
          <w:rtl/>
          <w:lang w:bidi="ar-TN"/>
        </w:rPr>
        <w:t>تيسير شروط الإدماج</w:t>
      </w:r>
    </w:p>
    <w:p w:rsidR="00AE46F4" w:rsidRPr="0073707C" w:rsidRDefault="00AE46F4" w:rsidP="00C84ADA">
      <w:pPr>
        <w:pStyle w:val="SingleTxtGA"/>
        <w:rPr>
          <w:rFonts w:hint="cs"/>
          <w:rtl/>
        </w:rPr>
      </w:pPr>
      <w:r>
        <w:rPr>
          <w:rFonts w:hint="cs"/>
          <w:rtl/>
        </w:rPr>
        <w:t>66</w:t>
      </w:r>
      <w:r w:rsidR="00C84ADA">
        <w:rPr>
          <w:rFonts w:hint="cs"/>
          <w:rtl/>
        </w:rPr>
        <w:t>-</w:t>
      </w:r>
      <w:r>
        <w:rPr>
          <w:rFonts w:hint="cs"/>
          <w:rtl/>
        </w:rPr>
        <w:tab/>
      </w:r>
      <w:r w:rsidRPr="0073707C">
        <w:rPr>
          <w:rFonts w:hint="cs"/>
          <w:rtl/>
        </w:rPr>
        <w:t>تتمثل أبرز الإضافات التي جاء بها هذا القانون في:</w:t>
      </w:r>
    </w:p>
    <w:p w:rsidR="00AE46F4" w:rsidRDefault="00AE46F4" w:rsidP="00C84ADA">
      <w:pPr>
        <w:pStyle w:val="Bullet1GA"/>
        <w:tabs>
          <w:tab w:val="clear" w:pos="2041"/>
          <w:tab w:val="left" w:pos="2499"/>
        </w:tabs>
        <w:bidi/>
        <w:ind w:left="2499" w:hanging="532"/>
        <w:rPr>
          <w:rFonts w:hint="cs"/>
          <w:rtl/>
          <w:lang w:bidi="ar-TN"/>
        </w:rPr>
      </w:pPr>
      <w:r w:rsidRPr="009670E4">
        <w:rPr>
          <w:rFonts w:hint="cs"/>
          <w:rtl/>
          <w:lang w:bidi="ar-TN"/>
        </w:rPr>
        <w:t>مراجعة آجال استرداد الحقوق لدى لجنة العفو</w:t>
      </w:r>
      <w:r w:rsidRPr="0073707C">
        <w:rPr>
          <w:rFonts w:hint="cs"/>
          <w:rtl/>
          <w:lang w:bidi="ar-TN"/>
        </w:rPr>
        <w:t xml:space="preserve"> ذلك أنّ القانون القديم كان يشترط لكي يتسنى للمحكوم عليه تقديم مطلب إلى لجنة العفو لاسترداد حقوقه مضيّ أجال تتراوح بين عام وثلاثة أعوام حسبما إذا كان العقاب المحكوم به جناحيا أو جنائيا.</w:t>
      </w:r>
      <w:r w:rsidRPr="008423CE">
        <w:rPr>
          <w:rFonts w:hint="cs"/>
          <w:rtl/>
          <w:lang w:bidi="ar-TN"/>
        </w:rPr>
        <w:t xml:space="preserve"> </w:t>
      </w:r>
      <w:r>
        <w:rPr>
          <w:rFonts w:hint="cs"/>
          <w:rtl/>
          <w:lang w:bidi="ar-TN"/>
        </w:rPr>
        <w:t>و</w:t>
      </w:r>
      <w:r w:rsidRPr="0073707C">
        <w:rPr>
          <w:rFonts w:hint="cs"/>
          <w:rtl/>
          <w:lang w:bidi="ar-TN"/>
        </w:rPr>
        <w:t>لا شك أنّ مثل هذه الآجال تعتبر طويلة بما يعيق فرص الالتحاق بسوق الشّغل ودوائر الإنتاج، لذلك تضمّن القانون الجديد النزول بالأجل المشترط من عام واحد إلى ستة أشهر إذا كان العقاب جناحيا ومن ثلاثة أعوام إلى سنتين فقط إذا كان العقاب المحكوم به جنائيا</w:t>
      </w:r>
      <w:r w:rsidR="00C84ADA">
        <w:rPr>
          <w:rFonts w:hint="cs"/>
          <w:rtl/>
          <w:lang w:bidi="ar-TN"/>
        </w:rPr>
        <w:t>ً</w:t>
      </w:r>
      <w:r>
        <w:rPr>
          <w:rFonts w:hint="cs"/>
          <w:rtl/>
          <w:lang w:bidi="ar-TN"/>
        </w:rPr>
        <w:t>.</w:t>
      </w:r>
    </w:p>
    <w:p w:rsidR="00AE46F4" w:rsidRPr="0073707C" w:rsidRDefault="00AE46F4" w:rsidP="00C84ADA">
      <w:pPr>
        <w:pStyle w:val="SingleTxtGA"/>
        <w:rPr>
          <w:rFonts w:hint="cs"/>
          <w:lang w:bidi="ar-TN"/>
        </w:rPr>
      </w:pPr>
      <w:r w:rsidRPr="00245CB9">
        <w:rPr>
          <w:rFonts w:hint="cs"/>
          <w:rtl/>
          <w:lang w:bidi="ar-TN"/>
        </w:rPr>
        <w:t>67</w:t>
      </w:r>
      <w:r w:rsidR="00C84ADA">
        <w:rPr>
          <w:rFonts w:hint="cs"/>
          <w:rtl/>
          <w:lang w:bidi="ar-TN"/>
        </w:rPr>
        <w:t>-</w:t>
      </w:r>
      <w:r>
        <w:rPr>
          <w:rFonts w:hint="cs"/>
          <w:rtl/>
          <w:lang w:bidi="ar-TN"/>
        </w:rPr>
        <w:tab/>
      </w:r>
      <w:r w:rsidRPr="009670E4">
        <w:rPr>
          <w:rFonts w:hint="cs"/>
          <w:rtl/>
          <w:lang w:bidi="ar-TN"/>
        </w:rPr>
        <w:t>مراجعة آجال استرداد الحقوق الآلي</w:t>
      </w:r>
      <w:r w:rsidRPr="0073707C">
        <w:rPr>
          <w:rFonts w:hint="cs"/>
          <w:b/>
          <w:bCs/>
          <w:rtl/>
          <w:lang w:bidi="ar-TN"/>
        </w:rPr>
        <w:t xml:space="preserve"> </w:t>
      </w:r>
      <w:r w:rsidRPr="0073707C">
        <w:rPr>
          <w:rFonts w:hint="cs"/>
          <w:rtl/>
          <w:lang w:bidi="ar-TN"/>
        </w:rPr>
        <w:t>ذلك أن القانون القديم كان</w:t>
      </w:r>
      <w:r w:rsidRPr="0073707C">
        <w:rPr>
          <w:rFonts w:hint="cs"/>
          <w:b/>
          <w:bCs/>
          <w:rtl/>
          <w:lang w:bidi="ar-TN"/>
        </w:rPr>
        <w:t xml:space="preserve"> </w:t>
      </w:r>
      <w:r w:rsidRPr="0073707C">
        <w:rPr>
          <w:rFonts w:hint="cs"/>
          <w:rtl/>
          <w:lang w:bidi="ar-TN"/>
        </w:rPr>
        <w:t>يشترط بالنّسبة لاسترداد الحقوق الممنوح آليا عدم محاكمة المحكوم عليه في جناية أو جنحة خلال آجال تم ضبطها بالنسبة للعقوبات المالية بثلاثة أعوام من تاريخ دفع الخطية أو انقضاء مدة الجبر بالسجن المقررة بشأنها أو سقوطها بمرور الزمن، وبخمسة أعوام بالنسبة للعقوبات السالبة للحرية إذا كان الحكم صادرا في المادة الجناحية وبعشرة أعوام إذا كان العقاب المحكوم به جنائيا وتجري هذه الآجال من تاريخ قضاء العقاب بالسجن أو سقوطه بمرور الزمن.</w:t>
      </w:r>
    </w:p>
    <w:p w:rsidR="00AE46F4" w:rsidRPr="00C84ADA" w:rsidRDefault="00AE46F4" w:rsidP="00C84ADA">
      <w:pPr>
        <w:pStyle w:val="SingleTxtGA"/>
        <w:rPr>
          <w:spacing w:val="-2"/>
          <w:lang w:val="fr-FR" w:bidi="ar-TN"/>
        </w:rPr>
      </w:pPr>
      <w:r w:rsidRPr="00C84ADA">
        <w:rPr>
          <w:rFonts w:hint="cs"/>
          <w:spacing w:val="-2"/>
          <w:rtl/>
          <w:lang w:bidi="ar-TN"/>
        </w:rPr>
        <w:t>68</w:t>
      </w:r>
      <w:r w:rsidR="00C84ADA" w:rsidRPr="00C84ADA">
        <w:rPr>
          <w:rFonts w:hint="cs"/>
          <w:spacing w:val="-2"/>
          <w:rtl/>
          <w:lang w:bidi="ar-TN"/>
        </w:rPr>
        <w:t>-</w:t>
      </w:r>
      <w:r w:rsidRPr="00C84ADA">
        <w:rPr>
          <w:rFonts w:hint="cs"/>
          <w:spacing w:val="-2"/>
          <w:rtl/>
          <w:lang w:bidi="ar-TN"/>
        </w:rPr>
        <w:tab/>
        <w:t>ونظرا</w:t>
      </w:r>
      <w:r w:rsidR="00C84ADA" w:rsidRPr="00C84ADA">
        <w:rPr>
          <w:rFonts w:hint="cs"/>
          <w:spacing w:val="-2"/>
          <w:rtl/>
          <w:lang w:bidi="ar-TN"/>
        </w:rPr>
        <w:t>ً</w:t>
      </w:r>
      <w:r w:rsidRPr="00C84ADA">
        <w:rPr>
          <w:rFonts w:hint="cs"/>
          <w:spacing w:val="-2"/>
          <w:rtl/>
          <w:lang w:bidi="ar-TN"/>
        </w:rPr>
        <w:t xml:space="preserve"> لما يمكن أن يوفره التخفيض في آجال استرداد الحقوق من مزايا تنعكس بصفة إيجابية على إعادة إدماج المحكوم عليهم من خلال فتح آفاق الشغل أمامهم في أسرع وقت ممكن، فقد تضمن هذا القانون الجديد النزول بخصوص العقاب بالخطية من ثلاثة أعوام إلى عام واحد والنزول بالأجل بالنسبة للعقاب بالسجن بسبب جنحة من خمسة أعوام إلى عامين اثنين والنزول بالأجل بالنسبة للعقاب بالسجن بسبب جناية من عشرة أعوام إلى خمسة أعوام. </w:t>
      </w:r>
    </w:p>
    <w:p w:rsidR="00AE46F4" w:rsidRPr="0073707C" w:rsidRDefault="00C84ADA" w:rsidP="00C84ADA">
      <w:pPr>
        <w:pStyle w:val="H23GA"/>
        <w:rPr>
          <w:rFonts w:hint="cs"/>
          <w:rtl/>
        </w:rPr>
      </w:pPr>
      <w:r>
        <w:rPr>
          <w:rFonts w:hint="cs"/>
          <w:rtl/>
        </w:rPr>
        <w:tab/>
      </w:r>
      <w:r>
        <w:rPr>
          <w:rFonts w:hint="cs"/>
          <w:rtl/>
        </w:rPr>
        <w:tab/>
      </w:r>
      <w:r w:rsidR="00AE46F4" w:rsidRPr="0073707C">
        <w:rPr>
          <w:rFonts w:hint="cs"/>
          <w:rtl/>
        </w:rPr>
        <w:t>القانو</w:t>
      </w:r>
      <w:r w:rsidR="00AE46F4" w:rsidRPr="0073707C">
        <w:rPr>
          <w:rFonts w:hint="eastAsia"/>
          <w:rtl/>
        </w:rPr>
        <w:t>ن</w:t>
      </w:r>
      <w:r w:rsidR="00AE46F4">
        <w:rPr>
          <w:rFonts w:hint="cs"/>
          <w:rtl/>
        </w:rPr>
        <w:t xml:space="preserve"> رقم 68</w:t>
      </w:r>
      <w:r w:rsidR="00AE46F4" w:rsidRPr="0073707C">
        <w:rPr>
          <w:rFonts w:hint="cs"/>
          <w:rtl/>
        </w:rPr>
        <w:t xml:space="preserve"> </w:t>
      </w:r>
      <w:r w:rsidR="00AE46F4">
        <w:rPr>
          <w:rFonts w:hint="cs"/>
          <w:rtl/>
        </w:rPr>
        <w:t>لعام</w:t>
      </w:r>
      <w:r w:rsidR="00AE46F4" w:rsidRPr="0073707C">
        <w:rPr>
          <w:rFonts w:hint="cs"/>
          <w:rtl/>
        </w:rPr>
        <w:t xml:space="preserve"> 2009 المؤرّخ </w:t>
      </w:r>
      <w:r w:rsidR="00AE46F4">
        <w:rPr>
          <w:rFonts w:hint="cs"/>
          <w:rtl/>
        </w:rPr>
        <w:t>12 آب/أغسطس</w:t>
      </w:r>
      <w:r w:rsidR="00AE46F4" w:rsidRPr="0073707C">
        <w:rPr>
          <w:rFonts w:hint="cs"/>
          <w:rtl/>
        </w:rPr>
        <w:t xml:space="preserve"> 2009 المتعلق بإرساء عقوبة التعويض الجزائي وبتطوير الآليات البديلة للسجن</w:t>
      </w:r>
    </w:p>
    <w:p w:rsidR="00AE46F4" w:rsidRPr="0073707C" w:rsidRDefault="00AE46F4" w:rsidP="00C84ADA">
      <w:pPr>
        <w:pStyle w:val="SingleTxtGA"/>
      </w:pPr>
      <w:r>
        <w:rPr>
          <w:rFonts w:hint="cs"/>
          <w:rtl/>
        </w:rPr>
        <w:t>69</w:t>
      </w:r>
      <w:r w:rsidR="00C84ADA">
        <w:rPr>
          <w:rFonts w:hint="cs"/>
          <w:rtl/>
        </w:rPr>
        <w:t>-</w:t>
      </w:r>
      <w:r>
        <w:rPr>
          <w:rFonts w:hint="cs"/>
          <w:rtl/>
        </w:rPr>
        <w:tab/>
      </w:r>
      <w:r w:rsidRPr="0073707C">
        <w:rPr>
          <w:rFonts w:hint="cs"/>
          <w:rtl/>
        </w:rPr>
        <w:t>تضمّن هذا القانون الجديد</w:t>
      </w:r>
      <w:r w:rsidRPr="0073707C">
        <w:rPr>
          <w:rtl/>
        </w:rPr>
        <w:t xml:space="preserve"> </w:t>
      </w:r>
      <w:r w:rsidRPr="0073707C">
        <w:rPr>
          <w:rFonts w:hint="cs"/>
          <w:rtl/>
        </w:rPr>
        <w:t xml:space="preserve">أنه </w:t>
      </w:r>
      <w:r w:rsidRPr="0073707C">
        <w:rPr>
          <w:rtl/>
        </w:rPr>
        <w:t>بإمكان المحكمة بالنسبة إلى المخالفات والجنح البسيطة التي تستوجب تسليط عقوبات بالسجن قصيرة المدة أن تستبدل عقوبة السجن التي تقضي بها بإلزام المحكوم عليه بأداء تعويض للمتضرر من الجريمة في أجل معين على أن ت</w:t>
      </w:r>
      <w:r w:rsidRPr="0073707C">
        <w:rPr>
          <w:rFonts w:hint="cs"/>
          <w:rtl/>
        </w:rPr>
        <w:t>ُ</w:t>
      </w:r>
      <w:r w:rsidRPr="0073707C">
        <w:rPr>
          <w:rtl/>
        </w:rPr>
        <w:t>ق</w:t>
      </w:r>
      <w:r w:rsidRPr="0073707C">
        <w:rPr>
          <w:rFonts w:hint="cs"/>
          <w:rtl/>
        </w:rPr>
        <w:t>ِ</w:t>
      </w:r>
      <w:r w:rsidRPr="0073707C">
        <w:rPr>
          <w:rtl/>
        </w:rPr>
        <w:t>ر السجن إذا لم يحصل التعويض خلال ذلك الأجل.</w:t>
      </w:r>
    </w:p>
    <w:p w:rsidR="00AE46F4" w:rsidRPr="0073707C" w:rsidRDefault="00AE46F4" w:rsidP="00C84ADA">
      <w:pPr>
        <w:pStyle w:val="SingleTxtGA"/>
        <w:rPr>
          <w:rFonts w:hint="cs"/>
          <w:rtl/>
        </w:rPr>
      </w:pPr>
      <w:r>
        <w:rPr>
          <w:rFonts w:hint="cs"/>
          <w:rtl/>
        </w:rPr>
        <w:t>70</w:t>
      </w:r>
      <w:r w:rsidR="00C84ADA">
        <w:rPr>
          <w:rFonts w:hint="cs"/>
          <w:rtl/>
        </w:rPr>
        <w:t>-</w:t>
      </w:r>
      <w:r>
        <w:rPr>
          <w:rFonts w:hint="cs"/>
          <w:rtl/>
        </w:rPr>
        <w:tab/>
      </w:r>
      <w:r w:rsidRPr="0073707C">
        <w:rPr>
          <w:rFonts w:hint="cs"/>
          <w:rtl/>
        </w:rPr>
        <w:t>وتُعتبر عقوبة التعويض الجزائي عقوبة بديلة للسجن في مادتي المخالفات والجنح التي يترتب عنها ضرر شخصي ومباشر للمتضرر والتي تستوجب تسليط عقوبات بالسجن قصيرة المدّة لا تتجاوز ستة أشهر، يتعذّر خلالها تنفيذ برامج الإصلاح والتأهيل المناسب للمحكوم عليه بما من شأنه أن يحدّ من الأهداف الإصلاحية للعقوبة السالبة للحرية ويفتح المجال للمحكوم عليه للانخراط في مسالك الانحراف.</w:t>
      </w:r>
    </w:p>
    <w:p w:rsidR="00AE46F4" w:rsidRPr="0073707C" w:rsidRDefault="00C84ADA" w:rsidP="00C84ADA">
      <w:pPr>
        <w:pStyle w:val="SingleTxtGA"/>
      </w:pPr>
      <w:r>
        <w:rPr>
          <w:rFonts w:hint="cs"/>
          <w:rtl/>
        </w:rPr>
        <w:t>71-</w:t>
      </w:r>
      <w:r w:rsidR="00AE46F4">
        <w:rPr>
          <w:rFonts w:hint="cs"/>
          <w:rtl/>
        </w:rPr>
        <w:tab/>
      </w:r>
      <w:r w:rsidR="00AE46F4" w:rsidRPr="0073707C">
        <w:rPr>
          <w:rFonts w:hint="cs"/>
          <w:rtl/>
        </w:rPr>
        <w:t>كما تسمح عقوبة التعويض الجزائي للمحكمة عند البت في القضية بحماية حقوق المتضرر من خلال إلزام المحكوم عليه بالتعويض الجزائي الذي لا يمكن أن يقل مبلغه عن عشرين دينارا ولا أن يتجاوز خمسة آلاف دينار وإن تعدد المتضررون.</w:t>
      </w:r>
    </w:p>
    <w:p w:rsidR="00AE46F4" w:rsidRPr="0073707C" w:rsidRDefault="00C84ADA" w:rsidP="00C84ADA">
      <w:pPr>
        <w:pStyle w:val="SingleTxtGA"/>
        <w:rPr>
          <w:rFonts w:hint="cs"/>
          <w:rtl/>
        </w:rPr>
      </w:pPr>
      <w:r>
        <w:rPr>
          <w:rFonts w:hint="cs"/>
          <w:rtl/>
        </w:rPr>
        <w:t>72-</w:t>
      </w:r>
      <w:r w:rsidR="00AE46F4">
        <w:rPr>
          <w:rFonts w:hint="cs"/>
          <w:rtl/>
        </w:rPr>
        <w:tab/>
      </w:r>
      <w:r w:rsidR="00AE46F4" w:rsidRPr="0073707C">
        <w:rPr>
          <w:rFonts w:hint="cs"/>
          <w:rtl/>
        </w:rPr>
        <w:t>وحرصا على الموازنة بين مصلحة المتضرر ومصلحة المتهم ومصلحة المجتمع تم استثناء الجرائم التي تتجاوز فيها مدة العقوبة السالبة للحرية المحكوم بها ستة أشهر وكذلك الجرائم التي تكتسي بطبيعتها خطورة على المجتمع ولا يمحى أثرها بالتعويض، كما تم استثناء بعض الجرائم من مجال التعويض الجزائي وإن أمكن الحكم فيها بالسجن لمدة تقل عن ستة أشه</w:t>
      </w:r>
      <w:r w:rsidR="00AE46F4" w:rsidRPr="0073707C">
        <w:rPr>
          <w:rtl/>
        </w:rPr>
        <w:t>ر</w:t>
      </w:r>
      <w:r w:rsidR="00AE46F4" w:rsidRPr="0073707C">
        <w:rPr>
          <w:rFonts w:hint="cs"/>
          <w:rtl/>
        </w:rPr>
        <w:t xml:space="preserve"> وذلك اعتبارا لخطورتها </w:t>
      </w:r>
      <w:r w:rsidR="00AE46F4">
        <w:rPr>
          <w:rFonts w:hint="cs"/>
          <w:rtl/>
        </w:rPr>
        <w:t>ك</w:t>
      </w:r>
      <w:r w:rsidR="00AE46F4" w:rsidRPr="0073707C">
        <w:rPr>
          <w:rFonts w:hint="cs"/>
          <w:rtl/>
        </w:rPr>
        <w:t>جرائم الارتشاء أو لصفة المجني عليه مثل الجرائم المرتكبة ضد القصر وكذلك الجرائم التي خصها المشرع بأنظمة قانونية متميّزة مثل القتل والجرح إثر ح</w:t>
      </w:r>
      <w:r w:rsidR="00AE46F4">
        <w:rPr>
          <w:rFonts w:hint="cs"/>
          <w:rtl/>
        </w:rPr>
        <w:t>ادث مرور وجرائم الشيك دون رصيد.</w:t>
      </w:r>
    </w:p>
    <w:p w:rsidR="00AE46F4" w:rsidRPr="00C84ADA" w:rsidRDefault="00C84ADA" w:rsidP="00C84ADA">
      <w:pPr>
        <w:pStyle w:val="SingleTxtGA"/>
        <w:rPr>
          <w:rFonts w:hint="cs"/>
          <w:spacing w:val="-2"/>
          <w:rtl/>
        </w:rPr>
      </w:pPr>
      <w:r w:rsidRPr="00C84ADA">
        <w:rPr>
          <w:rFonts w:hint="cs"/>
          <w:spacing w:val="-2"/>
          <w:rtl/>
        </w:rPr>
        <w:t>73-</w:t>
      </w:r>
      <w:r w:rsidR="00AE46F4" w:rsidRPr="00C84ADA">
        <w:rPr>
          <w:rFonts w:hint="cs"/>
          <w:spacing w:val="-2"/>
          <w:rtl/>
        </w:rPr>
        <w:tab/>
        <w:t>ويتم الإدلاء سواء من قبل المتهم أو نائبه أو أصوله أو فروعه أو قرينه لدى ممثل النيابة العمومية بالمحكمة التي أصدرت الحكم القاضي بعقوبة التعويض الجزائي بكتب ثابت التاريخ يثبت تنفيذ العقوبة أو تأمين المبلغ المحكوم به بعنوان تعويض جزائي في أجل الثلاثة أشهر.</w:t>
      </w:r>
    </w:p>
    <w:p w:rsidR="00AE46F4" w:rsidRPr="0073707C" w:rsidRDefault="00C84ADA" w:rsidP="00C84ADA">
      <w:pPr>
        <w:pStyle w:val="SingleTxtGA"/>
        <w:rPr>
          <w:rFonts w:hint="cs"/>
          <w:rtl/>
        </w:rPr>
      </w:pPr>
      <w:r>
        <w:rPr>
          <w:rFonts w:hint="cs"/>
          <w:rtl/>
        </w:rPr>
        <w:t>74-</w:t>
      </w:r>
      <w:r w:rsidR="00AE46F4">
        <w:rPr>
          <w:rFonts w:hint="cs"/>
          <w:rtl/>
        </w:rPr>
        <w:tab/>
      </w:r>
      <w:r w:rsidR="00AE46F4" w:rsidRPr="0073707C">
        <w:rPr>
          <w:rFonts w:hint="cs"/>
          <w:rtl/>
        </w:rPr>
        <w:t>أمّا إذا امتنع المحكوم عليه عن تنفيذ عقوبة التعويض الجزائي أو تأمين المبلغ المحكوم به بعنوان تعويض جزائي في أجل لا يتجاوز ثلاثة أشهر من تاريخ انقضاء آجال الطعن بالاستئناف في الحكم الابتدائي أو من تاريخ صدور الحكم نهائي الدرجة</w:t>
      </w:r>
      <w:r w:rsidR="00AE46F4">
        <w:rPr>
          <w:rFonts w:hint="cs"/>
          <w:rtl/>
        </w:rPr>
        <w:t>،</w:t>
      </w:r>
      <w:r w:rsidR="00AE46F4" w:rsidRPr="0073707C">
        <w:rPr>
          <w:rFonts w:hint="cs"/>
          <w:rtl/>
        </w:rPr>
        <w:t xml:space="preserve"> فتتولى النيابة العمومية مباشرة إجراءات تنفيذ عقوبة السجن المحكوم بها أصالة.</w:t>
      </w:r>
    </w:p>
    <w:p w:rsidR="00AE46F4" w:rsidRPr="0073707C" w:rsidRDefault="00C84ADA" w:rsidP="00C84ADA">
      <w:pPr>
        <w:pStyle w:val="SingleTxtGA"/>
        <w:rPr>
          <w:rFonts w:hint="cs"/>
          <w:rtl/>
        </w:rPr>
      </w:pPr>
      <w:r>
        <w:rPr>
          <w:rFonts w:hint="cs"/>
          <w:rtl/>
        </w:rPr>
        <w:t>75-</w:t>
      </w:r>
      <w:r w:rsidR="00AE46F4">
        <w:rPr>
          <w:rFonts w:hint="cs"/>
          <w:rtl/>
        </w:rPr>
        <w:tab/>
      </w:r>
      <w:r w:rsidR="00AE46F4" w:rsidRPr="0073707C">
        <w:rPr>
          <w:rFonts w:hint="cs"/>
          <w:rtl/>
        </w:rPr>
        <w:t>ويترتب عن تنفيذ عقوبة التعويض الجزائي في الأجل القانوني سقوط عقوبة السجن المحكوم بها.</w:t>
      </w:r>
    </w:p>
    <w:p w:rsidR="008B4BC6" w:rsidRDefault="00C84ADA" w:rsidP="00C84ADA">
      <w:pPr>
        <w:pStyle w:val="SingleTxtGA"/>
        <w:rPr>
          <w:rFonts w:hint="cs"/>
          <w:rtl/>
        </w:rPr>
      </w:pPr>
      <w:r>
        <w:rPr>
          <w:rFonts w:hint="cs"/>
          <w:rtl/>
        </w:rPr>
        <w:t>76-</w:t>
      </w:r>
      <w:r w:rsidR="00AE46F4">
        <w:rPr>
          <w:rFonts w:hint="cs"/>
          <w:rtl/>
        </w:rPr>
        <w:tab/>
      </w:r>
      <w:r w:rsidR="00AE46F4" w:rsidRPr="0073707C">
        <w:rPr>
          <w:rFonts w:hint="cs"/>
          <w:rtl/>
        </w:rPr>
        <w:t>وإذ تقدم تونس هذه المعلومات الإضافية للجنة المعنية بحقوق الإنسان، فإنها تجدد استعدادها بأن تمدها بمعلومات أخرى في تقريرها</w:t>
      </w:r>
      <w:r w:rsidR="00AE46F4">
        <w:rPr>
          <w:rFonts w:hint="cs"/>
          <w:rtl/>
        </w:rPr>
        <w:t xml:space="preserve"> الدوري </w:t>
      </w:r>
      <w:r w:rsidR="00AE46F4" w:rsidRPr="0073707C">
        <w:rPr>
          <w:rFonts w:hint="cs"/>
          <w:rtl/>
        </w:rPr>
        <w:t>المقبل</w:t>
      </w:r>
      <w:r w:rsidR="00AE46F4">
        <w:rPr>
          <w:rFonts w:hint="cs"/>
          <w:rtl/>
        </w:rPr>
        <w:t>.</w:t>
      </w:r>
    </w:p>
    <w:p w:rsidR="00C84ADA" w:rsidRPr="00C84ADA" w:rsidRDefault="00C84ADA" w:rsidP="00C84ADA">
      <w:pPr>
        <w:spacing w:before="120"/>
        <w:jc w:val="center"/>
        <w:rPr>
          <w:rFonts w:hint="cs"/>
          <w:u w:val="single"/>
          <w:rtl/>
        </w:rPr>
      </w:pPr>
      <w:r>
        <w:rPr>
          <w:u w:val="single"/>
          <w:rtl/>
        </w:rPr>
        <w:tab/>
      </w:r>
      <w:r>
        <w:rPr>
          <w:u w:val="single"/>
          <w:rtl/>
        </w:rPr>
        <w:tab/>
      </w:r>
      <w:r>
        <w:rPr>
          <w:u w:val="single"/>
          <w:rtl/>
        </w:rPr>
        <w:tab/>
      </w:r>
    </w:p>
    <w:sectPr w:rsidR="00C84ADA" w:rsidRPr="00C84ADA"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A88" w:rsidRPr="00FE6865" w:rsidRDefault="00EA4A88" w:rsidP="00FE6865">
      <w:pPr>
        <w:pStyle w:val="Footer"/>
      </w:pPr>
    </w:p>
  </w:endnote>
  <w:endnote w:type="continuationSeparator" w:id="0">
    <w:p w:rsidR="00EA4A88" w:rsidRDefault="00EA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0C" w:rsidRPr="00AE46F4" w:rsidRDefault="0040540C" w:rsidP="00AE46F4">
    <w:pPr>
      <w:pStyle w:val="Footer"/>
      <w:tabs>
        <w:tab w:val="right" w:pos="9598"/>
      </w:tabs>
    </w:pPr>
    <w:r>
      <w:t>GE.10-42046</w:t>
    </w:r>
    <w:r>
      <w:tab/>
    </w:r>
    <w:r w:rsidRPr="00AE46F4">
      <w:rPr>
        <w:b/>
        <w:sz w:val="18"/>
      </w:rPr>
      <w:fldChar w:fldCharType="begin"/>
    </w:r>
    <w:r w:rsidRPr="00AE46F4">
      <w:rPr>
        <w:b/>
        <w:sz w:val="18"/>
      </w:rPr>
      <w:instrText xml:space="preserve"> PAGE  \* MERGEFORMAT </w:instrText>
    </w:r>
    <w:r w:rsidRPr="00AE46F4">
      <w:rPr>
        <w:b/>
        <w:sz w:val="18"/>
      </w:rPr>
      <w:fldChar w:fldCharType="separate"/>
    </w:r>
    <w:r w:rsidR="000D1177">
      <w:rPr>
        <w:b/>
        <w:noProof/>
        <w:sz w:val="18"/>
      </w:rPr>
      <w:t>2</w:t>
    </w:r>
    <w:r w:rsidRPr="00AE46F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0C" w:rsidRPr="00AE46F4" w:rsidRDefault="0040540C" w:rsidP="00AE46F4">
    <w:pPr>
      <w:pStyle w:val="Footer"/>
      <w:tabs>
        <w:tab w:val="right" w:pos="9598"/>
      </w:tabs>
      <w:rPr>
        <w:b/>
        <w:sz w:val="18"/>
      </w:rPr>
    </w:pPr>
    <w:r w:rsidRPr="00AE46F4">
      <w:rPr>
        <w:b/>
        <w:sz w:val="18"/>
      </w:rPr>
      <w:fldChar w:fldCharType="begin"/>
    </w:r>
    <w:r w:rsidRPr="00AE46F4">
      <w:rPr>
        <w:b/>
        <w:sz w:val="18"/>
      </w:rPr>
      <w:instrText xml:space="preserve"> PAGE  \* MERGEFORMAT </w:instrText>
    </w:r>
    <w:r w:rsidRPr="00AE46F4">
      <w:rPr>
        <w:b/>
        <w:sz w:val="18"/>
      </w:rPr>
      <w:fldChar w:fldCharType="separate"/>
    </w:r>
    <w:r w:rsidR="000D1177">
      <w:rPr>
        <w:b/>
        <w:noProof/>
        <w:sz w:val="18"/>
      </w:rPr>
      <w:t>17</w:t>
    </w:r>
    <w:r w:rsidRPr="00AE46F4">
      <w:rPr>
        <w:b/>
        <w:sz w:val="18"/>
      </w:rPr>
      <w:fldChar w:fldCharType="end"/>
    </w:r>
    <w:r>
      <w:rPr>
        <w:b/>
        <w:sz w:val="18"/>
      </w:rPr>
      <w:tab/>
    </w:r>
    <w:r>
      <w:t>GE.10-42046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0C" w:rsidRDefault="0040540C" w:rsidP="00AE46F4">
    <w:pPr>
      <w:pStyle w:val="Footer"/>
      <w:jc w:val="right"/>
    </w:pPr>
    <w:r>
      <w:rPr>
        <w:sz w:val="20"/>
      </w:rPr>
      <w:t>(A)   GE.10-42046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C84ADA">
      <w:rPr>
        <w:sz w:val="20"/>
      </w:rPr>
      <w:t xml:space="preserve">    060510    070510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A88" w:rsidRDefault="00EA4A88" w:rsidP="007E4686">
      <w:pPr>
        <w:pStyle w:val="Footer"/>
        <w:bidi/>
        <w:spacing w:after="80" w:line="200" w:lineRule="exact"/>
        <w:ind w:left="680"/>
      </w:pPr>
      <w:r>
        <w:rPr>
          <w:rFonts w:hint="cs"/>
          <w:rtl/>
        </w:rPr>
        <w:t>__________</w:t>
      </w:r>
    </w:p>
  </w:footnote>
  <w:footnote w:type="continuationSeparator" w:id="0">
    <w:p w:rsidR="00EA4A88" w:rsidRDefault="00EA4A88" w:rsidP="007E4686">
      <w:pPr>
        <w:pStyle w:val="Footer"/>
        <w:bidi/>
        <w:spacing w:after="80" w:line="200" w:lineRule="exact"/>
        <w:ind w:left="680"/>
      </w:pPr>
      <w:r>
        <w:rPr>
          <w:rFonts w:hint="cs"/>
          <w:rtl/>
        </w:rPr>
        <w:t>__________</w:t>
      </w:r>
    </w:p>
  </w:footnote>
  <w:footnote w:id="1">
    <w:p w:rsidR="0040540C" w:rsidRPr="00AE46F4" w:rsidRDefault="0040540C" w:rsidP="00AE46F4">
      <w:pPr>
        <w:pStyle w:val="footnoteText0"/>
        <w:rPr>
          <w:rFonts w:hint="cs"/>
          <w:rtl/>
        </w:rPr>
      </w:pPr>
      <w:r>
        <w:rPr>
          <w:rtl/>
        </w:rPr>
        <w:tab/>
      </w:r>
      <w:r w:rsidRPr="00AE46F4">
        <w:rPr>
          <w:rStyle w:val="FootnoteReference"/>
          <w:sz w:val="20"/>
          <w:vertAlign w:val="baseline"/>
          <w:rtl/>
        </w:rPr>
        <w:t>*</w:t>
      </w:r>
      <w:r>
        <w:rPr>
          <w:rtl/>
        </w:rPr>
        <w:tab/>
      </w:r>
      <w:r>
        <w:rPr>
          <w:rFonts w:hint="cs"/>
          <w:rtl/>
        </w:rPr>
        <w:t>وفقاً للمعلومات المُحالة إلى الدول الأطراف بشأن تجهيز تقاريرها، لم تُحرَّر هذه الوثيقة قبل إرسالها إلى دوائر الترجمة في الأمم المتحدة.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0C" w:rsidRPr="00AE46F4" w:rsidRDefault="0040540C" w:rsidP="00AE46F4">
    <w:pPr>
      <w:pStyle w:val="Header"/>
      <w:jc w:val="right"/>
    </w:pPr>
    <w:r w:rsidRPr="00AE46F4">
      <w:t>CCPR/C/TUN/CO/5/Add.2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0C" w:rsidRPr="00AE46F4" w:rsidRDefault="0040540C" w:rsidP="00AE46F4">
    <w:pPr>
      <w:pStyle w:val="Header"/>
      <w:jc w:val="left"/>
    </w:pPr>
    <w:r w:rsidRPr="00AE46F4">
      <w:t>CCPR/C/TUN/CO/5/Add.2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0C" w:rsidRDefault="0040540C"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40540C" w:rsidRPr="008F6743" w:rsidRDefault="0040540C"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32B"/>
    <w:rsid w:val="00040E25"/>
    <w:rsid w:val="00042149"/>
    <w:rsid w:val="000648EA"/>
    <w:rsid w:val="000957C8"/>
    <w:rsid w:val="00097049"/>
    <w:rsid w:val="000A04D5"/>
    <w:rsid w:val="000B354C"/>
    <w:rsid w:val="000B52F2"/>
    <w:rsid w:val="000D0EAE"/>
    <w:rsid w:val="000D1177"/>
    <w:rsid w:val="000D5380"/>
    <w:rsid w:val="000D6654"/>
    <w:rsid w:val="000E103D"/>
    <w:rsid w:val="000F0264"/>
    <w:rsid w:val="000F2EBF"/>
    <w:rsid w:val="000F3A9F"/>
    <w:rsid w:val="000F5FF6"/>
    <w:rsid w:val="001022B5"/>
    <w:rsid w:val="00113FA5"/>
    <w:rsid w:val="001455A0"/>
    <w:rsid w:val="001602A3"/>
    <w:rsid w:val="001A5161"/>
    <w:rsid w:val="001A60BD"/>
    <w:rsid w:val="001C6D53"/>
    <w:rsid w:val="00232277"/>
    <w:rsid w:val="0023736D"/>
    <w:rsid w:val="00257225"/>
    <w:rsid w:val="00310160"/>
    <w:rsid w:val="00341A8C"/>
    <w:rsid w:val="003519E6"/>
    <w:rsid w:val="00355F81"/>
    <w:rsid w:val="003B3E31"/>
    <w:rsid w:val="003B4356"/>
    <w:rsid w:val="003F08A8"/>
    <w:rsid w:val="0040540C"/>
    <w:rsid w:val="004250E3"/>
    <w:rsid w:val="00472A81"/>
    <w:rsid w:val="004A20A6"/>
    <w:rsid w:val="004B2C92"/>
    <w:rsid w:val="004D6A3A"/>
    <w:rsid w:val="004F4AD7"/>
    <w:rsid w:val="004F601E"/>
    <w:rsid w:val="00557CD3"/>
    <w:rsid w:val="00571432"/>
    <w:rsid w:val="005732A2"/>
    <w:rsid w:val="005762A5"/>
    <w:rsid w:val="00590BA3"/>
    <w:rsid w:val="005B46D9"/>
    <w:rsid w:val="005B7AE0"/>
    <w:rsid w:val="005E23F5"/>
    <w:rsid w:val="005F146F"/>
    <w:rsid w:val="005F71B6"/>
    <w:rsid w:val="00621396"/>
    <w:rsid w:val="00645854"/>
    <w:rsid w:val="00654786"/>
    <w:rsid w:val="00660FD4"/>
    <w:rsid w:val="00665BE4"/>
    <w:rsid w:val="006A4425"/>
    <w:rsid w:val="006B00A4"/>
    <w:rsid w:val="006B4669"/>
    <w:rsid w:val="006D3CFA"/>
    <w:rsid w:val="006F6BF8"/>
    <w:rsid w:val="00707BDF"/>
    <w:rsid w:val="00710727"/>
    <w:rsid w:val="00715F45"/>
    <w:rsid w:val="007171CF"/>
    <w:rsid w:val="0072608F"/>
    <w:rsid w:val="00731815"/>
    <w:rsid w:val="00731B84"/>
    <w:rsid w:val="00734AE7"/>
    <w:rsid w:val="0079344E"/>
    <w:rsid w:val="007967FB"/>
    <w:rsid w:val="007A540D"/>
    <w:rsid w:val="007B74CB"/>
    <w:rsid w:val="007E197F"/>
    <w:rsid w:val="007E2786"/>
    <w:rsid w:val="007E4686"/>
    <w:rsid w:val="007F68C4"/>
    <w:rsid w:val="008153DE"/>
    <w:rsid w:val="00852A10"/>
    <w:rsid w:val="00862634"/>
    <w:rsid w:val="00866C59"/>
    <w:rsid w:val="00877306"/>
    <w:rsid w:val="00885524"/>
    <w:rsid w:val="008A6242"/>
    <w:rsid w:val="008B4BC6"/>
    <w:rsid w:val="008F6743"/>
    <w:rsid w:val="00901E57"/>
    <w:rsid w:val="009070DF"/>
    <w:rsid w:val="00935F0E"/>
    <w:rsid w:val="0094366F"/>
    <w:rsid w:val="0095208F"/>
    <w:rsid w:val="00977B3F"/>
    <w:rsid w:val="009814AE"/>
    <w:rsid w:val="009901D3"/>
    <w:rsid w:val="009950AB"/>
    <w:rsid w:val="00996BBE"/>
    <w:rsid w:val="009B2C03"/>
    <w:rsid w:val="009D17B9"/>
    <w:rsid w:val="009D1DD5"/>
    <w:rsid w:val="009F722C"/>
    <w:rsid w:val="00A26157"/>
    <w:rsid w:val="00A265C3"/>
    <w:rsid w:val="00A43F9A"/>
    <w:rsid w:val="00A53F38"/>
    <w:rsid w:val="00A543D4"/>
    <w:rsid w:val="00AD0014"/>
    <w:rsid w:val="00AD4CF2"/>
    <w:rsid w:val="00AE46F4"/>
    <w:rsid w:val="00AF0BBA"/>
    <w:rsid w:val="00B25159"/>
    <w:rsid w:val="00B30468"/>
    <w:rsid w:val="00B44E31"/>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84ADA"/>
    <w:rsid w:val="00CA5F7C"/>
    <w:rsid w:val="00CC6C89"/>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A4A88"/>
    <w:rsid w:val="00EA796F"/>
    <w:rsid w:val="00EB077B"/>
    <w:rsid w:val="00EC50B9"/>
    <w:rsid w:val="00ED26A0"/>
    <w:rsid w:val="00EF032B"/>
    <w:rsid w:val="00F1727A"/>
    <w:rsid w:val="00F34764"/>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5">
    <w:name w:val="heading 5"/>
    <w:basedOn w:val="Normal"/>
    <w:next w:val="Normal"/>
    <w:qFormat/>
    <w:rsid w:val="00AE46F4"/>
    <w:pPr>
      <w:suppressAutoHyphens/>
      <w:bidi w:val="0"/>
      <w:spacing w:line="240" w:lineRule="auto"/>
      <w:jc w:val="left"/>
      <w:outlineLvl w:val="4"/>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17</Pages>
  <Words>4388</Words>
  <Characters>25018</Characters>
  <Application>Microsoft Office Word</Application>
  <DocSecurity>4</DocSecurity>
  <Lines>208</Lines>
  <Paragraphs>58</Paragraphs>
  <ScaleCrop>false</ScaleCrop>
  <HeadingPairs>
    <vt:vector size="2" baseType="variant">
      <vt:variant>
        <vt:lpstr>العنوان</vt:lpstr>
      </vt:variant>
      <vt:variant>
        <vt:i4>1</vt:i4>
      </vt:variant>
    </vt:vector>
  </HeadingPairs>
  <TitlesOfParts>
    <vt:vector size="1" baseType="lpstr">
      <vt:lpstr>CCPR/C/TUN/CO/5/Add.2</vt:lpstr>
    </vt:vector>
  </TitlesOfParts>
  <Company>CSD</Company>
  <LinksUpToDate>false</LinksUpToDate>
  <CharactersWithSpaces>29348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CCPR/C/TUN/CO/5/Add.2</dc:title>
  <dc:subject>BOUKADIDA</dc:subject>
  <dc:creator>BALAN</dc:creator>
  <cp:keywords/>
  <dc:description>Rima</dc:description>
  <cp:lastModifiedBy>Admieng</cp:lastModifiedBy>
  <cp:revision>2</cp:revision>
  <cp:lastPrinted>2010-05-07T10:37:00Z</cp:lastPrinted>
  <dcterms:created xsi:type="dcterms:W3CDTF">2010-05-07T10:37:00Z</dcterms:created>
  <dcterms:modified xsi:type="dcterms:W3CDTF">2010-05-07T10:37:00Z</dcterms:modified>
</cp:coreProperties>
</file>