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Layout w:type="fixed"/>
        <w:tblCellMar>
          <w:left w:w="70" w:type="dxa"/>
          <w:right w:w="70" w:type="dxa"/>
        </w:tblCellMar>
        <w:tblLook w:val="0000"/>
      </w:tblPr>
      <w:tblGrid>
        <w:gridCol w:w="1559"/>
        <w:gridCol w:w="4678"/>
        <w:gridCol w:w="3260"/>
      </w:tblGrid>
      <w:tr w:rsidR="00E61E9E" w:rsidTr="00AB2B13">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rsidTr="00AB2B13">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603822564"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pPr>
              <w:spacing w:after="240"/>
            </w:pPr>
            <w:r>
              <w:t>Distr.</w:t>
            </w:r>
            <w:r>
              <w:br/>
            </w:r>
            <w:r w:rsidR="00C900FE">
              <w:t>GÉNÉRALE</w:t>
            </w:r>
          </w:p>
          <w:p w:rsidR="00E61E9E" w:rsidRDefault="00C900FE">
            <w:pPr>
              <w:spacing w:after="240"/>
            </w:pPr>
            <w:r w:rsidRPr="00C900FE">
              <w:t>CCPR/C/HRV/Q/2</w:t>
            </w:r>
            <w:r>
              <w:br/>
              <w:t>7 mai</w:t>
            </w:r>
            <w:r w:rsidR="00E61E9E">
              <w:t xml:space="preserve"> 200</w:t>
            </w:r>
            <w:r w:rsidR="004633C6">
              <w:t>9</w:t>
            </w:r>
          </w:p>
          <w:p w:rsidR="00E61E9E" w:rsidRDefault="00E61E9E">
            <w:r>
              <w:t>FRANÇAIS</w:t>
            </w:r>
            <w:r>
              <w:br/>
              <w:t>Original: ANGLAIS</w:t>
            </w:r>
          </w:p>
        </w:tc>
      </w:tr>
    </w:tbl>
    <w:p w:rsidR="00AB2B13" w:rsidRDefault="00AB2B13" w:rsidP="003A2145">
      <w:pPr>
        <w:spacing w:after="360"/>
        <w:rPr>
          <w:bCs/>
        </w:rPr>
      </w:pPr>
      <w:r w:rsidRPr="001630C0">
        <w:rPr>
          <w:bCs/>
        </w:rPr>
        <w:t>COMITÉ DES DROITS DE L</w:t>
      </w:r>
      <w:r>
        <w:rPr>
          <w:bCs/>
        </w:rPr>
        <w:t>’</w:t>
      </w:r>
      <w:r w:rsidRPr="001630C0">
        <w:rPr>
          <w:bCs/>
        </w:rPr>
        <w:t>HOMME</w:t>
      </w:r>
      <w:r w:rsidRPr="001630C0">
        <w:rPr>
          <w:bCs/>
        </w:rPr>
        <w:br/>
        <w:t>Quatre-vingt-</w:t>
      </w:r>
      <w:r>
        <w:rPr>
          <w:bCs/>
        </w:rPr>
        <w:t>quin</w:t>
      </w:r>
      <w:r w:rsidRPr="001630C0">
        <w:rPr>
          <w:bCs/>
        </w:rPr>
        <w:t>zième session</w:t>
      </w:r>
      <w:r w:rsidRPr="001630C0">
        <w:rPr>
          <w:bCs/>
        </w:rPr>
        <w:br/>
      </w:r>
      <w:r>
        <w:rPr>
          <w:bCs/>
        </w:rPr>
        <w:t>New York</w:t>
      </w:r>
      <w:r w:rsidRPr="001630C0">
        <w:rPr>
          <w:bCs/>
        </w:rPr>
        <w:t>, 1</w:t>
      </w:r>
      <w:r>
        <w:rPr>
          <w:bCs/>
        </w:rPr>
        <w:t>6</w:t>
      </w:r>
      <w:r w:rsidRPr="001630C0">
        <w:rPr>
          <w:bCs/>
        </w:rPr>
        <w:t xml:space="preserve"> </w:t>
      </w:r>
      <w:r>
        <w:rPr>
          <w:bCs/>
        </w:rPr>
        <w:t>mars-3</w:t>
      </w:r>
      <w:r w:rsidRPr="001630C0">
        <w:rPr>
          <w:bCs/>
        </w:rPr>
        <w:t xml:space="preserve"> </w:t>
      </w:r>
      <w:r>
        <w:rPr>
          <w:bCs/>
        </w:rPr>
        <w:t>avril</w:t>
      </w:r>
      <w:r w:rsidRPr="001630C0">
        <w:rPr>
          <w:bCs/>
        </w:rPr>
        <w:t xml:space="preserve"> 200</w:t>
      </w:r>
      <w:r>
        <w:rPr>
          <w:bCs/>
        </w:rPr>
        <w:t>9</w:t>
      </w:r>
    </w:p>
    <w:p w:rsidR="00AB2B13" w:rsidRDefault="00AB2B13" w:rsidP="003A2145">
      <w:pPr>
        <w:spacing w:after="360"/>
        <w:jc w:val="center"/>
        <w:rPr>
          <w:b/>
          <w:bCs/>
        </w:rPr>
      </w:pPr>
      <w:r>
        <w:rPr>
          <w:b/>
          <w:bCs/>
        </w:rPr>
        <w:t>LISTE DES POINTS À TRAITER À L’OCCASION</w:t>
      </w:r>
      <w:r w:rsidR="00CD0B15">
        <w:rPr>
          <w:b/>
          <w:bCs/>
        </w:rPr>
        <w:t xml:space="preserve"> DE L’EXAMEN</w:t>
      </w:r>
      <w:r w:rsidR="00CD0B15">
        <w:rPr>
          <w:b/>
          <w:bCs/>
        </w:rPr>
        <w:br/>
      </w:r>
      <w:r>
        <w:rPr>
          <w:b/>
          <w:bCs/>
        </w:rPr>
        <w:t>DU DEUXIÈME RAPPORT PÉRIODIQUE</w:t>
      </w:r>
      <w:r w:rsidR="00CD0B15">
        <w:rPr>
          <w:b/>
          <w:bCs/>
        </w:rPr>
        <w:br/>
      </w:r>
      <w:r>
        <w:rPr>
          <w:b/>
          <w:bCs/>
        </w:rPr>
        <w:t>DE LA CROATIE (CCPR/C/HRV/2)</w:t>
      </w:r>
    </w:p>
    <w:p w:rsidR="00AB2B13" w:rsidRDefault="00AB2B13" w:rsidP="0089551C">
      <w:pPr>
        <w:spacing w:after="240"/>
        <w:jc w:val="center"/>
        <w:rPr>
          <w:b/>
          <w:bCs/>
        </w:rPr>
      </w:pPr>
      <w:r>
        <w:rPr>
          <w:b/>
          <w:bCs/>
        </w:rPr>
        <w:t>Cadre constitutionnel et juridique de l’application du Pacte</w:t>
      </w:r>
      <w:r w:rsidR="0089551C">
        <w:rPr>
          <w:b/>
          <w:bCs/>
        </w:rPr>
        <w:br/>
      </w:r>
      <w:r>
        <w:rPr>
          <w:b/>
          <w:bCs/>
        </w:rPr>
        <w:t>(art. 2)</w:t>
      </w:r>
    </w:p>
    <w:p w:rsidR="00AB2B13" w:rsidRPr="00985D45" w:rsidRDefault="00AB2B13" w:rsidP="00AB2B13">
      <w:pPr>
        <w:tabs>
          <w:tab w:val="left" w:pos="8520"/>
        </w:tabs>
        <w:spacing w:after="240"/>
        <w:ind w:left="567" w:hanging="567"/>
      </w:pPr>
      <w:r>
        <w:t>1.</w:t>
      </w:r>
      <w:r>
        <w:tab/>
        <w:t xml:space="preserve">Donner des exemples, s’il en existe, d’affaires dans lesquelles les dispositions du Pacte ont été invoquées directement devant les tribunaux (document de base, </w:t>
      </w:r>
      <w:r w:rsidRPr="002F03C9">
        <w:t>HRI/CORE/1/Add.32/Rev.1, par. 56).</w:t>
      </w:r>
      <w:r>
        <w:t xml:space="preserve"> Compte tenu des renseignements communiqués au sujet de la formation dans le domaine des droits de l’homme dispensée au personnel de l’appareil judiciaire de l’</w:t>
      </w:r>
      <w:r w:rsidRPr="007B45E2">
        <w:t>État partie</w:t>
      </w:r>
      <w:r>
        <w:t xml:space="preserve"> (rapport de l’</w:t>
      </w:r>
      <w:r w:rsidR="00B455D2">
        <w:t>État partie,</w:t>
      </w:r>
      <w:r>
        <w:t xml:space="preserve"> CCPR/C/HRV/2, par. </w:t>
      </w:r>
      <w:r w:rsidRPr="002F03C9">
        <w:t>40</w:t>
      </w:r>
      <w:r>
        <w:t xml:space="preserve"> et </w:t>
      </w:r>
      <w:r w:rsidRPr="002F03C9">
        <w:t xml:space="preserve">41, </w:t>
      </w:r>
      <w:r>
        <w:t xml:space="preserve">précédentes observations finales du </w:t>
      </w:r>
      <w:r w:rsidRPr="00EE54F9">
        <w:rPr>
          <w:iCs/>
          <w:szCs w:val="24"/>
        </w:rPr>
        <w:t>Co</w:t>
      </w:r>
      <w:r>
        <w:rPr>
          <w:iCs/>
          <w:szCs w:val="24"/>
        </w:rPr>
        <w:t>mité</w:t>
      </w:r>
      <w:r w:rsidRPr="00EE54F9">
        <w:rPr>
          <w:iCs/>
          <w:szCs w:val="24"/>
        </w:rPr>
        <w:t xml:space="preserve"> des droits de l</w:t>
      </w:r>
      <w:r>
        <w:rPr>
          <w:iCs/>
          <w:szCs w:val="24"/>
        </w:rPr>
        <w:t>’</w:t>
      </w:r>
      <w:r w:rsidRPr="00EE54F9">
        <w:rPr>
          <w:iCs/>
          <w:szCs w:val="24"/>
        </w:rPr>
        <w:t>homme</w:t>
      </w:r>
      <w:r w:rsidRPr="002F03C9">
        <w:t>, CCPR/CO/71/HRV, par. 7)</w:t>
      </w:r>
      <w:r>
        <w:t xml:space="preserve">, donner des exemples d’affaires dans lesquelles les dispositions du Pacte ont été appliquées directement par les tribunaux. </w:t>
      </w:r>
    </w:p>
    <w:p w:rsidR="00AB2B13" w:rsidRPr="002F1DEA" w:rsidRDefault="00AB2B13" w:rsidP="00AB2B13">
      <w:pPr>
        <w:spacing w:after="240"/>
        <w:ind w:left="567" w:hanging="567"/>
      </w:pPr>
      <w:r w:rsidRPr="003D7F04">
        <w:t>2.</w:t>
      </w:r>
      <w:r w:rsidRPr="003D7F04">
        <w:tab/>
      </w:r>
      <w:r>
        <w:t>À la lumière des dispositions du Pacte relatives à</w:t>
      </w:r>
      <w:r w:rsidRPr="003D7F04">
        <w:t xml:space="preserve"> la non-discrimination</w:t>
      </w:r>
      <w:r>
        <w:t xml:space="preserve">, </w:t>
      </w:r>
      <w:r w:rsidRPr="003D7F04">
        <w:t>préciser comment l</w:t>
      </w:r>
      <w:r>
        <w:t>’État partie peut justifier le fait que les non-citoyens ne peuvent pas exercer certains droits, compte tenu en particulier de l’article 14 de la Constitution, qui interdit la discrimination à l’égard de tous ceux qui relèvent de la juridiction de l’État partie</w:t>
      </w:r>
      <w:r w:rsidRPr="003D7F04">
        <w:t xml:space="preserve"> (précédent</w:t>
      </w:r>
      <w:r>
        <w:t>es</w:t>
      </w:r>
      <w:r w:rsidRPr="003D7F04">
        <w:t xml:space="preserve"> observations finales, par. 8, </w:t>
      </w:r>
      <w:r>
        <w:t>Commentaires</w:t>
      </w:r>
      <w:r w:rsidRPr="003D7F04">
        <w:t xml:space="preserve"> du Gouvernement </w:t>
      </w:r>
      <w:r>
        <w:t>c</w:t>
      </w:r>
      <w:r w:rsidRPr="003D7F04">
        <w:t>roat</w:t>
      </w:r>
      <w:r>
        <w:t>e</w:t>
      </w:r>
      <w:r w:rsidRPr="003D7F04">
        <w:t xml:space="preserve"> </w:t>
      </w:r>
      <w:r>
        <w:t>au sujet d</w:t>
      </w:r>
      <w:r w:rsidRPr="003D7F04">
        <w:t>es observations finales du Comité des</w:t>
      </w:r>
      <w:r>
        <w:t> </w:t>
      </w:r>
      <w:r w:rsidRPr="003D7F04">
        <w:t>droits de l</w:t>
      </w:r>
      <w:r>
        <w:t>’</w:t>
      </w:r>
      <w:r w:rsidRPr="003D7F04">
        <w:t>homme, CCPR/CO/71/HRV/Add.1, point 8, p. 2).</w:t>
      </w:r>
      <w:r>
        <w:t xml:space="preserve"> </w:t>
      </w:r>
    </w:p>
    <w:p w:rsidR="00AB2B13" w:rsidRPr="007F4592" w:rsidRDefault="00AB2B13" w:rsidP="0089551C">
      <w:pPr>
        <w:keepNext/>
        <w:autoSpaceDE w:val="0"/>
        <w:autoSpaceDN w:val="0"/>
        <w:adjustRightInd w:val="0"/>
        <w:spacing w:after="240"/>
        <w:jc w:val="center"/>
        <w:rPr>
          <w:b/>
          <w:bCs/>
          <w:lang w:val="fr-FR"/>
        </w:rPr>
      </w:pPr>
      <w:r w:rsidRPr="002F1DEA">
        <w:rPr>
          <w:b/>
          <w:bCs/>
        </w:rPr>
        <w:t>Discrimination, égalité entre ho</w:t>
      </w:r>
      <w:r>
        <w:rPr>
          <w:b/>
          <w:bCs/>
        </w:rPr>
        <w:t>m</w:t>
      </w:r>
      <w:r w:rsidRPr="002F1DEA">
        <w:rPr>
          <w:b/>
          <w:bCs/>
        </w:rPr>
        <w:t xml:space="preserve">mes et femmes et violence dans </w:t>
      </w:r>
      <w:r>
        <w:rPr>
          <w:b/>
          <w:bCs/>
        </w:rPr>
        <w:t>la famille</w:t>
      </w:r>
      <w:r>
        <w:rPr>
          <w:b/>
          <w:bCs/>
        </w:rPr>
        <w:br/>
      </w:r>
      <w:r w:rsidR="005534E5">
        <w:rPr>
          <w:b/>
          <w:bCs/>
          <w:lang w:val="fr-FR"/>
        </w:rPr>
        <w:t>(art. 2, 3</w:t>
      </w:r>
      <w:r w:rsidRPr="007F4592">
        <w:rPr>
          <w:b/>
          <w:bCs/>
          <w:lang w:val="fr-FR"/>
        </w:rPr>
        <w:t>, 26</w:t>
      </w:r>
      <w:r w:rsidR="005534E5">
        <w:rPr>
          <w:b/>
          <w:bCs/>
          <w:lang w:val="fr-FR"/>
        </w:rPr>
        <w:t>, 27</w:t>
      </w:r>
      <w:r w:rsidRPr="007F4592">
        <w:rPr>
          <w:b/>
          <w:bCs/>
          <w:lang w:val="fr-FR"/>
        </w:rPr>
        <w:t>)</w:t>
      </w:r>
    </w:p>
    <w:p w:rsidR="00AB2B13" w:rsidRPr="00424AD6" w:rsidRDefault="00AB2B13" w:rsidP="00AB2B13">
      <w:pPr>
        <w:spacing w:after="240"/>
        <w:ind w:left="567" w:hanging="567"/>
      </w:pPr>
      <w:r>
        <w:t>3.</w:t>
      </w:r>
      <w:r>
        <w:tab/>
        <w:t>Montrer l’efficacité des</w:t>
      </w:r>
      <w:r w:rsidRPr="002F1DEA">
        <w:t xml:space="preserve"> lois, plans et programmes adoptés par l</w:t>
      </w:r>
      <w:r>
        <w:t>’</w:t>
      </w:r>
      <w:r w:rsidRPr="002F1DEA">
        <w:t xml:space="preserve">État partie </w:t>
      </w:r>
      <w:r>
        <w:t>pour</w:t>
      </w:r>
      <w:r w:rsidRPr="002F1DEA">
        <w:t xml:space="preserve"> prévenir et combattre la discrimination (rapport de l</w:t>
      </w:r>
      <w:r>
        <w:t>’</w:t>
      </w:r>
      <w:r w:rsidR="00B455D2">
        <w:t>État partie,</w:t>
      </w:r>
      <w:r w:rsidRPr="002F1DEA">
        <w:t xml:space="preserve"> par. 28</w:t>
      </w:r>
      <w:r>
        <w:t xml:space="preserve"> et</w:t>
      </w:r>
      <w:r w:rsidRPr="002F1DEA">
        <w:t xml:space="preserve"> 436). </w:t>
      </w:r>
      <w:r w:rsidRPr="007F4592">
        <w:t>Une loi glo</w:t>
      </w:r>
      <w:r>
        <w:t>bale qui interdit</w:t>
      </w:r>
      <w:r w:rsidRPr="007F4592">
        <w:t xml:space="preserve"> la discrimination dans le secteur privé, comprenant des dispositions qui prévoient des voies de recours efficaces, a-t-elle été adoptée (précédentes observations</w:t>
      </w:r>
      <w:r w:rsidRPr="000B34E4">
        <w:t xml:space="preserve"> finales</w:t>
      </w:r>
      <w:r>
        <w:t>, par. </w:t>
      </w:r>
      <w:r w:rsidRPr="000B34E4">
        <w:t>19, rapport de l</w:t>
      </w:r>
      <w:r>
        <w:t>’</w:t>
      </w:r>
      <w:r w:rsidR="00B455D2">
        <w:t>État partie,</w:t>
      </w:r>
      <w:r w:rsidR="00386432">
        <w:t xml:space="preserve"> par. </w:t>
      </w:r>
      <w:r w:rsidRPr="000B34E4">
        <w:t>28)</w:t>
      </w:r>
      <w:r>
        <w:t>?</w:t>
      </w:r>
    </w:p>
    <w:p w:rsidR="00AB2B13" w:rsidRPr="00EA6900" w:rsidRDefault="00AB2B13" w:rsidP="00AB2B13">
      <w:pPr>
        <w:spacing w:after="240"/>
        <w:ind w:left="567" w:hanging="567"/>
      </w:pPr>
      <w:r>
        <w:t>4.</w:t>
      </w:r>
      <w:r>
        <w:tab/>
        <w:t xml:space="preserve">Donner </w:t>
      </w:r>
      <w:r w:rsidRPr="00A53DA2">
        <w:t xml:space="preserve">des informations détaillées sur la politique nationale </w:t>
      </w:r>
      <w:r>
        <w:t xml:space="preserve">de </w:t>
      </w:r>
      <w:r w:rsidRPr="00A53DA2">
        <w:t>promotion de l</w:t>
      </w:r>
      <w:r>
        <w:t>’</w:t>
      </w:r>
      <w:r w:rsidRPr="00A53DA2">
        <w:t xml:space="preserve">égalité des sexes </w:t>
      </w:r>
      <w:r>
        <w:t>(</w:t>
      </w:r>
      <w:r w:rsidRPr="00A53DA2">
        <w:t>2006</w:t>
      </w:r>
      <w:r>
        <w:t>)</w:t>
      </w:r>
      <w:r w:rsidRPr="00A53DA2">
        <w:t xml:space="preserve"> et sa mise en </w:t>
      </w:r>
      <w:r>
        <w:t>œuvre</w:t>
      </w:r>
      <w:r w:rsidRPr="00A53DA2">
        <w:t xml:space="preserve"> (rapport de l</w:t>
      </w:r>
      <w:r>
        <w:t>’</w:t>
      </w:r>
      <w:r w:rsidR="00B455D2">
        <w:t>État partie,</w:t>
      </w:r>
      <w:r w:rsidRPr="00A53DA2">
        <w:t xml:space="preserve"> par. 45</w:t>
      </w:r>
      <w:r>
        <w:t xml:space="preserve"> et</w:t>
      </w:r>
      <w:r w:rsidRPr="00A53DA2">
        <w:t xml:space="preserve"> 57). Quels ont été les résultats des mesures spéciales et des plans d</w:t>
      </w:r>
      <w:r>
        <w:t>’</w:t>
      </w:r>
      <w:r w:rsidRPr="00A53DA2">
        <w:t xml:space="preserve">action pour la promotion et la </w:t>
      </w:r>
      <w:r>
        <w:t>réalisation</w:t>
      </w:r>
      <w:r w:rsidRPr="00A53DA2">
        <w:t xml:space="preserve"> de l</w:t>
      </w:r>
      <w:r>
        <w:t>’</w:t>
      </w:r>
      <w:r w:rsidRPr="00A53DA2">
        <w:t>égalité des sexes mis en place dans le secteur public (rapport de l</w:t>
      </w:r>
      <w:r>
        <w:t>’</w:t>
      </w:r>
      <w:r w:rsidR="00B455D2">
        <w:t>État partie,</w:t>
      </w:r>
      <w:r w:rsidR="00386432">
        <w:t xml:space="preserve"> par. </w:t>
      </w:r>
      <w:r w:rsidRPr="00A53DA2">
        <w:t xml:space="preserve">56)? </w:t>
      </w:r>
      <w:r>
        <w:t>Donner</w:t>
      </w:r>
      <w:r w:rsidRPr="00A53DA2">
        <w:t xml:space="preserve"> également des informations sur les résultats des mesures prises pour promouvoir la représentation des femmes </w:t>
      </w:r>
      <w:r>
        <w:t>aux</w:t>
      </w:r>
      <w:r w:rsidRPr="00A53DA2">
        <w:t xml:space="preserve"> postes de responsabilité </w:t>
      </w:r>
      <w:r>
        <w:t xml:space="preserve">de l’État </w:t>
      </w:r>
      <w:r w:rsidRPr="00A53DA2">
        <w:t xml:space="preserve">et </w:t>
      </w:r>
      <w:r>
        <w:t>du</w:t>
      </w:r>
      <w:r w:rsidRPr="00A53DA2">
        <w:t xml:space="preserve"> secteur privé (rapport de l</w:t>
      </w:r>
      <w:r>
        <w:t>’</w:t>
      </w:r>
      <w:r w:rsidR="00B455D2">
        <w:t>État partie,</w:t>
      </w:r>
      <w:r w:rsidRPr="00A53DA2">
        <w:t xml:space="preserve"> par. 58</w:t>
      </w:r>
      <w:r>
        <w:t xml:space="preserve"> à </w:t>
      </w:r>
      <w:r w:rsidRPr="00A53DA2">
        <w:t xml:space="preserve">64)? En outre, </w:t>
      </w:r>
      <w:r>
        <w:t xml:space="preserve">quelles </w:t>
      </w:r>
      <w:r w:rsidRPr="00A53DA2">
        <w:t xml:space="preserve">mesures ont été prises pour </w:t>
      </w:r>
      <w:r>
        <w:t>mettre fin à</w:t>
      </w:r>
      <w:r w:rsidRPr="00A53DA2">
        <w:t xml:space="preserve"> la transmission de stéréotypes traditionnels dans le système éducati</w:t>
      </w:r>
      <w:r w:rsidR="00E06A46">
        <w:t>f</w:t>
      </w:r>
      <w:r w:rsidRPr="00A53DA2">
        <w:t xml:space="preserve"> (rapport de l</w:t>
      </w:r>
      <w:r>
        <w:t>’</w:t>
      </w:r>
      <w:r w:rsidR="00B455D2">
        <w:t>État partie,</w:t>
      </w:r>
      <w:r w:rsidRPr="00A53DA2">
        <w:t xml:space="preserve"> par. 66)</w:t>
      </w:r>
      <w:r>
        <w:t>?</w:t>
      </w:r>
    </w:p>
    <w:p w:rsidR="00AB2B13" w:rsidRPr="00EA6900" w:rsidRDefault="00AB2B13" w:rsidP="00AB2B13">
      <w:pPr>
        <w:spacing w:after="240"/>
        <w:ind w:left="567" w:hanging="567"/>
      </w:pPr>
      <w:r w:rsidRPr="00EA6900">
        <w:t>5.</w:t>
      </w:r>
      <w:r w:rsidRPr="00EA6900">
        <w:tab/>
      </w:r>
      <w:r>
        <w:t>Préciser comment</w:t>
      </w:r>
      <w:r w:rsidRPr="00EA6900">
        <w:t xml:space="preserve"> l</w:t>
      </w:r>
      <w:r>
        <w:t>’</w:t>
      </w:r>
      <w:r w:rsidRPr="00EA6900">
        <w:t xml:space="preserve">État partie </w:t>
      </w:r>
      <w:r>
        <w:t>veille à ce</w:t>
      </w:r>
      <w:r w:rsidRPr="00EA6900">
        <w:t xml:space="preserve"> que les actes de violence </w:t>
      </w:r>
      <w:r>
        <w:t>familiale</w:t>
      </w:r>
      <w:r w:rsidRPr="00EA6900">
        <w:t xml:space="preserve"> </w:t>
      </w:r>
      <w:r>
        <w:t xml:space="preserve">fassent effectivement l’objet </w:t>
      </w:r>
      <w:r w:rsidRPr="00EA6900">
        <w:t>d</w:t>
      </w:r>
      <w:r>
        <w:t>’</w:t>
      </w:r>
      <w:r w:rsidRPr="00EA6900">
        <w:t xml:space="preserve">une enquête et que les </w:t>
      </w:r>
      <w:r>
        <w:t>auteurs</w:t>
      </w:r>
      <w:r w:rsidRPr="00EA6900">
        <w:t xml:space="preserve"> soient poursuivis et punis (rapport de l</w:t>
      </w:r>
      <w:r>
        <w:t>’</w:t>
      </w:r>
      <w:r w:rsidR="00B455D2">
        <w:t>État partie,</w:t>
      </w:r>
      <w:r w:rsidRPr="00EA6900">
        <w:t xml:space="preserve"> par. 499</w:t>
      </w:r>
      <w:r>
        <w:t xml:space="preserve"> à </w:t>
      </w:r>
      <w:r w:rsidRPr="00EA6900">
        <w:t xml:space="preserve">503). </w:t>
      </w:r>
      <w:r>
        <w:t>Donner</w:t>
      </w:r>
      <w:r w:rsidRPr="00EA6900">
        <w:t xml:space="preserve"> également des exemples des types de sanctions infligées aux auteurs et de</w:t>
      </w:r>
      <w:r>
        <w:t>s éventuelles réparations accordées</w:t>
      </w:r>
      <w:r w:rsidRPr="00EA6900">
        <w:t xml:space="preserve"> aux victimes. </w:t>
      </w:r>
    </w:p>
    <w:p w:rsidR="00AB2B13" w:rsidRPr="008D034F" w:rsidRDefault="00AB2B13" w:rsidP="00AB2B13">
      <w:pPr>
        <w:spacing w:after="240"/>
        <w:ind w:left="567" w:hanging="567"/>
      </w:pPr>
      <w:r>
        <w:t>6.</w:t>
      </w:r>
      <w:r>
        <w:tab/>
      </w:r>
      <w:r w:rsidRPr="00EA6900">
        <w:t xml:space="preserve">Quelles mesures spécifiques ont été prises pour empêcher la discrimination </w:t>
      </w:r>
      <w:r>
        <w:t>à l’égard</w:t>
      </w:r>
      <w:r w:rsidRPr="00EA6900">
        <w:t xml:space="preserve"> </w:t>
      </w:r>
      <w:r>
        <w:t>d</w:t>
      </w:r>
      <w:r w:rsidRPr="00EA6900">
        <w:t>es membres de la minorité serbe dans l</w:t>
      </w:r>
      <w:r>
        <w:t>’</w:t>
      </w:r>
      <w:r w:rsidRPr="00EA6900">
        <w:t>État partie (précédente</w:t>
      </w:r>
      <w:r>
        <w:t>s observations finales</w:t>
      </w:r>
      <w:r w:rsidR="00386432">
        <w:t>, par. </w:t>
      </w:r>
      <w:r w:rsidRPr="00EA6900">
        <w:t>20</w:t>
      </w:r>
      <w:r>
        <w:t>;</w:t>
      </w:r>
      <w:r w:rsidRPr="00EA6900">
        <w:t xml:space="preserve"> </w:t>
      </w:r>
      <w:r>
        <w:t>Commentaires</w:t>
      </w:r>
      <w:r w:rsidRPr="00EA6900">
        <w:t xml:space="preserve"> du Gouvernement </w:t>
      </w:r>
      <w:r>
        <w:t>c</w:t>
      </w:r>
      <w:r w:rsidRPr="00EA6900">
        <w:t xml:space="preserve">roate </w:t>
      </w:r>
      <w:r>
        <w:t>au sujet d</w:t>
      </w:r>
      <w:r w:rsidRPr="00EA6900">
        <w:t>es observ</w:t>
      </w:r>
      <w:r>
        <w:t>ations finales, point 22, p. </w:t>
      </w:r>
      <w:r w:rsidRPr="00CA42EE">
        <w:t>18)?</w:t>
      </w:r>
      <w:r w:rsidRPr="00EA6900">
        <w:t xml:space="preserve"> </w:t>
      </w:r>
      <w:r>
        <w:t xml:space="preserve">Commenter les informations indiquant que </w:t>
      </w:r>
      <w:r w:rsidRPr="00EA6900">
        <w:t xml:space="preserve">les lois et politiques </w:t>
      </w:r>
      <w:r>
        <w:t xml:space="preserve">de </w:t>
      </w:r>
      <w:r w:rsidRPr="00EA6900">
        <w:t>l</w:t>
      </w:r>
      <w:r>
        <w:t>’</w:t>
      </w:r>
      <w:r w:rsidRPr="00EA6900">
        <w:t>État partie</w:t>
      </w:r>
      <w:r>
        <w:t xml:space="preserve"> </w:t>
      </w:r>
      <w:r w:rsidRPr="00EA6900">
        <w:t>en</w:t>
      </w:r>
      <w:r>
        <w:t> </w:t>
      </w:r>
      <w:r w:rsidRPr="00EA6900">
        <w:t xml:space="preserve">matière de logement et </w:t>
      </w:r>
      <w:r>
        <w:t>de</w:t>
      </w:r>
      <w:r w:rsidRPr="00EA6900">
        <w:t xml:space="preserve"> droits de propriété </w:t>
      </w:r>
      <w:r>
        <w:t>seraient</w:t>
      </w:r>
      <w:r w:rsidRPr="00EA6900">
        <w:t xml:space="preserve"> discriminatoires à </w:t>
      </w:r>
      <w:r>
        <w:t>l’égard</w:t>
      </w:r>
      <w:r w:rsidRPr="00EA6900">
        <w:t xml:space="preserve"> des</w:t>
      </w:r>
      <w:r>
        <w:t> </w:t>
      </w:r>
      <w:r w:rsidRPr="00EA6900">
        <w:t xml:space="preserve">rapatriés </w:t>
      </w:r>
      <w:r>
        <w:t>d’origine</w:t>
      </w:r>
      <w:r w:rsidRPr="00EA6900">
        <w:t xml:space="preserve"> serbe. En particulier, </w:t>
      </w:r>
      <w:r>
        <w:t>présenter</w:t>
      </w:r>
      <w:r w:rsidRPr="00EA6900">
        <w:t xml:space="preserve"> les mesures prises pour </w:t>
      </w:r>
      <w:r>
        <w:t xml:space="preserve">traiter les requêtes </w:t>
      </w:r>
      <w:r w:rsidRPr="00EA6900">
        <w:t xml:space="preserve">concernant les </w:t>
      </w:r>
      <w:r>
        <w:t>«</w:t>
      </w:r>
      <w:r w:rsidRPr="00EA6900">
        <w:t>droits d</w:t>
      </w:r>
      <w:r>
        <w:t>’</w:t>
      </w:r>
      <w:r w:rsidRPr="00EA6900">
        <w:t xml:space="preserve">occupation», les biens détruits et </w:t>
      </w:r>
      <w:r>
        <w:t>l</w:t>
      </w:r>
      <w:r w:rsidRPr="00EA6900">
        <w:t>es biens occupés</w:t>
      </w:r>
      <w:r>
        <w:t xml:space="preserve"> mais</w:t>
      </w:r>
      <w:r w:rsidRPr="00EA6900">
        <w:t xml:space="preserve"> pas encore restitués aux propriétaires précédents (précédentes</w:t>
      </w:r>
      <w:r>
        <w:t xml:space="preserve"> </w:t>
      </w:r>
      <w:r w:rsidR="00386432">
        <w:t>observations finales, par. </w:t>
      </w:r>
      <w:r w:rsidRPr="00EA6900">
        <w:t xml:space="preserve">15, </w:t>
      </w:r>
      <w:r>
        <w:t>Commentaires</w:t>
      </w:r>
      <w:r w:rsidRPr="00EA6900">
        <w:t xml:space="preserve"> du Gouvernement </w:t>
      </w:r>
      <w:r>
        <w:t>c</w:t>
      </w:r>
      <w:r w:rsidRPr="00EA6900">
        <w:t xml:space="preserve">roate </w:t>
      </w:r>
      <w:r>
        <w:t>au sujet d</w:t>
      </w:r>
      <w:r w:rsidRPr="00EA6900">
        <w:t>es observations finales</w:t>
      </w:r>
      <w:r>
        <w:t>, point 15, p</w:t>
      </w:r>
      <w:r w:rsidR="00386432">
        <w:t>. </w:t>
      </w:r>
      <w:r w:rsidRPr="00BF1568">
        <w:t>8</w:t>
      </w:r>
      <w:r>
        <w:t xml:space="preserve"> à </w:t>
      </w:r>
      <w:r w:rsidRPr="00BF1568">
        <w:t>1</w:t>
      </w:r>
      <w:r>
        <w:t>3</w:t>
      </w:r>
      <w:r w:rsidRPr="00BF1568">
        <w:t>).</w:t>
      </w:r>
      <w:r>
        <w:t xml:space="preserve"> </w:t>
      </w:r>
    </w:p>
    <w:p w:rsidR="00AB2B13" w:rsidRPr="008D034F" w:rsidRDefault="00AB2B13" w:rsidP="00AB2B13">
      <w:pPr>
        <w:spacing w:after="240"/>
        <w:ind w:left="567" w:hanging="567"/>
      </w:pPr>
      <w:r w:rsidRPr="00EA6900">
        <w:t>7.</w:t>
      </w:r>
      <w:r w:rsidRPr="00EA6900">
        <w:tab/>
      </w:r>
      <w:r>
        <w:t xml:space="preserve">Donner </w:t>
      </w:r>
      <w:r w:rsidRPr="00EA6900">
        <w:t>des informations sur la mise en œuvre et l</w:t>
      </w:r>
      <w:r>
        <w:t>’</w:t>
      </w:r>
      <w:r w:rsidRPr="00EA6900">
        <w:t>efficacité des mesures prises par l</w:t>
      </w:r>
      <w:r>
        <w:t>’</w:t>
      </w:r>
      <w:r w:rsidRPr="00EA6900">
        <w:t xml:space="preserve">État partie pour éliminer la discrimination </w:t>
      </w:r>
      <w:r>
        <w:t>à l’égard de</w:t>
      </w:r>
      <w:r w:rsidRPr="00EA6900">
        <w:t xml:space="preserve"> la communauté rom, </w:t>
      </w:r>
      <w:r>
        <w:t>notamment</w:t>
      </w:r>
      <w:r w:rsidRPr="00EA6900">
        <w:t xml:space="preserve"> le Programme national pour les Roms (rapport de l</w:t>
      </w:r>
      <w:r>
        <w:t>’</w:t>
      </w:r>
      <w:r w:rsidR="00B455D2">
        <w:t>État partie,</w:t>
      </w:r>
      <w:r w:rsidRPr="00EA6900">
        <w:t xml:space="preserve"> par. 643</w:t>
      </w:r>
      <w:r>
        <w:t xml:space="preserve"> à </w:t>
      </w:r>
      <w:r w:rsidRPr="00EA6900">
        <w:t>656)</w:t>
      </w:r>
      <w:r>
        <w:t>.</w:t>
      </w:r>
      <w:r w:rsidRPr="008D034F">
        <w:t xml:space="preserve"> </w:t>
      </w:r>
      <w:r>
        <w:t>Donner également</w:t>
      </w:r>
      <w:r w:rsidRPr="008D034F">
        <w:t xml:space="preserve"> des informations sur l</w:t>
      </w:r>
      <w:r>
        <w:t>’</w:t>
      </w:r>
      <w:r w:rsidRPr="008D034F">
        <w:t>accès à l</w:t>
      </w:r>
      <w:r>
        <w:t>’</w:t>
      </w:r>
      <w:r w:rsidRPr="008D034F">
        <w:t>éducation des enfants roms</w:t>
      </w:r>
      <w:r>
        <w:t xml:space="preserve"> et indiquer</w:t>
      </w:r>
      <w:r w:rsidRPr="008D034F">
        <w:t xml:space="preserve"> si la ségrégation des élèves roms </w:t>
      </w:r>
      <w:r>
        <w:t>existe</w:t>
      </w:r>
      <w:r w:rsidRPr="008D034F">
        <w:t xml:space="preserve"> encore dans la pratique</w:t>
      </w:r>
      <w:r>
        <w:t>.</w:t>
      </w:r>
    </w:p>
    <w:p w:rsidR="00AB2B13" w:rsidRPr="00D519F1" w:rsidRDefault="00AB2B13" w:rsidP="00AB2B13">
      <w:pPr>
        <w:spacing w:after="240"/>
        <w:ind w:left="567" w:hanging="567"/>
      </w:pPr>
      <w:r>
        <w:t>8.</w:t>
      </w:r>
      <w:r>
        <w:tab/>
        <w:t xml:space="preserve">Commenter les allégations affirmant que </w:t>
      </w:r>
      <w:r w:rsidRPr="00A74F7E">
        <w:t>le nombre d</w:t>
      </w:r>
      <w:r>
        <w:t>’</w:t>
      </w:r>
      <w:r w:rsidRPr="00A74F7E">
        <w:t xml:space="preserve">agressions physiques et verbales </w:t>
      </w:r>
      <w:r>
        <w:t>visant des membres de minorités</w:t>
      </w:r>
      <w:r w:rsidRPr="00A74F7E">
        <w:t xml:space="preserve"> </w:t>
      </w:r>
      <w:r>
        <w:t>serait</w:t>
      </w:r>
      <w:r w:rsidRPr="00A74F7E">
        <w:t xml:space="preserve"> en augmentation, et </w:t>
      </w:r>
      <w:r>
        <w:t>donner</w:t>
      </w:r>
      <w:r w:rsidRPr="00A74F7E">
        <w:t xml:space="preserve"> des informations détaillées sur les mesures prises par la police et les autorités judiciaires pour </w:t>
      </w:r>
      <w:r>
        <w:t xml:space="preserve">mener des </w:t>
      </w:r>
      <w:r w:rsidRPr="00A74F7E">
        <w:t>enquête</w:t>
      </w:r>
      <w:r>
        <w:t>s et</w:t>
      </w:r>
      <w:r w:rsidRPr="00A74F7E">
        <w:t xml:space="preserve"> poursuivre et sanctionner </w:t>
      </w:r>
      <w:r>
        <w:t>ces infractions, et pour les</w:t>
      </w:r>
      <w:r w:rsidRPr="00A74F7E">
        <w:t xml:space="preserve"> prévenir. </w:t>
      </w:r>
      <w:r>
        <w:t>Donner</w:t>
      </w:r>
      <w:r w:rsidRPr="00A74F7E">
        <w:t xml:space="preserve"> des exemples</w:t>
      </w:r>
      <w:r>
        <w:t>, s’il en existe</w:t>
      </w:r>
      <w:r w:rsidRPr="00A74F7E">
        <w:t xml:space="preserve">, </w:t>
      </w:r>
      <w:r>
        <w:t xml:space="preserve">d’affaires </w:t>
      </w:r>
      <w:r w:rsidRPr="00A74F7E">
        <w:t xml:space="preserve">dans lesquelles les tribunaux ont appliqué </w:t>
      </w:r>
      <w:r>
        <w:t>les dispositions modifiées d</w:t>
      </w:r>
      <w:r w:rsidRPr="00A74F7E">
        <w:t xml:space="preserve">u Code pénal </w:t>
      </w:r>
      <w:r>
        <w:t>relatives aux</w:t>
      </w:r>
      <w:r w:rsidRPr="00A74F7E">
        <w:t xml:space="preserve"> </w:t>
      </w:r>
      <w:r>
        <w:t xml:space="preserve">infractions motivées par la </w:t>
      </w:r>
      <w:r w:rsidRPr="00A74F7E">
        <w:t xml:space="preserve">haine. </w:t>
      </w:r>
      <w:r w:rsidRPr="00D519F1">
        <w:t>L</w:t>
      </w:r>
      <w:r>
        <w:t>’</w:t>
      </w:r>
      <w:r w:rsidRPr="00D519F1">
        <w:t>État partie a</w:t>
      </w:r>
      <w:r>
        <w:t>-</w:t>
      </w:r>
      <w:r w:rsidRPr="00D519F1">
        <w:t>t-il pris des mesures pour promouvoir la réconciliation et la confiance mutuelle entre les différents groupes ethniques</w:t>
      </w:r>
      <w:r>
        <w:t xml:space="preserve">? Indiquer les mesures spécifiques prises pour s’occuper de la situation particulière des </w:t>
      </w:r>
      <w:r w:rsidRPr="00A74F7E">
        <w:t xml:space="preserve">Roms et </w:t>
      </w:r>
      <w:r>
        <w:t>de</w:t>
      </w:r>
      <w:r w:rsidRPr="00A74F7E">
        <w:t>s minorités serbe</w:t>
      </w:r>
      <w:r>
        <w:t>s.</w:t>
      </w:r>
    </w:p>
    <w:p w:rsidR="00AB2B13" w:rsidRDefault="00AB2B13" w:rsidP="0089551C">
      <w:pPr>
        <w:keepNext/>
        <w:tabs>
          <w:tab w:val="left" w:pos="720"/>
        </w:tabs>
        <w:autoSpaceDE w:val="0"/>
        <w:autoSpaceDN w:val="0"/>
        <w:adjustRightInd w:val="0"/>
        <w:spacing w:after="240"/>
        <w:jc w:val="center"/>
        <w:rPr>
          <w:b/>
          <w:bCs/>
        </w:rPr>
      </w:pPr>
      <w:r>
        <w:rPr>
          <w:b/>
          <w:bCs/>
        </w:rPr>
        <w:t>Dangers p</w:t>
      </w:r>
      <w:r w:rsidRPr="00725298">
        <w:rPr>
          <w:b/>
          <w:bCs/>
        </w:rPr>
        <w:t>ublic</w:t>
      </w:r>
      <w:r>
        <w:rPr>
          <w:b/>
          <w:bCs/>
        </w:rPr>
        <w:t>s</w:t>
      </w:r>
      <w:r w:rsidRPr="00725298">
        <w:rPr>
          <w:b/>
          <w:bCs/>
        </w:rPr>
        <w:t xml:space="preserve"> </w:t>
      </w:r>
      <w:r>
        <w:rPr>
          <w:b/>
          <w:bCs/>
        </w:rPr>
        <w:t>exceptionnels</w:t>
      </w:r>
      <w:r w:rsidR="0089551C">
        <w:rPr>
          <w:b/>
          <w:bCs/>
        </w:rPr>
        <w:br/>
      </w:r>
      <w:r w:rsidRPr="00725298">
        <w:rPr>
          <w:b/>
          <w:bCs/>
        </w:rPr>
        <w:t>(art. 4)</w:t>
      </w:r>
    </w:p>
    <w:p w:rsidR="00AB2B13" w:rsidRDefault="00AB2B13" w:rsidP="00AB2B13">
      <w:pPr>
        <w:spacing w:after="240"/>
        <w:ind w:left="567" w:hanging="567"/>
      </w:pPr>
      <w:r>
        <w:t>9.</w:t>
      </w:r>
      <w:r>
        <w:tab/>
      </w:r>
      <w:r w:rsidRPr="008F2B35">
        <w:t>Indiquer si l</w:t>
      </w:r>
      <w:r>
        <w:t>’</w:t>
      </w:r>
      <w:r w:rsidRPr="008F2B35">
        <w:t>État partie</w:t>
      </w:r>
      <w:r>
        <w:t xml:space="preserve"> a pris des mesures pour rendre l</w:t>
      </w:r>
      <w:r w:rsidRPr="008F2B35">
        <w:t xml:space="preserve">es dispositions constitutionnelles </w:t>
      </w:r>
      <w:r>
        <w:t>relatives aux</w:t>
      </w:r>
      <w:r w:rsidRPr="008F2B35">
        <w:t xml:space="preserve"> </w:t>
      </w:r>
      <w:r>
        <w:t>dangers publics exceptionnels</w:t>
      </w:r>
      <w:r w:rsidRPr="008F2B35">
        <w:t xml:space="preserve"> conform</w:t>
      </w:r>
      <w:r>
        <w:t>es au</w:t>
      </w:r>
      <w:r w:rsidRPr="008F2B35">
        <w:t xml:space="preserve"> Pacte, </w:t>
      </w:r>
      <w:r>
        <w:t>notamment</w:t>
      </w:r>
      <w:r w:rsidRPr="008F2B35">
        <w:t xml:space="preserve"> </w:t>
      </w:r>
      <w:r>
        <w:t xml:space="preserve">pour ce qui est de </w:t>
      </w:r>
      <w:r w:rsidRPr="008F2B35">
        <w:t>l</w:t>
      </w:r>
      <w:r>
        <w:t>’</w:t>
      </w:r>
      <w:r w:rsidRPr="008F2B35">
        <w:t>inadmissibilité de dérogations à moins que les conditions de l</w:t>
      </w:r>
      <w:r>
        <w:t>’</w:t>
      </w:r>
      <w:r w:rsidRPr="008F2B35">
        <w:t xml:space="preserve">article 4 </w:t>
      </w:r>
      <w:r>
        <w:t>soient</w:t>
      </w:r>
      <w:r w:rsidRPr="008F2B35">
        <w:t xml:space="preserve"> remplies (rapport de l</w:t>
      </w:r>
      <w:r>
        <w:t>’</w:t>
      </w:r>
      <w:r w:rsidR="00B455D2">
        <w:t>État partie,</w:t>
      </w:r>
      <w:r w:rsidRPr="008F2B35">
        <w:t xml:space="preserve"> par. 68</w:t>
      </w:r>
      <w:r>
        <w:t xml:space="preserve"> à </w:t>
      </w:r>
      <w:r w:rsidRPr="008F2B35">
        <w:t>70, précédentes observations finales, par. 9).</w:t>
      </w:r>
    </w:p>
    <w:p w:rsidR="00AB2B13" w:rsidRPr="007E1070" w:rsidRDefault="00AB2B13" w:rsidP="00AB2B13">
      <w:pPr>
        <w:keepNext/>
        <w:tabs>
          <w:tab w:val="left" w:pos="720"/>
        </w:tabs>
        <w:autoSpaceDE w:val="0"/>
        <w:autoSpaceDN w:val="0"/>
        <w:adjustRightInd w:val="0"/>
        <w:spacing w:after="240"/>
        <w:jc w:val="center"/>
        <w:rPr>
          <w:b/>
          <w:bCs/>
        </w:rPr>
      </w:pPr>
      <w:r w:rsidRPr="007E1070">
        <w:rPr>
          <w:b/>
          <w:bCs/>
        </w:rPr>
        <w:t>Mesures antiterroristes et respect des droits garantis dans le Pacte</w:t>
      </w:r>
    </w:p>
    <w:p w:rsidR="00AB2B13" w:rsidRDefault="00AB2B13" w:rsidP="00AB2B13">
      <w:pPr>
        <w:spacing w:after="240"/>
        <w:ind w:left="567" w:hanging="567"/>
        <w:rPr>
          <w:szCs w:val="24"/>
          <w:lang w:val="fr-FR"/>
        </w:rPr>
      </w:pPr>
      <w:r>
        <w:rPr>
          <w:szCs w:val="24"/>
          <w:lang w:val="fr-FR"/>
        </w:rPr>
        <w:t>10.</w:t>
      </w:r>
      <w:r>
        <w:rPr>
          <w:szCs w:val="24"/>
          <w:lang w:val="fr-FR"/>
        </w:rPr>
        <w:tab/>
        <w:t>F</w:t>
      </w:r>
      <w:r w:rsidRPr="00C8417B">
        <w:rPr>
          <w:szCs w:val="24"/>
          <w:lang w:val="fr-FR"/>
        </w:rPr>
        <w:t>ournir des informations détaillées sur la législation en vigueur relative à la lutte antiterroriste, en particulier s</w:t>
      </w:r>
      <w:r>
        <w:rPr>
          <w:szCs w:val="24"/>
          <w:lang w:val="fr-FR"/>
        </w:rPr>
        <w:t>’</w:t>
      </w:r>
      <w:r w:rsidRPr="00C8417B">
        <w:rPr>
          <w:szCs w:val="24"/>
          <w:lang w:val="fr-FR"/>
        </w:rPr>
        <w:t>agissant de sa compatibilité avec le respect des droits garantis par le Pacte.</w:t>
      </w:r>
      <w:r>
        <w:rPr>
          <w:szCs w:val="24"/>
          <w:lang w:val="fr-FR"/>
        </w:rPr>
        <w:t xml:space="preserve"> </w:t>
      </w:r>
      <w:r>
        <w:t xml:space="preserve">Indiquer notamment si les textes législatifs comportent une définition du terrorisme, ainsi que toute dérogation au droit commun énoncée dans les lois antiterroristes ou dans des projets de loi en la matière. </w:t>
      </w:r>
    </w:p>
    <w:p w:rsidR="00AB2B13" w:rsidRPr="008F2B35" w:rsidRDefault="00AB2B13" w:rsidP="00AB2B13">
      <w:pPr>
        <w:keepNext/>
        <w:autoSpaceDE w:val="0"/>
        <w:autoSpaceDN w:val="0"/>
        <w:adjustRightInd w:val="0"/>
        <w:spacing w:after="240"/>
        <w:jc w:val="center"/>
        <w:rPr>
          <w:b/>
          <w:bCs/>
        </w:rPr>
      </w:pPr>
      <w:r w:rsidRPr="008F2B35">
        <w:rPr>
          <w:b/>
          <w:bCs/>
        </w:rPr>
        <w:t xml:space="preserve">Droit à la vie et interdiction de la torture et </w:t>
      </w:r>
      <w:r>
        <w:rPr>
          <w:b/>
          <w:bCs/>
        </w:rPr>
        <w:t xml:space="preserve">des </w:t>
      </w:r>
      <w:r w:rsidR="00F918D1">
        <w:rPr>
          <w:b/>
          <w:bCs/>
        </w:rPr>
        <w:t>traitements</w:t>
      </w:r>
      <w:r w:rsidR="00F918D1">
        <w:rPr>
          <w:b/>
          <w:bCs/>
        </w:rPr>
        <w:br/>
      </w:r>
      <w:r w:rsidR="007A7136">
        <w:rPr>
          <w:b/>
          <w:bCs/>
        </w:rPr>
        <w:t>cruels,</w:t>
      </w:r>
      <w:r w:rsidR="00F918D1" w:rsidRPr="008F2B35">
        <w:rPr>
          <w:b/>
          <w:bCs/>
        </w:rPr>
        <w:t xml:space="preserve"> </w:t>
      </w:r>
      <w:r w:rsidRPr="008F2B35">
        <w:rPr>
          <w:b/>
          <w:bCs/>
        </w:rPr>
        <w:t>inhumains ou dégradants</w:t>
      </w:r>
      <w:r w:rsidR="00F918D1">
        <w:rPr>
          <w:b/>
          <w:bCs/>
        </w:rPr>
        <w:br/>
      </w:r>
      <w:r w:rsidRPr="008F2B35">
        <w:rPr>
          <w:b/>
          <w:bCs/>
        </w:rPr>
        <w:t xml:space="preserve">(art. </w:t>
      </w:r>
      <w:r>
        <w:rPr>
          <w:b/>
          <w:bCs/>
        </w:rPr>
        <w:t xml:space="preserve">2, </w:t>
      </w:r>
      <w:r w:rsidRPr="008F2B35">
        <w:rPr>
          <w:b/>
          <w:bCs/>
        </w:rPr>
        <w:t xml:space="preserve">6 </w:t>
      </w:r>
      <w:r>
        <w:rPr>
          <w:b/>
          <w:bCs/>
        </w:rPr>
        <w:t>et</w:t>
      </w:r>
      <w:r w:rsidRPr="008F2B35">
        <w:rPr>
          <w:b/>
          <w:bCs/>
        </w:rPr>
        <w:t xml:space="preserve"> 7)</w:t>
      </w:r>
    </w:p>
    <w:p w:rsidR="00AB2B13" w:rsidRPr="008F2B35" w:rsidRDefault="00AB2B13" w:rsidP="00AB2B13">
      <w:pPr>
        <w:spacing w:after="240"/>
        <w:ind w:left="567" w:hanging="567"/>
      </w:pPr>
      <w:r>
        <w:t>11</w:t>
      </w:r>
      <w:r w:rsidRPr="008F2B35">
        <w:t>.</w:t>
      </w:r>
      <w:r w:rsidRPr="008F2B35">
        <w:tab/>
      </w:r>
      <w:r>
        <w:t xml:space="preserve">Donner </w:t>
      </w:r>
      <w:r w:rsidRPr="008F2B35">
        <w:t>des informations détaillées sur l</w:t>
      </w:r>
      <w:r>
        <w:t xml:space="preserve">a manière dont le pouvoir judiciaire </w:t>
      </w:r>
      <w:r w:rsidRPr="008F2B35">
        <w:t>appli</w:t>
      </w:r>
      <w:r>
        <w:t xml:space="preserve">que </w:t>
      </w:r>
      <w:r w:rsidRPr="008F2B35">
        <w:t>et interpr</w:t>
      </w:r>
      <w:r>
        <w:t xml:space="preserve">ète </w:t>
      </w:r>
      <w:r w:rsidRPr="008F2B35">
        <w:t>la loi d</w:t>
      </w:r>
      <w:r>
        <w:t>’</w:t>
      </w:r>
      <w:r w:rsidRPr="008F2B35">
        <w:t>amnistie</w:t>
      </w:r>
      <w:r>
        <w:t xml:space="preserve"> dans la pratique </w:t>
      </w:r>
      <w:r w:rsidRPr="008F2B35">
        <w:t xml:space="preserve">(précédentes observations finales, par. 11, </w:t>
      </w:r>
      <w:r>
        <w:t>Commentaires</w:t>
      </w:r>
      <w:r w:rsidRPr="00EA6900">
        <w:t xml:space="preserve"> du Gouvernement </w:t>
      </w:r>
      <w:r>
        <w:t>c</w:t>
      </w:r>
      <w:r w:rsidRPr="00EA6900">
        <w:t xml:space="preserve">roate </w:t>
      </w:r>
      <w:r>
        <w:t>au sujet d</w:t>
      </w:r>
      <w:r w:rsidRPr="00EA6900">
        <w:t>es observations finales, point 1</w:t>
      </w:r>
      <w:r>
        <w:t>1</w:t>
      </w:r>
      <w:r w:rsidRPr="00EA6900">
        <w:t>, p.</w:t>
      </w:r>
      <w:r w:rsidR="00F918D1">
        <w:t> </w:t>
      </w:r>
      <w:r w:rsidRPr="008F2B35">
        <w:t>4</w:t>
      </w:r>
      <w:r w:rsidR="00F918D1">
        <w:t> </w:t>
      </w:r>
      <w:r>
        <w:t>et </w:t>
      </w:r>
      <w:r w:rsidRPr="008F2B35">
        <w:t xml:space="preserve">5). </w:t>
      </w:r>
    </w:p>
    <w:p w:rsidR="00AB2B13" w:rsidRPr="00392310" w:rsidRDefault="00AB2B13" w:rsidP="00AB2B13">
      <w:pPr>
        <w:spacing w:after="240"/>
        <w:ind w:left="567" w:hanging="567"/>
      </w:pPr>
      <w:r w:rsidRPr="001A2CDF">
        <w:t>1</w:t>
      </w:r>
      <w:r>
        <w:t>2</w:t>
      </w:r>
      <w:r w:rsidRPr="001A2CDF">
        <w:t>.</w:t>
      </w:r>
      <w:r w:rsidRPr="001A2CDF">
        <w:tab/>
      </w:r>
      <w:r>
        <w:t xml:space="preserve">Donner </w:t>
      </w:r>
      <w:r w:rsidRPr="001A2CDF">
        <w:t xml:space="preserve">des </w:t>
      </w:r>
      <w:r>
        <w:t>précisions</w:t>
      </w:r>
      <w:r w:rsidRPr="001A2CDF">
        <w:t xml:space="preserve"> et </w:t>
      </w:r>
      <w:r>
        <w:t xml:space="preserve">fournir </w:t>
      </w:r>
      <w:r w:rsidRPr="001A2CDF">
        <w:t xml:space="preserve">des statistiques à jour </w:t>
      </w:r>
      <w:r>
        <w:t>concernant les enq</w:t>
      </w:r>
      <w:r w:rsidRPr="001A2CDF">
        <w:t>uête</w:t>
      </w:r>
      <w:r>
        <w:t xml:space="preserve">s </w:t>
      </w:r>
      <w:r w:rsidRPr="001A2CDF">
        <w:t>sur les crimes de guerre</w:t>
      </w:r>
      <w:r>
        <w:t xml:space="preserve"> menées par les instances nationales</w:t>
      </w:r>
      <w:r w:rsidRPr="001A2CDF">
        <w:t xml:space="preserve">, </w:t>
      </w:r>
      <w:r>
        <w:t>y compris</w:t>
      </w:r>
      <w:r w:rsidRPr="001A2CDF">
        <w:t xml:space="preserve"> des informations sur </w:t>
      </w:r>
      <w:r w:rsidRPr="0005744D">
        <w:t xml:space="preserve">les </w:t>
      </w:r>
      <w:r>
        <w:t>abandons de</w:t>
      </w:r>
      <w:r w:rsidRPr="0005744D">
        <w:t xml:space="preserve"> poursuites et sur la nature des chefs</w:t>
      </w:r>
      <w:r>
        <w:t xml:space="preserve"> d’accusation</w:t>
      </w:r>
      <w:r w:rsidRPr="001A2CDF">
        <w:t xml:space="preserve"> (précédentes</w:t>
      </w:r>
      <w:r>
        <w:t xml:space="preserve"> </w:t>
      </w:r>
      <w:r w:rsidRPr="001A2CDF">
        <w:t>observations finales, par. 10, rapport de l</w:t>
      </w:r>
      <w:r>
        <w:t>’</w:t>
      </w:r>
      <w:r w:rsidR="00B455D2">
        <w:t>État partie,</w:t>
      </w:r>
      <w:r w:rsidRPr="001A2CDF">
        <w:t xml:space="preserve"> par. 81, </w:t>
      </w:r>
      <w:r>
        <w:t>Commentaires</w:t>
      </w:r>
      <w:r w:rsidRPr="00EA6900">
        <w:t xml:space="preserve"> du Gouvernement </w:t>
      </w:r>
      <w:r>
        <w:t>c</w:t>
      </w:r>
      <w:r w:rsidRPr="00EA6900">
        <w:t xml:space="preserve">roate </w:t>
      </w:r>
      <w:r>
        <w:t>au sujet d</w:t>
      </w:r>
      <w:r w:rsidRPr="00EA6900">
        <w:t>es observations finales</w:t>
      </w:r>
      <w:r w:rsidRPr="001A2CDF">
        <w:t xml:space="preserve">, </w:t>
      </w:r>
      <w:r w:rsidRPr="0005744D">
        <w:t>point 11, p. 4 et 5).</w:t>
      </w:r>
      <w:r w:rsidRPr="001A2CDF">
        <w:t xml:space="preserve"> Comment l</w:t>
      </w:r>
      <w:r>
        <w:t>’</w:t>
      </w:r>
      <w:r w:rsidRPr="001A2CDF">
        <w:t xml:space="preserve">État partie </w:t>
      </w:r>
      <w:r>
        <w:t xml:space="preserve">s’est-il assuré </w:t>
      </w:r>
      <w:r w:rsidRPr="001A2CDF">
        <w:t xml:space="preserve">que </w:t>
      </w:r>
      <w:r>
        <w:t xml:space="preserve">les allégations de </w:t>
      </w:r>
      <w:r w:rsidRPr="001A2CDF">
        <w:t xml:space="preserve">crimes de guerre ont </w:t>
      </w:r>
      <w:r>
        <w:t>fait l’objet d’</w:t>
      </w:r>
      <w:r w:rsidRPr="001A2CDF">
        <w:t xml:space="preserve">enquêtes </w:t>
      </w:r>
      <w:r>
        <w:t xml:space="preserve">en vue </w:t>
      </w:r>
      <w:r w:rsidRPr="001A2CDF">
        <w:t>de poursuites, indépendamment de l</w:t>
      </w:r>
      <w:r>
        <w:t>’</w:t>
      </w:r>
      <w:r w:rsidRPr="001A2CDF">
        <w:t xml:space="preserve">appartenance ethnique des suspects? </w:t>
      </w:r>
      <w:r>
        <w:t>Commenter</w:t>
      </w:r>
      <w:r w:rsidRPr="001A2CDF">
        <w:t xml:space="preserve"> </w:t>
      </w:r>
      <w:r>
        <w:t>les informations indiquant que les</w:t>
      </w:r>
      <w:r w:rsidRPr="001A2CDF">
        <w:t xml:space="preserve"> poursuite</w:t>
      </w:r>
      <w:r>
        <w:t>s</w:t>
      </w:r>
      <w:r w:rsidRPr="001A2CDF">
        <w:t xml:space="preserve"> </w:t>
      </w:r>
      <w:r>
        <w:t xml:space="preserve">engagées pour </w:t>
      </w:r>
      <w:r w:rsidRPr="001A2CDF">
        <w:t xml:space="preserve">crimes de guerre </w:t>
      </w:r>
      <w:r>
        <w:t>feraient toujours</w:t>
      </w:r>
      <w:r w:rsidRPr="001A2CDF">
        <w:t xml:space="preserve"> </w:t>
      </w:r>
      <w:r>
        <w:t>l’objet d’un traitement</w:t>
      </w:r>
      <w:r w:rsidRPr="001A2CDF">
        <w:t xml:space="preserve"> discriminatoire</w:t>
      </w:r>
      <w:r>
        <w:t xml:space="preserve">. Commenter aussi les allégations selon lesquelles </w:t>
      </w:r>
      <w:r w:rsidRPr="001A2CDF">
        <w:t xml:space="preserve">de nombreux procès </w:t>
      </w:r>
      <w:r>
        <w:t>auraient</w:t>
      </w:r>
      <w:r w:rsidRPr="001A2CDF">
        <w:t xml:space="preserve"> eu lieu par contumace. </w:t>
      </w:r>
      <w:r>
        <w:t>Fournir des statistiques actualisées sur le nombre</w:t>
      </w:r>
      <w:r w:rsidRPr="001A2CDF">
        <w:t xml:space="preserve"> </w:t>
      </w:r>
      <w:r>
        <w:t>d’affaires</w:t>
      </w:r>
      <w:r w:rsidRPr="001A2CDF">
        <w:t xml:space="preserve"> </w:t>
      </w:r>
      <w:r>
        <w:t xml:space="preserve">dont </w:t>
      </w:r>
      <w:r w:rsidRPr="001A2CDF">
        <w:t xml:space="preserve">sont </w:t>
      </w:r>
      <w:r>
        <w:t>saisies</w:t>
      </w:r>
      <w:r w:rsidRPr="001A2CDF">
        <w:t xml:space="preserve"> les chambres </w:t>
      </w:r>
      <w:r>
        <w:t xml:space="preserve">spéciales des </w:t>
      </w:r>
      <w:r w:rsidRPr="001A2CDF">
        <w:t xml:space="preserve">tribunaux </w:t>
      </w:r>
      <w:r>
        <w:t xml:space="preserve">de comtés chargées </w:t>
      </w:r>
      <w:r w:rsidRPr="001A2CDF">
        <w:t>des crimes de guerre</w:t>
      </w:r>
      <w:r>
        <w:t>.</w:t>
      </w:r>
    </w:p>
    <w:p w:rsidR="00AB2B13" w:rsidRPr="00BE388F" w:rsidRDefault="00AB2B13" w:rsidP="00AB2B13">
      <w:pPr>
        <w:spacing w:after="240"/>
        <w:ind w:left="567" w:hanging="567"/>
      </w:pPr>
      <w:r w:rsidRPr="00BE388F">
        <w:t>1</w:t>
      </w:r>
      <w:r>
        <w:t>3</w:t>
      </w:r>
      <w:r w:rsidRPr="00BE388F">
        <w:t>.</w:t>
      </w:r>
      <w:r w:rsidRPr="00BE388F">
        <w:tab/>
      </w:r>
      <w:r>
        <w:t xml:space="preserve">Fournir des informations sur le degré de coopération avec le </w:t>
      </w:r>
      <w:r w:rsidRPr="00BE388F">
        <w:t>Tribunal pénal international pour l</w:t>
      </w:r>
      <w:r>
        <w:t xml:space="preserve">’ex-Yougoslavie (TPIY), y compris dans </w:t>
      </w:r>
      <w:r w:rsidR="00E06A46">
        <w:t>le cadre de l’opération «Storm».</w:t>
      </w:r>
    </w:p>
    <w:p w:rsidR="00AB2B13" w:rsidRPr="00BE388F" w:rsidRDefault="00AB2B13" w:rsidP="00AB2B13">
      <w:pPr>
        <w:spacing w:after="240"/>
        <w:ind w:left="567" w:hanging="567"/>
      </w:pPr>
      <w:r w:rsidRPr="00BE388F">
        <w:t>1</w:t>
      </w:r>
      <w:r>
        <w:t>4</w:t>
      </w:r>
      <w:r w:rsidRPr="00BE388F">
        <w:t>.</w:t>
      </w:r>
      <w:r w:rsidRPr="00BE388F">
        <w:tab/>
      </w:r>
      <w:r>
        <w:t xml:space="preserve">Donner </w:t>
      </w:r>
      <w:r w:rsidRPr="00BE388F">
        <w:t xml:space="preserve">des informations sur les mesures prises pour </w:t>
      </w:r>
      <w:r>
        <w:t>régler</w:t>
      </w:r>
      <w:r w:rsidRPr="00BE388F">
        <w:t xml:space="preserve"> en temps opportun et efficace</w:t>
      </w:r>
      <w:r>
        <w:t xml:space="preserve">ment </w:t>
      </w:r>
      <w:r w:rsidRPr="00BE388F">
        <w:t xml:space="preserve">les </w:t>
      </w:r>
      <w:r>
        <w:t>cas non résolus</w:t>
      </w:r>
      <w:r w:rsidRPr="00BE388F">
        <w:t xml:space="preserve"> de personnes disparues</w:t>
      </w:r>
      <w:r>
        <w:t>.</w:t>
      </w:r>
    </w:p>
    <w:p w:rsidR="00AB2B13" w:rsidRPr="00BE388F" w:rsidRDefault="00AB2B13" w:rsidP="00AB2B13">
      <w:pPr>
        <w:keepNext/>
        <w:autoSpaceDE w:val="0"/>
        <w:autoSpaceDN w:val="0"/>
        <w:adjustRightInd w:val="0"/>
        <w:spacing w:after="240"/>
        <w:jc w:val="center"/>
        <w:rPr>
          <w:b/>
          <w:bCs/>
        </w:rPr>
      </w:pPr>
      <w:r w:rsidRPr="00BE388F">
        <w:rPr>
          <w:b/>
          <w:bCs/>
        </w:rPr>
        <w:t>Élimination de l</w:t>
      </w:r>
      <w:r>
        <w:rPr>
          <w:b/>
          <w:bCs/>
        </w:rPr>
        <w:t>’</w:t>
      </w:r>
      <w:r w:rsidR="00F918D1">
        <w:rPr>
          <w:b/>
          <w:bCs/>
        </w:rPr>
        <w:t>esclavage et de la servitude</w:t>
      </w:r>
      <w:r w:rsidR="00F918D1">
        <w:rPr>
          <w:b/>
          <w:bCs/>
        </w:rPr>
        <w:br/>
      </w:r>
      <w:r w:rsidRPr="00BE388F">
        <w:rPr>
          <w:b/>
          <w:bCs/>
        </w:rPr>
        <w:t>(art. 8)</w:t>
      </w:r>
    </w:p>
    <w:p w:rsidR="00AB2B13" w:rsidRPr="001B4B75" w:rsidRDefault="00AB2B13" w:rsidP="00AB2B13">
      <w:pPr>
        <w:spacing w:after="240"/>
        <w:ind w:left="567" w:hanging="567"/>
      </w:pPr>
      <w:r>
        <w:t>15.</w:t>
      </w:r>
      <w:r>
        <w:tab/>
        <w:t>F</w:t>
      </w:r>
      <w:r w:rsidRPr="00BE388F">
        <w:t xml:space="preserve">ournir des statistiques et des </w:t>
      </w:r>
      <w:r>
        <w:t>renseignements</w:t>
      </w:r>
      <w:r w:rsidRPr="00BE388F">
        <w:t xml:space="preserve"> sur le nombre de condamnations et le type de sanctions imposées </w:t>
      </w:r>
      <w:r>
        <w:t>conformément à la loi p</w:t>
      </w:r>
      <w:r w:rsidRPr="00BE388F">
        <w:t>énal</w:t>
      </w:r>
      <w:r>
        <w:t>e</w:t>
      </w:r>
      <w:r w:rsidRPr="00BE388F">
        <w:t xml:space="preserve"> interdi</w:t>
      </w:r>
      <w:r>
        <w:t xml:space="preserve">sant </w:t>
      </w:r>
      <w:r w:rsidRPr="00BE388F">
        <w:t>la traite des êtres humains</w:t>
      </w:r>
      <w:r>
        <w:t xml:space="preserve"> </w:t>
      </w:r>
      <w:r w:rsidRPr="00BE388F">
        <w:t>(rapport de l</w:t>
      </w:r>
      <w:r>
        <w:t>’</w:t>
      </w:r>
      <w:r w:rsidR="00B455D2">
        <w:t>État partie,</w:t>
      </w:r>
      <w:r w:rsidRPr="00BE388F">
        <w:t xml:space="preserve"> par.</w:t>
      </w:r>
      <w:r>
        <w:t> </w:t>
      </w:r>
      <w:r w:rsidRPr="00BE388F">
        <w:t>122</w:t>
      </w:r>
      <w:r>
        <w:t xml:space="preserve"> à </w:t>
      </w:r>
      <w:r w:rsidRPr="00BE388F">
        <w:t>142). Quelles mesures ont été prises pour améliorer l</w:t>
      </w:r>
      <w:r>
        <w:t>’</w:t>
      </w:r>
      <w:r w:rsidRPr="00BE388F">
        <w:t xml:space="preserve">accès des victimes à des recours efficaces, </w:t>
      </w:r>
      <w:r>
        <w:t xml:space="preserve">à un </w:t>
      </w:r>
      <w:r w:rsidRPr="00BE388F">
        <w:t xml:space="preserve">abri, </w:t>
      </w:r>
      <w:r>
        <w:t xml:space="preserve">à des mesures de réinsertion, à une </w:t>
      </w:r>
      <w:r w:rsidRPr="00BE388F">
        <w:t xml:space="preserve">assistance juridique, </w:t>
      </w:r>
      <w:r>
        <w:t xml:space="preserve">à un </w:t>
      </w:r>
      <w:r w:rsidRPr="00BE388F">
        <w:t xml:space="preserve">interprète, </w:t>
      </w:r>
      <w:r>
        <w:t>à</w:t>
      </w:r>
      <w:r w:rsidRPr="00BE388F">
        <w:t xml:space="preserve"> la sécurité sociale et </w:t>
      </w:r>
      <w:r>
        <w:t>aux</w:t>
      </w:r>
      <w:r w:rsidRPr="00BE388F">
        <w:t xml:space="preserve"> services médicaux (rapport</w:t>
      </w:r>
      <w:r>
        <w:t> </w:t>
      </w:r>
      <w:r w:rsidRPr="00BE388F">
        <w:t>de l</w:t>
      </w:r>
      <w:r>
        <w:t>’</w:t>
      </w:r>
      <w:r w:rsidR="00B455D2">
        <w:t>État partie,</w:t>
      </w:r>
      <w:r w:rsidRPr="00BE388F">
        <w:t xml:space="preserve"> par.</w:t>
      </w:r>
      <w:r>
        <w:t> </w:t>
      </w:r>
      <w:r w:rsidRPr="00BE388F">
        <w:t>141)? L</w:t>
      </w:r>
      <w:r>
        <w:t>’</w:t>
      </w:r>
      <w:r w:rsidRPr="00BE388F">
        <w:t>État partie a</w:t>
      </w:r>
      <w:r>
        <w:t>-t-il</w:t>
      </w:r>
      <w:r w:rsidRPr="00BE388F">
        <w:t xml:space="preserve"> évalué l</w:t>
      </w:r>
      <w:r>
        <w:t>’</w:t>
      </w:r>
      <w:r w:rsidRPr="00BE388F">
        <w:t xml:space="preserve">efficacité des mesures </w:t>
      </w:r>
      <w:r>
        <w:t>de</w:t>
      </w:r>
      <w:r w:rsidRPr="00BE388F">
        <w:t xml:space="preserve"> sensibilis</w:t>
      </w:r>
      <w:r>
        <w:t>ation au problème de la traite</w:t>
      </w:r>
      <w:r w:rsidRPr="00BE388F">
        <w:t xml:space="preserve"> (rapport de l</w:t>
      </w:r>
      <w:r>
        <w:t>’</w:t>
      </w:r>
      <w:r w:rsidR="00B455D2">
        <w:t>État partie,</w:t>
      </w:r>
      <w:r w:rsidRPr="00BE388F">
        <w:t xml:space="preserve"> par.</w:t>
      </w:r>
      <w:r>
        <w:t> </w:t>
      </w:r>
      <w:r w:rsidRPr="00BE388F">
        <w:t>129</w:t>
      </w:r>
      <w:r>
        <w:t>,</w:t>
      </w:r>
      <w:r w:rsidRPr="00BE388F">
        <w:t xml:space="preserve"> 138</w:t>
      </w:r>
      <w:r>
        <w:t xml:space="preserve"> et </w:t>
      </w:r>
      <w:r w:rsidRPr="00BE388F">
        <w:t>139)?</w:t>
      </w:r>
      <w:r>
        <w:t xml:space="preserve"> </w:t>
      </w:r>
    </w:p>
    <w:p w:rsidR="00AB2B13" w:rsidRPr="001B4B75" w:rsidRDefault="00AB2B13" w:rsidP="00AB2B13">
      <w:pPr>
        <w:keepNext/>
        <w:autoSpaceDE w:val="0"/>
        <w:autoSpaceDN w:val="0"/>
        <w:adjustRightInd w:val="0"/>
        <w:spacing w:after="240"/>
        <w:jc w:val="center"/>
        <w:rPr>
          <w:b/>
          <w:bCs/>
        </w:rPr>
      </w:pPr>
      <w:r w:rsidRPr="001B4B75">
        <w:rPr>
          <w:b/>
          <w:bCs/>
        </w:rPr>
        <w:t>Liberté et sécurité de la person</w:t>
      </w:r>
      <w:r>
        <w:rPr>
          <w:b/>
          <w:bCs/>
        </w:rPr>
        <w:t>ne</w:t>
      </w:r>
      <w:r w:rsidRPr="001B4B75">
        <w:rPr>
          <w:b/>
          <w:bCs/>
        </w:rPr>
        <w:t xml:space="preserve"> </w:t>
      </w:r>
      <w:r>
        <w:rPr>
          <w:b/>
          <w:bCs/>
        </w:rPr>
        <w:t>et</w:t>
      </w:r>
      <w:r w:rsidRPr="001B4B75">
        <w:rPr>
          <w:b/>
          <w:bCs/>
        </w:rPr>
        <w:t xml:space="preserve"> tra</w:t>
      </w:r>
      <w:r>
        <w:rPr>
          <w:b/>
          <w:bCs/>
        </w:rPr>
        <w:t>i</w:t>
      </w:r>
      <w:r w:rsidRPr="001B4B75">
        <w:rPr>
          <w:b/>
          <w:bCs/>
        </w:rPr>
        <w:t>t</w:t>
      </w:r>
      <w:r>
        <w:rPr>
          <w:b/>
          <w:bCs/>
        </w:rPr>
        <w:t>e</w:t>
      </w:r>
      <w:r w:rsidRPr="001B4B75">
        <w:rPr>
          <w:b/>
          <w:bCs/>
        </w:rPr>
        <w:t xml:space="preserve">ment </w:t>
      </w:r>
      <w:r>
        <w:rPr>
          <w:b/>
          <w:bCs/>
        </w:rPr>
        <w:t>des</w:t>
      </w:r>
      <w:r w:rsidRPr="001B4B75">
        <w:rPr>
          <w:b/>
          <w:bCs/>
        </w:rPr>
        <w:t xml:space="preserve"> </w:t>
      </w:r>
      <w:r>
        <w:rPr>
          <w:b/>
          <w:bCs/>
        </w:rPr>
        <w:t>détenus</w:t>
      </w:r>
      <w:r w:rsidR="00F918D1">
        <w:rPr>
          <w:b/>
          <w:bCs/>
        </w:rPr>
        <w:br/>
      </w:r>
      <w:r w:rsidRPr="001B4B75">
        <w:rPr>
          <w:b/>
          <w:bCs/>
        </w:rPr>
        <w:t xml:space="preserve">(art. 9 </w:t>
      </w:r>
      <w:r>
        <w:rPr>
          <w:b/>
          <w:bCs/>
        </w:rPr>
        <w:t>et</w:t>
      </w:r>
      <w:r w:rsidRPr="001B4B75">
        <w:rPr>
          <w:b/>
          <w:bCs/>
        </w:rPr>
        <w:t xml:space="preserve"> 10)</w:t>
      </w:r>
    </w:p>
    <w:p w:rsidR="00AB2B13" w:rsidRPr="001B4B75" w:rsidRDefault="00AB2B13" w:rsidP="00AB2B13">
      <w:pPr>
        <w:spacing w:after="240"/>
        <w:ind w:left="567" w:hanging="567"/>
      </w:pPr>
      <w:r>
        <w:t>16.</w:t>
      </w:r>
      <w:r>
        <w:tab/>
        <w:t>Donner des informations et</w:t>
      </w:r>
      <w:r w:rsidRPr="001B4B75">
        <w:t xml:space="preserve"> des statistiques </w:t>
      </w:r>
      <w:r>
        <w:t>sur</w:t>
      </w:r>
      <w:r w:rsidRPr="001B4B75">
        <w:t xml:space="preserve"> le nombre de personnes en détention provisoire, la durée de la </w:t>
      </w:r>
      <w:r>
        <w:t>détention</w:t>
      </w:r>
      <w:r w:rsidRPr="001B4B75">
        <w:t xml:space="preserve"> et l</w:t>
      </w:r>
      <w:r>
        <w:t>’</w:t>
      </w:r>
      <w:r w:rsidRPr="001B4B75">
        <w:t xml:space="preserve">indemnisation octroyée </w:t>
      </w:r>
      <w:r>
        <w:t>en cas de</w:t>
      </w:r>
      <w:r w:rsidRPr="001B4B75">
        <w:t xml:space="preserve"> détention illégale (précédentes</w:t>
      </w:r>
      <w:r>
        <w:t xml:space="preserve"> </w:t>
      </w:r>
      <w:r w:rsidRPr="001B4B75">
        <w:t xml:space="preserve">observations finales, par. 13). </w:t>
      </w:r>
      <w:r>
        <w:t>I</w:t>
      </w:r>
      <w:r w:rsidRPr="001B4B75">
        <w:t xml:space="preserve">ndiquer </w:t>
      </w:r>
      <w:r>
        <w:t xml:space="preserve">en outre si les </w:t>
      </w:r>
      <w:r w:rsidRPr="001B4B75">
        <w:t xml:space="preserve">personnes en détention </w:t>
      </w:r>
      <w:r>
        <w:t>bénéficient d’</w:t>
      </w:r>
      <w:r w:rsidRPr="001B4B75">
        <w:t xml:space="preserve">un accès rapide et </w:t>
      </w:r>
      <w:r>
        <w:t xml:space="preserve">réel à une </w:t>
      </w:r>
      <w:r w:rsidRPr="001B4B75">
        <w:t xml:space="preserve">assistance juridique et médicale, </w:t>
      </w:r>
      <w:r>
        <w:t xml:space="preserve">conformément à la législation de </w:t>
      </w:r>
      <w:r w:rsidRPr="001B4B75">
        <w:t>l</w:t>
      </w:r>
      <w:r>
        <w:t>’État partie</w:t>
      </w:r>
      <w:r w:rsidRPr="001B4B75">
        <w:t xml:space="preserve">. </w:t>
      </w:r>
    </w:p>
    <w:p w:rsidR="00AB2B13" w:rsidRPr="00E12523" w:rsidRDefault="00AB2B13" w:rsidP="00AB2B13">
      <w:pPr>
        <w:spacing w:after="240"/>
        <w:ind w:left="567" w:hanging="567"/>
      </w:pPr>
      <w:r>
        <w:t>17.</w:t>
      </w:r>
      <w:r>
        <w:tab/>
      </w:r>
      <w:r w:rsidRPr="001B4B75">
        <w:t xml:space="preserve">Quels progrès ont été </w:t>
      </w:r>
      <w:r>
        <w:t>faits</w:t>
      </w:r>
      <w:r w:rsidRPr="001B4B75">
        <w:t xml:space="preserve"> en ce qui concerne l</w:t>
      </w:r>
      <w:r>
        <w:t>’</w:t>
      </w:r>
      <w:r w:rsidRPr="001B4B75">
        <w:t xml:space="preserve">amélioration des conditions matérielles de détention dans les </w:t>
      </w:r>
      <w:r>
        <w:t>postes de police</w:t>
      </w:r>
      <w:r w:rsidRPr="001B4B75">
        <w:t xml:space="preserve"> et les pris</w:t>
      </w:r>
      <w:r>
        <w:t>ons?</w:t>
      </w:r>
      <w:r w:rsidRPr="001B4B75">
        <w:t xml:space="preserve"> </w:t>
      </w:r>
      <w:r>
        <w:t xml:space="preserve">Indiquer les mesures prises pour réduire </w:t>
      </w:r>
      <w:r w:rsidRPr="001B4B75">
        <w:t>la surpopulation</w:t>
      </w:r>
      <w:r w:rsidR="00F16FB3">
        <w:t xml:space="preserve"> carcérale.</w:t>
      </w:r>
    </w:p>
    <w:p w:rsidR="00AB2B13" w:rsidRPr="000C5FE1" w:rsidRDefault="00AB2B13" w:rsidP="00AB2B13">
      <w:pPr>
        <w:keepNext/>
        <w:autoSpaceDE w:val="0"/>
        <w:autoSpaceDN w:val="0"/>
        <w:adjustRightInd w:val="0"/>
        <w:spacing w:after="240"/>
        <w:jc w:val="center"/>
        <w:rPr>
          <w:b/>
          <w:bCs/>
        </w:rPr>
      </w:pPr>
      <w:r w:rsidRPr="000C5FE1">
        <w:rPr>
          <w:b/>
          <w:bCs/>
        </w:rPr>
        <w:t xml:space="preserve">Liberté de circulation et protection </w:t>
      </w:r>
      <w:r>
        <w:rPr>
          <w:b/>
          <w:bCs/>
        </w:rPr>
        <w:t>contre les</w:t>
      </w:r>
      <w:r w:rsidRPr="000C5FE1">
        <w:rPr>
          <w:b/>
          <w:bCs/>
        </w:rPr>
        <w:t xml:space="preserve"> expulsion</w:t>
      </w:r>
      <w:r>
        <w:rPr>
          <w:b/>
          <w:bCs/>
        </w:rPr>
        <w:t>s</w:t>
      </w:r>
      <w:r w:rsidR="00F918D1">
        <w:rPr>
          <w:b/>
          <w:bCs/>
        </w:rPr>
        <w:br/>
      </w:r>
      <w:r w:rsidRPr="000C5FE1">
        <w:rPr>
          <w:b/>
          <w:bCs/>
        </w:rPr>
        <w:t>(art. 12 et 13)</w:t>
      </w:r>
    </w:p>
    <w:p w:rsidR="00AB2B13" w:rsidRPr="000C5FE1" w:rsidRDefault="00AB2B13" w:rsidP="00AB2B13">
      <w:pPr>
        <w:spacing w:after="240"/>
        <w:ind w:left="567" w:hanging="567"/>
      </w:pPr>
      <w:r>
        <w:t>18.</w:t>
      </w:r>
      <w:r>
        <w:tab/>
        <w:t xml:space="preserve">Donner des informations </w:t>
      </w:r>
      <w:r w:rsidRPr="000C5FE1">
        <w:t xml:space="preserve">et des statistiques sur la situation des </w:t>
      </w:r>
      <w:r>
        <w:t>personnes déplacées q</w:t>
      </w:r>
      <w:r w:rsidR="00567C1F">
        <w:t>ui souhaitent retourner dans l’É</w:t>
      </w:r>
      <w:r>
        <w:t>tat partie, et celles qui l’ont déjà fait</w:t>
      </w:r>
      <w:r w:rsidRPr="000C5FE1">
        <w:t xml:space="preserve">, </w:t>
      </w:r>
      <w:r>
        <w:t>notamment</w:t>
      </w:r>
      <w:r w:rsidRPr="000C5FE1">
        <w:t xml:space="preserve"> les mesures prises pour </w:t>
      </w:r>
      <w:r>
        <w:t>que leur</w:t>
      </w:r>
      <w:r w:rsidRPr="000C5FE1">
        <w:t xml:space="preserve"> retour </w:t>
      </w:r>
      <w:r>
        <w:t xml:space="preserve">soit </w:t>
      </w:r>
      <w:r w:rsidRPr="000C5FE1">
        <w:t>durable</w:t>
      </w:r>
      <w:r>
        <w:t xml:space="preserve"> et sûr − par exemple</w:t>
      </w:r>
      <w:r w:rsidRPr="000C5FE1">
        <w:t xml:space="preserve">, </w:t>
      </w:r>
      <w:r>
        <w:t>l</w:t>
      </w:r>
      <w:r w:rsidRPr="000C5FE1">
        <w:t xml:space="preserve">es mesures </w:t>
      </w:r>
      <w:r>
        <w:t>de</w:t>
      </w:r>
      <w:r w:rsidRPr="000C5FE1">
        <w:t xml:space="preserve"> ré</w:t>
      </w:r>
      <w:r>
        <w:t>insertion sociale et économique, et la restitution des biens fonciers</w:t>
      </w:r>
      <w:r w:rsidRPr="000C5FE1">
        <w:t xml:space="preserve"> (</w:t>
      </w:r>
      <w:r>
        <w:t>Commentaires</w:t>
      </w:r>
      <w:r w:rsidRPr="00EA6900">
        <w:t xml:space="preserve"> du Gouvernement </w:t>
      </w:r>
      <w:r>
        <w:t>c</w:t>
      </w:r>
      <w:r w:rsidRPr="00EA6900">
        <w:t xml:space="preserve">roate </w:t>
      </w:r>
      <w:r>
        <w:t>au sujet d</w:t>
      </w:r>
      <w:r w:rsidRPr="00EA6900">
        <w:t>es observations finales</w:t>
      </w:r>
      <w:r w:rsidRPr="001A2CDF">
        <w:t>, point</w:t>
      </w:r>
      <w:r>
        <w:t xml:space="preserve"> </w:t>
      </w:r>
      <w:r w:rsidRPr="000C5FE1">
        <w:t>22, p.</w:t>
      </w:r>
      <w:r>
        <w:t> </w:t>
      </w:r>
      <w:r w:rsidRPr="000C5FE1">
        <w:t>18)</w:t>
      </w:r>
      <w:r>
        <w:t>.</w:t>
      </w:r>
      <w:r w:rsidRPr="000C5FE1">
        <w:t xml:space="preserve"> </w:t>
      </w:r>
    </w:p>
    <w:p w:rsidR="00AB2B13" w:rsidRPr="008B6795" w:rsidRDefault="00AB2B13" w:rsidP="00AB2B13">
      <w:pPr>
        <w:spacing w:after="240"/>
        <w:ind w:left="567" w:hanging="567"/>
      </w:pPr>
      <w:r>
        <w:t>19.</w:t>
      </w:r>
      <w:r>
        <w:tab/>
      </w:r>
      <w:r w:rsidRPr="008B6795">
        <w:t xml:space="preserve">Indiquer le nombre de personnes déplacées </w:t>
      </w:r>
      <w:r>
        <w:t xml:space="preserve">qui </w:t>
      </w:r>
      <w:r w:rsidRPr="008B6795">
        <w:t>réside</w:t>
      </w:r>
      <w:r>
        <w:t>nt toujours</w:t>
      </w:r>
      <w:r w:rsidRPr="008B6795">
        <w:t xml:space="preserve"> dans des centres collectifs </w:t>
      </w:r>
      <w:r>
        <w:t xml:space="preserve">provisoires </w:t>
      </w:r>
      <w:r w:rsidRPr="008B6795">
        <w:t xml:space="preserve">et </w:t>
      </w:r>
      <w:r>
        <w:t>donner</w:t>
      </w:r>
      <w:r w:rsidRPr="008B6795">
        <w:t xml:space="preserve"> des informations sur les mécanismes en place pour </w:t>
      </w:r>
      <w:r>
        <w:t xml:space="preserve">permettre le retour des </w:t>
      </w:r>
      <w:r w:rsidRPr="008B6795">
        <w:t xml:space="preserve">personnes déplacées qui souhaitent </w:t>
      </w:r>
      <w:r>
        <w:t>rentrer</w:t>
      </w:r>
      <w:r w:rsidRPr="008B6795">
        <w:t xml:space="preserve">. </w:t>
      </w:r>
    </w:p>
    <w:p w:rsidR="00AB2B13" w:rsidRPr="008B6795" w:rsidRDefault="00AB2B13" w:rsidP="00AB2B13">
      <w:pPr>
        <w:spacing w:after="240"/>
        <w:ind w:left="567" w:hanging="567"/>
      </w:pPr>
      <w:r>
        <w:t>20</w:t>
      </w:r>
      <w:r w:rsidRPr="008B6795">
        <w:t>.</w:t>
      </w:r>
      <w:r w:rsidRPr="008B6795">
        <w:tab/>
      </w:r>
      <w:r>
        <w:t>Donner des renseignements complets sur</w:t>
      </w:r>
      <w:r w:rsidRPr="008B6795">
        <w:t xml:space="preserve"> les </w:t>
      </w:r>
      <w:r>
        <w:t xml:space="preserve">dispositions portant modification de </w:t>
      </w:r>
      <w:r w:rsidRPr="008B6795">
        <w:t xml:space="preserve">la loi sur les étrangers, </w:t>
      </w:r>
      <w:r>
        <w:t>notamment</w:t>
      </w:r>
      <w:r w:rsidRPr="008B6795">
        <w:t xml:space="preserve"> la date de leur adoption (rapport de l</w:t>
      </w:r>
      <w:r>
        <w:t>’</w:t>
      </w:r>
      <w:r w:rsidR="00B455D2">
        <w:t>État partie,</w:t>
      </w:r>
      <w:r w:rsidRPr="008B6795">
        <w:t xml:space="preserve"> par. 188).</w:t>
      </w:r>
    </w:p>
    <w:p w:rsidR="00AB2B13" w:rsidRPr="008B6795" w:rsidRDefault="00AB2B13" w:rsidP="00AB2B13">
      <w:pPr>
        <w:keepNext/>
        <w:autoSpaceDE w:val="0"/>
        <w:autoSpaceDN w:val="0"/>
        <w:adjustRightInd w:val="0"/>
        <w:spacing w:after="240"/>
        <w:jc w:val="center"/>
        <w:rPr>
          <w:b/>
          <w:bCs/>
        </w:rPr>
      </w:pPr>
      <w:r w:rsidRPr="008B6795">
        <w:rPr>
          <w:b/>
          <w:bCs/>
        </w:rPr>
        <w:t>Droit à un proc</w:t>
      </w:r>
      <w:r>
        <w:rPr>
          <w:b/>
          <w:bCs/>
        </w:rPr>
        <w:t>è</w:t>
      </w:r>
      <w:r w:rsidRPr="008B6795">
        <w:rPr>
          <w:b/>
          <w:bCs/>
        </w:rPr>
        <w:t xml:space="preserve">s </w:t>
      </w:r>
      <w:r>
        <w:rPr>
          <w:b/>
          <w:bCs/>
        </w:rPr>
        <w:t>é</w:t>
      </w:r>
      <w:r w:rsidRPr="008B6795">
        <w:rPr>
          <w:b/>
          <w:bCs/>
        </w:rPr>
        <w:t>quitable et droit à la reconnaissance</w:t>
      </w:r>
      <w:r>
        <w:rPr>
          <w:b/>
          <w:bCs/>
        </w:rPr>
        <w:br/>
      </w:r>
      <w:r w:rsidR="00F918D1">
        <w:rPr>
          <w:b/>
          <w:bCs/>
        </w:rPr>
        <w:t>de la personnalité juridique</w:t>
      </w:r>
      <w:r w:rsidR="00F918D1">
        <w:rPr>
          <w:b/>
          <w:bCs/>
        </w:rPr>
        <w:br/>
      </w:r>
      <w:r w:rsidRPr="008B6795">
        <w:rPr>
          <w:b/>
          <w:bCs/>
        </w:rPr>
        <w:t>(art. 14 et 16)</w:t>
      </w:r>
    </w:p>
    <w:p w:rsidR="00AB2B13" w:rsidRPr="008B6795" w:rsidRDefault="00AB2B13" w:rsidP="00AB2B13">
      <w:pPr>
        <w:spacing w:after="240"/>
        <w:ind w:left="567" w:hanging="567"/>
      </w:pPr>
      <w:r w:rsidRPr="008B6795">
        <w:t>2</w:t>
      </w:r>
      <w:r>
        <w:t>1</w:t>
      </w:r>
      <w:r w:rsidRPr="008B6795">
        <w:t>.</w:t>
      </w:r>
      <w:r w:rsidRPr="008B6795">
        <w:tab/>
      </w:r>
      <w:r>
        <w:t xml:space="preserve">Donner </w:t>
      </w:r>
      <w:r w:rsidRPr="008B6795">
        <w:t>des informations actualisées et détaillées sur la réforme de la justice (rapport de l</w:t>
      </w:r>
      <w:r>
        <w:t>’</w:t>
      </w:r>
      <w:r w:rsidR="00B455D2">
        <w:t>État partie,</w:t>
      </w:r>
      <w:r w:rsidRPr="008B6795">
        <w:t xml:space="preserve"> par. 295</w:t>
      </w:r>
      <w:r>
        <w:t xml:space="preserve"> à </w:t>
      </w:r>
      <w:r w:rsidRPr="008B6795">
        <w:t>316, précédentes</w:t>
      </w:r>
      <w:r>
        <w:t xml:space="preserve"> </w:t>
      </w:r>
      <w:r w:rsidRPr="008B6795">
        <w:t>observations finales, par. 16)</w:t>
      </w:r>
      <w:r>
        <w:t>.</w:t>
      </w:r>
      <w:r w:rsidRPr="008B6795">
        <w:t xml:space="preserve"> En particulier, comment </w:t>
      </w:r>
      <w:r>
        <w:t xml:space="preserve">fonctionne </w:t>
      </w:r>
      <w:r w:rsidRPr="008B6795">
        <w:t>dans la pratique</w:t>
      </w:r>
      <w:r>
        <w:t xml:space="preserve"> </w:t>
      </w:r>
      <w:r w:rsidRPr="008B6795">
        <w:t xml:space="preserve">le programme de </w:t>
      </w:r>
      <w:r>
        <w:t>règlement des</w:t>
      </w:r>
      <w:r w:rsidRPr="008B6795">
        <w:t xml:space="preserve"> </w:t>
      </w:r>
      <w:r>
        <w:t xml:space="preserve">affaires </w:t>
      </w:r>
      <w:r w:rsidRPr="008B6795">
        <w:t>ancien</w:t>
      </w:r>
      <w:r>
        <w:t>ne</w:t>
      </w:r>
      <w:r w:rsidRPr="008B6795">
        <w:t xml:space="preserve">s </w:t>
      </w:r>
      <w:r>
        <w:t>mis en place</w:t>
      </w:r>
      <w:r w:rsidRPr="008B6795">
        <w:t xml:space="preserve"> par la Cour suprême</w:t>
      </w:r>
      <w:r>
        <w:t xml:space="preserve"> </w:t>
      </w:r>
      <w:r w:rsidRPr="008B6795">
        <w:t>(rapport de l</w:t>
      </w:r>
      <w:r>
        <w:t>’</w:t>
      </w:r>
      <w:r w:rsidR="00B455D2">
        <w:t>État partie,</w:t>
      </w:r>
      <w:r w:rsidRPr="008B6795">
        <w:t xml:space="preserve"> par. 314)</w:t>
      </w:r>
      <w:r>
        <w:t>?</w:t>
      </w:r>
    </w:p>
    <w:p w:rsidR="00AB2B13" w:rsidRPr="00BF524F" w:rsidRDefault="00AB2B13" w:rsidP="00AB2B13">
      <w:pPr>
        <w:spacing w:after="240"/>
        <w:ind w:left="567" w:hanging="567"/>
      </w:pPr>
      <w:r w:rsidRPr="00BF524F">
        <w:t>2</w:t>
      </w:r>
      <w:r>
        <w:t>2</w:t>
      </w:r>
      <w:r w:rsidRPr="00BF524F">
        <w:t>.</w:t>
      </w:r>
      <w:r w:rsidRPr="00BF524F">
        <w:tab/>
      </w:r>
      <w:r>
        <w:t xml:space="preserve">Donner </w:t>
      </w:r>
      <w:r w:rsidRPr="00BF524F">
        <w:t>des informations sur les mesures prises pour garantir que l</w:t>
      </w:r>
      <w:r>
        <w:t>’</w:t>
      </w:r>
      <w:r w:rsidRPr="00BF524F">
        <w:t xml:space="preserve">accès à la citoyenneté est accordé </w:t>
      </w:r>
      <w:r>
        <w:t>sans</w:t>
      </w:r>
      <w:r w:rsidRPr="00BF524F">
        <w:t xml:space="preserve"> discriminat</w:t>
      </w:r>
      <w:r>
        <w:t>ion</w:t>
      </w:r>
      <w:r w:rsidRPr="00BF524F">
        <w:t xml:space="preserve">, y compris </w:t>
      </w:r>
      <w:r>
        <w:t>aux</w:t>
      </w:r>
      <w:r w:rsidRPr="00BF524F">
        <w:t xml:space="preserve"> membres de tous les groupes minoritaires</w:t>
      </w:r>
      <w:r>
        <w:t>.</w:t>
      </w:r>
    </w:p>
    <w:p w:rsidR="00AB2B13" w:rsidRPr="003567B8" w:rsidRDefault="00AB2B13" w:rsidP="00AB2B13">
      <w:pPr>
        <w:keepNext/>
        <w:autoSpaceDE w:val="0"/>
        <w:autoSpaceDN w:val="0"/>
        <w:adjustRightInd w:val="0"/>
        <w:spacing w:after="240"/>
        <w:jc w:val="center"/>
        <w:rPr>
          <w:b/>
          <w:bCs/>
        </w:rPr>
      </w:pPr>
      <w:r w:rsidRPr="003567B8">
        <w:rPr>
          <w:b/>
          <w:bCs/>
        </w:rPr>
        <w:t>Liberté d</w:t>
      </w:r>
      <w:r>
        <w:rPr>
          <w:b/>
          <w:bCs/>
        </w:rPr>
        <w:t>’</w:t>
      </w:r>
      <w:r w:rsidR="00F918D1">
        <w:rPr>
          <w:b/>
          <w:bCs/>
        </w:rPr>
        <w:t>expression</w:t>
      </w:r>
      <w:r w:rsidR="00F918D1">
        <w:rPr>
          <w:b/>
          <w:bCs/>
        </w:rPr>
        <w:br/>
      </w:r>
      <w:r w:rsidRPr="003567B8">
        <w:rPr>
          <w:b/>
          <w:bCs/>
        </w:rPr>
        <w:t>(art. 19)</w:t>
      </w:r>
    </w:p>
    <w:p w:rsidR="00AB2B13" w:rsidRPr="00BF524F" w:rsidRDefault="00AB2B13" w:rsidP="00AB2B13">
      <w:pPr>
        <w:spacing w:after="240"/>
        <w:ind w:left="567" w:hanging="567"/>
      </w:pPr>
      <w:r w:rsidRPr="00BF524F">
        <w:t>2</w:t>
      </w:r>
      <w:r>
        <w:t>3</w:t>
      </w:r>
      <w:r w:rsidRPr="00BF524F">
        <w:t>.</w:t>
      </w:r>
      <w:r w:rsidRPr="00BF524F">
        <w:tab/>
      </w:r>
      <w:r w:rsidRPr="00562D79">
        <w:t xml:space="preserve">Commenter les informations </w:t>
      </w:r>
      <w:r>
        <w:t>indiquant</w:t>
      </w:r>
      <w:r w:rsidRPr="00562D79">
        <w:t xml:space="preserve"> que </w:t>
      </w:r>
      <w:r>
        <w:t>peu de cas</w:t>
      </w:r>
      <w:r w:rsidRPr="00BF524F">
        <w:t xml:space="preserve"> d</w:t>
      </w:r>
      <w:r>
        <w:t>’</w:t>
      </w:r>
      <w:r w:rsidRPr="00BF524F">
        <w:t xml:space="preserve">agressions physiques, </w:t>
      </w:r>
      <w:r>
        <w:t xml:space="preserve">de </w:t>
      </w:r>
      <w:r w:rsidRPr="00BF524F">
        <w:t xml:space="preserve">menaces de mort et autres </w:t>
      </w:r>
      <w:r>
        <w:t>manœuvres d’</w:t>
      </w:r>
      <w:r w:rsidRPr="00BF524F">
        <w:t xml:space="preserve">intimidation </w:t>
      </w:r>
      <w:r>
        <w:t>visant d</w:t>
      </w:r>
      <w:r w:rsidRPr="00BF524F">
        <w:t xml:space="preserve">es journalistes, </w:t>
      </w:r>
      <w:r>
        <w:t>en particulier</w:t>
      </w:r>
      <w:r w:rsidRPr="00BF524F">
        <w:t xml:space="preserve"> ceux qui </w:t>
      </w:r>
      <w:r>
        <w:t>f</w:t>
      </w:r>
      <w:r w:rsidRPr="00BF524F">
        <w:t xml:space="preserve">ont </w:t>
      </w:r>
      <w:r>
        <w:t>des</w:t>
      </w:r>
      <w:r w:rsidRPr="00BF524F">
        <w:t xml:space="preserve"> recherche</w:t>
      </w:r>
      <w:r>
        <w:t>s</w:t>
      </w:r>
      <w:r w:rsidRPr="00BF524F">
        <w:t xml:space="preserve"> sur les crimes de guerre, </w:t>
      </w:r>
      <w:r>
        <w:t>f</w:t>
      </w:r>
      <w:r w:rsidRPr="00BF524F">
        <w:t xml:space="preserve">ont </w:t>
      </w:r>
      <w:r>
        <w:t>l’objet d’une</w:t>
      </w:r>
      <w:r w:rsidRPr="00BF524F">
        <w:t xml:space="preserve"> enquête et de poursuites</w:t>
      </w:r>
      <w:r>
        <w:t>.</w:t>
      </w:r>
      <w:r w:rsidRPr="00BF524F">
        <w:t xml:space="preserve"> </w:t>
      </w:r>
    </w:p>
    <w:p w:rsidR="00AB2B13" w:rsidRPr="00BF524F" w:rsidRDefault="00AB2B13" w:rsidP="00AB2B13">
      <w:pPr>
        <w:keepNext/>
        <w:autoSpaceDE w:val="0"/>
        <w:autoSpaceDN w:val="0"/>
        <w:adjustRightInd w:val="0"/>
        <w:spacing w:after="240"/>
        <w:jc w:val="center"/>
        <w:rPr>
          <w:b/>
          <w:bCs/>
        </w:rPr>
      </w:pPr>
      <w:r w:rsidRPr="00BF524F">
        <w:rPr>
          <w:b/>
          <w:bCs/>
        </w:rPr>
        <w:t xml:space="preserve">Droit de prendre part à la direction des affaires publiques et </w:t>
      </w:r>
      <w:r>
        <w:rPr>
          <w:b/>
          <w:bCs/>
        </w:rPr>
        <w:t xml:space="preserve">droits </w:t>
      </w:r>
      <w:r>
        <w:rPr>
          <w:b/>
          <w:bCs/>
        </w:rPr>
        <w:br/>
        <w:t xml:space="preserve">des </w:t>
      </w:r>
      <w:r w:rsidRPr="00BF524F">
        <w:rPr>
          <w:b/>
          <w:bCs/>
        </w:rPr>
        <w:t xml:space="preserve">personnes appartenant à </w:t>
      </w:r>
      <w:r>
        <w:rPr>
          <w:b/>
          <w:bCs/>
        </w:rPr>
        <w:t>d</w:t>
      </w:r>
      <w:r w:rsidR="00F918D1">
        <w:rPr>
          <w:b/>
          <w:bCs/>
        </w:rPr>
        <w:t>es minorités</w:t>
      </w:r>
      <w:r w:rsidR="00F918D1">
        <w:rPr>
          <w:b/>
          <w:bCs/>
        </w:rPr>
        <w:br/>
      </w:r>
      <w:r w:rsidRPr="00BF524F">
        <w:rPr>
          <w:b/>
          <w:bCs/>
        </w:rPr>
        <w:t>(art. 25</w:t>
      </w:r>
      <w:r>
        <w:rPr>
          <w:b/>
          <w:bCs/>
        </w:rPr>
        <w:t>, 26</w:t>
      </w:r>
      <w:r w:rsidRPr="00BF524F">
        <w:rPr>
          <w:b/>
          <w:bCs/>
        </w:rPr>
        <w:t xml:space="preserve"> et 27)</w:t>
      </w:r>
    </w:p>
    <w:p w:rsidR="00AB2B13" w:rsidRPr="00BF524F" w:rsidRDefault="00AB2B13" w:rsidP="00AB2B13">
      <w:pPr>
        <w:spacing w:after="240"/>
        <w:ind w:left="567" w:hanging="567"/>
      </w:pPr>
      <w:r>
        <w:t>24.</w:t>
      </w:r>
      <w:r>
        <w:tab/>
        <w:t>I</w:t>
      </w:r>
      <w:r w:rsidRPr="00BF524F">
        <w:t>ndiquer si l</w:t>
      </w:r>
      <w:r>
        <w:t>’</w:t>
      </w:r>
      <w:r w:rsidRPr="00BF524F">
        <w:t xml:space="preserve">application de la législation </w:t>
      </w:r>
      <w:r>
        <w:t>relative au</w:t>
      </w:r>
      <w:r w:rsidRPr="00BF524F">
        <w:t xml:space="preserve"> droit des membres des minorités nationales de </w:t>
      </w:r>
      <w:r>
        <w:t xml:space="preserve">prendre </w:t>
      </w:r>
      <w:r w:rsidRPr="00BF524F">
        <w:t xml:space="preserve">part à la conduite des affaires publiques </w:t>
      </w:r>
      <w:r>
        <w:t>a permis de parvenir à</w:t>
      </w:r>
      <w:r w:rsidRPr="00BF524F">
        <w:t xml:space="preserve"> une représentation </w:t>
      </w:r>
      <w:r>
        <w:t>appropriée</w:t>
      </w:r>
      <w:r w:rsidRPr="00BF524F">
        <w:t xml:space="preserve"> et équitable des </w:t>
      </w:r>
      <w:r w:rsidRPr="007604A8">
        <w:t xml:space="preserve">minorités </w:t>
      </w:r>
      <w:r>
        <w:t>aux</w:t>
      </w:r>
      <w:r w:rsidRPr="007604A8">
        <w:t xml:space="preserve"> postes </w:t>
      </w:r>
      <w:r>
        <w:t>de l’État</w:t>
      </w:r>
      <w:r w:rsidRPr="00BF524F">
        <w:t xml:space="preserve">, </w:t>
      </w:r>
      <w:r>
        <w:t xml:space="preserve">de </w:t>
      </w:r>
      <w:r w:rsidRPr="00BF524F">
        <w:t xml:space="preserve">la magistrature et </w:t>
      </w:r>
      <w:r>
        <w:t>du</w:t>
      </w:r>
      <w:r w:rsidRPr="00BF524F">
        <w:t xml:space="preserve"> service</w:t>
      </w:r>
      <w:r>
        <w:t xml:space="preserve"> public (rapport de l’</w:t>
      </w:r>
      <w:r w:rsidR="00B455D2">
        <w:t>État partie,</w:t>
      </w:r>
      <w:r>
        <w:t xml:space="preserve"> par</w:t>
      </w:r>
      <w:r w:rsidRPr="00BF524F">
        <w:t>. 594, 596, 600</w:t>
      </w:r>
      <w:r>
        <w:t xml:space="preserve"> à </w:t>
      </w:r>
      <w:r w:rsidRPr="00BF524F">
        <w:t>611, 637, 640</w:t>
      </w:r>
      <w:r>
        <w:t xml:space="preserve"> et </w:t>
      </w:r>
      <w:r w:rsidRPr="00BF524F">
        <w:t>641, précédentes</w:t>
      </w:r>
      <w:r>
        <w:t xml:space="preserve"> </w:t>
      </w:r>
      <w:r w:rsidRPr="00BF524F">
        <w:t>observations finales, par. 22)</w:t>
      </w:r>
      <w:r>
        <w:t>.</w:t>
      </w:r>
      <w:r w:rsidRPr="00BF524F">
        <w:t xml:space="preserve"> </w:t>
      </w:r>
      <w:r w:rsidRPr="003567B8">
        <w:t xml:space="preserve">Expliquer pourquoi </w:t>
      </w:r>
      <w:r>
        <w:t xml:space="preserve">la Constitution ne reconnaît pas les </w:t>
      </w:r>
      <w:r w:rsidRPr="003567B8">
        <w:t xml:space="preserve">Roms </w:t>
      </w:r>
      <w:r>
        <w:t>en tant que</w:t>
      </w:r>
      <w:r w:rsidRPr="003567B8">
        <w:t xml:space="preserve"> minorité nationale (rapport de l</w:t>
      </w:r>
      <w:r>
        <w:t>’</w:t>
      </w:r>
      <w:r w:rsidR="00B455D2">
        <w:t>État partie,</w:t>
      </w:r>
      <w:r w:rsidRPr="003567B8">
        <w:t xml:space="preserve"> par.</w:t>
      </w:r>
      <w:r>
        <w:t> </w:t>
      </w:r>
      <w:r w:rsidRPr="003567B8">
        <w:t>620)</w:t>
      </w:r>
      <w:r>
        <w:t>.</w:t>
      </w:r>
      <w:r w:rsidRPr="003567B8">
        <w:t xml:space="preserve"> Indiquer </w:t>
      </w:r>
      <w:r>
        <w:t>quels</w:t>
      </w:r>
      <w:r w:rsidRPr="003567B8">
        <w:t xml:space="preserve"> groupes minoritaires sont protégés en vertu de la Loi constitutionnelle de 2002 sur les droits des minorités nationales dans la République de Croatie (rapport de l</w:t>
      </w:r>
      <w:r>
        <w:t>’</w:t>
      </w:r>
      <w:r w:rsidR="00B455D2">
        <w:t>État partie,</w:t>
      </w:r>
      <w:r>
        <w:t xml:space="preserve"> par. 622).</w:t>
      </w:r>
    </w:p>
    <w:p w:rsidR="00AB2B13" w:rsidRPr="003567B8" w:rsidRDefault="00AB2B13" w:rsidP="00AB2B13">
      <w:pPr>
        <w:spacing w:after="240"/>
        <w:ind w:left="567" w:hanging="567"/>
      </w:pPr>
      <w:r w:rsidRPr="003567B8">
        <w:t>2</w:t>
      </w:r>
      <w:r>
        <w:t>5</w:t>
      </w:r>
      <w:r w:rsidRPr="003567B8">
        <w:t>.</w:t>
      </w:r>
      <w:r w:rsidRPr="003567B8">
        <w:tab/>
      </w:r>
      <w:r>
        <w:t>Donner</w:t>
      </w:r>
      <w:r w:rsidRPr="003567B8">
        <w:t xml:space="preserve"> des informations sur la jouissance effective par les membres des minorités ethniques, religieuses et linguistiques</w:t>
      </w:r>
      <w:r>
        <w:t xml:space="preserve"> </w:t>
      </w:r>
      <w:r w:rsidRPr="003567B8">
        <w:t>des droits énoncés à l</w:t>
      </w:r>
      <w:r>
        <w:t>’</w:t>
      </w:r>
      <w:r w:rsidRPr="003567B8">
        <w:t>article 27 du Pacte</w:t>
      </w:r>
      <w:r>
        <w:t>,</w:t>
      </w:r>
      <w:r w:rsidRPr="003567B8">
        <w:t xml:space="preserve"> y compris des statistiques sur l</w:t>
      </w:r>
      <w:r>
        <w:t>’</w:t>
      </w:r>
      <w:r w:rsidRPr="003567B8">
        <w:t>utilisation effective des langues minoritaires dans les organ</w:t>
      </w:r>
      <w:r>
        <w:t>ism</w:t>
      </w:r>
      <w:r w:rsidRPr="003567B8">
        <w:t xml:space="preserve">es publics et des </w:t>
      </w:r>
      <w:r>
        <w:t>précisions</w:t>
      </w:r>
      <w:r w:rsidRPr="003567B8">
        <w:t xml:space="preserve"> sur l</w:t>
      </w:r>
      <w:r>
        <w:t>’</w:t>
      </w:r>
      <w:r w:rsidRPr="003567B8">
        <w:t>enseignement dans les langues minoritaires dans la pratique (rapport de l</w:t>
      </w:r>
      <w:r>
        <w:t>’</w:t>
      </w:r>
      <w:r w:rsidR="00B455D2">
        <w:t>État partie,</w:t>
      </w:r>
      <w:r w:rsidRPr="003567B8">
        <w:t xml:space="preserve"> par. 623</w:t>
      </w:r>
      <w:r>
        <w:t xml:space="preserve"> à </w:t>
      </w:r>
      <w:r w:rsidRPr="003567B8">
        <w:t>631</w:t>
      </w:r>
      <w:r>
        <w:t xml:space="preserve"> et</w:t>
      </w:r>
      <w:r w:rsidRPr="003567B8">
        <w:t xml:space="preserve"> 644</w:t>
      </w:r>
      <w:r>
        <w:t xml:space="preserve"> à </w:t>
      </w:r>
      <w:r w:rsidRPr="003567B8">
        <w:t>657, précédentes</w:t>
      </w:r>
      <w:r>
        <w:t xml:space="preserve"> </w:t>
      </w:r>
      <w:r w:rsidR="00A94C27">
        <w:t>observations finales, par. </w:t>
      </w:r>
      <w:r w:rsidRPr="003567B8">
        <w:t xml:space="preserve">22, </w:t>
      </w:r>
      <w:r>
        <w:t>Commentaires</w:t>
      </w:r>
      <w:r w:rsidRPr="00EA6900">
        <w:t xml:space="preserve"> du Gouvernement </w:t>
      </w:r>
      <w:r>
        <w:t>c</w:t>
      </w:r>
      <w:r w:rsidRPr="00EA6900">
        <w:t xml:space="preserve">roate </w:t>
      </w:r>
      <w:r>
        <w:t>au sujet d</w:t>
      </w:r>
      <w:r w:rsidRPr="00EA6900">
        <w:t>es observations finales</w:t>
      </w:r>
      <w:r>
        <w:t xml:space="preserve">, </w:t>
      </w:r>
      <w:r w:rsidRPr="003567B8">
        <w:t>point 22, p</w:t>
      </w:r>
      <w:r>
        <w:t>.</w:t>
      </w:r>
      <w:r w:rsidRPr="003567B8">
        <w:t xml:space="preserve"> 17</w:t>
      </w:r>
      <w:r>
        <w:t xml:space="preserve"> et </w:t>
      </w:r>
      <w:r w:rsidRPr="003567B8">
        <w:t>18)</w:t>
      </w:r>
      <w:r>
        <w:t>.</w:t>
      </w:r>
      <w:r w:rsidRPr="003567B8">
        <w:t xml:space="preserve"> </w:t>
      </w:r>
    </w:p>
    <w:p w:rsidR="00AB2B13" w:rsidRPr="003567B8" w:rsidRDefault="00AB2B13" w:rsidP="00AB2B13">
      <w:pPr>
        <w:keepNext/>
        <w:autoSpaceDE w:val="0"/>
        <w:autoSpaceDN w:val="0"/>
        <w:adjustRightInd w:val="0"/>
        <w:spacing w:after="240"/>
        <w:jc w:val="center"/>
        <w:rPr>
          <w:b/>
          <w:bCs/>
        </w:rPr>
      </w:pPr>
      <w:r>
        <w:rPr>
          <w:b/>
          <w:bCs/>
        </w:rPr>
        <w:t xml:space="preserve">Diffusion d’informations concernant le Pacte et le </w:t>
      </w:r>
      <w:r w:rsidRPr="003567B8">
        <w:rPr>
          <w:b/>
          <w:bCs/>
        </w:rPr>
        <w:t>Protocol</w:t>
      </w:r>
      <w:r>
        <w:rPr>
          <w:b/>
          <w:bCs/>
        </w:rPr>
        <w:t>e facultatif</w:t>
      </w:r>
      <w:r w:rsidR="00F918D1">
        <w:rPr>
          <w:b/>
          <w:bCs/>
        </w:rPr>
        <w:br/>
      </w:r>
      <w:r w:rsidRPr="003567B8">
        <w:rPr>
          <w:b/>
          <w:bCs/>
        </w:rPr>
        <w:t>(art. 2)</w:t>
      </w:r>
    </w:p>
    <w:p w:rsidR="00AB2B13" w:rsidRDefault="00AB2B13" w:rsidP="00AB2B13">
      <w:pPr>
        <w:spacing w:after="240"/>
        <w:ind w:left="567" w:hanging="567"/>
      </w:pPr>
      <w:r>
        <w:t>26.</w:t>
      </w:r>
      <w:r>
        <w:tab/>
        <w:t xml:space="preserve">Donner </w:t>
      </w:r>
      <w:r w:rsidRPr="003567B8">
        <w:t>des informations sur les mesures prises pour diffuser des informations sur le Pacte et les Protocoles facultatifs, la présentation du deuxième rapport périodique de l</w:t>
      </w:r>
      <w:r>
        <w:t>’</w:t>
      </w:r>
      <w:r w:rsidRPr="003567B8">
        <w:t xml:space="preserve">État partie, son examen par le Comité et </w:t>
      </w:r>
      <w:r>
        <w:t>l</w:t>
      </w:r>
      <w:r w:rsidRPr="003567B8">
        <w:t xml:space="preserve">es précédentes observations finales </w:t>
      </w:r>
      <w:r>
        <w:t>du</w:t>
      </w:r>
      <w:r w:rsidRPr="003567B8">
        <w:t xml:space="preserve"> Comité </w:t>
      </w:r>
      <w:r>
        <w:t>sur le rapport initial de</w:t>
      </w:r>
      <w:r w:rsidRPr="003567B8">
        <w:t xml:space="preserve"> l</w:t>
      </w:r>
      <w:r>
        <w:t>’État partie</w:t>
      </w:r>
      <w:r w:rsidRPr="003567B8">
        <w:t xml:space="preserve">, dans toutes les </w:t>
      </w:r>
      <w:r>
        <w:t xml:space="preserve">principales </w:t>
      </w:r>
      <w:r w:rsidRPr="003567B8">
        <w:t xml:space="preserve">langues </w:t>
      </w:r>
      <w:r>
        <w:t xml:space="preserve">parlées dans </w:t>
      </w:r>
      <w:r w:rsidRPr="003567B8">
        <w:t>l</w:t>
      </w:r>
      <w:r>
        <w:t>’</w:t>
      </w:r>
      <w:r w:rsidRPr="003567B8">
        <w:t xml:space="preserve">État partie. </w:t>
      </w:r>
      <w:r>
        <w:t>Donner</w:t>
      </w:r>
      <w:r w:rsidRPr="003567B8">
        <w:t xml:space="preserve"> également des informations sur la participation </w:t>
      </w:r>
      <w:r>
        <w:t xml:space="preserve">au </w:t>
      </w:r>
      <w:r w:rsidRPr="003567B8">
        <w:t xml:space="preserve">processus </w:t>
      </w:r>
      <w:r>
        <w:t xml:space="preserve">préparatoire </w:t>
      </w:r>
      <w:r w:rsidRPr="003567B8">
        <w:t xml:space="preserve">de représentants des groupes ethniques et minoritaires et de la société civile, </w:t>
      </w:r>
      <w:r>
        <w:t>d’</w:t>
      </w:r>
      <w:r w:rsidRPr="003567B8">
        <w:t xml:space="preserve">organisations non gouvernementales et </w:t>
      </w:r>
      <w:r>
        <w:t>d’</w:t>
      </w:r>
      <w:r w:rsidRPr="003567B8">
        <w:t>institutions nationales des droits de l</w:t>
      </w:r>
      <w:r>
        <w:t>’homme</w:t>
      </w:r>
      <w:r w:rsidRPr="003567B8">
        <w:t>.</w:t>
      </w:r>
    </w:p>
    <w:p w:rsidR="00E61E9E" w:rsidRDefault="00AB2B13" w:rsidP="00AB2B13">
      <w:pPr>
        <w:spacing w:after="240"/>
        <w:jc w:val="center"/>
      </w:pPr>
      <w:r>
        <w:t>-----</w:t>
      </w:r>
    </w:p>
    <w:sectPr w:rsidR="00E61E9E" w:rsidSect="00C900FE">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160" w:rsidRDefault="00AC3160">
      <w:r>
        <w:separator/>
      </w:r>
    </w:p>
  </w:endnote>
  <w:endnote w:type="continuationSeparator" w:id="0">
    <w:p w:rsidR="00AC3160" w:rsidRDefault="00AC3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13" w:rsidRDefault="00AB2B13">
    <w:pPr>
      <w:pStyle w:val="Footer"/>
      <w:spacing w:before="240"/>
    </w:pPr>
    <w:r>
      <w:t>GE.09</w:t>
    </w:r>
    <w:r>
      <w:noBreakHyphen/>
      <w:t xml:space="preserve">42198 (F)    </w:t>
    </w:r>
    <w:r w:rsidR="0089551C">
      <w:t>220509    250509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160" w:rsidRDefault="00AC3160">
      <w:r>
        <w:separator/>
      </w:r>
    </w:p>
  </w:footnote>
  <w:footnote w:type="continuationSeparator" w:id="0">
    <w:p w:rsidR="00AC3160" w:rsidRDefault="00AC3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13" w:rsidRDefault="00AB2B13">
    <w:pPr>
      <w:pStyle w:val="Header"/>
    </w:pPr>
    <w:r>
      <w:t>CCPR/C/HRV/Q/2</w:t>
    </w:r>
  </w:p>
  <w:p w:rsidR="00AB2B13" w:rsidRDefault="00AB2B13">
    <w:pPr>
      <w:pStyle w:val="Header"/>
    </w:pPr>
    <w:r>
      <w:t xml:space="preserve">page </w:t>
    </w:r>
    <w:fldSimple w:instr=" PAGE  \* MERGEFORMAT ">
      <w:r w:rsidR="009E7E17">
        <w:rPr>
          <w:noProof/>
        </w:rPr>
        <w:t>4</w:t>
      </w:r>
    </w:fldSimple>
  </w:p>
  <w:p w:rsidR="00AB2B13" w:rsidRDefault="00AB2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13" w:rsidRDefault="00AB2B13" w:rsidP="00C900FE">
    <w:pPr>
      <w:pStyle w:val="Header"/>
      <w:tabs>
        <w:tab w:val="clear" w:pos="4320"/>
        <w:tab w:val="clear" w:pos="8640"/>
        <w:tab w:val="left" w:pos="6803"/>
      </w:tabs>
    </w:pPr>
    <w:r>
      <w:tab/>
      <w:t>CCPR/C/HRV/Q/2</w:t>
    </w:r>
  </w:p>
  <w:p w:rsidR="00AB2B13" w:rsidRDefault="00AB2B13" w:rsidP="00C900FE">
    <w:pPr>
      <w:pStyle w:val="Header"/>
      <w:tabs>
        <w:tab w:val="clear" w:pos="4320"/>
        <w:tab w:val="clear" w:pos="8640"/>
        <w:tab w:val="left" w:pos="6803"/>
      </w:tabs>
    </w:pPr>
    <w:r>
      <w:tab/>
      <w:t xml:space="preserve">page </w:t>
    </w:r>
    <w:fldSimple w:instr=" PAGE  \* MERGEFORMAT ">
      <w:r w:rsidR="009E7E17">
        <w:rPr>
          <w:noProof/>
        </w:rPr>
        <w:t>5</w:t>
      </w:r>
    </w:fldSimple>
  </w:p>
  <w:p w:rsidR="00AB2B13" w:rsidRDefault="00AB2B13" w:rsidP="00C900FE">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fr-FR" w:vendorID="9" w:dllVersion="512" w:checkStyle="1"/>
  <w:proofState w:spelling="clean" w:grammar="clean"/>
  <w:attachedTemplate r:id="rId1"/>
  <w:stylePaneFormatFilter w:val="300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0DCC"/>
    <w:rsid w:val="001B0334"/>
    <w:rsid w:val="00365EBC"/>
    <w:rsid w:val="00386432"/>
    <w:rsid w:val="003A13D5"/>
    <w:rsid w:val="003A2145"/>
    <w:rsid w:val="003E7391"/>
    <w:rsid w:val="004633C6"/>
    <w:rsid w:val="004A0DCC"/>
    <w:rsid w:val="005534E5"/>
    <w:rsid w:val="00567C1F"/>
    <w:rsid w:val="00606278"/>
    <w:rsid w:val="007A7136"/>
    <w:rsid w:val="0089551C"/>
    <w:rsid w:val="009E7E17"/>
    <w:rsid w:val="00A94C27"/>
    <w:rsid w:val="00AB2B13"/>
    <w:rsid w:val="00AC3160"/>
    <w:rsid w:val="00B455D2"/>
    <w:rsid w:val="00C245F3"/>
    <w:rsid w:val="00C900FE"/>
    <w:rsid w:val="00CD0B15"/>
    <w:rsid w:val="00E06A46"/>
    <w:rsid w:val="00E61E9E"/>
    <w:rsid w:val="00ED04AF"/>
    <w:rsid w:val="00F16FB3"/>
    <w:rsid w:val="00F918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1993</Words>
  <Characters>11189</Characters>
  <Application>Microsoft Office Outlook</Application>
  <DocSecurity>4</DocSecurity>
  <Lines>190</Lines>
  <Paragraphs>47</Paragraphs>
  <ScaleCrop>false</ScaleCrop>
  <HeadingPairs>
    <vt:vector size="2" baseType="variant">
      <vt:variant>
        <vt:lpstr>Titre</vt:lpstr>
      </vt:variant>
      <vt:variant>
        <vt:i4>1</vt:i4>
      </vt:variant>
    </vt:vector>
  </HeadingPairs>
  <TitlesOfParts>
    <vt:vector size="1" baseType="lpstr">
      <vt:lpstr>CCPR/C/HRV/Q/2</vt:lpstr>
    </vt:vector>
  </TitlesOfParts>
  <Manager>e.bourion</Manager>
  <Company>ONU</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CCPR/C/HRV/Q/2</dc:title>
  <dc:subject/>
  <dc:creator>Lamy Sylvie</dc:creator>
  <cp:keywords/>
  <dc:description/>
  <cp:lastModifiedBy>e.bourion</cp:lastModifiedBy>
  <cp:revision>2</cp:revision>
  <cp:lastPrinted>2009-05-25T07:56:00Z</cp:lastPrinted>
  <dcterms:created xsi:type="dcterms:W3CDTF">2009-05-25T10:26:00Z</dcterms:created>
  <dcterms:modified xsi:type="dcterms:W3CDTF">2009-05-25T10:26:00Z</dcterms:modified>
</cp:coreProperties>
</file>