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CD3BD7"/>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CD3BD7" w:rsidP="00CD3BD7">
            <w:pPr>
              <w:jc w:val="right"/>
            </w:pPr>
            <w:r w:rsidRPr="00CD3BD7">
              <w:rPr>
                <w:sz w:val="40"/>
              </w:rPr>
              <w:t>CERD</w:t>
            </w:r>
            <w:r>
              <w:t>/C/KHM/14-17</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467ECB">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CD3BD7" w:rsidP="009D5F1A">
            <w:pPr>
              <w:spacing w:before="240"/>
            </w:pPr>
            <w:proofErr w:type="spellStart"/>
            <w:r>
              <w:t>Distr</w:t>
            </w:r>
            <w:proofErr w:type="spellEnd"/>
            <w:r>
              <w:t>. générale</w:t>
            </w:r>
          </w:p>
          <w:p w:rsidR="00CD3BD7" w:rsidRDefault="00CD3BD7" w:rsidP="00CD3BD7">
            <w:pPr>
              <w:spacing w:line="240" w:lineRule="exact"/>
            </w:pPr>
            <w:r>
              <w:t>15 novembre 2018</w:t>
            </w:r>
          </w:p>
          <w:p w:rsidR="00CD3BD7" w:rsidRDefault="00CD3BD7" w:rsidP="00CD3BD7">
            <w:pPr>
              <w:spacing w:line="240" w:lineRule="exact"/>
            </w:pPr>
            <w:r>
              <w:t>Français</w:t>
            </w:r>
          </w:p>
          <w:p w:rsidR="00CD3BD7" w:rsidRDefault="00CD3BD7" w:rsidP="00CD3BD7">
            <w:pPr>
              <w:spacing w:line="240" w:lineRule="exact"/>
            </w:pPr>
            <w:r>
              <w:t>Original : anglais</w:t>
            </w:r>
          </w:p>
          <w:p w:rsidR="00AD4A15" w:rsidRPr="00DB58B5" w:rsidRDefault="00AD4A15" w:rsidP="00CD3BD7">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w:t>
      </w:r>
      <w:r w:rsidR="00467ECB">
        <w:rPr>
          <w:b/>
          <w:sz w:val="24"/>
          <w:szCs w:val="24"/>
        </w:rPr>
        <w:t>’</w:t>
      </w:r>
      <w:r w:rsidRPr="00C56102">
        <w:rPr>
          <w:b/>
          <w:sz w:val="24"/>
          <w:szCs w:val="24"/>
        </w:rPr>
        <w:t>élimination de la discrimination raciale</w:t>
      </w:r>
    </w:p>
    <w:p w:rsidR="00D552F7" w:rsidRPr="004B488D" w:rsidRDefault="00D552F7" w:rsidP="00D552F7">
      <w:pPr>
        <w:pStyle w:val="HMG"/>
      </w:pPr>
      <w:r>
        <w:rPr>
          <w:lang w:val="fr-FR"/>
        </w:rPr>
        <w:tab/>
      </w:r>
      <w:r>
        <w:rPr>
          <w:lang w:val="fr-FR"/>
        </w:rPr>
        <w:tab/>
        <w:t xml:space="preserve">Rapport valant quatorzième à dix-septième rapports périodiques soumis par le Cambodge </w:t>
      </w:r>
      <w:r>
        <w:rPr>
          <w:lang w:val="fr-FR"/>
        </w:rPr>
        <w:br/>
        <w:t xml:space="preserve">en </w:t>
      </w:r>
      <w:r w:rsidRPr="00D552F7">
        <w:t>application</w:t>
      </w:r>
      <w:r>
        <w:rPr>
          <w:lang w:val="fr-FR"/>
        </w:rPr>
        <w:t xml:space="preserve"> de l</w:t>
      </w:r>
      <w:r w:rsidR="00467ECB">
        <w:rPr>
          <w:lang w:val="fr-FR"/>
        </w:rPr>
        <w:t>’</w:t>
      </w:r>
      <w:r>
        <w:rPr>
          <w:lang w:val="fr-FR"/>
        </w:rPr>
        <w:t>article 9 de la Convention, attendu en 2012</w:t>
      </w:r>
      <w:r w:rsidRPr="00F25006">
        <w:rPr>
          <w:b w:val="0"/>
          <w:sz w:val="20"/>
          <w:szCs w:val="10"/>
          <w:lang w:val="fr-FR"/>
        </w:rPr>
        <w:footnoteReference w:customMarkFollows="1" w:id="2"/>
        <w:t>*</w:t>
      </w:r>
    </w:p>
    <w:p w:rsidR="00D552F7" w:rsidRDefault="00D552F7" w:rsidP="00D552F7">
      <w:pPr>
        <w:pStyle w:val="SingleTxtG"/>
        <w:jc w:val="right"/>
        <w:rPr>
          <w:lang w:val="fr-FR"/>
        </w:rPr>
      </w:pPr>
      <w:r>
        <w:rPr>
          <w:lang w:val="fr-FR"/>
        </w:rPr>
        <w:t>[Date de réception : 26 septembre 2018]</w:t>
      </w:r>
    </w:p>
    <w:p w:rsidR="00E35EC8" w:rsidRPr="00E35EC8" w:rsidRDefault="00D552F7" w:rsidP="00136391">
      <w:pPr>
        <w:pStyle w:val="HChG"/>
      </w:pPr>
      <w:r>
        <w:rPr>
          <w:lang w:val="fr-FR"/>
        </w:rPr>
        <w:br w:type="page"/>
      </w:r>
      <w:r w:rsidR="00E35EC8" w:rsidRPr="00E35EC8">
        <w:rPr>
          <w:lang w:val="fr-FR"/>
        </w:rPr>
        <w:lastRenderedPageBreak/>
        <w:tab/>
      </w:r>
      <w:r w:rsidR="00E35EC8" w:rsidRPr="00E35EC8">
        <w:rPr>
          <w:lang w:val="fr-FR"/>
        </w:rPr>
        <w:tab/>
        <w:t>Section 1</w:t>
      </w:r>
    </w:p>
    <w:p w:rsidR="00E35EC8" w:rsidRPr="00E35EC8" w:rsidRDefault="00E35EC8" w:rsidP="00136391">
      <w:pPr>
        <w:pStyle w:val="HChG"/>
      </w:pPr>
      <w:r w:rsidRPr="00E35EC8">
        <w:rPr>
          <w:lang w:val="fr-FR"/>
        </w:rPr>
        <w:tab/>
      </w:r>
      <w:r w:rsidRPr="00E35EC8">
        <w:rPr>
          <w:lang w:val="fr-FR"/>
        </w:rPr>
        <w:tab/>
        <w:t>Introduction</w:t>
      </w:r>
    </w:p>
    <w:p w:rsidR="00E35EC8" w:rsidRPr="00E35EC8" w:rsidRDefault="00E35EC8" w:rsidP="00136391">
      <w:pPr>
        <w:pStyle w:val="SingleTxtG"/>
      </w:pPr>
      <w:r w:rsidRPr="00E35EC8">
        <w:rPr>
          <w:lang w:val="fr-FR"/>
        </w:rPr>
        <w:t>1.</w:t>
      </w:r>
      <w:r w:rsidRPr="00E35EC8">
        <w:rPr>
          <w:lang w:val="fr-FR"/>
        </w:rPr>
        <w:tab/>
        <w:t>Le Cambodge a une population d</w:t>
      </w:r>
      <w:r w:rsidR="00467ECB">
        <w:rPr>
          <w:lang w:val="fr-FR"/>
        </w:rPr>
        <w:t>’</w:t>
      </w:r>
      <w:r w:rsidRPr="00E35EC8">
        <w:rPr>
          <w:lang w:val="fr-FR"/>
        </w:rPr>
        <w:t>environ 15 883 250 habitants, pour une superficie de 181 035 kilomètres carrés, et comprend une capitale, 24 provinces, 26 villes, 12 </w:t>
      </w:r>
      <w:r w:rsidRPr="00E35EC8">
        <w:rPr>
          <w:i/>
          <w:iCs/>
          <w:lang w:val="fr-FR"/>
        </w:rPr>
        <w:t>khan</w:t>
      </w:r>
      <w:r w:rsidRPr="00E35EC8">
        <w:rPr>
          <w:lang w:val="fr-FR"/>
        </w:rPr>
        <w:t>, 159 districts, 1 406 communes et 14 116 villages</w:t>
      </w:r>
      <w:r w:rsidRPr="00DA58EE">
        <w:rPr>
          <w:rStyle w:val="Appelnotedebasdep"/>
        </w:rPr>
        <w:footnoteReference w:id="3"/>
      </w:r>
      <w:r w:rsidRPr="00E35EC8">
        <w:rPr>
          <w:lang w:val="fr-FR"/>
        </w:rPr>
        <w:t>.</w:t>
      </w:r>
    </w:p>
    <w:p w:rsidR="00E35EC8" w:rsidRPr="00E35EC8" w:rsidRDefault="00E35EC8" w:rsidP="00136391">
      <w:pPr>
        <w:pStyle w:val="SingleTxtG"/>
      </w:pPr>
      <w:r w:rsidRPr="00E35EC8">
        <w:rPr>
          <w:lang w:val="fr-FR"/>
        </w:rPr>
        <w:t>2.</w:t>
      </w:r>
      <w:r w:rsidRPr="00E35EC8">
        <w:rPr>
          <w:lang w:val="fr-FR"/>
        </w:rPr>
        <w:tab/>
        <w:t>Le Cambodge est un pays en développement. Son taux moyen de croissance économique, de 7</w:t>
      </w:r>
      <w:r w:rsidR="00136391">
        <w:rPr>
          <w:lang w:val="fr-FR"/>
        </w:rPr>
        <w:t> </w:t>
      </w:r>
      <w:r w:rsidRPr="00E35EC8">
        <w:rPr>
          <w:lang w:val="fr-FR"/>
        </w:rPr>
        <w:t>% au cours des deux dernières décennies, est toujours à la hausse, se situant à quelque 7,1</w:t>
      </w:r>
      <w:r w:rsidR="00136391">
        <w:rPr>
          <w:lang w:val="fr-FR"/>
        </w:rPr>
        <w:t> </w:t>
      </w:r>
      <w:r w:rsidRPr="00E35EC8">
        <w:rPr>
          <w:lang w:val="fr-FR"/>
        </w:rPr>
        <w:t>% en 2017, et cette tendance devrait se maintenir cette année. En 2016, le produit intérieur brut du Cambodge était de 20,02 milliards de dollars des États</w:t>
      </w:r>
      <w:r w:rsidR="00136391">
        <w:rPr>
          <w:lang w:val="fr-FR"/>
        </w:rPr>
        <w:noBreakHyphen/>
      </w:r>
      <w:r w:rsidRPr="00E35EC8">
        <w:rPr>
          <w:lang w:val="fr-FR"/>
        </w:rPr>
        <w:t>Unis, son produit intérieur brut moyen par habitant s</w:t>
      </w:r>
      <w:r w:rsidR="00467ECB">
        <w:rPr>
          <w:lang w:val="fr-FR"/>
        </w:rPr>
        <w:t>’</w:t>
      </w:r>
      <w:r w:rsidRPr="00E35EC8">
        <w:rPr>
          <w:lang w:val="fr-FR"/>
        </w:rPr>
        <w:t>élevant à 1 435 dollars en 2017. Ces facteurs ont permis au Cambodge, anciennement pays à faible revenu, de se hisser au rang des pays à revenu moyen inférieur, le taux de pauvreté ayant été ramené de 53 % en 2004 à 11,5 % en 2015</w:t>
      </w:r>
      <w:r w:rsidRPr="00DA58EE">
        <w:rPr>
          <w:rStyle w:val="Appelnotedebasdep"/>
        </w:rPr>
        <w:footnoteReference w:id="4"/>
      </w:r>
      <w:r w:rsidRPr="00E35EC8">
        <w:rPr>
          <w:lang w:val="fr-FR"/>
        </w:rPr>
        <w:t>.</w:t>
      </w:r>
    </w:p>
    <w:p w:rsidR="00E35EC8" w:rsidRPr="00E35EC8" w:rsidRDefault="00E35EC8" w:rsidP="00E35EC8">
      <w:pPr>
        <w:pStyle w:val="SingleTxtG"/>
      </w:pPr>
      <w:r w:rsidRPr="00E35EC8">
        <w:rPr>
          <w:lang w:val="fr-FR"/>
        </w:rPr>
        <w:t>3.</w:t>
      </w:r>
      <w:r w:rsidRPr="00E35EC8">
        <w:rPr>
          <w:lang w:val="fr-FR"/>
        </w:rPr>
        <w:tab/>
        <w:t>Le Cambodge est signataire de la Convention internationale sur l</w:t>
      </w:r>
      <w:r w:rsidR="00467ECB">
        <w:rPr>
          <w:lang w:val="fr-FR"/>
        </w:rPr>
        <w:t>’</w:t>
      </w:r>
      <w:r w:rsidRPr="00E35EC8">
        <w:rPr>
          <w:lang w:val="fr-FR"/>
        </w:rPr>
        <w:t>élimination de toutes les formes de discrimination raciale, adoptée par l</w:t>
      </w:r>
      <w:r w:rsidR="00467ECB">
        <w:rPr>
          <w:lang w:val="fr-FR"/>
        </w:rPr>
        <w:t>’</w:t>
      </w:r>
      <w:r w:rsidRPr="00E35EC8">
        <w:rPr>
          <w:lang w:val="fr-FR"/>
        </w:rPr>
        <w:t>Assemblée générale des Nations</w:t>
      </w:r>
      <w:r w:rsidR="00EF5498">
        <w:rPr>
          <w:lang w:val="fr-FR"/>
        </w:rPr>
        <w:t> </w:t>
      </w:r>
      <w:r w:rsidRPr="00E35EC8">
        <w:rPr>
          <w:lang w:val="fr-FR"/>
        </w:rPr>
        <w:t>Unies le 21 décembre 1965 et entrée en vigueur le 4 janvier 1969 conformément aux dispositions de l</w:t>
      </w:r>
      <w:r w:rsidR="00467ECB">
        <w:rPr>
          <w:lang w:val="fr-FR"/>
        </w:rPr>
        <w:t>’</w:t>
      </w:r>
      <w:r w:rsidRPr="00E35EC8">
        <w:rPr>
          <w:lang w:val="fr-FR"/>
        </w:rPr>
        <w:t>article 19. Le Cambodge est devenu partie à la Convention le</w:t>
      </w:r>
      <w:r w:rsidR="001846A6">
        <w:rPr>
          <w:lang w:val="fr-FR"/>
        </w:rPr>
        <w:t xml:space="preserve"> </w:t>
      </w:r>
      <w:r w:rsidRPr="00E35EC8">
        <w:rPr>
          <w:lang w:val="fr-FR"/>
        </w:rPr>
        <w:t>28</w:t>
      </w:r>
      <w:r w:rsidR="001846A6">
        <w:rPr>
          <w:lang w:val="fr-FR"/>
        </w:rPr>
        <w:t> </w:t>
      </w:r>
      <w:r w:rsidRPr="00E35EC8">
        <w:rPr>
          <w:lang w:val="fr-FR"/>
        </w:rPr>
        <w:t>novembre 1983. Le Gouvernement royal du Cambodge (le « Gouvernement »), comme le dispose l</w:t>
      </w:r>
      <w:r w:rsidR="00467ECB">
        <w:rPr>
          <w:lang w:val="fr-FR"/>
        </w:rPr>
        <w:t>’</w:t>
      </w:r>
      <w:r w:rsidRPr="00E35EC8">
        <w:rPr>
          <w:lang w:val="fr-FR"/>
        </w:rPr>
        <w:t>article 31 de la Constitution du Royaume du Cambodge, reconnaît et respecte tous les principes inscrits dans la Convention.</w:t>
      </w:r>
    </w:p>
    <w:p w:rsidR="00E35EC8" w:rsidRPr="00E35EC8" w:rsidRDefault="00E35EC8" w:rsidP="00E35EC8">
      <w:pPr>
        <w:pStyle w:val="SingleTxtG"/>
      </w:pPr>
      <w:r w:rsidRPr="00E35EC8">
        <w:rPr>
          <w:lang w:val="fr-FR"/>
        </w:rPr>
        <w:t>4.</w:t>
      </w:r>
      <w:r w:rsidRPr="00E35EC8">
        <w:rPr>
          <w:lang w:val="fr-FR"/>
        </w:rPr>
        <w:tab/>
        <w:t>Conformément à l</w:t>
      </w:r>
      <w:r w:rsidR="00467ECB">
        <w:rPr>
          <w:lang w:val="fr-FR"/>
        </w:rPr>
        <w:t>’</w:t>
      </w:r>
      <w:r w:rsidRPr="00E35EC8">
        <w:rPr>
          <w:lang w:val="fr-FR"/>
        </w:rPr>
        <w:t>article 9 de la Convention, le Gouvernement a soumis son premier rapport au Comité pour l</w:t>
      </w:r>
      <w:r w:rsidR="00467ECB">
        <w:rPr>
          <w:lang w:val="fr-FR"/>
        </w:rPr>
        <w:t>’</w:t>
      </w:r>
      <w:r w:rsidRPr="00E35EC8">
        <w:rPr>
          <w:lang w:val="fr-FR"/>
        </w:rPr>
        <w:t>élimination de la discrimination raciale le 23 décembre 2008, année du treizième rapport périodique. Le présent rapport, relatif à la période 2009</w:t>
      </w:r>
      <w:r w:rsidR="00EF5498">
        <w:rPr>
          <w:lang w:val="fr-FR"/>
        </w:rPr>
        <w:noBreakHyphen/>
      </w:r>
      <w:r w:rsidRPr="00E35EC8">
        <w:rPr>
          <w:lang w:val="fr-FR"/>
        </w:rPr>
        <w:t>2017, regroupe les quatorzième à seizième rapports, soumis en réponse aux recommandations formulées par le Comité.</w:t>
      </w:r>
    </w:p>
    <w:p w:rsidR="00E35EC8" w:rsidRPr="00E35EC8" w:rsidRDefault="00E35EC8" w:rsidP="00136391">
      <w:pPr>
        <w:pStyle w:val="HChG"/>
      </w:pPr>
      <w:r w:rsidRPr="00E35EC8">
        <w:rPr>
          <w:lang w:val="fr-FR"/>
        </w:rPr>
        <w:tab/>
      </w:r>
      <w:r w:rsidRPr="00E35EC8">
        <w:rPr>
          <w:lang w:val="fr-FR"/>
        </w:rPr>
        <w:tab/>
        <w:t>Section 2</w:t>
      </w:r>
    </w:p>
    <w:p w:rsidR="00E35EC8" w:rsidRPr="00E35EC8" w:rsidRDefault="00E35EC8" w:rsidP="00136391">
      <w:pPr>
        <w:pStyle w:val="HChG"/>
      </w:pPr>
      <w:r w:rsidRPr="00E35EC8">
        <w:rPr>
          <w:lang w:val="fr-FR"/>
        </w:rPr>
        <w:tab/>
      </w:r>
      <w:r w:rsidRPr="00E35EC8">
        <w:rPr>
          <w:lang w:val="fr-FR"/>
        </w:rPr>
        <w:tab/>
        <w:t>Mise en œuvre des recommandations du Comité</w:t>
      </w:r>
    </w:p>
    <w:p w:rsidR="00E35EC8" w:rsidRPr="00E35EC8" w:rsidRDefault="00136391" w:rsidP="00136391">
      <w:pPr>
        <w:pStyle w:val="H1G"/>
      </w:pPr>
      <w:r>
        <w:rPr>
          <w:lang w:val="fr-FR"/>
        </w:rPr>
        <w:tab/>
        <w:t>1.</w:t>
      </w:r>
      <w:r>
        <w:rPr>
          <w:lang w:val="fr-FR"/>
        </w:rPr>
        <w:tab/>
      </w:r>
      <w:r w:rsidR="00E35EC8" w:rsidRPr="00E35EC8">
        <w:rPr>
          <w:lang w:val="fr-FR"/>
        </w:rPr>
        <w:t xml:space="preserve">Situation économique et sociale des peuples autochtones (recommandations </w:t>
      </w:r>
      <w:r w:rsidR="00107D3A" w:rsidRPr="00107D3A">
        <w:rPr>
          <w:rFonts w:eastAsia="MS Mincho"/>
          <w:szCs w:val="22"/>
          <w:lang w:val="fr-FR"/>
        </w:rPr>
        <w:t>n</w:t>
      </w:r>
      <w:r w:rsidR="00107D3A" w:rsidRPr="00107D3A">
        <w:rPr>
          <w:rFonts w:eastAsia="MS Mincho"/>
          <w:szCs w:val="22"/>
          <w:vertAlign w:val="superscript"/>
          <w:lang w:val="fr-FR"/>
        </w:rPr>
        <w:t>o</w:t>
      </w:r>
      <w:r w:rsidR="00E35EC8" w:rsidRPr="00E35EC8">
        <w:rPr>
          <w:vertAlign w:val="superscript"/>
          <w:lang w:val="fr-FR"/>
        </w:rPr>
        <w:t>s</w:t>
      </w:r>
      <w:r w:rsidR="00C333BF" w:rsidRPr="00C333BF">
        <w:rPr>
          <w:lang w:val="fr-FR"/>
        </w:rPr>
        <w:t xml:space="preserve"> </w:t>
      </w:r>
      <w:r w:rsidR="00E35EC8" w:rsidRPr="00E35EC8">
        <w:rPr>
          <w:lang w:val="fr-FR"/>
        </w:rPr>
        <w:t>12, 16 et 20)</w:t>
      </w:r>
    </w:p>
    <w:p w:rsidR="00E35EC8" w:rsidRPr="00E35EC8" w:rsidRDefault="00E35EC8" w:rsidP="00145B94">
      <w:pPr>
        <w:pStyle w:val="H23G"/>
      </w:pPr>
      <w:r w:rsidRPr="00E35EC8">
        <w:rPr>
          <w:lang w:val="fr-FR"/>
        </w:rPr>
        <w:tab/>
      </w:r>
      <w:r w:rsidRPr="00E35EC8">
        <w:rPr>
          <w:lang w:val="fr-FR"/>
        </w:rPr>
        <w:tab/>
        <w:t>Recommandation n</w:t>
      </w:r>
      <w:r w:rsidRPr="00E35EC8">
        <w:rPr>
          <w:vertAlign w:val="superscript"/>
          <w:lang w:val="fr-FR"/>
        </w:rPr>
        <w:t>o</w:t>
      </w:r>
      <w:r w:rsidRPr="00E35EC8">
        <w:rPr>
          <w:lang w:val="fr-FR"/>
        </w:rPr>
        <w:t> 12</w:t>
      </w:r>
    </w:p>
    <w:p w:rsidR="0053469E" w:rsidRDefault="00E35EC8" w:rsidP="00E35EC8">
      <w:pPr>
        <w:pStyle w:val="SingleTxtG"/>
        <w:rPr>
          <w:lang w:val="fr-FR"/>
        </w:rPr>
      </w:pPr>
      <w:r w:rsidRPr="00E35EC8">
        <w:rPr>
          <w:lang w:val="fr-FR"/>
        </w:rPr>
        <w:t>5.</w:t>
      </w:r>
      <w:r w:rsidRPr="00E35EC8">
        <w:rPr>
          <w:lang w:val="fr-FR"/>
        </w:rPr>
        <w:tab/>
        <w:t>Le Royaume du Cambodge compte 24 peuples autochtones qui vivent en harmonie avec la population khmère. Ils se répartissent comme suit</w:t>
      </w:r>
      <w:r w:rsidRPr="00DA58EE">
        <w:rPr>
          <w:rStyle w:val="Appelnotedebasdep"/>
        </w:rPr>
        <w:footnoteReference w:id="5"/>
      </w:r>
      <w:r w:rsidRPr="00E35EC8">
        <w:rPr>
          <w:lang w:val="fr-FR"/>
        </w:rPr>
        <w:t> :</w:t>
      </w:r>
    </w:p>
    <w:p w:rsidR="00DC6468" w:rsidRDefault="00DC6468" w:rsidP="00E35EC8">
      <w:pPr>
        <w:pStyle w:val="SingleTxtG"/>
        <w:rPr>
          <w:lang w:val="fr-FR"/>
        </w:rPr>
        <w:sectPr w:rsidR="00DC6468" w:rsidSect="00CD3BD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tbl>
      <w:tblPr>
        <w:tblStyle w:val="Grilledutableau"/>
        <w:tblW w:w="13778" w:type="dxa"/>
        <w:tblInd w:w="28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
        <w:gridCol w:w="1198"/>
        <w:gridCol w:w="811"/>
        <w:gridCol w:w="810"/>
        <w:gridCol w:w="807"/>
        <w:gridCol w:w="810"/>
        <w:gridCol w:w="810"/>
        <w:gridCol w:w="810"/>
        <w:gridCol w:w="810"/>
        <w:gridCol w:w="810"/>
        <w:gridCol w:w="810"/>
        <w:gridCol w:w="810"/>
        <w:gridCol w:w="609"/>
        <w:gridCol w:w="608"/>
        <w:gridCol w:w="610"/>
        <w:gridCol w:w="608"/>
        <w:gridCol w:w="641"/>
        <w:gridCol w:w="978"/>
      </w:tblGrid>
      <w:tr w:rsidR="00FF6616" w:rsidRPr="00B755C6" w:rsidTr="007D47EF">
        <w:trPr>
          <w:cantSplit/>
          <w:trHeight w:val="1134"/>
          <w:tblHeader/>
        </w:trPr>
        <w:tc>
          <w:tcPr>
            <w:tcW w:w="383" w:type="dxa"/>
            <w:tcBorders>
              <w:top w:val="single" w:sz="4" w:space="0" w:color="auto"/>
              <w:bottom w:val="single" w:sz="12" w:space="0" w:color="auto"/>
            </w:tcBorders>
            <w:shd w:val="clear" w:color="auto" w:fill="auto"/>
            <w:textDirection w:val="btLr"/>
          </w:tcPr>
          <w:p w:rsidR="00FF6616" w:rsidRPr="00B755C6" w:rsidRDefault="00FF6616" w:rsidP="007D47EF">
            <w:pPr>
              <w:pStyle w:val="SingleTxtG"/>
              <w:spacing w:after="0" w:line="200" w:lineRule="exact"/>
              <w:ind w:left="113" w:right="0"/>
              <w:jc w:val="left"/>
              <w:rPr>
                <w:i/>
                <w:sz w:val="16"/>
                <w:szCs w:val="16"/>
              </w:rPr>
            </w:pPr>
            <w:bookmarkStart w:id="1" w:name="_Hlk9324938"/>
            <w:r w:rsidRPr="00B755C6">
              <w:rPr>
                <w:i/>
                <w:iCs/>
                <w:sz w:val="16"/>
                <w:szCs w:val="16"/>
                <w:lang w:val="fr-FR"/>
              </w:rPr>
              <w:lastRenderedPageBreak/>
              <w:t>N°</w:t>
            </w:r>
          </w:p>
        </w:tc>
        <w:tc>
          <w:tcPr>
            <w:tcW w:w="1074" w:type="dxa"/>
            <w:tcBorders>
              <w:top w:val="single" w:sz="4" w:space="0" w:color="auto"/>
              <w:bottom w:val="single" w:sz="12" w:space="0" w:color="auto"/>
            </w:tcBorders>
            <w:shd w:val="clear" w:color="auto" w:fill="auto"/>
            <w:textDirection w:val="btLr"/>
          </w:tcPr>
          <w:p w:rsidR="00FF6616" w:rsidRPr="00B755C6" w:rsidRDefault="00FF6616" w:rsidP="007D47EF">
            <w:pPr>
              <w:pStyle w:val="SingleTxtG"/>
              <w:spacing w:after="0" w:line="200" w:lineRule="exact"/>
              <w:ind w:left="113" w:right="0"/>
              <w:jc w:val="left"/>
              <w:rPr>
                <w:i/>
                <w:sz w:val="16"/>
                <w:szCs w:val="16"/>
              </w:rPr>
            </w:pPr>
            <w:r w:rsidRPr="00B755C6">
              <w:rPr>
                <w:i/>
                <w:iCs/>
                <w:sz w:val="16"/>
                <w:szCs w:val="16"/>
                <w:lang w:val="fr-FR"/>
              </w:rPr>
              <w:t>Peuples</w:t>
            </w:r>
            <w:r w:rsidR="006C7089">
              <w:rPr>
                <w:i/>
                <w:iCs/>
                <w:sz w:val="16"/>
                <w:szCs w:val="16"/>
                <w:lang w:val="fr-FR"/>
              </w:rPr>
              <w:br/>
            </w:r>
            <w:r w:rsidRPr="007D47EF">
              <w:rPr>
                <w:i/>
                <w:sz w:val="16"/>
                <w:szCs w:val="16"/>
              </w:rPr>
              <w:t>autochtones</w:t>
            </w:r>
          </w:p>
        </w:tc>
        <w:tc>
          <w:tcPr>
            <w:tcW w:w="727" w:type="dxa"/>
            <w:tcBorders>
              <w:top w:val="single" w:sz="4" w:space="0" w:color="auto"/>
              <w:bottom w:val="single" w:sz="12" w:space="0" w:color="auto"/>
            </w:tcBorders>
            <w:shd w:val="clear" w:color="auto" w:fill="auto"/>
            <w:textDirection w:val="btLr"/>
            <w:vAlign w:val="bottom"/>
          </w:tcPr>
          <w:p w:rsidR="00FF6616" w:rsidRPr="00B755C6" w:rsidRDefault="00FF6616" w:rsidP="001C2D93">
            <w:pPr>
              <w:pStyle w:val="SingleTxtG"/>
              <w:spacing w:before="80" w:after="0" w:line="200" w:lineRule="exact"/>
              <w:ind w:left="113" w:right="0"/>
              <w:jc w:val="left"/>
              <w:rPr>
                <w:i/>
                <w:sz w:val="16"/>
                <w:szCs w:val="16"/>
              </w:rPr>
            </w:pPr>
            <w:proofErr w:type="spellStart"/>
            <w:r w:rsidRPr="00B755C6">
              <w:rPr>
                <w:i/>
                <w:iCs/>
                <w:sz w:val="16"/>
                <w:szCs w:val="16"/>
                <w:lang w:val="fr-FR"/>
              </w:rPr>
              <w:t>Ratanak</w:t>
            </w:r>
            <w:proofErr w:type="spellEnd"/>
            <w:r w:rsidRPr="00B755C6">
              <w:rPr>
                <w:i/>
                <w:iCs/>
                <w:sz w:val="16"/>
                <w:szCs w:val="16"/>
                <w:lang w:val="fr-FR"/>
              </w:rPr>
              <w:t xml:space="preserve"> Kiri</w:t>
            </w:r>
          </w:p>
        </w:tc>
        <w:tc>
          <w:tcPr>
            <w:tcW w:w="727" w:type="dxa"/>
            <w:tcBorders>
              <w:top w:val="single" w:sz="4" w:space="0" w:color="auto"/>
              <w:bottom w:val="single" w:sz="12" w:space="0" w:color="auto"/>
            </w:tcBorders>
            <w:shd w:val="clear" w:color="auto" w:fill="auto"/>
            <w:textDirection w:val="btLr"/>
            <w:vAlign w:val="bottom"/>
          </w:tcPr>
          <w:p w:rsidR="00FF6616" w:rsidRPr="00B755C6" w:rsidRDefault="00FF6616" w:rsidP="007D47EF">
            <w:pPr>
              <w:pStyle w:val="SingleTxtG"/>
              <w:spacing w:after="0" w:line="200" w:lineRule="exact"/>
              <w:ind w:left="113" w:right="113"/>
              <w:jc w:val="left"/>
              <w:rPr>
                <w:i/>
                <w:sz w:val="16"/>
                <w:szCs w:val="16"/>
              </w:rPr>
            </w:pPr>
            <w:proofErr w:type="spellStart"/>
            <w:r w:rsidRPr="00B755C6">
              <w:rPr>
                <w:i/>
                <w:iCs/>
                <w:sz w:val="16"/>
                <w:szCs w:val="16"/>
                <w:lang w:val="fr-FR"/>
              </w:rPr>
              <w:t>Mondul</w:t>
            </w:r>
            <w:proofErr w:type="spellEnd"/>
            <w:r w:rsidRPr="00B755C6">
              <w:rPr>
                <w:i/>
                <w:iCs/>
                <w:sz w:val="16"/>
                <w:szCs w:val="16"/>
                <w:lang w:val="fr-FR"/>
              </w:rPr>
              <w:t xml:space="preserve"> Kiri</w:t>
            </w:r>
          </w:p>
        </w:tc>
        <w:tc>
          <w:tcPr>
            <w:tcW w:w="724" w:type="dxa"/>
            <w:tcBorders>
              <w:top w:val="single" w:sz="4" w:space="0" w:color="auto"/>
              <w:bottom w:val="single" w:sz="12" w:space="0" w:color="auto"/>
            </w:tcBorders>
            <w:shd w:val="clear" w:color="auto" w:fill="auto"/>
            <w:textDirection w:val="btLr"/>
            <w:vAlign w:val="bottom"/>
          </w:tcPr>
          <w:p w:rsidR="00FF6616" w:rsidRPr="00B755C6" w:rsidRDefault="00FF6616" w:rsidP="007D47EF">
            <w:pPr>
              <w:pStyle w:val="SingleTxtG"/>
              <w:spacing w:after="0" w:line="200" w:lineRule="exact"/>
              <w:ind w:left="113" w:right="113"/>
              <w:jc w:val="left"/>
              <w:rPr>
                <w:i/>
                <w:sz w:val="16"/>
                <w:szCs w:val="16"/>
              </w:rPr>
            </w:pPr>
            <w:r w:rsidRPr="00B755C6">
              <w:rPr>
                <w:i/>
                <w:iCs/>
                <w:sz w:val="16"/>
                <w:szCs w:val="16"/>
                <w:lang w:val="fr-FR"/>
              </w:rPr>
              <w:t>Kratie</w:t>
            </w:r>
          </w:p>
        </w:tc>
        <w:tc>
          <w:tcPr>
            <w:tcW w:w="727" w:type="dxa"/>
            <w:tcBorders>
              <w:top w:val="single" w:sz="4" w:space="0" w:color="auto"/>
              <w:bottom w:val="single" w:sz="12" w:space="0" w:color="auto"/>
            </w:tcBorders>
            <w:shd w:val="clear" w:color="auto" w:fill="auto"/>
            <w:textDirection w:val="btLr"/>
            <w:vAlign w:val="bottom"/>
          </w:tcPr>
          <w:p w:rsidR="00FF6616" w:rsidRPr="00B755C6" w:rsidRDefault="00FF6616" w:rsidP="007D47EF">
            <w:pPr>
              <w:pStyle w:val="SingleTxtG"/>
              <w:spacing w:after="0" w:line="200" w:lineRule="exact"/>
              <w:ind w:left="113" w:right="113"/>
              <w:jc w:val="left"/>
              <w:rPr>
                <w:i/>
                <w:sz w:val="16"/>
                <w:szCs w:val="16"/>
              </w:rPr>
            </w:pPr>
            <w:proofErr w:type="spellStart"/>
            <w:r w:rsidRPr="00B755C6">
              <w:rPr>
                <w:i/>
                <w:iCs/>
                <w:sz w:val="16"/>
                <w:szCs w:val="16"/>
                <w:lang w:val="fr-FR"/>
              </w:rPr>
              <w:t>Preah</w:t>
            </w:r>
            <w:proofErr w:type="spellEnd"/>
            <w:r w:rsidRPr="00B755C6">
              <w:rPr>
                <w:i/>
                <w:iCs/>
                <w:sz w:val="16"/>
                <w:szCs w:val="16"/>
                <w:lang w:val="fr-FR"/>
              </w:rPr>
              <w:t xml:space="preserve"> </w:t>
            </w:r>
            <w:proofErr w:type="spellStart"/>
            <w:r w:rsidRPr="00B755C6">
              <w:rPr>
                <w:i/>
                <w:iCs/>
                <w:sz w:val="16"/>
                <w:szCs w:val="16"/>
                <w:lang w:val="fr-FR"/>
              </w:rPr>
              <w:t>Vihear</w:t>
            </w:r>
            <w:proofErr w:type="spellEnd"/>
          </w:p>
        </w:tc>
        <w:tc>
          <w:tcPr>
            <w:tcW w:w="727" w:type="dxa"/>
            <w:tcBorders>
              <w:top w:val="single" w:sz="4" w:space="0" w:color="auto"/>
              <w:bottom w:val="single" w:sz="12" w:space="0" w:color="auto"/>
            </w:tcBorders>
            <w:shd w:val="clear" w:color="auto" w:fill="auto"/>
            <w:textDirection w:val="btLr"/>
            <w:vAlign w:val="bottom"/>
          </w:tcPr>
          <w:p w:rsidR="00FF6616" w:rsidRPr="00B755C6" w:rsidRDefault="00FF6616" w:rsidP="007D47EF">
            <w:pPr>
              <w:pStyle w:val="SingleTxtG"/>
              <w:spacing w:after="0" w:line="200" w:lineRule="exact"/>
              <w:ind w:left="113" w:right="113"/>
              <w:jc w:val="left"/>
              <w:rPr>
                <w:i/>
                <w:sz w:val="16"/>
                <w:szCs w:val="16"/>
              </w:rPr>
            </w:pPr>
            <w:proofErr w:type="spellStart"/>
            <w:r w:rsidRPr="00B755C6">
              <w:rPr>
                <w:i/>
                <w:iCs/>
                <w:sz w:val="16"/>
                <w:szCs w:val="16"/>
                <w:lang w:val="fr-FR"/>
              </w:rPr>
              <w:t>Kompong</w:t>
            </w:r>
            <w:proofErr w:type="spellEnd"/>
          </w:p>
          <w:p w:rsidR="00FF6616" w:rsidRPr="00B755C6" w:rsidRDefault="00FF6616" w:rsidP="007D47EF">
            <w:pPr>
              <w:pStyle w:val="SingleTxtG"/>
              <w:spacing w:after="0" w:line="200" w:lineRule="exact"/>
              <w:ind w:left="113" w:right="113"/>
              <w:jc w:val="left"/>
              <w:rPr>
                <w:i/>
                <w:sz w:val="16"/>
                <w:szCs w:val="16"/>
              </w:rPr>
            </w:pPr>
            <w:r w:rsidRPr="00B755C6">
              <w:rPr>
                <w:i/>
                <w:iCs/>
                <w:sz w:val="16"/>
                <w:szCs w:val="16"/>
                <w:lang w:val="fr-FR"/>
              </w:rPr>
              <w:t>Thom</w:t>
            </w:r>
          </w:p>
        </w:tc>
        <w:tc>
          <w:tcPr>
            <w:tcW w:w="727" w:type="dxa"/>
            <w:tcBorders>
              <w:top w:val="single" w:sz="4" w:space="0" w:color="auto"/>
              <w:bottom w:val="single" w:sz="12" w:space="0" w:color="auto"/>
            </w:tcBorders>
            <w:shd w:val="clear" w:color="auto" w:fill="auto"/>
            <w:textDirection w:val="btLr"/>
            <w:vAlign w:val="bottom"/>
          </w:tcPr>
          <w:p w:rsidR="00FF6616" w:rsidRPr="00B755C6" w:rsidRDefault="00FF6616" w:rsidP="007D47EF">
            <w:pPr>
              <w:pStyle w:val="SingleTxtG"/>
              <w:spacing w:after="0" w:line="200" w:lineRule="exact"/>
              <w:ind w:left="113" w:right="113"/>
              <w:jc w:val="left"/>
              <w:rPr>
                <w:i/>
                <w:sz w:val="16"/>
                <w:szCs w:val="16"/>
              </w:rPr>
            </w:pPr>
            <w:proofErr w:type="spellStart"/>
            <w:r w:rsidRPr="00B755C6">
              <w:rPr>
                <w:i/>
                <w:iCs/>
                <w:sz w:val="16"/>
                <w:szCs w:val="16"/>
                <w:lang w:val="fr-FR"/>
              </w:rPr>
              <w:t>Steung</w:t>
            </w:r>
            <w:proofErr w:type="spellEnd"/>
            <w:r w:rsidRPr="00B755C6">
              <w:rPr>
                <w:i/>
                <w:iCs/>
                <w:sz w:val="16"/>
                <w:szCs w:val="16"/>
                <w:lang w:val="fr-FR"/>
              </w:rPr>
              <w:t xml:space="preserve"> </w:t>
            </w:r>
            <w:proofErr w:type="spellStart"/>
            <w:r w:rsidRPr="00B755C6">
              <w:rPr>
                <w:i/>
                <w:iCs/>
                <w:sz w:val="16"/>
                <w:szCs w:val="16"/>
                <w:lang w:val="fr-FR"/>
              </w:rPr>
              <w:t>Treng</w:t>
            </w:r>
            <w:proofErr w:type="spellEnd"/>
          </w:p>
        </w:tc>
        <w:tc>
          <w:tcPr>
            <w:tcW w:w="727" w:type="dxa"/>
            <w:tcBorders>
              <w:top w:val="single" w:sz="4" w:space="0" w:color="auto"/>
              <w:bottom w:val="single" w:sz="12" w:space="0" w:color="auto"/>
            </w:tcBorders>
            <w:shd w:val="clear" w:color="auto" w:fill="auto"/>
            <w:textDirection w:val="btLr"/>
            <w:vAlign w:val="bottom"/>
          </w:tcPr>
          <w:p w:rsidR="00FF6616" w:rsidRPr="00B755C6" w:rsidRDefault="00FF6616" w:rsidP="007D47EF">
            <w:pPr>
              <w:pStyle w:val="SingleTxtG"/>
              <w:spacing w:after="0" w:line="200" w:lineRule="exact"/>
              <w:ind w:left="113" w:right="113"/>
              <w:jc w:val="left"/>
              <w:rPr>
                <w:i/>
                <w:sz w:val="16"/>
                <w:szCs w:val="16"/>
              </w:rPr>
            </w:pPr>
            <w:proofErr w:type="spellStart"/>
            <w:r w:rsidRPr="00B755C6">
              <w:rPr>
                <w:i/>
                <w:iCs/>
                <w:sz w:val="16"/>
                <w:szCs w:val="16"/>
                <w:lang w:val="fr-FR"/>
              </w:rPr>
              <w:t>Udor</w:t>
            </w:r>
            <w:proofErr w:type="spellEnd"/>
          </w:p>
          <w:p w:rsidR="00FF6616" w:rsidRPr="00B755C6" w:rsidRDefault="00FF6616" w:rsidP="007D47EF">
            <w:pPr>
              <w:pStyle w:val="SingleTxtG"/>
              <w:spacing w:after="0" w:line="200" w:lineRule="exact"/>
              <w:ind w:left="113" w:right="113"/>
              <w:jc w:val="left"/>
              <w:rPr>
                <w:i/>
                <w:sz w:val="16"/>
                <w:szCs w:val="16"/>
              </w:rPr>
            </w:pPr>
            <w:proofErr w:type="spellStart"/>
            <w:r w:rsidRPr="00B755C6">
              <w:rPr>
                <w:i/>
                <w:iCs/>
                <w:sz w:val="16"/>
                <w:szCs w:val="16"/>
                <w:lang w:val="fr-FR"/>
              </w:rPr>
              <w:t>Meanchey</w:t>
            </w:r>
            <w:proofErr w:type="spellEnd"/>
          </w:p>
        </w:tc>
        <w:tc>
          <w:tcPr>
            <w:tcW w:w="727" w:type="dxa"/>
            <w:tcBorders>
              <w:top w:val="single" w:sz="4" w:space="0" w:color="auto"/>
              <w:bottom w:val="single" w:sz="12" w:space="0" w:color="auto"/>
            </w:tcBorders>
            <w:shd w:val="clear" w:color="auto" w:fill="auto"/>
            <w:textDirection w:val="btLr"/>
            <w:vAlign w:val="bottom"/>
          </w:tcPr>
          <w:p w:rsidR="00FF6616" w:rsidRPr="00B755C6" w:rsidRDefault="00FF6616" w:rsidP="007D47EF">
            <w:pPr>
              <w:pStyle w:val="SingleTxtG"/>
              <w:spacing w:after="0" w:line="200" w:lineRule="exact"/>
              <w:ind w:left="113" w:right="113"/>
              <w:jc w:val="left"/>
              <w:rPr>
                <w:i/>
                <w:sz w:val="16"/>
                <w:szCs w:val="16"/>
              </w:rPr>
            </w:pPr>
            <w:proofErr w:type="spellStart"/>
            <w:r w:rsidRPr="00B755C6">
              <w:rPr>
                <w:i/>
                <w:iCs/>
                <w:sz w:val="16"/>
                <w:szCs w:val="16"/>
                <w:lang w:val="fr-FR"/>
              </w:rPr>
              <w:t>Kompong</w:t>
            </w:r>
            <w:proofErr w:type="spellEnd"/>
          </w:p>
          <w:p w:rsidR="00FF6616" w:rsidRPr="00B755C6" w:rsidRDefault="00FF6616" w:rsidP="007D47EF">
            <w:pPr>
              <w:pStyle w:val="SingleTxtG"/>
              <w:spacing w:after="0" w:line="200" w:lineRule="exact"/>
              <w:ind w:left="113" w:right="113"/>
              <w:jc w:val="left"/>
              <w:rPr>
                <w:i/>
                <w:sz w:val="16"/>
                <w:szCs w:val="16"/>
              </w:rPr>
            </w:pPr>
            <w:r w:rsidRPr="00B755C6">
              <w:rPr>
                <w:i/>
                <w:iCs/>
                <w:sz w:val="16"/>
                <w:szCs w:val="16"/>
                <w:lang w:val="fr-FR"/>
              </w:rPr>
              <w:t>Cham</w:t>
            </w:r>
          </w:p>
        </w:tc>
        <w:tc>
          <w:tcPr>
            <w:tcW w:w="727" w:type="dxa"/>
            <w:tcBorders>
              <w:top w:val="single" w:sz="4" w:space="0" w:color="auto"/>
              <w:bottom w:val="single" w:sz="12" w:space="0" w:color="auto"/>
            </w:tcBorders>
            <w:shd w:val="clear" w:color="auto" w:fill="auto"/>
            <w:textDirection w:val="btLr"/>
            <w:vAlign w:val="bottom"/>
          </w:tcPr>
          <w:p w:rsidR="00FF6616" w:rsidRPr="00B755C6" w:rsidRDefault="00FF6616" w:rsidP="007D47EF">
            <w:pPr>
              <w:pStyle w:val="SingleTxtG"/>
              <w:spacing w:after="0" w:line="200" w:lineRule="exact"/>
              <w:ind w:left="113" w:right="113"/>
              <w:jc w:val="left"/>
              <w:rPr>
                <w:i/>
                <w:sz w:val="16"/>
                <w:szCs w:val="16"/>
              </w:rPr>
            </w:pPr>
            <w:r w:rsidRPr="00B755C6">
              <w:rPr>
                <w:i/>
                <w:iCs/>
                <w:sz w:val="16"/>
                <w:szCs w:val="16"/>
                <w:lang w:val="fr-FR"/>
              </w:rPr>
              <w:t>Pursat</w:t>
            </w:r>
          </w:p>
        </w:tc>
        <w:tc>
          <w:tcPr>
            <w:tcW w:w="727" w:type="dxa"/>
            <w:tcBorders>
              <w:top w:val="single" w:sz="4" w:space="0" w:color="auto"/>
              <w:bottom w:val="single" w:sz="12" w:space="0" w:color="auto"/>
            </w:tcBorders>
            <w:shd w:val="clear" w:color="auto" w:fill="auto"/>
            <w:textDirection w:val="btLr"/>
            <w:vAlign w:val="bottom"/>
          </w:tcPr>
          <w:p w:rsidR="00FF6616" w:rsidRPr="00B755C6" w:rsidRDefault="00FF6616" w:rsidP="007D47EF">
            <w:pPr>
              <w:pStyle w:val="SingleTxtG"/>
              <w:spacing w:after="0" w:line="200" w:lineRule="exact"/>
              <w:ind w:left="113" w:right="113"/>
              <w:jc w:val="left"/>
              <w:rPr>
                <w:i/>
                <w:sz w:val="16"/>
                <w:szCs w:val="16"/>
              </w:rPr>
            </w:pPr>
            <w:proofErr w:type="spellStart"/>
            <w:r w:rsidRPr="00B755C6">
              <w:rPr>
                <w:i/>
                <w:iCs/>
                <w:sz w:val="16"/>
                <w:szCs w:val="16"/>
                <w:lang w:val="fr-FR"/>
              </w:rPr>
              <w:t>Kompong</w:t>
            </w:r>
            <w:proofErr w:type="spellEnd"/>
          </w:p>
          <w:p w:rsidR="00FF6616" w:rsidRPr="00B755C6" w:rsidRDefault="00FF6616" w:rsidP="007D47EF">
            <w:pPr>
              <w:pStyle w:val="SingleTxtG"/>
              <w:spacing w:after="0" w:line="200" w:lineRule="exact"/>
              <w:ind w:left="113" w:right="113"/>
              <w:jc w:val="left"/>
              <w:rPr>
                <w:i/>
                <w:sz w:val="16"/>
                <w:szCs w:val="16"/>
              </w:rPr>
            </w:pPr>
            <w:proofErr w:type="spellStart"/>
            <w:r w:rsidRPr="00B755C6">
              <w:rPr>
                <w:i/>
                <w:iCs/>
                <w:sz w:val="16"/>
                <w:szCs w:val="16"/>
                <w:lang w:val="fr-FR"/>
              </w:rPr>
              <w:t>Speu</w:t>
            </w:r>
            <w:proofErr w:type="spellEnd"/>
          </w:p>
        </w:tc>
        <w:tc>
          <w:tcPr>
            <w:tcW w:w="546" w:type="dxa"/>
            <w:tcBorders>
              <w:top w:val="single" w:sz="4" w:space="0" w:color="auto"/>
              <w:bottom w:val="single" w:sz="12" w:space="0" w:color="auto"/>
            </w:tcBorders>
            <w:shd w:val="clear" w:color="auto" w:fill="auto"/>
            <w:textDirection w:val="btLr"/>
            <w:vAlign w:val="bottom"/>
          </w:tcPr>
          <w:p w:rsidR="00FF6616" w:rsidRPr="00B755C6" w:rsidRDefault="00FF6616" w:rsidP="007D47EF">
            <w:pPr>
              <w:pStyle w:val="SingleTxtG"/>
              <w:spacing w:after="0" w:line="200" w:lineRule="exact"/>
              <w:ind w:left="113" w:right="113"/>
              <w:jc w:val="left"/>
              <w:rPr>
                <w:i/>
                <w:sz w:val="16"/>
                <w:szCs w:val="16"/>
              </w:rPr>
            </w:pPr>
            <w:r w:rsidRPr="00B755C6">
              <w:rPr>
                <w:i/>
                <w:iCs/>
                <w:sz w:val="16"/>
                <w:szCs w:val="16"/>
                <w:lang w:val="fr-FR"/>
              </w:rPr>
              <w:t>Battambang</w:t>
            </w:r>
          </w:p>
        </w:tc>
        <w:tc>
          <w:tcPr>
            <w:tcW w:w="545" w:type="dxa"/>
            <w:tcBorders>
              <w:top w:val="single" w:sz="4" w:space="0" w:color="auto"/>
              <w:bottom w:val="single" w:sz="12" w:space="0" w:color="auto"/>
            </w:tcBorders>
            <w:shd w:val="clear" w:color="auto" w:fill="auto"/>
            <w:textDirection w:val="btLr"/>
            <w:vAlign w:val="bottom"/>
          </w:tcPr>
          <w:p w:rsidR="00FF6616" w:rsidRPr="00B755C6" w:rsidRDefault="00FF6616" w:rsidP="007D47EF">
            <w:pPr>
              <w:pStyle w:val="SingleTxtG"/>
              <w:spacing w:after="0" w:line="200" w:lineRule="exact"/>
              <w:ind w:left="113" w:right="113"/>
              <w:jc w:val="left"/>
              <w:rPr>
                <w:i/>
                <w:sz w:val="16"/>
                <w:szCs w:val="16"/>
              </w:rPr>
            </w:pPr>
            <w:proofErr w:type="spellStart"/>
            <w:r w:rsidRPr="00B755C6">
              <w:rPr>
                <w:i/>
                <w:iCs/>
                <w:sz w:val="16"/>
                <w:szCs w:val="16"/>
                <w:lang w:val="fr-FR"/>
              </w:rPr>
              <w:t>Bonteay</w:t>
            </w:r>
            <w:proofErr w:type="spellEnd"/>
          </w:p>
          <w:p w:rsidR="00FF6616" w:rsidRPr="00B755C6" w:rsidRDefault="00FF6616" w:rsidP="007D47EF">
            <w:pPr>
              <w:pStyle w:val="SingleTxtG"/>
              <w:spacing w:after="0" w:line="200" w:lineRule="exact"/>
              <w:ind w:left="113" w:right="113"/>
              <w:jc w:val="left"/>
              <w:rPr>
                <w:i/>
                <w:sz w:val="16"/>
                <w:szCs w:val="16"/>
              </w:rPr>
            </w:pPr>
            <w:proofErr w:type="spellStart"/>
            <w:r w:rsidRPr="00B755C6">
              <w:rPr>
                <w:i/>
                <w:iCs/>
                <w:sz w:val="16"/>
                <w:szCs w:val="16"/>
                <w:lang w:val="fr-FR"/>
              </w:rPr>
              <w:t>Meanchey</w:t>
            </w:r>
            <w:proofErr w:type="spellEnd"/>
          </w:p>
        </w:tc>
        <w:tc>
          <w:tcPr>
            <w:tcW w:w="547" w:type="dxa"/>
            <w:tcBorders>
              <w:top w:val="single" w:sz="4" w:space="0" w:color="auto"/>
              <w:bottom w:val="single" w:sz="12" w:space="0" w:color="auto"/>
            </w:tcBorders>
            <w:shd w:val="clear" w:color="auto" w:fill="auto"/>
            <w:textDirection w:val="btLr"/>
            <w:vAlign w:val="bottom"/>
          </w:tcPr>
          <w:p w:rsidR="00FF6616" w:rsidRPr="00B755C6" w:rsidRDefault="00FF6616" w:rsidP="007D47EF">
            <w:pPr>
              <w:pStyle w:val="SingleTxtG"/>
              <w:spacing w:after="0" w:line="200" w:lineRule="exact"/>
              <w:ind w:left="113" w:right="113"/>
              <w:jc w:val="left"/>
              <w:rPr>
                <w:i/>
                <w:sz w:val="16"/>
                <w:szCs w:val="16"/>
              </w:rPr>
            </w:pPr>
            <w:proofErr w:type="spellStart"/>
            <w:r w:rsidRPr="00B755C6">
              <w:rPr>
                <w:i/>
                <w:iCs/>
                <w:sz w:val="16"/>
                <w:szCs w:val="16"/>
                <w:lang w:val="fr-FR"/>
              </w:rPr>
              <w:t>Sihanuk</w:t>
            </w:r>
            <w:proofErr w:type="spellEnd"/>
            <w:r w:rsidRPr="00B755C6">
              <w:rPr>
                <w:i/>
                <w:iCs/>
                <w:sz w:val="16"/>
                <w:szCs w:val="16"/>
                <w:lang w:val="fr-FR"/>
              </w:rPr>
              <w:t xml:space="preserve"> Ville</w:t>
            </w:r>
          </w:p>
        </w:tc>
        <w:tc>
          <w:tcPr>
            <w:tcW w:w="545" w:type="dxa"/>
            <w:tcBorders>
              <w:top w:val="single" w:sz="4" w:space="0" w:color="auto"/>
              <w:bottom w:val="single" w:sz="12" w:space="0" w:color="auto"/>
            </w:tcBorders>
            <w:shd w:val="clear" w:color="auto" w:fill="auto"/>
            <w:textDirection w:val="btLr"/>
            <w:vAlign w:val="bottom"/>
          </w:tcPr>
          <w:p w:rsidR="00FF6616" w:rsidRPr="00B755C6" w:rsidRDefault="00FF6616" w:rsidP="007D47EF">
            <w:pPr>
              <w:pStyle w:val="SingleTxtG"/>
              <w:spacing w:after="0" w:line="200" w:lineRule="exact"/>
              <w:ind w:left="113" w:right="113"/>
              <w:jc w:val="left"/>
              <w:rPr>
                <w:i/>
                <w:sz w:val="16"/>
                <w:szCs w:val="16"/>
              </w:rPr>
            </w:pPr>
            <w:proofErr w:type="spellStart"/>
            <w:r w:rsidRPr="00B755C6">
              <w:rPr>
                <w:i/>
                <w:iCs/>
                <w:sz w:val="16"/>
                <w:szCs w:val="16"/>
                <w:lang w:val="fr-FR"/>
              </w:rPr>
              <w:t>Siem</w:t>
            </w:r>
            <w:proofErr w:type="spellEnd"/>
            <w:r w:rsidRPr="00B755C6">
              <w:rPr>
                <w:i/>
                <w:iCs/>
                <w:sz w:val="16"/>
                <w:szCs w:val="16"/>
                <w:lang w:val="fr-FR"/>
              </w:rPr>
              <w:t xml:space="preserve"> Reap</w:t>
            </w:r>
          </w:p>
        </w:tc>
        <w:tc>
          <w:tcPr>
            <w:tcW w:w="575" w:type="dxa"/>
            <w:tcBorders>
              <w:top w:val="single" w:sz="4" w:space="0" w:color="auto"/>
              <w:bottom w:val="single" w:sz="12" w:space="0" w:color="auto"/>
            </w:tcBorders>
            <w:shd w:val="clear" w:color="auto" w:fill="auto"/>
            <w:textDirection w:val="btLr"/>
            <w:vAlign w:val="bottom"/>
          </w:tcPr>
          <w:p w:rsidR="00FF6616" w:rsidRPr="00B755C6" w:rsidRDefault="00FF6616" w:rsidP="007D47EF">
            <w:pPr>
              <w:pStyle w:val="SingleTxtG"/>
              <w:spacing w:after="0" w:line="200" w:lineRule="exact"/>
              <w:ind w:left="113" w:right="113"/>
              <w:jc w:val="left"/>
              <w:rPr>
                <w:i/>
                <w:sz w:val="16"/>
                <w:szCs w:val="16"/>
              </w:rPr>
            </w:pPr>
            <w:r w:rsidRPr="00B755C6">
              <w:rPr>
                <w:i/>
                <w:iCs/>
                <w:sz w:val="16"/>
                <w:szCs w:val="16"/>
                <w:lang w:val="fr-FR"/>
              </w:rPr>
              <w:t>Koh Kong</w:t>
            </w:r>
          </w:p>
        </w:tc>
        <w:tc>
          <w:tcPr>
            <w:tcW w:w="877" w:type="dxa"/>
            <w:tcBorders>
              <w:top w:val="single" w:sz="4" w:space="0" w:color="auto"/>
              <w:bottom w:val="single" w:sz="12" w:space="0" w:color="auto"/>
            </w:tcBorders>
            <w:shd w:val="clear" w:color="auto" w:fill="auto"/>
            <w:textDirection w:val="btLr"/>
            <w:vAlign w:val="bottom"/>
          </w:tcPr>
          <w:p w:rsidR="00FF6616" w:rsidRPr="006462C7" w:rsidRDefault="00FF6616" w:rsidP="007D47EF">
            <w:pPr>
              <w:pStyle w:val="SingleTxtG"/>
              <w:spacing w:after="0" w:line="200" w:lineRule="exact"/>
              <w:ind w:left="113" w:right="113"/>
              <w:jc w:val="left"/>
              <w:rPr>
                <w:b/>
                <w:i/>
                <w:sz w:val="16"/>
                <w:szCs w:val="16"/>
              </w:rPr>
            </w:pPr>
            <w:r w:rsidRPr="006462C7">
              <w:rPr>
                <w:b/>
                <w:i/>
                <w:iCs/>
                <w:sz w:val="16"/>
                <w:szCs w:val="16"/>
                <w:lang w:val="fr-FR"/>
              </w:rPr>
              <w:t>Total</w:t>
            </w:r>
          </w:p>
        </w:tc>
      </w:tr>
      <w:tr w:rsidR="00FF6616" w:rsidRPr="007E11B3" w:rsidTr="008D1E09">
        <w:tc>
          <w:tcPr>
            <w:tcW w:w="383" w:type="dxa"/>
            <w:tcBorders>
              <w:top w:val="single" w:sz="12" w:space="0" w:color="auto"/>
            </w:tcBorders>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1</w:t>
            </w:r>
          </w:p>
        </w:tc>
        <w:tc>
          <w:tcPr>
            <w:tcW w:w="1074" w:type="dxa"/>
            <w:tcBorders>
              <w:top w:val="single" w:sz="12" w:space="0" w:color="auto"/>
            </w:tcBorders>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proofErr w:type="spellStart"/>
            <w:r w:rsidRPr="002B5D34">
              <w:rPr>
                <w:sz w:val="18"/>
                <w:szCs w:val="18"/>
                <w:lang w:val="fr-FR"/>
              </w:rPr>
              <w:t>Kouy</w:t>
            </w:r>
            <w:proofErr w:type="spellEnd"/>
          </w:p>
        </w:tc>
        <w:tc>
          <w:tcPr>
            <w:tcW w:w="727" w:type="dxa"/>
            <w:tcBorders>
              <w:top w:val="single" w:sz="12"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tcBorders>
              <w:top w:val="single" w:sz="12"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4" w:type="dxa"/>
            <w:tcBorders>
              <w:top w:val="single" w:sz="12"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9 242</w:t>
            </w:r>
          </w:p>
        </w:tc>
        <w:tc>
          <w:tcPr>
            <w:tcW w:w="727" w:type="dxa"/>
            <w:tcBorders>
              <w:top w:val="single" w:sz="12"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16 731</w:t>
            </w:r>
          </w:p>
        </w:tc>
        <w:tc>
          <w:tcPr>
            <w:tcW w:w="727" w:type="dxa"/>
            <w:tcBorders>
              <w:top w:val="single" w:sz="12"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13 044</w:t>
            </w:r>
          </w:p>
        </w:tc>
        <w:tc>
          <w:tcPr>
            <w:tcW w:w="727" w:type="dxa"/>
            <w:tcBorders>
              <w:top w:val="single" w:sz="12"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5 755</w:t>
            </w:r>
          </w:p>
        </w:tc>
        <w:tc>
          <w:tcPr>
            <w:tcW w:w="727" w:type="dxa"/>
            <w:tcBorders>
              <w:top w:val="single" w:sz="12"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2 203</w:t>
            </w:r>
          </w:p>
        </w:tc>
        <w:tc>
          <w:tcPr>
            <w:tcW w:w="727" w:type="dxa"/>
            <w:tcBorders>
              <w:top w:val="single" w:sz="12"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tcBorders>
              <w:top w:val="single" w:sz="12"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tcBorders>
              <w:top w:val="single" w:sz="12"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tcBorders>
              <w:top w:val="single" w:sz="12"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tcBorders>
              <w:top w:val="single" w:sz="12"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8</w:t>
            </w:r>
          </w:p>
        </w:tc>
        <w:tc>
          <w:tcPr>
            <w:tcW w:w="547" w:type="dxa"/>
            <w:tcBorders>
              <w:top w:val="single" w:sz="12"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tcBorders>
              <w:top w:val="single" w:sz="12"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244</w:t>
            </w:r>
          </w:p>
        </w:tc>
        <w:tc>
          <w:tcPr>
            <w:tcW w:w="575" w:type="dxa"/>
            <w:tcBorders>
              <w:top w:val="single" w:sz="12"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tcBorders>
              <w:top w:val="single" w:sz="12"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47 233</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2</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proofErr w:type="spellStart"/>
            <w:r w:rsidRPr="002B5D34">
              <w:rPr>
                <w:sz w:val="18"/>
                <w:szCs w:val="18"/>
                <w:lang w:val="fr-FR"/>
              </w:rPr>
              <w:t>Phnorng</w:t>
            </w:r>
            <w:proofErr w:type="spellEnd"/>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559</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29 383</w:t>
            </w: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13 556</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24</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652</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699</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3</w:t>
            </w: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44 876</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3</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proofErr w:type="spellStart"/>
            <w:r w:rsidRPr="002B5D34">
              <w:rPr>
                <w:sz w:val="18"/>
                <w:szCs w:val="18"/>
                <w:lang w:val="fr-FR"/>
              </w:rPr>
              <w:t>Tumpoun</w:t>
            </w:r>
            <w:proofErr w:type="spellEnd"/>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35 644</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343</w:t>
            </w: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5</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15</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281</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16</w:t>
            </w: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36 304</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4</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proofErr w:type="spellStart"/>
            <w:r w:rsidRPr="002B5D34">
              <w:rPr>
                <w:sz w:val="18"/>
                <w:szCs w:val="18"/>
                <w:lang w:val="fr-FR"/>
              </w:rPr>
              <w:t>Charay</w:t>
            </w:r>
            <w:proofErr w:type="spellEnd"/>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22 879</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119</w:t>
            </w: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12</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158</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14</w:t>
            </w: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23 183</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5</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proofErr w:type="spellStart"/>
            <w:r w:rsidRPr="002B5D34">
              <w:rPr>
                <w:sz w:val="18"/>
                <w:szCs w:val="18"/>
                <w:lang w:val="fr-FR"/>
              </w:rPr>
              <w:t>Kreung</w:t>
            </w:r>
            <w:proofErr w:type="spellEnd"/>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21 383</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126</w:t>
            </w: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287</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124</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21 911</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6</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proofErr w:type="spellStart"/>
            <w:r w:rsidRPr="002B5D34">
              <w:rPr>
                <w:sz w:val="18"/>
                <w:szCs w:val="18"/>
                <w:lang w:val="fr-FR"/>
              </w:rPr>
              <w:t>Steang</w:t>
            </w:r>
            <w:proofErr w:type="spellEnd"/>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642</w:t>
            </w: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9 406</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27</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2 564</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12 639</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7</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Prov</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8 869</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504</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9 373</w:t>
            </w:r>
          </w:p>
        </w:tc>
      </w:tr>
      <w:tr w:rsidR="00FF6616" w:rsidRPr="00A10167"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8</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proofErr w:type="spellStart"/>
            <w:r w:rsidRPr="002B5D34">
              <w:rPr>
                <w:sz w:val="18"/>
                <w:szCs w:val="18"/>
                <w:lang w:val="fr-FR"/>
              </w:rPr>
              <w:t>Kavet</w:t>
            </w:r>
            <w:proofErr w:type="spellEnd"/>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3 983</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2 710</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18</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6 711</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9</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proofErr w:type="spellStart"/>
            <w:r w:rsidRPr="002B5D34">
              <w:rPr>
                <w:sz w:val="18"/>
                <w:szCs w:val="18"/>
                <w:lang w:val="fr-FR"/>
              </w:rPr>
              <w:t>Krorl</w:t>
            </w:r>
            <w:proofErr w:type="spellEnd"/>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727</w:t>
            </w: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3 755</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29</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4 511</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10</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Mel</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3 375</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3 375</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11</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proofErr w:type="spellStart"/>
            <w:r w:rsidRPr="002B5D34">
              <w:rPr>
                <w:sz w:val="18"/>
                <w:szCs w:val="18"/>
                <w:lang w:val="fr-FR"/>
              </w:rPr>
              <w:t>Kachork</w:t>
            </w:r>
            <w:proofErr w:type="spellEnd"/>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3 161</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52</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3 213</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12</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proofErr w:type="spellStart"/>
            <w:r w:rsidRPr="002B5D34">
              <w:rPr>
                <w:sz w:val="18"/>
                <w:szCs w:val="18"/>
                <w:lang w:val="fr-FR"/>
              </w:rPr>
              <w:t>Por</w:t>
            </w:r>
            <w:proofErr w:type="spellEnd"/>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1 207</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563</w:t>
            </w: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1 770</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13</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proofErr w:type="spellStart"/>
            <w:r w:rsidRPr="002B5D34">
              <w:rPr>
                <w:sz w:val="18"/>
                <w:szCs w:val="18"/>
                <w:lang w:val="fr-FR"/>
              </w:rPr>
              <w:t>Khonh</w:t>
            </w:r>
            <w:proofErr w:type="spellEnd"/>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754</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433</w:t>
            </w: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1 187</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14</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Chong</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774</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1 064</w:t>
            </w: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1 838</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15</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proofErr w:type="spellStart"/>
            <w:r w:rsidRPr="002B5D34">
              <w:rPr>
                <w:sz w:val="18"/>
                <w:szCs w:val="18"/>
                <w:lang w:val="fr-FR"/>
              </w:rPr>
              <w:t>Souy</w:t>
            </w:r>
            <w:proofErr w:type="spellEnd"/>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1 833</w:t>
            </w: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1 833</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16</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proofErr w:type="spellStart"/>
            <w:r w:rsidRPr="002B5D34">
              <w:rPr>
                <w:sz w:val="18"/>
                <w:szCs w:val="18"/>
                <w:lang w:val="fr-FR"/>
              </w:rPr>
              <w:t>Thmoun</w:t>
            </w:r>
            <w:proofErr w:type="spellEnd"/>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242</w:t>
            </w: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856</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1 098</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17</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Lun</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492</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268</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760</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18</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proofErr w:type="spellStart"/>
            <w:r w:rsidRPr="002B5D34">
              <w:rPr>
                <w:sz w:val="18"/>
                <w:szCs w:val="18"/>
                <w:lang w:val="fr-FR"/>
              </w:rPr>
              <w:t>Saouch</w:t>
            </w:r>
            <w:proofErr w:type="spellEnd"/>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106</w:t>
            </w: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106</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19</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Roder</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2</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16</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18</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20</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proofErr w:type="spellStart"/>
            <w:r w:rsidRPr="002B5D34">
              <w:rPr>
                <w:sz w:val="18"/>
                <w:szCs w:val="18"/>
                <w:lang w:val="fr-FR"/>
              </w:rPr>
              <w:t>Khe</w:t>
            </w:r>
            <w:proofErr w:type="spellEnd"/>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r w:rsidRPr="002B5D34">
              <w:rPr>
                <w:sz w:val="18"/>
                <w:szCs w:val="18"/>
                <w:lang w:val="fr-FR"/>
              </w:rPr>
              <w:t>15</w:t>
            </w: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15</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21</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Ro </w:t>
            </w:r>
            <w:proofErr w:type="spellStart"/>
            <w:r w:rsidRPr="002B5D34">
              <w:rPr>
                <w:sz w:val="18"/>
                <w:szCs w:val="18"/>
                <w:lang w:val="fr-FR"/>
              </w:rPr>
              <w:t>ang</w:t>
            </w:r>
            <w:proofErr w:type="spellEnd"/>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0</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22</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proofErr w:type="spellStart"/>
            <w:r w:rsidRPr="002B5D34">
              <w:rPr>
                <w:sz w:val="18"/>
                <w:szCs w:val="18"/>
                <w:lang w:val="fr-FR"/>
              </w:rPr>
              <w:t>Spung</w:t>
            </w:r>
            <w:proofErr w:type="spellEnd"/>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0</w:t>
            </w:r>
          </w:p>
        </w:tc>
      </w:tr>
      <w:tr w:rsidR="00FF6616" w:rsidRPr="007E11B3" w:rsidTr="00FF6616">
        <w:tc>
          <w:tcPr>
            <w:tcW w:w="383" w:type="dxa"/>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23</w:t>
            </w:r>
          </w:p>
        </w:tc>
        <w:tc>
          <w:tcPr>
            <w:tcW w:w="1074" w:type="dxa"/>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proofErr w:type="spellStart"/>
            <w:r w:rsidRPr="002B5D34">
              <w:rPr>
                <w:sz w:val="18"/>
                <w:szCs w:val="18"/>
                <w:lang w:val="fr-FR"/>
              </w:rPr>
              <w:t>La-eun</w:t>
            </w:r>
            <w:proofErr w:type="spellEnd"/>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4"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7"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0</w:t>
            </w:r>
          </w:p>
        </w:tc>
      </w:tr>
      <w:tr w:rsidR="00FF6616" w:rsidRPr="007E11B3" w:rsidTr="00FF6616">
        <w:tc>
          <w:tcPr>
            <w:tcW w:w="383" w:type="dxa"/>
            <w:tcBorders>
              <w:bottom w:val="single" w:sz="4" w:space="0" w:color="auto"/>
            </w:tcBorders>
            <w:shd w:val="clear" w:color="auto" w:fill="auto"/>
          </w:tcPr>
          <w:p w:rsidR="00FF6616" w:rsidRPr="002B5D34" w:rsidRDefault="00FF6616" w:rsidP="007D47EF">
            <w:pPr>
              <w:pStyle w:val="SingleTxtG"/>
              <w:spacing w:before="40" w:after="40" w:line="220" w:lineRule="exact"/>
              <w:ind w:left="0" w:right="0"/>
              <w:jc w:val="left"/>
              <w:rPr>
                <w:sz w:val="18"/>
                <w:szCs w:val="18"/>
              </w:rPr>
            </w:pPr>
            <w:r w:rsidRPr="002B5D34">
              <w:rPr>
                <w:sz w:val="18"/>
                <w:szCs w:val="18"/>
                <w:lang w:val="fr-FR"/>
              </w:rPr>
              <w:t>24</w:t>
            </w:r>
          </w:p>
        </w:tc>
        <w:tc>
          <w:tcPr>
            <w:tcW w:w="1074" w:type="dxa"/>
            <w:tcBorders>
              <w:bottom w:val="single" w:sz="4" w:space="0" w:color="auto"/>
            </w:tcBorders>
            <w:shd w:val="clear" w:color="auto" w:fill="auto"/>
            <w:vAlign w:val="bottom"/>
          </w:tcPr>
          <w:p w:rsidR="00FF6616" w:rsidRPr="002B5D34" w:rsidRDefault="00FF6616" w:rsidP="007D47EF">
            <w:pPr>
              <w:pStyle w:val="SingleTxtG"/>
              <w:spacing w:before="40" w:after="40" w:line="220" w:lineRule="exact"/>
              <w:ind w:left="0" w:right="0"/>
              <w:jc w:val="left"/>
              <w:rPr>
                <w:sz w:val="18"/>
                <w:szCs w:val="18"/>
              </w:rPr>
            </w:pPr>
            <w:proofErr w:type="spellStart"/>
            <w:r w:rsidRPr="002B5D34">
              <w:rPr>
                <w:sz w:val="18"/>
                <w:szCs w:val="18"/>
                <w:lang w:val="fr-FR"/>
              </w:rPr>
              <w:t>Samre</w:t>
            </w:r>
            <w:proofErr w:type="spellEnd"/>
          </w:p>
        </w:tc>
        <w:tc>
          <w:tcPr>
            <w:tcW w:w="727" w:type="dxa"/>
            <w:tcBorders>
              <w:bottom w:val="single" w:sz="4"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tcBorders>
              <w:bottom w:val="single" w:sz="4"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4" w:type="dxa"/>
            <w:tcBorders>
              <w:bottom w:val="single" w:sz="4"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tcBorders>
              <w:bottom w:val="single" w:sz="4"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tcBorders>
              <w:bottom w:val="single" w:sz="4"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tcBorders>
              <w:bottom w:val="single" w:sz="4"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tcBorders>
              <w:bottom w:val="single" w:sz="4"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tcBorders>
              <w:bottom w:val="single" w:sz="4"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tcBorders>
              <w:bottom w:val="single" w:sz="4"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727" w:type="dxa"/>
            <w:tcBorders>
              <w:bottom w:val="single" w:sz="4"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6" w:type="dxa"/>
            <w:tcBorders>
              <w:bottom w:val="single" w:sz="4"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tcBorders>
              <w:bottom w:val="single" w:sz="4"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7" w:type="dxa"/>
            <w:tcBorders>
              <w:bottom w:val="single" w:sz="4"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45" w:type="dxa"/>
            <w:tcBorders>
              <w:bottom w:val="single" w:sz="4"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575" w:type="dxa"/>
            <w:tcBorders>
              <w:bottom w:val="single" w:sz="4"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sz w:val="18"/>
                <w:szCs w:val="18"/>
              </w:rPr>
            </w:pPr>
          </w:p>
        </w:tc>
        <w:tc>
          <w:tcPr>
            <w:tcW w:w="877" w:type="dxa"/>
            <w:tcBorders>
              <w:bottom w:val="single" w:sz="4" w:space="0" w:color="auto"/>
            </w:tcBorders>
            <w:shd w:val="clear" w:color="auto" w:fill="auto"/>
            <w:vAlign w:val="bottom"/>
          </w:tcPr>
          <w:p w:rsidR="00FF6616" w:rsidRPr="002B5D34" w:rsidRDefault="00FF6616" w:rsidP="007D47EF">
            <w:pPr>
              <w:pStyle w:val="SingleTxtG"/>
              <w:spacing w:before="40" w:after="40" w:line="220" w:lineRule="exact"/>
              <w:ind w:left="0" w:right="0"/>
              <w:jc w:val="right"/>
              <w:rPr>
                <w:b/>
                <w:sz w:val="18"/>
                <w:szCs w:val="18"/>
              </w:rPr>
            </w:pPr>
            <w:r w:rsidRPr="002B5D34">
              <w:rPr>
                <w:b/>
                <w:sz w:val="18"/>
                <w:szCs w:val="18"/>
                <w:lang w:val="fr-FR"/>
              </w:rPr>
              <w:t>0</w:t>
            </w:r>
          </w:p>
        </w:tc>
      </w:tr>
      <w:tr w:rsidR="00FF6616" w:rsidRPr="007E11B3" w:rsidTr="00FF6616">
        <w:tc>
          <w:tcPr>
            <w:tcW w:w="1457" w:type="dxa"/>
            <w:gridSpan w:val="2"/>
            <w:tcBorders>
              <w:top w:val="single" w:sz="4" w:space="0" w:color="auto"/>
              <w:bottom w:val="single" w:sz="12" w:space="0" w:color="auto"/>
            </w:tcBorders>
            <w:shd w:val="clear" w:color="auto" w:fill="auto"/>
          </w:tcPr>
          <w:p w:rsidR="00FF6616" w:rsidRPr="002B5D34" w:rsidRDefault="00FF6616" w:rsidP="00336C4D">
            <w:pPr>
              <w:pStyle w:val="SingleTxtG"/>
              <w:spacing w:before="80" w:after="80" w:line="220" w:lineRule="exact"/>
              <w:ind w:left="284" w:right="0"/>
              <w:jc w:val="left"/>
              <w:rPr>
                <w:b/>
                <w:bCs/>
                <w:sz w:val="18"/>
                <w:szCs w:val="18"/>
              </w:rPr>
            </w:pPr>
            <w:r w:rsidRPr="002B5D34">
              <w:rPr>
                <w:b/>
                <w:bCs/>
                <w:sz w:val="18"/>
                <w:szCs w:val="18"/>
                <w:lang w:val="fr-FR"/>
              </w:rPr>
              <w:t>Total</w:t>
            </w:r>
          </w:p>
        </w:tc>
        <w:tc>
          <w:tcPr>
            <w:tcW w:w="727" w:type="dxa"/>
            <w:tcBorders>
              <w:top w:val="single" w:sz="4" w:space="0" w:color="auto"/>
              <w:bottom w:val="single" w:sz="12" w:space="0" w:color="auto"/>
            </w:tcBorders>
            <w:shd w:val="clear" w:color="auto" w:fill="auto"/>
            <w:vAlign w:val="bottom"/>
          </w:tcPr>
          <w:p w:rsidR="00FF6616" w:rsidRPr="002B5D34" w:rsidRDefault="00FF6616" w:rsidP="001C2D93">
            <w:pPr>
              <w:pStyle w:val="SingleTxtG"/>
              <w:spacing w:before="80" w:after="80" w:line="220" w:lineRule="exact"/>
              <w:ind w:left="0" w:right="0"/>
              <w:jc w:val="right"/>
              <w:rPr>
                <w:b/>
                <w:bCs/>
                <w:sz w:val="18"/>
                <w:szCs w:val="18"/>
              </w:rPr>
            </w:pPr>
            <w:r w:rsidRPr="002B5D34">
              <w:rPr>
                <w:b/>
                <w:bCs/>
                <w:sz w:val="18"/>
                <w:szCs w:val="18"/>
                <w:lang w:val="fr-FR"/>
              </w:rPr>
              <w:t>96 972</w:t>
            </w:r>
          </w:p>
        </w:tc>
        <w:tc>
          <w:tcPr>
            <w:tcW w:w="727" w:type="dxa"/>
            <w:tcBorders>
              <w:top w:val="single" w:sz="4" w:space="0" w:color="auto"/>
              <w:bottom w:val="single" w:sz="12" w:space="0" w:color="auto"/>
            </w:tcBorders>
            <w:shd w:val="clear" w:color="auto" w:fill="auto"/>
            <w:vAlign w:val="bottom"/>
          </w:tcPr>
          <w:p w:rsidR="00FF6616" w:rsidRPr="002B5D34" w:rsidRDefault="00FF6616" w:rsidP="001C2D93">
            <w:pPr>
              <w:pStyle w:val="SingleTxtG"/>
              <w:spacing w:before="80" w:after="80" w:line="220" w:lineRule="exact"/>
              <w:ind w:left="0" w:right="0"/>
              <w:jc w:val="right"/>
              <w:rPr>
                <w:b/>
                <w:bCs/>
                <w:sz w:val="18"/>
                <w:szCs w:val="18"/>
              </w:rPr>
            </w:pPr>
            <w:r w:rsidRPr="002B5D34">
              <w:rPr>
                <w:b/>
                <w:bCs/>
                <w:sz w:val="18"/>
                <w:szCs w:val="18"/>
                <w:lang w:val="fr-FR"/>
              </w:rPr>
              <w:t>31 582</w:t>
            </w:r>
          </w:p>
        </w:tc>
        <w:tc>
          <w:tcPr>
            <w:tcW w:w="724" w:type="dxa"/>
            <w:tcBorders>
              <w:top w:val="single" w:sz="4" w:space="0" w:color="auto"/>
              <w:bottom w:val="single" w:sz="12" w:space="0" w:color="auto"/>
            </w:tcBorders>
            <w:shd w:val="clear" w:color="auto" w:fill="auto"/>
            <w:vAlign w:val="bottom"/>
          </w:tcPr>
          <w:p w:rsidR="00FF6616" w:rsidRPr="002B5D34" w:rsidRDefault="00FF6616" w:rsidP="001C2D93">
            <w:pPr>
              <w:pStyle w:val="SingleTxtG"/>
              <w:spacing w:before="80" w:after="80" w:line="220" w:lineRule="exact"/>
              <w:ind w:left="0" w:right="0"/>
              <w:jc w:val="right"/>
              <w:rPr>
                <w:b/>
                <w:bCs/>
                <w:sz w:val="18"/>
                <w:szCs w:val="18"/>
              </w:rPr>
            </w:pPr>
            <w:r w:rsidRPr="002B5D34">
              <w:rPr>
                <w:b/>
                <w:bCs/>
                <w:sz w:val="18"/>
                <w:szCs w:val="18"/>
                <w:lang w:val="fr-FR"/>
              </w:rPr>
              <w:t>40 944</w:t>
            </w:r>
          </w:p>
        </w:tc>
        <w:tc>
          <w:tcPr>
            <w:tcW w:w="727" w:type="dxa"/>
            <w:tcBorders>
              <w:top w:val="single" w:sz="4" w:space="0" w:color="auto"/>
              <w:bottom w:val="single" w:sz="12" w:space="0" w:color="auto"/>
            </w:tcBorders>
            <w:shd w:val="clear" w:color="auto" w:fill="auto"/>
            <w:vAlign w:val="bottom"/>
          </w:tcPr>
          <w:p w:rsidR="00FF6616" w:rsidRPr="002B5D34" w:rsidRDefault="00FF6616" w:rsidP="001C2D93">
            <w:pPr>
              <w:pStyle w:val="SingleTxtG"/>
              <w:spacing w:before="80" w:after="80" w:line="220" w:lineRule="exact"/>
              <w:ind w:left="0" w:right="0"/>
              <w:jc w:val="right"/>
              <w:rPr>
                <w:b/>
                <w:bCs/>
                <w:sz w:val="18"/>
                <w:szCs w:val="18"/>
              </w:rPr>
            </w:pPr>
            <w:r w:rsidRPr="002B5D34">
              <w:rPr>
                <w:b/>
                <w:bCs/>
                <w:sz w:val="18"/>
                <w:szCs w:val="18"/>
                <w:lang w:val="fr-FR"/>
              </w:rPr>
              <w:t>16 760</w:t>
            </w:r>
          </w:p>
        </w:tc>
        <w:tc>
          <w:tcPr>
            <w:tcW w:w="727" w:type="dxa"/>
            <w:tcBorders>
              <w:top w:val="single" w:sz="4" w:space="0" w:color="auto"/>
              <w:bottom w:val="single" w:sz="12" w:space="0" w:color="auto"/>
            </w:tcBorders>
            <w:shd w:val="clear" w:color="auto" w:fill="auto"/>
            <w:vAlign w:val="bottom"/>
          </w:tcPr>
          <w:p w:rsidR="00FF6616" w:rsidRPr="002B5D34" w:rsidRDefault="00FF6616" w:rsidP="001C2D93">
            <w:pPr>
              <w:pStyle w:val="SingleTxtG"/>
              <w:spacing w:before="80" w:after="80" w:line="220" w:lineRule="exact"/>
              <w:ind w:left="0" w:right="0"/>
              <w:jc w:val="right"/>
              <w:rPr>
                <w:b/>
                <w:bCs/>
                <w:sz w:val="18"/>
                <w:szCs w:val="18"/>
              </w:rPr>
            </w:pPr>
            <w:r w:rsidRPr="002B5D34">
              <w:rPr>
                <w:b/>
                <w:bCs/>
                <w:sz w:val="18"/>
                <w:szCs w:val="18"/>
                <w:lang w:val="fr-FR"/>
              </w:rPr>
              <w:t>13 044</w:t>
            </w:r>
          </w:p>
        </w:tc>
        <w:tc>
          <w:tcPr>
            <w:tcW w:w="727" w:type="dxa"/>
            <w:tcBorders>
              <w:top w:val="single" w:sz="4" w:space="0" w:color="auto"/>
              <w:bottom w:val="single" w:sz="12" w:space="0" w:color="auto"/>
            </w:tcBorders>
            <w:shd w:val="clear" w:color="auto" w:fill="auto"/>
            <w:vAlign w:val="bottom"/>
          </w:tcPr>
          <w:p w:rsidR="00FF6616" w:rsidRPr="002B5D34" w:rsidRDefault="00FF6616" w:rsidP="001C2D93">
            <w:pPr>
              <w:pStyle w:val="SingleTxtG"/>
              <w:spacing w:before="80" w:after="80" w:line="220" w:lineRule="exact"/>
              <w:ind w:left="0" w:right="0"/>
              <w:jc w:val="right"/>
              <w:rPr>
                <w:b/>
                <w:bCs/>
                <w:sz w:val="18"/>
                <w:szCs w:val="18"/>
              </w:rPr>
            </w:pPr>
            <w:r w:rsidRPr="002B5D34">
              <w:rPr>
                <w:b/>
                <w:bCs/>
                <w:sz w:val="18"/>
                <w:szCs w:val="18"/>
                <w:lang w:val="fr-FR"/>
              </w:rPr>
              <w:t>10 194</w:t>
            </w:r>
          </w:p>
        </w:tc>
        <w:tc>
          <w:tcPr>
            <w:tcW w:w="727" w:type="dxa"/>
            <w:tcBorders>
              <w:top w:val="single" w:sz="4" w:space="0" w:color="auto"/>
              <w:bottom w:val="single" w:sz="12" w:space="0" w:color="auto"/>
            </w:tcBorders>
            <w:shd w:val="clear" w:color="auto" w:fill="auto"/>
            <w:vAlign w:val="bottom"/>
          </w:tcPr>
          <w:p w:rsidR="00FF6616" w:rsidRPr="002B5D34" w:rsidRDefault="00FF6616" w:rsidP="001C2D93">
            <w:pPr>
              <w:pStyle w:val="SingleTxtG"/>
              <w:spacing w:before="80" w:after="80" w:line="220" w:lineRule="exact"/>
              <w:ind w:left="0" w:right="0"/>
              <w:jc w:val="right"/>
              <w:rPr>
                <w:b/>
                <w:bCs/>
                <w:sz w:val="18"/>
                <w:szCs w:val="18"/>
              </w:rPr>
            </w:pPr>
            <w:r w:rsidRPr="002B5D34">
              <w:rPr>
                <w:b/>
                <w:bCs/>
                <w:sz w:val="18"/>
                <w:szCs w:val="18"/>
                <w:lang w:val="fr-FR"/>
              </w:rPr>
              <w:t>3 622</w:t>
            </w:r>
          </w:p>
        </w:tc>
        <w:tc>
          <w:tcPr>
            <w:tcW w:w="727" w:type="dxa"/>
            <w:tcBorders>
              <w:top w:val="single" w:sz="4" w:space="0" w:color="auto"/>
              <w:bottom w:val="single" w:sz="12" w:space="0" w:color="auto"/>
            </w:tcBorders>
            <w:shd w:val="clear" w:color="auto" w:fill="auto"/>
            <w:vAlign w:val="bottom"/>
          </w:tcPr>
          <w:p w:rsidR="00FF6616" w:rsidRPr="002B5D34" w:rsidRDefault="00FF6616" w:rsidP="001C2D93">
            <w:pPr>
              <w:pStyle w:val="SingleTxtG"/>
              <w:spacing w:before="80" w:after="80" w:line="220" w:lineRule="exact"/>
              <w:ind w:left="0" w:right="0"/>
              <w:jc w:val="right"/>
              <w:rPr>
                <w:b/>
                <w:bCs/>
                <w:sz w:val="18"/>
                <w:szCs w:val="18"/>
              </w:rPr>
            </w:pPr>
            <w:r w:rsidRPr="002B5D34">
              <w:rPr>
                <w:b/>
                <w:bCs/>
                <w:sz w:val="18"/>
                <w:szCs w:val="18"/>
                <w:lang w:val="fr-FR"/>
              </w:rPr>
              <w:t>2 564</w:t>
            </w:r>
          </w:p>
        </w:tc>
        <w:tc>
          <w:tcPr>
            <w:tcW w:w="727" w:type="dxa"/>
            <w:tcBorders>
              <w:top w:val="single" w:sz="4" w:space="0" w:color="auto"/>
              <w:bottom w:val="single" w:sz="12" w:space="0" w:color="auto"/>
            </w:tcBorders>
            <w:shd w:val="clear" w:color="auto" w:fill="auto"/>
            <w:vAlign w:val="bottom"/>
          </w:tcPr>
          <w:p w:rsidR="00FF6616" w:rsidRPr="002B5D34" w:rsidRDefault="00FF6616" w:rsidP="001C2D93">
            <w:pPr>
              <w:pStyle w:val="SingleTxtG"/>
              <w:spacing w:before="80" w:after="80" w:line="220" w:lineRule="exact"/>
              <w:ind w:left="0" w:right="0"/>
              <w:jc w:val="right"/>
              <w:rPr>
                <w:b/>
                <w:bCs/>
                <w:sz w:val="18"/>
                <w:szCs w:val="18"/>
              </w:rPr>
            </w:pPr>
            <w:r w:rsidRPr="002B5D34">
              <w:rPr>
                <w:b/>
                <w:bCs/>
                <w:sz w:val="18"/>
                <w:szCs w:val="18"/>
                <w:lang w:val="fr-FR"/>
              </w:rPr>
              <w:t>1 981</w:t>
            </w:r>
          </w:p>
        </w:tc>
        <w:tc>
          <w:tcPr>
            <w:tcW w:w="727" w:type="dxa"/>
            <w:tcBorders>
              <w:top w:val="single" w:sz="4" w:space="0" w:color="auto"/>
              <w:bottom w:val="single" w:sz="12" w:space="0" w:color="auto"/>
            </w:tcBorders>
            <w:shd w:val="clear" w:color="auto" w:fill="auto"/>
            <w:vAlign w:val="bottom"/>
          </w:tcPr>
          <w:p w:rsidR="00FF6616" w:rsidRPr="002B5D34" w:rsidRDefault="00FF6616" w:rsidP="001C2D93">
            <w:pPr>
              <w:pStyle w:val="SingleTxtG"/>
              <w:spacing w:before="80" w:after="80" w:line="220" w:lineRule="exact"/>
              <w:ind w:left="0" w:right="0"/>
              <w:jc w:val="right"/>
              <w:rPr>
                <w:b/>
                <w:bCs/>
                <w:sz w:val="18"/>
                <w:szCs w:val="18"/>
              </w:rPr>
            </w:pPr>
            <w:r w:rsidRPr="002B5D34">
              <w:rPr>
                <w:b/>
                <w:bCs/>
                <w:sz w:val="18"/>
                <w:szCs w:val="18"/>
                <w:lang w:val="fr-FR"/>
              </w:rPr>
              <w:t>1 833</w:t>
            </w:r>
          </w:p>
        </w:tc>
        <w:tc>
          <w:tcPr>
            <w:tcW w:w="546" w:type="dxa"/>
            <w:tcBorders>
              <w:top w:val="single" w:sz="4" w:space="0" w:color="auto"/>
              <w:bottom w:val="single" w:sz="12" w:space="0" w:color="auto"/>
            </w:tcBorders>
            <w:shd w:val="clear" w:color="auto" w:fill="auto"/>
            <w:vAlign w:val="bottom"/>
          </w:tcPr>
          <w:p w:rsidR="00FF6616" w:rsidRPr="002B5D34" w:rsidRDefault="00FF6616" w:rsidP="001C2D93">
            <w:pPr>
              <w:pStyle w:val="SingleTxtG"/>
              <w:spacing w:before="80" w:after="80" w:line="220" w:lineRule="exact"/>
              <w:ind w:left="0" w:right="0"/>
              <w:jc w:val="right"/>
              <w:rPr>
                <w:b/>
                <w:bCs/>
                <w:sz w:val="18"/>
                <w:szCs w:val="18"/>
              </w:rPr>
            </w:pPr>
            <w:r w:rsidRPr="002B5D34">
              <w:rPr>
                <w:b/>
                <w:bCs/>
                <w:sz w:val="18"/>
                <w:szCs w:val="18"/>
                <w:lang w:val="fr-FR"/>
              </w:rPr>
              <w:t>563</w:t>
            </w:r>
          </w:p>
        </w:tc>
        <w:tc>
          <w:tcPr>
            <w:tcW w:w="545" w:type="dxa"/>
            <w:tcBorders>
              <w:top w:val="single" w:sz="4" w:space="0" w:color="auto"/>
              <w:bottom w:val="single" w:sz="12" w:space="0" w:color="auto"/>
            </w:tcBorders>
            <w:shd w:val="clear" w:color="auto" w:fill="auto"/>
            <w:vAlign w:val="bottom"/>
          </w:tcPr>
          <w:p w:rsidR="00FF6616" w:rsidRPr="002B5D34" w:rsidRDefault="00FF6616" w:rsidP="001C2D93">
            <w:pPr>
              <w:pStyle w:val="SingleTxtG"/>
              <w:spacing w:before="80" w:after="80" w:line="220" w:lineRule="exact"/>
              <w:ind w:left="0" w:right="0"/>
              <w:jc w:val="right"/>
              <w:rPr>
                <w:b/>
                <w:bCs/>
                <w:sz w:val="18"/>
                <w:szCs w:val="18"/>
              </w:rPr>
            </w:pPr>
            <w:r w:rsidRPr="002B5D34">
              <w:rPr>
                <w:b/>
                <w:bCs/>
                <w:sz w:val="18"/>
                <w:szCs w:val="18"/>
                <w:lang w:val="fr-FR"/>
              </w:rPr>
              <w:t>474</w:t>
            </w:r>
          </w:p>
        </w:tc>
        <w:tc>
          <w:tcPr>
            <w:tcW w:w="547" w:type="dxa"/>
            <w:tcBorders>
              <w:top w:val="single" w:sz="4" w:space="0" w:color="auto"/>
              <w:bottom w:val="single" w:sz="12" w:space="0" w:color="auto"/>
            </w:tcBorders>
            <w:shd w:val="clear" w:color="auto" w:fill="auto"/>
            <w:vAlign w:val="bottom"/>
          </w:tcPr>
          <w:p w:rsidR="00FF6616" w:rsidRPr="002B5D34" w:rsidRDefault="00FF6616" w:rsidP="001C2D93">
            <w:pPr>
              <w:pStyle w:val="SingleTxtG"/>
              <w:spacing w:before="80" w:after="80" w:line="220" w:lineRule="exact"/>
              <w:ind w:left="0" w:right="0"/>
              <w:jc w:val="right"/>
              <w:rPr>
                <w:b/>
                <w:bCs/>
                <w:sz w:val="18"/>
                <w:szCs w:val="18"/>
              </w:rPr>
            </w:pPr>
            <w:r w:rsidRPr="002B5D34">
              <w:rPr>
                <w:b/>
                <w:bCs/>
                <w:sz w:val="18"/>
                <w:szCs w:val="18"/>
                <w:lang w:val="fr-FR"/>
              </w:rPr>
              <w:t>106</w:t>
            </w:r>
          </w:p>
        </w:tc>
        <w:tc>
          <w:tcPr>
            <w:tcW w:w="545" w:type="dxa"/>
            <w:tcBorders>
              <w:top w:val="single" w:sz="4" w:space="0" w:color="auto"/>
              <w:bottom w:val="single" w:sz="12" w:space="0" w:color="auto"/>
            </w:tcBorders>
            <w:shd w:val="clear" w:color="auto" w:fill="auto"/>
            <w:vAlign w:val="bottom"/>
          </w:tcPr>
          <w:p w:rsidR="00FF6616" w:rsidRPr="002B5D34" w:rsidRDefault="00FF6616" w:rsidP="001C2D93">
            <w:pPr>
              <w:pStyle w:val="SingleTxtG"/>
              <w:spacing w:before="80" w:after="80" w:line="220" w:lineRule="exact"/>
              <w:ind w:left="0" w:right="0"/>
              <w:jc w:val="right"/>
              <w:rPr>
                <w:b/>
                <w:bCs/>
                <w:sz w:val="18"/>
                <w:szCs w:val="18"/>
              </w:rPr>
            </w:pPr>
            <w:r w:rsidRPr="002B5D34">
              <w:rPr>
                <w:b/>
                <w:bCs/>
                <w:sz w:val="18"/>
                <w:szCs w:val="18"/>
                <w:lang w:val="fr-FR"/>
              </w:rPr>
              <w:t>244</w:t>
            </w:r>
          </w:p>
        </w:tc>
        <w:tc>
          <w:tcPr>
            <w:tcW w:w="575" w:type="dxa"/>
            <w:tcBorders>
              <w:top w:val="single" w:sz="4" w:space="0" w:color="auto"/>
              <w:bottom w:val="single" w:sz="12" w:space="0" w:color="auto"/>
            </w:tcBorders>
            <w:shd w:val="clear" w:color="auto" w:fill="auto"/>
            <w:vAlign w:val="bottom"/>
          </w:tcPr>
          <w:p w:rsidR="00FF6616" w:rsidRPr="002B5D34" w:rsidRDefault="00FF6616" w:rsidP="001C2D93">
            <w:pPr>
              <w:pStyle w:val="SingleTxtG"/>
              <w:spacing w:before="80" w:after="80" w:line="220" w:lineRule="exact"/>
              <w:ind w:left="0" w:right="0"/>
              <w:jc w:val="right"/>
              <w:rPr>
                <w:b/>
                <w:bCs/>
                <w:sz w:val="18"/>
                <w:szCs w:val="18"/>
              </w:rPr>
            </w:pPr>
            <w:r w:rsidRPr="002B5D34">
              <w:rPr>
                <w:b/>
                <w:bCs/>
                <w:sz w:val="18"/>
                <w:szCs w:val="18"/>
                <w:lang w:val="fr-FR"/>
              </w:rPr>
              <w:t>1 064</w:t>
            </w:r>
          </w:p>
        </w:tc>
        <w:tc>
          <w:tcPr>
            <w:tcW w:w="877" w:type="dxa"/>
            <w:tcBorders>
              <w:top w:val="single" w:sz="4" w:space="0" w:color="auto"/>
              <w:bottom w:val="single" w:sz="12" w:space="0" w:color="auto"/>
            </w:tcBorders>
            <w:shd w:val="clear" w:color="auto" w:fill="auto"/>
            <w:vAlign w:val="bottom"/>
          </w:tcPr>
          <w:p w:rsidR="00FF6616" w:rsidRPr="002B5D34" w:rsidRDefault="00FF6616" w:rsidP="001C2D93">
            <w:pPr>
              <w:pStyle w:val="SingleTxtG"/>
              <w:spacing w:before="80" w:after="80" w:line="220" w:lineRule="exact"/>
              <w:ind w:left="0" w:right="0"/>
              <w:jc w:val="right"/>
              <w:rPr>
                <w:b/>
                <w:sz w:val="18"/>
                <w:szCs w:val="18"/>
              </w:rPr>
            </w:pPr>
            <w:r w:rsidRPr="002B5D34">
              <w:rPr>
                <w:b/>
                <w:bCs/>
                <w:sz w:val="18"/>
                <w:szCs w:val="18"/>
                <w:lang w:val="fr-FR"/>
              </w:rPr>
              <w:t>221 953</w:t>
            </w:r>
          </w:p>
        </w:tc>
      </w:tr>
      <w:bookmarkEnd w:id="1"/>
    </w:tbl>
    <w:p w:rsidR="00703857" w:rsidRDefault="00703857" w:rsidP="0053469E">
      <w:pPr>
        <w:sectPr w:rsidR="00703857" w:rsidSect="0053469E">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rsidR="00DC6468" w:rsidRPr="004B488D" w:rsidRDefault="00DC6468" w:rsidP="00DA58EE">
      <w:pPr>
        <w:pStyle w:val="SingleTxtG"/>
      </w:pPr>
      <w:r>
        <w:rPr>
          <w:lang w:val="fr-FR"/>
        </w:rPr>
        <w:lastRenderedPageBreak/>
        <w:t>6.</w:t>
      </w:r>
      <w:r>
        <w:rPr>
          <w:lang w:val="fr-FR"/>
        </w:rPr>
        <w:tab/>
        <w:t>Toutes ces populations autochtones ont conservé leur unité ethnique, sociale, culturelle et économique en pratiquant les modes de vie, traditions, croyances et langues propres à chacune d</w:t>
      </w:r>
      <w:r w:rsidR="00467ECB">
        <w:rPr>
          <w:lang w:val="fr-FR"/>
        </w:rPr>
        <w:t>’</w:t>
      </w:r>
      <w:r>
        <w:rPr>
          <w:lang w:val="fr-FR"/>
        </w:rPr>
        <w:t>entre elles. Leurs modes de vie traditionnels en milieu entièrement naturel sont fondés sur le nomadisme agricole, les cultures itinérantes, la cueillette des fruits en forêt, la chasse, la pêche et l</w:t>
      </w:r>
      <w:r w:rsidR="00467ECB">
        <w:rPr>
          <w:lang w:val="fr-FR"/>
        </w:rPr>
        <w:t>’</w:t>
      </w:r>
      <w:r>
        <w:rPr>
          <w:lang w:val="fr-FR"/>
        </w:rPr>
        <w:t>élevage.</w:t>
      </w:r>
    </w:p>
    <w:p w:rsidR="00DC6468" w:rsidRPr="004B488D" w:rsidRDefault="00DC6468" w:rsidP="00DC6468">
      <w:pPr>
        <w:pStyle w:val="SingleTxtG"/>
      </w:pPr>
      <w:r>
        <w:rPr>
          <w:lang w:val="fr-FR"/>
        </w:rPr>
        <w:t>7.</w:t>
      </w:r>
      <w:r>
        <w:rPr>
          <w:lang w:val="fr-FR"/>
        </w:rPr>
        <w:tab/>
        <w:t>En 2009, le Gouvernement a élaboré une politique de développement des peuples autochtones</w:t>
      </w:r>
      <w:r w:rsidRPr="00DA58EE">
        <w:rPr>
          <w:rStyle w:val="Appelnotedebasdep"/>
        </w:rPr>
        <w:footnoteReference w:id="6"/>
      </w:r>
      <w:r>
        <w:rPr>
          <w:lang w:val="fr-FR"/>
        </w:rPr>
        <w:t>. L</w:t>
      </w:r>
      <w:r w:rsidR="00467ECB">
        <w:rPr>
          <w:lang w:val="fr-FR"/>
        </w:rPr>
        <w:t>’</w:t>
      </w:r>
      <w:r>
        <w:rPr>
          <w:lang w:val="fr-FR"/>
        </w:rPr>
        <w:t xml:space="preserve">application de cette politique a conduit au développement </w:t>
      </w:r>
      <w:proofErr w:type="spellStart"/>
      <w:r>
        <w:rPr>
          <w:lang w:val="fr-FR"/>
        </w:rPr>
        <w:t>socioéconomique</w:t>
      </w:r>
      <w:proofErr w:type="spellEnd"/>
      <w:r>
        <w:rPr>
          <w:lang w:val="fr-FR"/>
        </w:rPr>
        <w:t xml:space="preserve"> des peuples autochtones dans tous les domaines. Des infrastructures destinées à répondre à leurs besoins de subsistance ont été mises en place, telles que des routes, des écoles, des dispensaires et des unités mobiles de santé pour la prestation de soins aux agriculteurs nomades.</w:t>
      </w:r>
    </w:p>
    <w:p w:rsidR="00DC6468" w:rsidRPr="004B488D" w:rsidRDefault="00DC6468" w:rsidP="00DC6468">
      <w:pPr>
        <w:pStyle w:val="SingleTxtG"/>
      </w:pPr>
      <w:r>
        <w:rPr>
          <w:lang w:val="fr-FR"/>
        </w:rPr>
        <w:t>8.</w:t>
      </w:r>
      <w:r>
        <w:rPr>
          <w:lang w:val="fr-FR"/>
        </w:rPr>
        <w:tab/>
        <w:t>L</w:t>
      </w:r>
      <w:r w:rsidR="00467ECB">
        <w:rPr>
          <w:lang w:val="fr-FR"/>
        </w:rPr>
        <w:t>’</w:t>
      </w:r>
      <w:r>
        <w:rPr>
          <w:lang w:val="fr-FR"/>
        </w:rPr>
        <w:t>application de cette politique de développement, et l</w:t>
      </w:r>
      <w:r w:rsidR="00467ECB">
        <w:rPr>
          <w:lang w:val="fr-FR"/>
        </w:rPr>
        <w:t>’</w:t>
      </w:r>
      <w:r>
        <w:rPr>
          <w:lang w:val="fr-FR"/>
        </w:rPr>
        <w:t>éducation qui en a résulté, ont permis d</w:t>
      </w:r>
      <w:r w:rsidR="00467ECB">
        <w:rPr>
          <w:lang w:val="fr-FR"/>
        </w:rPr>
        <w:t>’</w:t>
      </w:r>
      <w:r>
        <w:rPr>
          <w:lang w:val="fr-FR"/>
        </w:rPr>
        <w:t>améliorer les conditions de vie des populations autochtones, qui peuvent notamment se procurer des logements et des vêtements décents grâce aux échanges, en vendant sur les marchés les produits et coproduits de l</w:t>
      </w:r>
      <w:r w:rsidR="00467ECB">
        <w:rPr>
          <w:lang w:val="fr-FR"/>
        </w:rPr>
        <w:t>’</w:t>
      </w:r>
      <w:r>
        <w:rPr>
          <w:lang w:val="fr-FR"/>
        </w:rPr>
        <w:t>agriculture, la forêt, la chasse et la pêche, et en y achetant des matériaux, des habits et des aliments destinés aux ménages.</w:t>
      </w:r>
    </w:p>
    <w:p w:rsidR="00DC6468" w:rsidRPr="004B488D" w:rsidRDefault="00DC6468" w:rsidP="00DC6468">
      <w:pPr>
        <w:pStyle w:val="H23G"/>
      </w:pPr>
      <w:r>
        <w:rPr>
          <w:lang w:val="fr-FR"/>
        </w:rPr>
        <w:tab/>
      </w:r>
      <w:r>
        <w:rPr>
          <w:lang w:val="fr-FR"/>
        </w:rPr>
        <w:tab/>
      </w:r>
      <w:r>
        <w:rPr>
          <w:bCs/>
          <w:lang w:val="fr-FR"/>
        </w:rPr>
        <w:t>Recommandation n</w:t>
      </w:r>
      <w:r>
        <w:rPr>
          <w:bCs/>
          <w:vertAlign w:val="superscript"/>
          <w:lang w:val="fr-FR"/>
        </w:rPr>
        <w:t>o</w:t>
      </w:r>
      <w:r>
        <w:rPr>
          <w:bCs/>
          <w:lang w:val="fr-FR"/>
        </w:rPr>
        <w:t> 16</w:t>
      </w:r>
    </w:p>
    <w:p w:rsidR="00DC6468" w:rsidRPr="004B488D" w:rsidRDefault="00DC6468" w:rsidP="00DC6468">
      <w:pPr>
        <w:pStyle w:val="SingleTxtG"/>
      </w:pPr>
      <w:r>
        <w:rPr>
          <w:lang w:val="fr-FR"/>
        </w:rPr>
        <w:t>9.</w:t>
      </w:r>
      <w:r>
        <w:rPr>
          <w:lang w:val="fr-FR"/>
        </w:rPr>
        <w:tab/>
        <w:t>Le Gouvernement considère le développement économique national comme une promotion des droits des personnes. Par conséquent, il garde à l</w:t>
      </w:r>
      <w:r w:rsidR="00467ECB">
        <w:rPr>
          <w:lang w:val="fr-FR"/>
        </w:rPr>
        <w:t>’</w:t>
      </w:r>
      <w:r>
        <w:rPr>
          <w:lang w:val="fr-FR"/>
        </w:rPr>
        <w:t>esprit et garantit en toutes circonstances l</w:t>
      </w:r>
      <w:r w:rsidR="00467ECB">
        <w:rPr>
          <w:lang w:val="fr-FR"/>
        </w:rPr>
        <w:t>’</w:t>
      </w:r>
      <w:r>
        <w:rPr>
          <w:lang w:val="fr-FR"/>
        </w:rPr>
        <w:t>équilibre entre le développement et les droits des citoyens, en veillant à ce qu</w:t>
      </w:r>
      <w:r w:rsidR="00467ECB">
        <w:rPr>
          <w:lang w:val="fr-FR"/>
        </w:rPr>
        <w:t>’</w:t>
      </w:r>
      <w:r>
        <w:rPr>
          <w:lang w:val="fr-FR"/>
        </w:rPr>
        <w:t>il ne soit pas porté atteinte aux droits visés dans la Convention, en particulier ceux des peuples autochtones.</w:t>
      </w:r>
    </w:p>
    <w:p w:rsidR="00DC6468" w:rsidRPr="004B488D" w:rsidRDefault="00DC6468" w:rsidP="00DC6468">
      <w:pPr>
        <w:pStyle w:val="SingleTxtG"/>
      </w:pPr>
      <w:r>
        <w:rPr>
          <w:lang w:val="fr-FR"/>
        </w:rPr>
        <w:t>10.</w:t>
      </w:r>
      <w:r>
        <w:rPr>
          <w:lang w:val="fr-FR"/>
        </w:rPr>
        <w:tab/>
        <w:t>Le Gouvernement a élaboré en faveur des peuples autochtones une politique de gestion des terres et des ressources naturelles qui doit servir de base à la promotion de leurs moyens de subsistance et de leur qualité de vie. Cette politique est appliquée au moyen de programmes et de projets de développement, en collaboration avec les partenaires de développement et les organisations de la société civile.</w:t>
      </w:r>
    </w:p>
    <w:p w:rsidR="00DC6468" w:rsidRPr="006341F8" w:rsidRDefault="00DC6468" w:rsidP="00DC6468">
      <w:pPr>
        <w:pStyle w:val="SingleTxtG"/>
      </w:pPr>
      <w:r w:rsidRPr="006341F8">
        <w:rPr>
          <w:lang w:val="fr-FR"/>
        </w:rPr>
        <w:t>11.</w:t>
      </w:r>
      <w:r w:rsidRPr="006341F8">
        <w:rPr>
          <w:lang w:val="fr-FR"/>
        </w:rPr>
        <w:tab/>
        <w:t>Tout en préservant les cultures, traditions, coutumes et croyances positives des peuples autochtones, le Gouvernement s</w:t>
      </w:r>
      <w:r w:rsidR="00467ECB">
        <w:rPr>
          <w:lang w:val="fr-FR"/>
        </w:rPr>
        <w:t>’</w:t>
      </w:r>
      <w:r w:rsidRPr="006341F8">
        <w:rPr>
          <w:lang w:val="fr-FR"/>
        </w:rPr>
        <w:t>est attaché à promouvoir le bien-être et l</w:t>
      </w:r>
      <w:r w:rsidR="00467ECB">
        <w:rPr>
          <w:lang w:val="fr-FR"/>
        </w:rPr>
        <w:t>’</w:t>
      </w:r>
      <w:r w:rsidRPr="006341F8">
        <w:rPr>
          <w:lang w:val="fr-FR"/>
        </w:rPr>
        <w:t>hygiène parmi ces populations, par la prestation de services de santé publique au niveau local, et par la priorité accordée à la poursuite des études jusqu</w:t>
      </w:r>
      <w:r w:rsidR="00467ECB">
        <w:rPr>
          <w:lang w:val="fr-FR"/>
        </w:rPr>
        <w:t>’</w:t>
      </w:r>
      <w:r w:rsidRPr="006341F8">
        <w:rPr>
          <w:lang w:val="fr-FR"/>
        </w:rPr>
        <w:t>à l</w:t>
      </w:r>
      <w:r w:rsidR="00467ECB">
        <w:rPr>
          <w:lang w:val="fr-FR"/>
        </w:rPr>
        <w:t>’</w:t>
      </w:r>
      <w:r w:rsidRPr="006341F8">
        <w:rPr>
          <w:lang w:val="fr-FR"/>
        </w:rPr>
        <w:t>enseignement supérieur. Le Gouvernement a également encouragé la constitution des communautés autochtones en entités juridiques habilitées à obtenir des titres fonciers et à jouir du droit à la propriété collective.</w:t>
      </w:r>
    </w:p>
    <w:p w:rsidR="00DC6468" w:rsidRPr="004B488D" w:rsidRDefault="00DC6468" w:rsidP="00DC6468">
      <w:pPr>
        <w:pStyle w:val="SingleTxtG"/>
      </w:pPr>
      <w:r>
        <w:rPr>
          <w:lang w:val="fr-FR"/>
        </w:rPr>
        <w:t>12.</w:t>
      </w:r>
      <w:r>
        <w:rPr>
          <w:lang w:val="fr-FR"/>
        </w:rPr>
        <w:tab/>
        <w:t>La propriété foncière collective est garantie par la Constitution du Royaume du Cambodge et par la loi foncière de 2001. L</w:t>
      </w:r>
      <w:r w:rsidR="00467ECB">
        <w:rPr>
          <w:lang w:val="fr-FR"/>
        </w:rPr>
        <w:t>’</w:t>
      </w:r>
      <w:r>
        <w:rPr>
          <w:lang w:val="fr-FR"/>
        </w:rPr>
        <w:t>article 25 de la loi foncière se lit comme suit : « Les biens fonciers appartenant aux communautés autochtones ne se limitent pas aux parcelles effectivement cultivées, mais comprennent celles qui doivent être réservées à la culture itinérante requise par les méthodes agricoles traditionnelles reconnues par les autorités administratives. La mesure et la démarcation des terres de ces communautés sont déterminées en fonction de la situation réelle dont elles se prévalent, moyennant l</w:t>
      </w:r>
      <w:r w:rsidR="00467ECB">
        <w:rPr>
          <w:lang w:val="fr-FR"/>
        </w:rPr>
        <w:t>’</w:t>
      </w:r>
      <w:r>
        <w:rPr>
          <w:lang w:val="fr-FR"/>
        </w:rPr>
        <w:t>accord du voisinage. »</w:t>
      </w:r>
      <w:r w:rsidR="00022502">
        <w:rPr>
          <w:lang w:val="fr-FR"/>
        </w:rPr>
        <w:t>.</w:t>
      </w:r>
    </w:p>
    <w:p w:rsidR="00DC6468" w:rsidRPr="004B488D" w:rsidRDefault="00DC6468" w:rsidP="00DC6468">
      <w:pPr>
        <w:pStyle w:val="SingleTxtG"/>
      </w:pPr>
      <w:r>
        <w:rPr>
          <w:lang w:val="fr-FR"/>
        </w:rPr>
        <w:t>13.</w:t>
      </w:r>
      <w:r>
        <w:rPr>
          <w:lang w:val="fr-FR"/>
        </w:rPr>
        <w:tab/>
        <w:t>Sur cette base légale, le Gouvernement a élaboré une politique d</w:t>
      </w:r>
      <w:r w:rsidR="00467ECB">
        <w:rPr>
          <w:lang w:val="fr-FR"/>
        </w:rPr>
        <w:t>’</w:t>
      </w:r>
      <w:r>
        <w:rPr>
          <w:lang w:val="fr-FR"/>
        </w:rPr>
        <w:t>enregistrement des biens fonciers et de délivrance des titres fonciers axée sur l</w:t>
      </w:r>
      <w:r w:rsidR="00467ECB">
        <w:rPr>
          <w:lang w:val="fr-FR"/>
        </w:rPr>
        <w:t>’</w:t>
      </w:r>
      <w:r>
        <w:rPr>
          <w:lang w:val="fr-FR"/>
        </w:rPr>
        <w:t>utilisation des terres par les communautés autochtones. Dans le cadre de cette politique, les communautés autochtones constituées en entités juridiques sont pleinement habilitées à gérer et à utiliser leurs terres de manière collective et traditionnelle, et sont en droit d</w:t>
      </w:r>
      <w:r w:rsidR="00467ECB">
        <w:rPr>
          <w:lang w:val="fr-FR"/>
        </w:rPr>
        <w:t>’</w:t>
      </w:r>
      <w:r>
        <w:rPr>
          <w:lang w:val="fr-FR"/>
        </w:rPr>
        <w:t>en demander l</w:t>
      </w:r>
      <w:r w:rsidR="00467ECB">
        <w:rPr>
          <w:lang w:val="fr-FR"/>
        </w:rPr>
        <w:t>’</w:t>
      </w:r>
      <w:r>
        <w:rPr>
          <w:lang w:val="fr-FR"/>
        </w:rPr>
        <w:t>enregistrement auprès de l</w:t>
      </w:r>
      <w:r w:rsidR="00467ECB">
        <w:rPr>
          <w:lang w:val="fr-FR"/>
        </w:rPr>
        <w:t>’</w:t>
      </w:r>
      <w:r>
        <w:rPr>
          <w:lang w:val="fr-FR"/>
        </w:rPr>
        <w:t>administration de l</w:t>
      </w:r>
      <w:r w:rsidR="00467ECB">
        <w:rPr>
          <w:lang w:val="fr-FR"/>
        </w:rPr>
        <w:t>’</w:t>
      </w:r>
      <w:r>
        <w:rPr>
          <w:lang w:val="fr-FR"/>
        </w:rPr>
        <w:t>aménagement du territoire, de l</w:t>
      </w:r>
      <w:r w:rsidR="00467ECB">
        <w:rPr>
          <w:lang w:val="fr-FR"/>
        </w:rPr>
        <w:t>’</w:t>
      </w:r>
      <w:r>
        <w:rPr>
          <w:lang w:val="fr-FR"/>
        </w:rPr>
        <w:t xml:space="preserve">urbanisme et des constructions compétente pour la ville, le district et le </w:t>
      </w:r>
      <w:r>
        <w:rPr>
          <w:i/>
          <w:iCs/>
          <w:lang w:val="fr-FR"/>
        </w:rPr>
        <w:t>khan</w:t>
      </w:r>
      <w:r>
        <w:rPr>
          <w:lang w:val="fr-FR"/>
        </w:rPr>
        <w:t xml:space="preserve"> où la communauté est implantée. À la fin de 2017, 19 communautés autochtones avaient obtenu des certificats de titres fonciers collectifs, soit 519 certificats répartis entre 1 789 familles disposant en tout de 16 271 hectares, à raison de </w:t>
      </w:r>
      <w:r w:rsidR="006341F8">
        <w:rPr>
          <w:lang w:val="fr-FR"/>
        </w:rPr>
        <w:t>9</w:t>
      </w:r>
      <w:r>
        <w:rPr>
          <w:lang w:val="fr-FR"/>
        </w:rPr>
        <w:t xml:space="preserve"> communautés dans la province de </w:t>
      </w:r>
      <w:proofErr w:type="spellStart"/>
      <w:r>
        <w:rPr>
          <w:lang w:val="fr-FR"/>
        </w:rPr>
        <w:t>Ratanakiri</w:t>
      </w:r>
      <w:proofErr w:type="spellEnd"/>
      <w:r>
        <w:rPr>
          <w:lang w:val="fr-FR"/>
        </w:rPr>
        <w:t xml:space="preserve">, </w:t>
      </w:r>
      <w:r w:rsidR="006341F8">
        <w:rPr>
          <w:lang w:val="fr-FR"/>
        </w:rPr>
        <w:t>7</w:t>
      </w:r>
      <w:r>
        <w:rPr>
          <w:lang w:val="fr-FR"/>
        </w:rPr>
        <w:t xml:space="preserve"> dans la </w:t>
      </w:r>
      <w:r>
        <w:rPr>
          <w:lang w:val="fr-FR"/>
        </w:rPr>
        <w:lastRenderedPageBreak/>
        <w:t xml:space="preserve">province de </w:t>
      </w:r>
      <w:proofErr w:type="spellStart"/>
      <w:r>
        <w:rPr>
          <w:lang w:val="fr-FR"/>
        </w:rPr>
        <w:t>Mondulkiri</w:t>
      </w:r>
      <w:proofErr w:type="spellEnd"/>
      <w:r>
        <w:rPr>
          <w:lang w:val="fr-FR"/>
        </w:rPr>
        <w:t xml:space="preserve">, </w:t>
      </w:r>
      <w:r w:rsidR="006341F8">
        <w:rPr>
          <w:lang w:val="fr-FR"/>
        </w:rPr>
        <w:t>2</w:t>
      </w:r>
      <w:r>
        <w:rPr>
          <w:lang w:val="fr-FR"/>
        </w:rPr>
        <w:t xml:space="preserve"> dans la province de Kratie et </w:t>
      </w:r>
      <w:r w:rsidR="00DA72C5">
        <w:rPr>
          <w:lang w:val="fr-FR"/>
        </w:rPr>
        <w:t>une</w:t>
      </w:r>
      <w:r>
        <w:rPr>
          <w:lang w:val="fr-FR"/>
        </w:rPr>
        <w:t xml:space="preserve"> dans la province de </w:t>
      </w:r>
      <w:proofErr w:type="spellStart"/>
      <w:r>
        <w:rPr>
          <w:lang w:val="fr-FR"/>
        </w:rPr>
        <w:t>Steung</w:t>
      </w:r>
      <w:proofErr w:type="spellEnd"/>
      <w:r>
        <w:rPr>
          <w:lang w:val="fr-FR"/>
        </w:rPr>
        <w:t> </w:t>
      </w:r>
      <w:proofErr w:type="spellStart"/>
      <w:r>
        <w:rPr>
          <w:lang w:val="fr-FR"/>
        </w:rPr>
        <w:t>Treng</w:t>
      </w:r>
      <w:proofErr w:type="spellEnd"/>
      <w:r w:rsidRPr="00DA58EE">
        <w:rPr>
          <w:rStyle w:val="Appelnotedebasdep"/>
        </w:rPr>
        <w:footnoteReference w:id="7"/>
      </w:r>
      <w:r>
        <w:rPr>
          <w:lang w:val="fr-FR"/>
        </w:rPr>
        <w:t>.</w:t>
      </w:r>
    </w:p>
    <w:p w:rsidR="00DC6468" w:rsidRPr="004B488D" w:rsidRDefault="00DC6468" w:rsidP="00022502">
      <w:pPr>
        <w:pStyle w:val="SingleTxtG"/>
      </w:pPr>
      <w:r>
        <w:rPr>
          <w:lang w:val="fr-FR"/>
        </w:rPr>
        <w:t>14.</w:t>
      </w:r>
      <w:r>
        <w:rPr>
          <w:lang w:val="fr-FR"/>
        </w:rPr>
        <w:tab/>
        <w:t>Malgré les lois, règles et dispositions en vigueur, la mise en œuvre des procédures d</w:t>
      </w:r>
      <w:r w:rsidR="00467ECB">
        <w:rPr>
          <w:lang w:val="fr-FR"/>
        </w:rPr>
        <w:t>’</w:t>
      </w:r>
      <w:r>
        <w:rPr>
          <w:lang w:val="fr-FR"/>
        </w:rPr>
        <w:t>enregistrement des terres communautaires s</w:t>
      </w:r>
      <w:r w:rsidR="00467ECB">
        <w:rPr>
          <w:lang w:val="fr-FR"/>
        </w:rPr>
        <w:t>’</w:t>
      </w:r>
      <w:r>
        <w:rPr>
          <w:lang w:val="fr-FR"/>
        </w:rPr>
        <w:t>est heurtée à certains obstacles qui ont retardé le processus, notamment du fait que :</w:t>
      </w:r>
    </w:p>
    <w:p w:rsidR="00DC6468" w:rsidRPr="004B488D" w:rsidRDefault="00DC6468" w:rsidP="00022502">
      <w:pPr>
        <w:pStyle w:val="Bullet1G"/>
      </w:pPr>
      <w:r>
        <w:rPr>
          <w:lang w:val="fr-FR"/>
        </w:rPr>
        <w:t>Certains membres de populations autochtones qui souhaitaient faire enregistrer à titre privé des parcelles qu</w:t>
      </w:r>
      <w:r w:rsidR="00467ECB">
        <w:rPr>
          <w:lang w:val="fr-FR"/>
        </w:rPr>
        <w:t>’</w:t>
      </w:r>
      <w:r>
        <w:rPr>
          <w:lang w:val="fr-FR"/>
        </w:rPr>
        <w:t>ils occupaient légalement, ont aussi souhaité, au cours du processus d</w:t>
      </w:r>
      <w:r w:rsidR="00467ECB">
        <w:rPr>
          <w:lang w:val="fr-FR"/>
        </w:rPr>
        <w:t>’</w:t>
      </w:r>
      <w:r>
        <w:rPr>
          <w:lang w:val="fr-FR"/>
        </w:rPr>
        <w:t>enregistrement sous le régime de la propriété privée, faire valoir leur appartenance à une communauté et transférer leur bien foncier personnel sous le régime collectif de la communauté ;</w:t>
      </w:r>
    </w:p>
    <w:p w:rsidR="00DC6468" w:rsidRPr="00022502" w:rsidRDefault="00DC6468" w:rsidP="00022502">
      <w:pPr>
        <w:pStyle w:val="Bullet1G"/>
      </w:pPr>
      <w:r>
        <w:rPr>
          <w:lang w:val="fr-FR"/>
        </w:rPr>
        <w:t>Certains membres de peuples autochtones, également membres d</w:t>
      </w:r>
      <w:r w:rsidR="00467ECB">
        <w:rPr>
          <w:lang w:val="fr-FR"/>
        </w:rPr>
        <w:t>’</w:t>
      </w:r>
      <w:r>
        <w:rPr>
          <w:lang w:val="fr-FR"/>
        </w:rPr>
        <w:t>une communauté, ont voulu se retirer de celle-ci au cours d</w:t>
      </w:r>
      <w:r w:rsidR="00467ECB">
        <w:rPr>
          <w:lang w:val="fr-FR"/>
        </w:rPr>
        <w:t>’</w:t>
      </w:r>
      <w:r>
        <w:rPr>
          <w:lang w:val="fr-FR"/>
        </w:rPr>
        <w:t>une procédure d</w:t>
      </w:r>
      <w:r w:rsidR="00467ECB">
        <w:rPr>
          <w:lang w:val="fr-FR"/>
        </w:rPr>
        <w:t>’</w:t>
      </w:r>
      <w:r>
        <w:rPr>
          <w:lang w:val="fr-FR"/>
        </w:rPr>
        <w:t xml:space="preserve">enregistrement de terres sous le régime de la propriété </w:t>
      </w:r>
      <w:r w:rsidRPr="00022502">
        <w:t>collective, et ont demandé que la parcelle qu</w:t>
      </w:r>
      <w:r w:rsidR="00467ECB">
        <w:t>’</w:t>
      </w:r>
      <w:r w:rsidRPr="00022502">
        <w:t>ils occupaient légalement soit enregistrée en tant que bien foncier privé ;</w:t>
      </w:r>
    </w:p>
    <w:p w:rsidR="00DC6468" w:rsidRPr="00022502" w:rsidRDefault="00DC6468" w:rsidP="00022502">
      <w:pPr>
        <w:pStyle w:val="Bullet1G"/>
      </w:pPr>
      <w:r w:rsidRPr="00022502">
        <w:t>Certaines communautés ne sont pas juridiquement habilitées à faire valoir leur droit à l</w:t>
      </w:r>
      <w:r w:rsidR="00467ECB">
        <w:t>’</w:t>
      </w:r>
      <w:r w:rsidRPr="00022502">
        <w:t>enregistrement de terres collectives faute de remplir les conditions de reconnaissance par le Ministère de l</w:t>
      </w:r>
      <w:r w:rsidR="00467ECB">
        <w:t>’</w:t>
      </w:r>
      <w:r w:rsidRPr="00022502">
        <w:t>aménagement du territoire, de l</w:t>
      </w:r>
      <w:r w:rsidR="00467ECB">
        <w:t>’</w:t>
      </w:r>
      <w:r w:rsidRPr="00022502">
        <w:t>urbanisme et des constructions ;</w:t>
      </w:r>
    </w:p>
    <w:p w:rsidR="00DC6468" w:rsidRPr="00022502" w:rsidRDefault="00DC6468" w:rsidP="00022502">
      <w:pPr>
        <w:pStyle w:val="Bullet1G"/>
      </w:pPr>
      <w:r w:rsidRPr="00022502">
        <w:t xml:space="preserve">Certaines communautés ont réclamé des terres qui dépassaient leurs besoins ; </w:t>
      </w:r>
    </w:p>
    <w:p w:rsidR="00DC6468" w:rsidRPr="004B488D" w:rsidRDefault="00DC6468" w:rsidP="00022502">
      <w:pPr>
        <w:pStyle w:val="Bullet1G"/>
      </w:pPr>
      <w:r w:rsidRPr="00022502">
        <w:t>L</w:t>
      </w:r>
      <w:r w:rsidR="00467ECB">
        <w:t>’</w:t>
      </w:r>
      <w:r w:rsidRPr="00022502">
        <w:t>octroi de concessions foncières à des fins économiques a affecté les terres collectives de populations autochtones</w:t>
      </w:r>
      <w:r>
        <w:rPr>
          <w:lang w:val="fr-FR"/>
        </w:rPr>
        <w:t xml:space="preserve"> et donné lieu à des différends quant aux droits de propriété et d</w:t>
      </w:r>
      <w:r w:rsidR="00467ECB">
        <w:rPr>
          <w:lang w:val="fr-FR"/>
        </w:rPr>
        <w:t>’</w:t>
      </w:r>
      <w:r>
        <w:rPr>
          <w:lang w:val="fr-FR"/>
        </w:rPr>
        <w:t>utilisation de ces terres, qui ont retardé l</w:t>
      </w:r>
      <w:r w:rsidR="00467ECB">
        <w:rPr>
          <w:lang w:val="fr-FR"/>
        </w:rPr>
        <w:t>’</w:t>
      </w:r>
      <w:r>
        <w:rPr>
          <w:lang w:val="fr-FR"/>
        </w:rPr>
        <w:t>attribution de titres fonciers aux communautés concernées.</w:t>
      </w:r>
    </w:p>
    <w:p w:rsidR="00DC6468" w:rsidRPr="004B488D" w:rsidRDefault="00DC6468" w:rsidP="00DC6468">
      <w:pPr>
        <w:pStyle w:val="SingleTxtG"/>
      </w:pPr>
      <w:r>
        <w:rPr>
          <w:lang w:val="fr-FR"/>
        </w:rPr>
        <w:t>15.</w:t>
      </w:r>
      <w:r>
        <w:rPr>
          <w:lang w:val="fr-FR"/>
        </w:rPr>
        <w:tab/>
        <w:t>Soucieux de garantir et de protéger les intérêts légitimes des populations autochtones, le Gouvernement a pris les mesures et résolutions suivantes :</w:t>
      </w:r>
    </w:p>
    <w:p w:rsidR="00DC6468" w:rsidRPr="00022502" w:rsidRDefault="00DC6468" w:rsidP="00022502">
      <w:pPr>
        <w:pStyle w:val="Bullet1G"/>
      </w:pPr>
      <w:r>
        <w:rPr>
          <w:lang w:val="fr-FR"/>
        </w:rPr>
        <w:t>Cesser d</w:t>
      </w:r>
      <w:r w:rsidR="00467ECB">
        <w:rPr>
          <w:lang w:val="fr-FR"/>
        </w:rPr>
        <w:t>’</w:t>
      </w:r>
      <w:r>
        <w:rPr>
          <w:lang w:val="fr-FR"/>
        </w:rPr>
        <w:t xml:space="preserve">octroyer des concessions foncières à des fins économiques, tout en accélérant le </w:t>
      </w:r>
      <w:r w:rsidRPr="00022502">
        <w:t>processus d</w:t>
      </w:r>
      <w:r w:rsidR="00467ECB">
        <w:t>’</w:t>
      </w:r>
      <w:r w:rsidRPr="00022502">
        <w:t>enregistrement des terres des peuples autochtones pour porter celui-ci à une moyenne de 10 communautés par an à dater de 2013 ;</w:t>
      </w:r>
    </w:p>
    <w:p w:rsidR="00DC6468" w:rsidRPr="00022502" w:rsidRDefault="00DC6468" w:rsidP="00022502">
      <w:pPr>
        <w:pStyle w:val="Bullet1G"/>
      </w:pPr>
      <w:r w:rsidRPr="00022502">
        <w:t>Élargir la connaissance et le respect des cultures des peuples autochtones, participer à la mise en place de leurs communautés selon que de besoin, et leur fournir des connaissances tendant au maintien des traditions et pratiques culturelles positives, ainsi qu</w:t>
      </w:r>
      <w:r w:rsidR="00467ECB">
        <w:t>’</w:t>
      </w:r>
      <w:r w:rsidRPr="00022502">
        <w:t>à une exploitation des terres et des ressources naturelles favorables au développement économique durable ;</w:t>
      </w:r>
    </w:p>
    <w:p w:rsidR="00DC6468" w:rsidRPr="00022502" w:rsidRDefault="00DC6468" w:rsidP="00022502">
      <w:pPr>
        <w:pStyle w:val="Bullet1G"/>
      </w:pPr>
      <w:r w:rsidRPr="00022502">
        <w:t>Améliorer le niveau de vie et les moyens de subsistance en renforçant l</w:t>
      </w:r>
      <w:r w:rsidR="00467ECB">
        <w:t>’</w:t>
      </w:r>
      <w:r w:rsidRPr="00022502">
        <w:t>éducation agricole, la construction d</w:t>
      </w:r>
      <w:r w:rsidR="00467ECB">
        <w:t>’</w:t>
      </w:r>
      <w:r w:rsidRPr="00022502">
        <w:t>infrastructures répondant aux besoins prioritaires, le développement du système de santé, l</w:t>
      </w:r>
      <w:r w:rsidR="00467ECB">
        <w:t>’</w:t>
      </w:r>
      <w:r w:rsidRPr="00022502">
        <w:t>acquisition de connaissances et compétences générales associées aux pratiques traditionnelles et culturelles positives, l</w:t>
      </w:r>
      <w:r w:rsidR="00467ECB">
        <w:t>’</w:t>
      </w:r>
      <w:r w:rsidRPr="00022502">
        <w:t>utilisation des langues autochtones dans les programmes scolaires ainsi que dans les informations radiodiffusées et télévisées portant en particulier sur le développement économique, social et culturel ;</w:t>
      </w:r>
    </w:p>
    <w:p w:rsidR="00DC6468" w:rsidRPr="004B488D" w:rsidRDefault="00DC6468" w:rsidP="00022502">
      <w:pPr>
        <w:pStyle w:val="Bullet1G"/>
      </w:pPr>
      <w:r w:rsidRPr="00022502">
        <w:t>Prévoir, en consultation avec les populations autochtones, des mesures visant à assurer l</w:t>
      </w:r>
      <w:r w:rsidR="00467ECB">
        <w:t>’</w:t>
      </w:r>
      <w:r w:rsidRPr="00022502">
        <w:t>exploitation des terres et des ressources naturelles des populations autochtones selon les normes de gestion responsable des forêts, de sorte à permettre aux communautés d</w:t>
      </w:r>
      <w:r w:rsidR="00467ECB">
        <w:t>’</w:t>
      </w:r>
      <w:r w:rsidRPr="00022502">
        <w:t>en</w:t>
      </w:r>
      <w:r>
        <w:rPr>
          <w:lang w:val="fr-FR"/>
        </w:rPr>
        <w:t xml:space="preserve"> retirer un avantage économique et de se développer.</w:t>
      </w:r>
    </w:p>
    <w:p w:rsidR="00DC6468" w:rsidRPr="004B488D" w:rsidRDefault="00DC6468" w:rsidP="00DC6468">
      <w:pPr>
        <w:pStyle w:val="H23G"/>
      </w:pPr>
      <w:r>
        <w:rPr>
          <w:lang w:val="fr-FR"/>
        </w:rPr>
        <w:tab/>
      </w:r>
      <w:r>
        <w:rPr>
          <w:lang w:val="fr-FR"/>
        </w:rPr>
        <w:tab/>
      </w:r>
      <w:r>
        <w:rPr>
          <w:bCs/>
          <w:lang w:val="fr-FR"/>
        </w:rPr>
        <w:t>Recommandation n</w:t>
      </w:r>
      <w:r>
        <w:rPr>
          <w:bCs/>
          <w:vertAlign w:val="superscript"/>
          <w:lang w:val="fr-FR"/>
        </w:rPr>
        <w:t>o</w:t>
      </w:r>
      <w:r>
        <w:rPr>
          <w:bCs/>
          <w:lang w:val="fr-FR"/>
        </w:rPr>
        <w:t> 20</w:t>
      </w:r>
    </w:p>
    <w:p w:rsidR="00DC6468" w:rsidRPr="004B488D" w:rsidRDefault="00DC6468" w:rsidP="00DC6468">
      <w:pPr>
        <w:pStyle w:val="SingleTxtG"/>
      </w:pPr>
      <w:r>
        <w:rPr>
          <w:lang w:val="fr-FR"/>
        </w:rPr>
        <w:t>16.</w:t>
      </w:r>
      <w:r>
        <w:rPr>
          <w:lang w:val="fr-FR"/>
        </w:rPr>
        <w:tab/>
        <w:t>Le Plan stratégique pour l</w:t>
      </w:r>
      <w:r w:rsidR="00467ECB">
        <w:rPr>
          <w:lang w:val="fr-FR"/>
        </w:rPr>
        <w:t>’</w:t>
      </w:r>
      <w:r>
        <w:rPr>
          <w:lang w:val="fr-FR"/>
        </w:rPr>
        <w:t>éducation (2014-2018) est en cours d</w:t>
      </w:r>
      <w:r w:rsidR="00467ECB">
        <w:rPr>
          <w:lang w:val="fr-FR"/>
        </w:rPr>
        <w:t>’</w:t>
      </w:r>
      <w:r>
        <w:rPr>
          <w:lang w:val="fr-FR"/>
        </w:rPr>
        <w:t>exécution. Il a pour objectif premier d</w:t>
      </w:r>
      <w:r w:rsidR="00467ECB">
        <w:rPr>
          <w:lang w:val="fr-FR"/>
        </w:rPr>
        <w:t>’</w:t>
      </w:r>
      <w:r>
        <w:rPr>
          <w:lang w:val="fr-FR"/>
        </w:rPr>
        <w:t>assurer la qualité, l</w:t>
      </w:r>
      <w:r w:rsidR="00467ECB">
        <w:rPr>
          <w:lang w:val="fr-FR"/>
        </w:rPr>
        <w:t>’</w:t>
      </w:r>
      <w:r>
        <w:rPr>
          <w:lang w:val="fr-FR"/>
        </w:rPr>
        <w:t>équité et l</w:t>
      </w:r>
      <w:r w:rsidR="00467ECB">
        <w:rPr>
          <w:lang w:val="fr-FR"/>
        </w:rPr>
        <w:t>’</w:t>
      </w:r>
      <w:r>
        <w:rPr>
          <w:lang w:val="fr-FR"/>
        </w:rPr>
        <w:t>inclusivité de l</w:t>
      </w:r>
      <w:r w:rsidR="00467ECB">
        <w:rPr>
          <w:lang w:val="fr-FR"/>
        </w:rPr>
        <w:t>’</w:t>
      </w:r>
      <w:r>
        <w:rPr>
          <w:lang w:val="fr-FR"/>
        </w:rPr>
        <w:t xml:space="preserve">éducation, dans la </w:t>
      </w:r>
      <w:r>
        <w:rPr>
          <w:lang w:val="fr-FR"/>
        </w:rPr>
        <w:lastRenderedPageBreak/>
        <w:t>perspective d</w:t>
      </w:r>
      <w:r w:rsidR="00467ECB">
        <w:rPr>
          <w:lang w:val="fr-FR"/>
        </w:rPr>
        <w:t>’</w:t>
      </w:r>
      <w:r>
        <w:rPr>
          <w:lang w:val="fr-FR"/>
        </w:rPr>
        <w:t>un apprentissage pour tous, tout au long de la vie. Le Plan stratégique a été activement mis en œuvre pendant l</w:t>
      </w:r>
      <w:r w:rsidR="00467ECB">
        <w:rPr>
          <w:lang w:val="fr-FR"/>
        </w:rPr>
        <w:t>’</w:t>
      </w:r>
      <w:r>
        <w:rPr>
          <w:lang w:val="fr-FR"/>
        </w:rPr>
        <w:t>année scolaire 2016/17, avec les résultats suivants</w:t>
      </w:r>
      <w:r w:rsidRPr="00DA58EE">
        <w:rPr>
          <w:rStyle w:val="Appelnotedebasdep"/>
        </w:rPr>
        <w:footnoteReference w:id="8"/>
      </w:r>
      <w:r>
        <w:rPr>
          <w:lang w:val="fr-FR"/>
        </w:rPr>
        <w:t> :</w:t>
      </w:r>
    </w:p>
    <w:p w:rsidR="00DC6468" w:rsidRPr="006341F8" w:rsidRDefault="00DC6468" w:rsidP="006341F8">
      <w:pPr>
        <w:pStyle w:val="Bullet1G"/>
      </w:pPr>
      <w:r>
        <w:rPr>
          <w:lang w:val="fr-FR"/>
        </w:rPr>
        <w:t>Au total, 426 025 enfants âgés de 0 à 5 ans (dont 214 249 filles), soit 21,8 % de cette tranche d</w:t>
      </w:r>
      <w:r w:rsidR="00467ECB">
        <w:rPr>
          <w:lang w:val="fr-FR"/>
        </w:rPr>
        <w:t>’</w:t>
      </w:r>
      <w:r>
        <w:rPr>
          <w:lang w:val="fr-FR"/>
        </w:rPr>
        <w:t>âge, ont suivi un programme éducatif complet. Au total, 196 669 enfants âgés de 5 ans (dont 97 127 filles), soit 66,3 % de cette tranche d</w:t>
      </w:r>
      <w:r w:rsidR="00467ECB">
        <w:rPr>
          <w:lang w:val="fr-FR"/>
        </w:rPr>
        <w:t>’</w:t>
      </w:r>
      <w:r>
        <w:rPr>
          <w:lang w:val="fr-FR"/>
        </w:rPr>
        <w:t xml:space="preserve">âge, ont suivi un programme éducatif complet. Le Gouvernement a également mis au point un programme </w:t>
      </w:r>
      <w:r w:rsidRPr="006341F8">
        <w:t>d</w:t>
      </w:r>
      <w:r w:rsidR="00467ECB">
        <w:t>’</w:t>
      </w:r>
      <w:r w:rsidRPr="006341F8">
        <w:t>enseignement mobile pour les enfants de 3 à 5 ans issus de familles autochtones qui sont éloignées des écoles maternelles communautaires. Ce</w:t>
      </w:r>
      <w:r w:rsidR="00BE62C1">
        <w:t> </w:t>
      </w:r>
      <w:r w:rsidRPr="006341F8">
        <w:t xml:space="preserve">programme scolaire a été inauguré dans deux villages des communes de Koh Peak (district de </w:t>
      </w:r>
      <w:proofErr w:type="spellStart"/>
      <w:r w:rsidRPr="006341F8">
        <w:t>Veun</w:t>
      </w:r>
      <w:proofErr w:type="spellEnd"/>
      <w:r w:rsidRPr="006341F8">
        <w:t xml:space="preserve"> Sai) et de </w:t>
      </w:r>
      <w:proofErr w:type="spellStart"/>
      <w:r w:rsidRPr="006341F8">
        <w:t>Taveng</w:t>
      </w:r>
      <w:proofErr w:type="spellEnd"/>
      <w:r w:rsidRPr="006341F8">
        <w:t> </w:t>
      </w:r>
      <w:proofErr w:type="spellStart"/>
      <w:r w:rsidRPr="006341F8">
        <w:t>Krom</w:t>
      </w:r>
      <w:proofErr w:type="spellEnd"/>
      <w:r w:rsidRPr="006341F8">
        <w:t xml:space="preserve"> (district de </w:t>
      </w:r>
      <w:proofErr w:type="spellStart"/>
      <w:r w:rsidRPr="006341F8">
        <w:t>Taveng</w:t>
      </w:r>
      <w:proofErr w:type="spellEnd"/>
      <w:r w:rsidRPr="006341F8">
        <w:t xml:space="preserve">), et le programme mobile saisonnier a débuté dans trois villages des communes de </w:t>
      </w:r>
      <w:proofErr w:type="spellStart"/>
      <w:r w:rsidRPr="006341F8">
        <w:t>Talav</w:t>
      </w:r>
      <w:proofErr w:type="spellEnd"/>
      <w:r w:rsidRPr="006341F8">
        <w:t xml:space="preserve"> (district de Andong </w:t>
      </w:r>
      <w:proofErr w:type="spellStart"/>
      <w:r w:rsidRPr="006341F8">
        <w:t>Meas</w:t>
      </w:r>
      <w:proofErr w:type="spellEnd"/>
      <w:r w:rsidRPr="006341F8">
        <w:t xml:space="preserve">) et de </w:t>
      </w:r>
      <w:proofErr w:type="spellStart"/>
      <w:r w:rsidRPr="006341F8">
        <w:t>Taveng</w:t>
      </w:r>
      <w:proofErr w:type="spellEnd"/>
      <w:r w:rsidRPr="006341F8">
        <w:t xml:space="preserve"> Leu (district de </w:t>
      </w:r>
      <w:proofErr w:type="spellStart"/>
      <w:r w:rsidRPr="006341F8">
        <w:t>Taveng</w:t>
      </w:r>
      <w:proofErr w:type="spellEnd"/>
      <w:r w:rsidRPr="006341F8">
        <w:t xml:space="preserve">), dans la province de </w:t>
      </w:r>
      <w:proofErr w:type="spellStart"/>
      <w:r w:rsidRPr="006341F8">
        <w:t>Ratanakiri</w:t>
      </w:r>
      <w:proofErr w:type="spellEnd"/>
      <w:r w:rsidRPr="006341F8">
        <w:t> ;</w:t>
      </w:r>
    </w:p>
    <w:p w:rsidR="00DC6468" w:rsidRPr="006341F8" w:rsidRDefault="00DC6468" w:rsidP="006341F8">
      <w:pPr>
        <w:pStyle w:val="Bullet1G"/>
      </w:pPr>
      <w:r w:rsidRPr="006341F8">
        <w:t>Soucieux de répondre aux besoins des enfants handicapés, le Gouvernement a mis en place à leur intention un programme scolaire inclusif pour le cycle maternel. Ce</w:t>
      </w:r>
      <w:r w:rsidR="00BE62C1">
        <w:t> </w:t>
      </w:r>
      <w:r w:rsidRPr="006341F8">
        <w:t xml:space="preserve">programme a été mis en œuvre dans les provinces de </w:t>
      </w:r>
      <w:proofErr w:type="spellStart"/>
      <w:r w:rsidRPr="006341F8">
        <w:t>Siem</w:t>
      </w:r>
      <w:proofErr w:type="spellEnd"/>
      <w:r w:rsidRPr="006341F8">
        <w:t> Reap, Battambang, Kampong Thom, Prey </w:t>
      </w:r>
      <w:proofErr w:type="spellStart"/>
      <w:r w:rsidRPr="006341F8">
        <w:t>Veng</w:t>
      </w:r>
      <w:proofErr w:type="spellEnd"/>
      <w:r w:rsidRPr="006341F8">
        <w:t xml:space="preserve">, </w:t>
      </w:r>
      <w:proofErr w:type="spellStart"/>
      <w:r w:rsidRPr="006341F8">
        <w:t>Ratanakiri</w:t>
      </w:r>
      <w:proofErr w:type="spellEnd"/>
      <w:r w:rsidRPr="006341F8">
        <w:t xml:space="preserve"> et Kratie, ainsi que dans la capitale Phnom Penh, en collaboration avec les écoles maternelles publiques, lesquelles ont accueilli 165 enfants handicapés (dont 49 filles) ;</w:t>
      </w:r>
    </w:p>
    <w:p w:rsidR="00DC6468" w:rsidRPr="004B488D" w:rsidRDefault="00DC6468" w:rsidP="006341F8">
      <w:pPr>
        <w:pStyle w:val="Bullet1G"/>
      </w:pPr>
      <w:r w:rsidRPr="006341F8">
        <w:t>Les écoles primaires publiques accueillent 2 022 061 élèves (dont 974 231 filles, soit 48,2 %), tandis que les</w:t>
      </w:r>
      <w:r>
        <w:rPr>
          <w:lang w:val="fr-FR"/>
        </w:rPr>
        <w:t xml:space="preserve"> écoles primaires privées en accueillent 89 570 (dont 44 095 filles, soit 49,3 %) ;</w:t>
      </w:r>
    </w:p>
    <w:p w:rsidR="00DC6468" w:rsidRPr="004B488D" w:rsidRDefault="00DC6468" w:rsidP="006341F8">
      <w:pPr>
        <w:pStyle w:val="Bullet1G"/>
      </w:pPr>
      <w:r>
        <w:rPr>
          <w:lang w:val="fr-FR"/>
        </w:rPr>
        <w:t xml:space="preserve">Les écoles publiques du cycle secondaire inférieur comptent 585 971 élèves (dont 51,8 % de filles) et leurs </w:t>
      </w:r>
      <w:r w:rsidRPr="006341F8">
        <w:t>homologues</w:t>
      </w:r>
      <w:r>
        <w:rPr>
          <w:lang w:val="fr-FR"/>
        </w:rPr>
        <w:t xml:space="preserve"> privées 22 984 élèves (dont 49,4 % de filles), tandis que les écoles du cycle secondaire supérieur comptent 279 480 élèves (dont 51,33 % de filles) et leurs homologues privées 17 244 élèves (dont 48,2 % de filles).</w:t>
      </w:r>
    </w:p>
    <w:p w:rsidR="00DC6468" w:rsidRPr="004B488D" w:rsidRDefault="00DC6468" w:rsidP="00DC6468">
      <w:pPr>
        <w:pStyle w:val="SingleTxtG"/>
      </w:pPr>
      <w:r>
        <w:rPr>
          <w:lang w:val="fr-FR"/>
        </w:rPr>
        <w:t>17.</w:t>
      </w:r>
      <w:r>
        <w:rPr>
          <w:lang w:val="fr-FR"/>
        </w:rPr>
        <w:tab/>
        <w:t>Parallèlement au Plan stratégique pour l</w:t>
      </w:r>
      <w:r w:rsidR="00467ECB">
        <w:rPr>
          <w:lang w:val="fr-FR"/>
        </w:rPr>
        <w:t>’</w:t>
      </w:r>
      <w:r>
        <w:rPr>
          <w:lang w:val="fr-FR"/>
        </w:rPr>
        <w:t>éducation, le Ministère de l</w:t>
      </w:r>
      <w:r w:rsidR="00467ECB">
        <w:rPr>
          <w:lang w:val="fr-FR"/>
        </w:rPr>
        <w:t>’</w:t>
      </w:r>
      <w:r>
        <w:rPr>
          <w:lang w:val="fr-FR"/>
        </w:rPr>
        <w:t>éducation, de la jeunesse et d</w:t>
      </w:r>
      <w:r w:rsidR="00AB4CEC">
        <w:rPr>
          <w:lang w:val="fr-FR"/>
        </w:rPr>
        <w:t>es</w:t>
      </w:r>
      <w:r>
        <w:rPr>
          <w:lang w:val="fr-FR"/>
        </w:rPr>
        <w:t xml:space="preserve"> sport</w:t>
      </w:r>
      <w:r w:rsidR="00AB4CEC">
        <w:rPr>
          <w:lang w:val="fr-FR"/>
        </w:rPr>
        <w:t>s</w:t>
      </w:r>
      <w:r>
        <w:rPr>
          <w:lang w:val="fr-FR"/>
        </w:rPr>
        <w:t xml:space="preserve"> s</w:t>
      </w:r>
      <w:r w:rsidR="00467ECB">
        <w:rPr>
          <w:lang w:val="fr-FR"/>
        </w:rPr>
        <w:t>’</w:t>
      </w:r>
      <w:r>
        <w:rPr>
          <w:lang w:val="fr-FR"/>
        </w:rPr>
        <w:t>est doté d</w:t>
      </w:r>
      <w:r w:rsidR="00467ECB">
        <w:rPr>
          <w:lang w:val="fr-FR"/>
        </w:rPr>
        <w:t>’</w:t>
      </w:r>
      <w:r>
        <w:rPr>
          <w:lang w:val="fr-FR"/>
        </w:rPr>
        <w:t>un Plan d</w:t>
      </w:r>
      <w:r w:rsidR="00467ECB">
        <w:rPr>
          <w:lang w:val="fr-FR"/>
        </w:rPr>
        <w:t>’</w:t>
      </w:r>
      <w:r>
        <w:rPr>
          <w:lang w:val="fr-FR"/>
        </w:rPr>
        <w:t>action national pour l</w:t>
      </w:r>
      <w:r w:rsidR="00467ECB">
        <w:rPr>
          <w:lang w:val="fr-FR"/>
        </w:rPr>
        <w:t>’</w:t>
      </w:r>
      <w:r>
        <w:rPr>
          <w:lang w:val="fr-FR"/>
        </w:rPr>
        <w:t xml:space="preserve">éducation multilingue (2015-2018) qui vise à faire en sorte que tous les enfants autochtones reçoivent une éducation fondamentale, y compris dans leur langue maternelle. En ce qui concerne le cycle préscolaire, le Ministère </w:t>
      </w:r>
      <w:r w:rsidR="004632F3">
        <w:rPr>
          <w:lang w:val="fr-FR"/>
        </w:rPr>
        <w:t xml:space="preserve">a </w:t>
      </w:r>
      <w:r>
        <w:rPr>
          <w:lang w:val="fr-FR"/>
        </w:rPr>
        <w:t xml:space="preserve">appliqué son programme multilingue à six populations autochtones </w:t>
      </w:r>
      <w:r w:rsidR="00523B43">
        <w:rPr>
          <w:lang w:val="fr-FR"/>
        </w:rPr>
        <w:t>−</w:t>
      </w:r>
      <w:r>
        <w:rPr>
          <w:lang w:val="fr-FR"/>
        </w:rPr>
        <w:t xml:space="preserve"> les </w:t>
      </w:r>
      <w:proofErr w:type="spellStart"/>
      <w:r>
        <w:rPr>
          <w:lang w:val="fr-FR"/>
        </w:rPr>
        <w:t>Kuoy</w:t>
      </w:r>
      <w:proofErr w:type="spellEnd"/>
      <w:r>
        <w:rPr>
          <w:lang w:val="fr-FR"/>
        </w:rPr>
        <w:t xml:space="preserve">, les </w:t>
      </w:r>
      <w:proofErr w:type="spellStart"/>
      <w:r>
        <w:rPr>
          <w:lang w:val="fr-FR"/>
        </w:rPr>
        <w:t>Kreung</w:t>
      </w:r>
      <w:proofErr w:type="spellEnd"/>
      <w:r>
        <w:rPr>
          <w:lang w:val="fr-FR"/>
        </w:rPr>
        <w:t xml:space="preserve">, les </w:t>
      </w:r>
      <w:proofErr w:type="spellStart"/>
      <w:r>
        <w:rPr>
          <w:lang w:val="fr-FR"/>
        </w:rPr>
        <w:t>Tumpoun</w:t>
      </w:r>
      <w:proofErr w:type="spellEnd"/>
      <w:r>
        <w:rPr>
          <w:lang w:val="fr-FR"/>
        </w:rPr>
        <w:t xml:space="preserve">, les </w:t>
      </w:r>
      <w:proofErr w:type="spellStart"/>
      <w:r>
        <w:rPr>
          <w:lang w:val="fr-FR"/>
        </w:rPr>
        <w:t>Phno</w:t>
      </w:r>
      <w:proofErr w:type="spellEnd"/>
      <w:r>
        <w:rPr>
          <w:lang w:val="fr-FR"/>
        </w:rPr>
        <w:t>(r)</w:t>
      </w:r>
      <w:proofErr w:type="spellStart"/>
      <w:r>
        <w:rPr>
          <w:lang w:val="fr-FR"/>
        </w:rPr>
        <w:t>ng</w:t>
      </w:r>
      <w:proofErr w:type="spellEnd"/>
      <w:r>
        <w:rPr>
          <w:lang w:val="fr-FR"/>
        </w:rPr>
        <w:t xml:space="preserve">, les </w:t>
      </w:r>
      <w:proofErr w:type="spellStart"/>
      <w:r>
        <w:rPr>
          <w:lang w:val="fr-FR"/>
        </w:rPr>
        <w:t>Kavet</w:t>
      </w:r>
      <w:proofErr w:type="spellEnd"/>
      <w:r>
        <w:rPr>
          <w:lang w:val="fr-FR"/>
        </w:rPr>
        <w:t xml:space="preserve"> et les Prov </w:t>
      </w:r>
      <w:r w:rsidR="00E52A62">
        <w:rPr>
          <w:lang w:val="fr-FR"/>
        </w:rPr>
        <w:t>−</w:t>
      </w:r>
      <w:r>
        <w:rPr>
          <w:lang w:val="fr-FR"/>
        </w:rPr>
        <w:t xml:space="preserve"> dans 15 districts cibles relevant de cinq provinces </w:t>
      </w:r>
      <w:r w:rsidR="004632F3">
        <w:rPr>
          <w:lang w:val="fr-FR"/>
        </w:rPr>
        <w:t>−</w:t>
      </w:r>
      <w:r>
        <w:rPr>
          <w:lang w:val="fr-FR"/>
        </w:rPr>
        <w:t xml:space="preserve"> dont celles de </w:t>
      </w:r>
      <w:proofErr w:type="spellStart"/>
      <w:r>
        <w:rPr>
          <w:lang w:val="fr-FR"/>
        </w:rPr>
        <w:t>Ratanakiri</w:t>
      </w:r>
      <w:proofErr w:type="spellEnd"/>
      <w:r>
        <w:rPr>
          <w:lang w:val="fr-FR"/>
        </w:rPr>
        <w:t xml:space="preserve">, </w:t>
      </w:r>
      <w:proofErr w:type="spellStart"/>
      <w:r>
        <w:rPr>
          <w:lang w:val="fr-FR"/>
        </w:rPr>
        <w:t>Mondulkiri</w:t>
      </w:r>
      <w:proofErr w:type="spellEnd"/>
      <w:r>
        <w:rPr>
          <w:lang w:val="fr-FR"/>
        </w:rPr>
        <w:t xml:space="preserve"> et Kratie </w:t>
      </w:r>
      <w:r w:rsidR="004632F3">
        <w:rPr>
          <w:lang w:val="fr-FR"/>
        </w:rPr>
        <w:t>−</w:t>
      </w:r>
      <w:r>
        <w:rPr>
          <w:lang w:val="fr-FR"/>
        </w:rPr>
        <w:t xml:space="preserve"> pour un total de 49 écoles maternelles et 971 enfants (dont 501 filles). En ce qui concerne le cycle primaire, le Ministère a appliqué son programme multilingue à cinq population</w:t>
      </w:r>
      <w:r w:rsidR="00DD7559">
        <w:rPr>
          <w:lang w:val="fr-FR"/>
        </w:rPr>
        <w:t>s</w:t>
      </w:r>
      <w:r>
        <w:rPr>
          <w:lang w:val="fr-FR"/>
        </w:rPr>
        <w:t xml:space="preserve"> autochtones </w:t>
      </w:r>
      <w:r w:rsidR="00E52A62">
        <w:rPr>
          <w:lang w:val="fr-FR"/>
        </w:rPr>
        <w:t>−</w:t>
      </w:r>
      <w:r>
        <w:rPr>
          <w:lang w:val="fr-FR"/>
        </w:rPr>
        <w:t xml:space="preserve"> les </w:t>
      </w:r>
      <w:proofErr w:type="spellStart"/>
      <w:r>
        <w:rPr>
          <w:lang w:val="fr-FR"/>
        </w:rPr>
        <w:t>Kreung</w:t>
      </w:r>
      <w:proofErr w:type="spellEnd"/>
      <w:r>
        <w:rPr>
          <w:lang w:val="fr-FR"/>
        </w:rPr>
        <w:t xml:space="preserve">, les </w:t>
      </w:r>
      <w:proofErr w:type="spellStart"/>
      <w:r>
        <w:rPr>
          <w:lang w:val="fr-FR"/>
        </w:rPr>
        <w:t>Tumpoun</w:t>
      </w:r>
      <w:proofErr w:type="spellEnd"/>
      <w:r>
        <w:rPr>
          <w:lang w:val="fr-FR"/>
        </w:rPr>
        <w:t xml:space="preserve">, les </w:t>
      </w:r>
      <w:proofErr w:type="spellStart"/>
      <w:r>
        <w:rPr>
          <w:lang w:val="fr-FR"/>
        </w:rPr>
        <w:t>Phno</w:t>
      </w:r>
      <w:proofErr w:type="spellEnd"/>
      <w:r>
        <w:rPr>
          <w:lang w:val="fr-FR"/>
        </w:rPr>
        <w:t>(r)</w:t>
      </w:r>
      <w:proofErr w:type="spellStart"/>
      <w:r>
        <w:rPr>
          <w:lang w:val="fr-FR"/>
        </w:rPr>
        <w:t>ng</w:t>
      </w:r>
      <w:proofErr w:type="spellEnd"/>
      <w:r>
        <w:rPr>
          <w:lang w:val="fr-FR"/>
        </w:rPr>
        <w:t xml:space="preserve">, les </w:t>
      </w:r>
      <w:proofErr w:type="spellStart"/>
      <w:r>
        <w:rPr>
          <w:lang w:val="fr-FR"/>
        </w:rPr>
        <w:t>Kavet</w:t>
      </w:r>
      <w:proofErr w:type="spellEnd"/>
      <w:r>
        <w:rPr>
          <w:lang w:val="fr-FR"/>
        </w:rPr>
        <w:t xml:space="preserve"> et les Prov </w:t>
      </w:r>
      <w:r w:rsidR="00E52A62">
        <w:rPr>
          <w:lang w:val="fr-FR"/>
        </w:rPr>
        <w:t>−</w:t>
      </w:r>
      <w:r>
        <w:rPr>
          <w:lang w:val="fr-FR"/>
        </w:rPr>
        <w:t xml:space="preserve"> dans 15 districts cibles relevant de quatre provinces</w:t>
      </w:r>
      <w:r w:rsidR="00E52A62">
        <w:rPr>
          <w:lang w:val="fr-FR"/>
        </w:rPr>
        <w:t xml:space="preserve"> − </w:t>
      </w:r>
      <w:proofErr w:type="spellStart"/>
      <w:r>
        <w:rPr>
          <w:lang w:val="fr-FR"/>
        </w:rPr>
        <w:t>Ratanakiri</w:t>
      </w:r>
      <w:proofErr w:type="spellEnd"/>
      <w:r>
        <w:rPr>
          <w:lang w:val="fr-FR"/>
        </w:rPr>
        <w:t xml:space="preserve">, </w:t>
      </w:r>
      <w:proofErr w:type="spellStart"/>
      <w:r>
        <w:rPr>
          <w:lang w:val="fr-FR"/>
        </w:rPr>
        <w:t>Mondulkiri</w:t>
      </w:r>
      <w:proofErr w:type="spellEnd"/>
      <w:r>
        <w:rPr>
          <w:lang w:val="fr-FR"/>
        </w:rPr>
        <w:t xml:space="preserve">, Kratie et </w:t>
      </w:r>
      <w:proofErr w:type="spellStart"/>
      <w:r>
        <w:rPr>
          <w:lang w:val="fr-FR"/>
        </w:rPr>
        <w:t>Steung</w:t>
      </w:r>
      <w:proofErr w:type="spellEnd"/>
      <w:r>
        <w:rPr>
          <w:lang w:val="fr-FR"/>
        </w:rPr>
        <w:t> </w:t>
      </w:r>
      <w:proofErr w:type="spellStart"/>
      <w:r>
        <w:rPr>
          <w:lang w:val="fr-FR"/>
        </w:rPr>
        <w:t>Treng</w:t>
      </w:r>
      <w:proofErr w:type="spellEnd"/>
      <w:r>
        <w:rPr>
          <w:lang w:val="fr-FR"/>
        </w:rPr>
        <w:t> </w:t>
      </w:r>
      <w:r w:rsidR="00E52A62">
        <w:rPr>
          <w:lang w:val="fr-FR"/>
        </w:rPr>
        <w:t>−</w:t>
      </w:r>
      <w:r>
        <w:rPr>
          <w:lang w:val="fr-FR"/>
        </w:rPr>
        <w:t xml:space="preserve"> pour un total de 78 écoles primaires et 4 513 élèves des trois premières années (dont 2 170 filles).</w:t>
      </w:r>
    </w:p>
    <w:p w:rsidR="00DC6468" w:rsidRPr="004B488D" w:rsidRDefault="00DC6468" w:rsidP="00DC6468">
      <w:pPr>
        <w:pStyle w:val="SingleTxtG"/>
      </w:pPr>
      <w:r>
        <w:rPr>
          <w:lang w:val="fr-FR"/>
        </w:rPr>
        <w:t>18.</w:t>
      </w:r>
      <w:r>
        <w:rPr>
          <w:lang w:val="fr-FR"/>
        </w:rPr>
        <w:tab/>
        <w:t>Bien que faisant l</w:t>
      </w:r>
      <w:r w:rsidR="00467ECB">
        <w:rPr>
          <w:lang w:val="fr-FR"/>
        </w:rPr>
        <w:t>’</w:t>
      </w:r>
      <w:r>
        <w:rPr>
          <w:lang w:val="fr-FR"/>
        </w:rPr>
        <w:t>objet d</w:t>
      </w:r>
      <w:r w:rsidR="00467ECB">
        <w:rPr>
          <w:lang w:val="fr-FR"/>
        </w:rPr>
        <w:t>’</w:t>
      </w:r>
      <w:r>
        <w:rPr>
          <w:lang w:val="fr-FR"/>
        </w:rPr>
        <w:t>une politique et d</w:t>
      </w:r>
      <w:r w:rsidR="00467ECB">
        <w:rPr>
          <w:lang w:val="fr-FR"/>
        </w:rPr>
        <w:t>’</w:t>
      </w:r>
      <w:r>
        <w:rPr>
          <w:lang w:val="fr-FR"/>
        </w:rPr>
        <w:t>un plan stratégique spécifiques, le secteur éducatif cambodgien a encore des obstacles à surmonter, qui tiennent notamment à la difficulté de communiquer avec les peuples autochtones dont tous les membres ne sont pas en mesure d</w:t>
      </w:r>
      <w:r w:rsidR="00467ECB">
        <w:rPr>
          <w:lang w:val="fr-FR"/>
        </w:rPr>
        <w:t>’</w:t>
      </w:r>
      <w:r>
        <w:rPr>
          <w:lang w:val="fr-FR"/>
        </w:rPr>
        <w:t>utiliser couramment la langue khmère. Le Ministère de l</w:t>
      </w:r>
      <w:r w:rsidR="00467ECB">
        <w:rPr>
          <w:lang w:val="fr-FR"/>
        </w:rPr>
        <w:t>’</w:t>
      </w:r>
      <w:r>
        <w:rPr>
          <w:lang w:val="fr-FR"/>
        </w:rPr>
        <w:t>éducation, de la jeunesse et d</w:t>
      </w:r>
      <w:r w:rsidR="00AB4CEC">
        <w:rPr>
          <w:lang w:val="fr-FR"/>
        </w:rPr>
        <w:t>es</w:t>
      </w:r>
      <w:r>
        <w:rPr>
          <w:lang w:val="fr-FR"/>
        </w:rPr>
        <w:t xml:space="preserve"> sport</w:t>
      </w:r>
      <w:r w:rsidR="00AB4CEC">
        <w:rPr>
          <w:lang w:val="fr-FR"/>
        </w:rPr>
        <w:t>s</w:t>
      </w:r>
      <w:r>
        <w:rPr>
          <w:lang w:val="fr-FR"/>
        </w:rPr>
        <w:t xml:space="preserve"> ne dispose pas du temps voulu pour amener les enfants autochtones à l</w:t>
      </w:r>
      <w:r w:rsidR="00467ECB">
        <w:rPr>
          <w:lang w:val="fr-FR"/>
        </w:rPr>
        <w:t>’</w:t>
      </w:r>
      <w:r>
        <w:rPr>
          <w:lang w:val="fr-FR"/>
        </w:rPr>
        <w:t>école, dès lors que leurs familles vivent dans des régions reculées et que certaines pratiquent le nomadisme agricole à caractère saisonnier.</w:t>
      </w:r>
    </w:p>
    <w:p w:rsidR="00DC6468" w:rsidRPr="004B488D" w:rsidRDefault="00DC6468" w:rsidP="00DC6468">
      <w:pPr>
        <w:pStyle w:val="SingleTxtG"/>
      </w:pPr>
      <w:r>
        <w:rPr>
          <w:lang w:val="fr-FR"/>
        </w:rPr>
        <w:t>19.</w:t>
      </w:r>
      <w:r>
        <w:rPr>
          <w:lang w:val="fr-FR"/>
        </w:rPr>
        <w:tab/>
        <w:t>Pour lever ces obstacles, le Gouvernement continuera d</w:t>
      </w:r>
      <w:r w:rsidR="00467ECB">
        <w:rPr>
          <w:lang w:val="fr-FR"/>
        </w:rPr>
        <w:t>’</w:t>
      </w:r>
      <w:r>
        <w:rPr>
          <w:lang w:val="fr-FR"/>
        </w:rPr>
        <w:t>encourager la constitution en entités juridiques tous les groupes constitutifs des populations autochtones, de sorte à garantir à la fois leur éducation et le développement de leurs conditions de vie en tous leurs aspects.</w:t>
      </w:r>
    </w:p>
    <w:p w:rsidR="00DC6468" w:rsidRPr="004B488D" w:rsidRDefault="00DC6468" w:rsidP="009E4DDA">
      <w:pPr>
        <w:pStyle w:val="H1G"/>
      </w:pPr>
      <w:r>
        <w:rPr>
          <w:lang w:val="fr-FR"/>
        </w:rPr>
        <w:lastRenderedPageBreak/>
        <w:tab/>
        <w:t>2.</w:t>
      </w:r>
      <w:r>
        <w:rPr>
          <w:lang w:val="fr-FR"/>
        </w:rPr>
        <w:tab/>
        <w:t>Réforme juridique et judiciaire (recommandations n</w:t>
      </w:r>
      <w:r>
        <w:rPr>
          <w:vertAlign w:val="superscript"/>
          <w:lang w:val="fr-FR"/>
        </w:rPr>
        <w:t>os</w:t>
      </w:r>
      <w:r>
        <w:rPr>
          <w:lang w:val="fr-FR"/>
        </w:rPr>
        <w:t xml:space="preserve"> 11, 13 et 17) </w:t>
      </w:r>
    </w:p>
    <w:p w:rsidR="00DC6468" w:rsidRPr="004B488D" w:rsidRDefault="00DC6468" w:rsidP="009E4DDA">
      <w:pPr>
        <w:pStyle w:val="H23G"/>
      </w:pPr>
      <w:r>
        <w:rPr>
          <w:lang w:val="fr-FR"/>
        </w:rPr>
        <w:tab/>
      </w:r>
      <w:r>
        <w:rPr>
          <w:lang w:val="fr-FR"/>
        </w:rPr>
        <w:tab/>
      </w:r>
      <w:r w:rsidRPr="009E4DDA">
        <w:t>Recommandation</w:t>
      </w:r>
      <w:r>
        <w:rPr>
          <w:lang w:val="fr-FR"/>
        </w:rPr>
        <w:t xml:space="preserve"> n</w:t>
      </w:r>
      <w:r>
        <w:rPr>
          <w:vertAlign w:val="superscript"/>
          <w:lang w:val="fr-FR"/>
        </w:rPr>
        <w:t>o</w:t>
      </w:r>
      <w:r>
        <w:rPr>
          <w:lang w:val="fr-FR"/>
        </w:rPr>
        <w:t> 11</w:t>
      </w:r>
    </w:p>
    <w:p w:rsidR="00DC6468" w:rsidRPr="004B488D" w:rsidRDefault="00DC6468" w:rsidP="00DC6468">
      <w:pPr>
        <w:pStyle w:val="SingleTxtG"/>
      </w:pPr>
      <w:r>
        <w:rPr>
          <w:lang w:val="fr-FR"/>
        </w:rPr>
        <w:t>20.</w:t>
      </w:r>
      <w:r>
        <w:rPr>
          <w:lang w:val="fr-FR"/>
        </w:rPr>
        <w:tab/>
        <w:t>En conformité avec l</w:t>
      </w:r>
      <w:r w:rsidR="00467ECB">
        <w:rPr>
          <w:lang w:val="fr-FR"/>
        </w:rPr>
        <w:t>’</w:t>
      </w:r>
      <w:r>
        <w:rPr>
          <w:lang w:val="fr-FR"/>
        </w:rPr>
        <w:t>article 31 de la Constitution du Royaume du Cambodge et l</w:t>
      </w:r>
      <w:r w:rsidR="00467ECB">
        <w:rPr>
          <w:lang w:val="fr-FR"/>
        </w:rPr>
        <w:t>’</w:t>
      </w:r>
      <w:r>
        <w:rPr>
          <w:lang w:val="fr-FR"/>
        </w:rPr>
        <w:t>article premier de la Convention, le Code pénal du Royaume du Cambodge définit la « discrimination raciale » comme étant le refus de fournir des biens ou des services, le refus de recruter, le licenciement ou la destitution, et le déni de droits par des agents de la fonction publique, au motif que la personne lésée appartient ou n</w:t>
      </w:r>
      <w:r w:rsidR="00467ECB">
        <w:rPr>
          <w:lang w:val="fr-FR"/>
        </w:rPr>
        <w:t>’</w:t>
      </w:r>
      <w:r>
        <w:rPr>
          <w:lang w:val="fr-FR"/>
        </w:rPr>
        <w:t>appartient pas à un groupe ethnique ou racial donné. Ces actes discriminatoires sont punissables en application des articles 265 à 270 du Code pénal.</w:t>
      </w:r>
    </w:p>
    <w:p w:rsidR="00DC6468" w:rsidRPr="004B488D" w:rsidRDefault="00DC6468" w:rsidP="00DC6468">
      <w:pPr>
        <w:pStyle w:val="SingleTxtG"/>
      </w:pPr>
      <w:r>
        <w:rPr>
          <w:lang w:val="fr-FR"/>
        </w:rPr>
        <w:t>21.</w:t>
      </w:r>
      <w:r>
        <w:rPr>
          <w:lang w:val="fr-FR"/>
        </w:rPr>
        <w:tab/>
        <w:t>Le droit de chacun à l</w:t>
      </w:r>
      <w:r w:rsidR="00467ECB">
        <w:rPr>
          <w:lang w:val="fr-FR"/>
        </w:rPr>
        <w:t>’</w:t>
      </w:r>
      <w:r>
        <w:rPr>
          <w:lang w:val="fr-FR"/>
        </w:rPr>
        <w:t>égalité dans la jouissance de tous les droits énoncés à l</w:t>
      </w:r>
      <w:r w:rsidR="00467ECB">
        <w:rPr>
          <w:lang w:val="fr-FR"/>
        </w:rPr>
        <w:t>’</w:t>
      </w:r>
      <w:r>
        <w:rPr>
          <w:lang w:val="fr-FR"/>
        </w:rPr>
        <w:t xml:space="preserve">article 5 de la Convention est garanti par la loi, sans discrimination, conformément aux articles 31 </w:t>
      </w:r>
      <w:r w:rsidR="00DD7559">
        <w:rPr>
          <w:lang w:val="fr-FR"/>
        </w:rPr>
        <w:t>à</w:t>
      </w:r>
      <w:r>
        <w:rPr>
          <w:lang w:val="fr-FR"/>
        </w:rPr>
        <w:t xml:space="preserve"> 50 de la Constitution du Royaume du Cambodge.</w:t>
      </w:r>
    </w:p>
    <w:p w:rsidR="00DC6468" w:rsidRPr="004B488D" w:rsidRDefault="00DC6468" w:rsidP="00DC6468">
      <w:pPr>
        <w:pStyle w:val="H23G"/>
      </w:pPr>
      <w:r>
        <w:rPr>
          <w:lang w:val="fr-FR"/>
        </w:rPr>
        <w:tab/>
      </w:r>
      <w:r>
        <w:rPr>
          <w:lang w:val="fr-FR"/>
        </w:rPr>
        <w:tab/>
      </w:r>
      <w:r>
        <w:rPr>
          <w:bCs/>
          <w:lang w:val="fr-FR"/>
        </w:rPr>
        <w:t>Recommandation n</w:t>
      </w:r>
      <w:r>
        <w:rPr>
          <w:bCs/>
          <w:vertAlign w:val="superscript"/>
          <w:lang w:val="fr-FR"/>
        </w:rPr>
        <w:t>o</w:t>
      </w:r>
      <w:r>
        <w:rPr>
          <w:bCs/>
          <w:lang w:val="fr-FR"/>
        </w:rPr>
        <w:t> 13</w:t>
      </w:r>
      <w:r>
        <w:rPr>
          <w:lang w:val="fr-FR"/>
        </w:rPr>
        <w:t xml:space="preserve"> </w:t>
      </w:r>
    </w:p>
    <w:p w:rsidR="00DC6468" w:rsidRPr="004B488D" w:rsidRDefault="00DC6468" w:rsidP="00DC6468">
      <w:pPr>
        <w:pStyle w:val="SingleTxtG"/>
      </w:pPr>
      <w:r>
        <w:rPr>
          <w:lang w:val="fr-FR"/>
        </w:rPr>
        <w:t>22.</w:t>
      </w:r>
      <w:r>
        <w:rPr>
          <w:lang w:val="fr-FR"/>
        </w:rPr>
        <w:tab/>
        <w:t>Au cours de la cinquième législature, le Gouvernement a encouragé et veillé à la réforme juridique et judiciaire. En 2014, trois lois fondamentales relatives au système judiciaire ont été promulguées, à savoir :</w:t>
      </w:r>
    </w:p>
    <w:p w:rsidR="00DC6468" w:rsidRPr="009E4DDA" w:rsidRDefault="00DC6468" w:rsidP="009E4DDA">
      <w:pPr>
        <w:pStyle w:val="Bullet1G"/>
      </w:pPr>
      <w:r>
        <w:rPr>
          <w:lang w:val="fr-FR"/>
        </w:rPr>
        <w:t xml:space="preserve">La loi portant organisation des tribunaux qui détermine la structure et les </w:t>
      </w:r>
      <w:r w:rsidRPr="009E4DDA">
        <w:t>compétences des juridictions à tous les degrés d</w:t>
      </w:r>
      <w:r w:rsidR="00467ECB">
        <w:t>’</w:t>
      </w:r>
      <w:r w:rsidRPr="009E4DDA">
        <w:t>instance et instaure un service administratif d</w:t>
      </w:r>
      <w:r w:rsidR="00467ECB">
        <w:t>’</w:t>
      </w:r>
      <w:r w:rsidRPr="009E4DDA">
        <w:t xml:space="preserve">appui au tribunaux ; </w:t>
      </w:r>
    </w:p>
    <w:p w:rsidR="00DC6468" w:rsidRPr="009E4DDA" w:rsidRDefault="00DC6468" w:rsidP="009E4DDA">
      <w:pPr>
        <w:pStyle w:val="Bullet1G"/>
      </w:pPr>
      <w:r w:rsidRPr="009E4DDA">
        <w:t>La loi sur le statut des juges et des procureurs qui définit les qualifications, la durée du mandat et le rang des magistrats dans l</w:t>
      </w:r>
      <w:r w:rsidR="00467ECB">
        <w:t>’</w:t>
      </w:r>
      <w:r w:rsidRPr="009E4DDA">
        <w:t xml:space="preserve">exercice de leurs fonctions à tous les degrés juridictionnels ; </w:t>
      </w:r>
    </w:p>
    <w:p w:rsidR="00DC6468" w:rsidRPr="004B488D" w:rsidRDefault="00DC6468" w:rsidP="009E4DDA">
      <w:pPr>
        <w:pStyle w:val="Bullet1G"/>
      </w:pPr>
      <w:r w:rsidRPr="009E4DDA">
        <w:t>La loi sur l</w:t>
      </w:r>
      <w:r w:rsidR="00467ECB">
        <w:t>’</w:t>
      </w:r>
      <w:r w:rsidRPr="009E4DDA">
        <w:t>organisation et le fonctionnement du Conseil suprême de la magistrature qui définit la durée et la nature du mandat du Conseil suprême en matière de nomination, de mutation, de cessation des fonctions et de discipline des juges, sous la haute présidence</w:t>
      </w:r>
      <w:r>
        <w:rPr>
          <w:lang w:val="fr-FR"/>
        </w:rPr>
        <w:t xml:space="preserve"> de S</w:t>
      </w:r>
      <w:r w:rsidR="00DD7559">
        <w:rPr>
          <w:lang w:val="fr-FR"/>
        </w:rPr>
        <w:t>a</w:t>
      </w:r>
      <w:r>
        <w:rPr>
          <w:lang w:val="fr-FR"/>
        </w:rPr>
        <w:t> M</w:t>
      </w:r>
      <w:r w:rsidR="00DD7559">
        <w:rPr>
          <w:lang w:val="fr-FR"/>
        </w:rPr>
        <w:t>ajesté</w:t>
      </w:r>
      <w:r>
        <w:rPr>
          <w:lang w:val="fr-FR"/>
        </w:rPr>
        <w:t xml:space="preserve"> le Roi, afin de garantir l</w:t>
      </w:r>
      <w:r w:rsidR="00467ECB">
        <w:rPr>
          <w:lang w:val="fr-FR"/>
        </w:rPr>
        <w:t>’</w:t>
      </w:r>
      <w:r>
        <w:rPr>
          <w:lang w:val="fr-FR"/>
        </w:rPr>
        <w:t>indépendance du pouvoir judiciaire.</w:t>
      </w:r>
    </w:p>
    <w:p w:rsidR="00DC6468" w:rsidRPr="004B488D" w:rsidRDefault="00DC6468" w:rsidP="00DC6468">
      <w:pPr>
        <w:pStyle w:val="SingleTxtG"/>
      </w:pPr>
      <w:r>
        <w:rPr>
          <w:lang w:val="fr-FR"/>
        </w:rPr>
        <w:t>23.</w:t>
      </w:r>
      <w:r>
        <w:rPr>
          <w:lang w:val="fr-FR"/>
        </w:rPr>
        <w:tab/>
        <w:t>Dans le souci de renforcer l</w:t>
      </w:r>
      <w:r w:rsidR="00467ECB">
        <w:rPr>
          <w:lang w:val="fr-FR"/>
        </w:rPr>
        <w:t>’</w:t>
      </w:r>
      <w:r>
        <w:rPr>
          <w:lang w:val="fr-FR"/>
        </w:rPr>
        <w:t>indépendance judiciaire, le Gouvernement a également veillé au renforcement des capacités des juges dans tous les secteurs. Tous les juges sont formés par l</w:t>
      </w:r>
      <w:r w:rsidR="00467ECB">
        <w:rPr>
          <w:lang w:val="fr-FR"/>
        </w:rPr>
        <w:t>’</w:t>
      </w:r>
      <w:r>
        <w:rPr>
          <w:lang w:val="fr-FR"/>
        </w:rPr>
        <w:t>Académie royale des professions judiciaires et suivent des formations de perfectionnement dans les domaines pénal et civil. Une formation au Code de déontologie des juges a également été assurée à leur intention par le Conseil suprême de la magistrature sous la forme de quatre cours en 2016.</w:t>
      </w:r>
    </w:p>
    <w:p w:rsidR="00DC6468" w:rsidRPr="004B488D" w:rsidRDefault="00DC6468" w:rsidP="00DC6468">
      <w:pPr>
        <w:pStyle w:val="SingleTxtG"/>
      </w:pPr>
      <w:r>
        <w:rPr>
          <w:lang w:val="fr-FR"/>
        </w:rPr>
        <w:t>24.</w:t>
      </w:r>
      <w:r>
        <w:rPr>
          <w:lang w:val="fr-FR"/>
        </w:rPr>
        <w:tab/>
        <w:t>En vue de prendre part au renforcement de l</w:t>
      </w:r>
      <w:r w:rsidR="00467ECB">
        <w:rPr>
          <w:lang w:val="fr-FR"/>
        </w:rPr>
        <w:t>’</w:t>
      </w:r>
      <w:r>
        <w:rPr>
          <w:lang w:val="fr-FR"/>
        </w:rPr>
        <w:t xml:space="preserve">indépendance judiciaire, le Conseil supérieur de la magistrature a aussi accordé une attention particulière à la discipline des juges. Depuis 2015, il a sanctionné </w:t>
      </w:r>
      <w:r w:rsidR="00DD7559">
        <w:rPr>
          <w:lang w:val="fr-FR"/>
        </w:rPr>
        <w:t>8</w:t>
      </w:r>
      <w:r>
        <w:rPr>
          <w:lang w:val="fr-FR"/>
        </w:rPr>
        <w:t xml:space="preserve"> juges et </w:t>
      </w:r>
      <w:r w:rsidR="00DD7559">
        <w:rPr>
          <w:lang w:val="fr-FR"/>
        </w:rPr>
        <w:t>5</w:t>
      </w:r>
      <w:r>
        <w:rPr>
          <w:lang w:val="fr-FR"/>
        </w:rPr>
        <w:t xml:space="preserve"> procureurs coupables de fautes professionnelles.</w:t>
      </w:r>
    </w:p>
    <w:p w:rsidR="00DC6468" w:rsidRPr="004B488D" w:rsidRDefault="00DC6468" w:rsidP="00DC6468">
      <w:pPr>
        <w:pStyle w:val="SingleTxtG"/>
      </w:pPr>
      <w:r>
        <w:rPr>
          <w:lang w:val="fr-FR"/>
        </w:rPr>
        <w:t>25.</w:t>
      </w:r>
      <w:r>
        <w:rPr>
          <w:lang w:val="fr-FR"/>
        </w:rPr>
        <w:tab/>
        <w:t>Le Gouvernement a également pris des mesures résolues afin de prévenir la corruption dans le système judiciaire, en conférant au Bureau de lutte contre la corruption un pouvoir de surveillance, d</w:t>
      </w:r>
      <w:r w:rsidR="00467ECB">
        <w:rPr>
          <w:lang w:val="fr-FR"/>
        </w:rPr>
        <w:t>’</w:t>
      </w:r>
      <w:r>
        <w:rPr>
          <w:lang w:val="fr-FR"/>
        </w:rPr>
        <w:t>enquête et d</w:t>
      </w:r>
      <w:r w:rsidR="00467ECB">
        <w:rPr>
          <w:lang w:val="fr-FR"/>
        </w:rPr>
        <w:t>’</w:t>
      </w:r>
      <w:r>
        <w:rPr>
          <w:lang w:val="fr-FR"/>
        </w:rPr>
        <w:t xml:space="preserve">arrestation en la matière. Deux juges, </w:t>
      </w:r>
      <w:r w:rsidR="00DD7559">
        <w:rPr>
          <w:lang w:val="fr-FR"/>
        </w:rPr>
        <w:t>2 </w:t>
      </w:r>
      <w:r>
        <w:rPr>
          <w:lang w:val="fr-FR"/>
        </w:rPr>
        <w:t xml:space="preserve">procureurs et </w:t>
      </w:r>
      <w:r w:rsidR="00DD7559">
        <w:rPr>
          <w:lang w:val="fr-FR"/>
        </w:rPr>
        <w:t>4</w:t>
      </w:r>
      <w:r>
        <w:rPr>
          <w:lang w:val="fr-FR"/>
        </w:rPr>
        <w:t xml:space="preserve"> greffiers ont été arrêtés par le Bureau de lutte contre la corruption et condamnés par les tribunaux pour faits de corruption.</w:t>
      </w:r>
    </w:p>
    <w:p w:rsidR="00DC6468" w:rsidRPr="004B488D" w:rsidRDefault="00DC6468" w:rsidP="00DC6468">
      <w:pPr>
        <w:pStyle w:val="H23G"/>
      </w:pPr>
      <w:r>
        <w:rPr>
          <w:lang w:val="fr-FR"/>
        </w:rPr>
        <w:tab/>
      </w:r>
      <w:r>
        <w:rPr>
          <w:lang w:val="fr-FR"/>
        </w:rPr>
        <w:tab/>
      </w:r>
      <w:r>
        <w:rPr>
          <w:bCs/>
          <w:lang w:val="fr-FR"/>
        </w:rPr>
        <w:t>Recommandation n</w:t>
      </w:r>
      <w:r>
        <w:rPr>
          <w:bCs/>
          <w:vertAlign w:val="superscript"/>
          <w:lang w:val="fr-FR"/>
        </w:rPr>
        <w:t>o</w:t>
      </w:r>
      <w:r>
        <w:rPr>
          <w:bCs/>
          <w:lang w:val="fr-FR"/>
        </w:rPr>
        <w:t> 17</w:t>
      </w:r>
    </w:p>
    <w:p w:rsidR="00DC6468" w:rsidRPr="004B488D" w:rsidRDefault="00DC6468" w:rsidP="00DC6468">
      <w:pPr>
        <w:pStyle w:val="SingleTxtG"/>
      </w:pPr>
      <w:r>
        <w:rPr>
          <w:lang w:val="fr-FR"/>
        </w:rPr>
        <w:t>26.</w:t>
      </w:r>
      <w:r>
        <w:rPr>
          <w:lang w:val="fr-FR"/>
        </w:rPr>
        <w:tab/>
        <w:t>Le Royaume du Cambodge n</w:t>
      </w:r>
      <w:r w:rsidR="00467ECB">
        <w:rPr>
          <w:lang w:val="fr-FR"/>
        </w:rPr>
        <w:t>’</w:t>
      </w:r>
      <w:r>
        <w:rPr>
          <w:lang w:val="fr-FR"/>
        </w:rPr>
        <w:t xml:space="preserve">a pas pour principe de soumettre les citoyens cambodgiens </w:t>
      </w:r>
      <w:r w:rsidR="009E4DDA">
        <w:rPr>
          <w:lang w:val="fr-FR"/>
        </w:rPr>
        <w:t>−</w:t>
      </w:r>
      <w:r>
        <w:rPr>
          <w:lang w:val="fr-FR"/>
        </w:rPr>
        <w:t> et cela vaut pour les citoyens autochtones</w:t>
      </w:r>
      <w:r w:rsidR="008567E2">
        <w:rPr>
          <w:lang w:val="fr-FR"/>
        </w:rPr>
        <w:t xml:space="preserve"> − </w:t>
      </w:r>
      <w:r>
        <w:rPr>
          <w:lang w:val="fr-FR"/>
        </w:rPr>
        <w:t>aux expulsions forcées. Les mesures que le Gouvernement a prises dans ce domaine ont consisté à assurer des déplacements liés au développement en recourant à des moyens pacifiques.</w:t>
      </w:r>
    </w:p>
    <w:p w:rsidR="00DC6468" w:rsidRPr="004B488D" w:rsidRDefault="00DC6468" w:rsidP="00DC6468">
      <w:pPr>
        <w:pStyle w:val="SingleTxtG"/>
      </w:pPr>
      <w:r>
        <w:rPr>
          <w:lang w:val="fr-FR"/>
        </w:rPr>
        <w:t>27.</w:t>
      </w:r>
      <w:r>
        <w:rPr>
          <w:lang w:val="fr-FR"/>
        </w:rPr>
        <w:tab/>
        <w:t>Jusqu</w:t>
      </w:r>
      <w:r w:rsidR="00467ECB">
        <w:rPr>
          <w:lang w:val="fr-FR"/>
        </w:rPr>
        <w:t>’</w:t>
      </w:r>
      <w:r>
        <w:rPr>
          <w:lang w:val="fr-FR"/>
        </w:rPr>
        <w:t>à présent, les autorités compétentes n</w:t>
      </w:r>
      <w:r w:rsidR="00467ECB">
        <w:rPr>
          <w:lang w:val="fr-FR"/>
        </w:rPr>
        <w:t>’</w:t>
      </w:r>
      <w:r>
        <w:rPr>
          <w:lang w:val="fr-FR"/>
        </w:rPr>
        <w:t xml:space="preserve">ont jamais soumis à des pressions, ni poursuivi ni arrêté aucun habitant autochtone qui avait protesté contre des concessions foncières octroyées à des fins économiques. Si des membres de peuples autochtones ont fait </w:t>
      </w:r>
      <w:r>
        <w:rPr>
          <w:lang w:val="fr-FR"/>
        </w:rPr>
        <w:lastRenderedPageBreak/>
        <w:t>l</w:t>
      </w:r>
      <w:r w:rsidR="00467ECB">
        <w:rPr>
          <w:lang w:val="fr-FR"/>
        </w:rPr>
        <w:t>’</w:t>
      </w:r>
      <w:r>
        <w:rPr>
          <w:lang w:val="fr-FR"/>
        </w:rPr>
        <w:t>objet de mesures de poursuites et d</w:t>
      </w:r>
      <w:r w:rsidR="00467ECB">
        <w:rPr>
          <w:lang w:val="fr-FR"/>
        </w:rPr>
        <w:t>’</w:t>
      </w:r>
      <w:r>
        <w:rPr>
          <w:lang w:val="fr-FR"/>
        </w:rPr>
        <w:t>arrestation par le passé, c</w:t>
      </w:r>
      <w:r w:rsidR="00467ECB">
        <w:rPr>
          <w:lang w:val="fr-FR"/>
        </w:rPr>
        <w:t>’</w:t>
      </w:r>
      <w:r>
        <w:rPr>
          <w:lang w:val="fr-FR"/>
        </w:rPr>
        <w:t>est parce qu</w:t>
      </w:r>
      <w:r w:rsidR="00467ECB">
        <w:rPr>
          <w:lang w:val="fr-FR"/>
        </w:rPr>
        <w:t>’</w:t>
      </w:r>
      <w:r>
        <w:rPr>
          <w:lang w:val="fr-FR"/>
        </w:rPr>
        <w:t>ils avaient commis des actes criminels. Dans ce cas, de telles mesures ne sont pas seulement prises à l</w:t>
      </w:r>
      <w:r w:rsidR="00467ECB">
        <w:rPr>
          <w:lang w:val="fr-FR"/>
        </w:rPr>
        <w:t>’</w:t>
      </w:r>
      <w:r>
        <w:rPr>
          <w:lang w:val="fr-FR"/>
        </w:rPr>
        <w:t>encontre des habitants autochtones, mais envers quiconque aurait commis de tels actes.</w:t>
      </w:r>
    </w:p>
    <w:p w:rsidR="00DC6468" w:rsidRPr="004B488D" w:rsidRDefault="00DC6468" w:rsidP="00DC6468">
      <w:pPr>
        <w:pStyle w:val="SingleTxtG"/>
      </w:pPr>
      <w:r>
        <w:rPr>
          <w:lang w:val="fr-FR"/>
        </w:rPr>
        <w:t>28.</w:t>
      </w:r>
      <w:r>
        <w:rPr>
          <w:lang w:val="fr-FR"/>
        </w:rPr>
        <w:tab/>
        <w:t xml:space="preserve">Malgré les lois promulguées et les normes juridiques établies, des difficultés restent à surmonter dans les domaines juridique et judiciaire, notamment : </w:t>
      </w:r>
    </w:p>
    <w:p w:rsidR="00DC6468" w:rsidRPr="008567E2" w:rsidRDefault="00DC6468" w:rsidP="008567E2">
      <w:pPr>
        <w:pStyle w:val="Bullet1G"/>
      </w:pPr>
      <w:r>
        <w:rPr>
          <w:lang w:val="fr-FR"/>
        </w:rPr>
        <w:t xml:space="preserve">Les citoyens, </w:t>
      </w:r>
      <w:r w:rsidRPr="008567E2">
        <w:t>en particulier les citoyens issus de populations autochtones, ne comprennent pas bien la législation, surtout lorsqu</w:t>
      </w:r>
      <w:r w:rsidR="00467ECB">
        <w:t>’</w:t>
      </w:r>
      <w:r w:rsidRPr="008567E2">
        <w:t>ils voient dans l</w:t>
      </w:r>
      <w:r w:rsidR="00467ECB">
        <w:t>’</w:t>
      </w:r>
      <w:r w:rsidRPr="008567E2">
        <w:t>application des lois un risque pour leur existence ;</w:t>
      </w:r>
    </w:p>
    <w:p w:rsidR="00DC6468" w:rsidRPr="004B488D" w:rsidRDefault="00DC6468" w:rsidP="008567E2">
      <w:pPr>
        <w:pStyle w:val="Bullet1G"/>
      </w:pPr>
      <w:r w:rsidRPr="008567E2">
        <w:t>La connaissance du droit parmi les agents de la force publique reste limitée ; par leur application sur le</w:t>
      </w:r>
      <w:r>
        <w:rPr>
          <w:lang w:val="fr-FR"/>
        </w:rPr>
        <w:t xml:space="preserve"> terrain, le droit et le code d</w:t>
      </w:r>
      <w:r w:rsidR="00467ECB">
        <w:rPr>
          <w:lang w:val="fr-FR"/>
        </w:rPr>
        <w:t>’</w:t>
      </w:r>
      <w:r>
        <w:rPr>
          <w:lang w:val="fr-FR"/>
        </w:rPr>
        <w:t>éthique suscitent l</w:t>
      </w:r>
      <w:r w:rsidR="00467ECB">
        <w:rPr>
          <w:lang w:val="fr-FR"/>
        </w:rPr>
        <w:t>’</w:t>
      </w:r>
      <w:r>
        <w:rPr>
          <w:lang w:val="fr-FR"/>
        </w:rPr>
        <w:t>opposition des citoyens.</w:t>
      </w:r>
    </w:p>
    <w:p w:rsidR="00DC6468" w:rsidRPr="004B488D" w:rsidRDefault="00DC6468" w:rsidP="00DC6468">
      <w:pPr>
        <w:pStyle w:val="SingleTxtG"/>
      </w:pPr>
      <w:r>
        <w:rPr>
          <w:lang w:val="fr-FR"/>
        </w:rPr>
        <w:t>29.</w:t>
      </w:r>
      <w:r>
        <w:rPr>
          <w:lang w:val="fr-FR"/>
        </w:rPr>
        <w:tab/>
        <w:t>Pour résoudre ces problèmes, le Gouvernement a décidé de sensibiliser les populations et les agents de la force publique à la législation afin que soit comprise l</w:t>
      </w:r>
      <w:r w:rsidR="00467ECB">
        <w:rPr>
          <w:lang w:val="fr-FR"/>
        </w:rPr>
        <w:t>’</w:t>
      </w:r>
      <w:r>
        <w:rPr>
          <w:lang w:val="fr-FR"/>
        </w:rPr>
        <w:t>obligation qui est faite à tout citoyen, en vertu de l</w:t>
      </w:r>
      <w:r w:rsidR="00467ECB">
        <w:rPr>
          <w:lang w:val="fr-FR"/>
        </w:rPr>
        <w:t>’</w:t>
      </w:r>
      <w:r>
        <w:rPr>
          <w:lang w:val="fr-FR"/>
        </w:rPr>
        <w:t>article 49 de la Constitution du Royaume du Cambodge, de respecter la Constitution et les lois du Royaume.</w:t>
      </w:r>
    </w:p>
    <w:p w:rsidR="00DC6468" w:rsidRPr="004B488D" w:rsidRDefault="00DC6468" w:rsidP="00DC6468">
      <w:pPr>
        <w:pStyle w:val="H1G"/>
      </w:pPr>
      <w:r>
        <w:rPr>
          <w:lang w:val="fr-FR"/>
        </w:rPr>
        <w:tab/>
        <w:t>3.</w:t>
      </w:r>
      <w:r>
        <w:rPr>
          <w:lang w:val="fr-FR"/>
        </w:rPr>
        <w:tab/>
      </w:r>
      <w:r>
        <w:rPr>
          <w:bCs/>
          <w:lang w:val="fr-FR"/>
        </w:rPr>
        <w:t>Refoulement</w:t>
      </w:r>
    </w:p>
    <w:p w:rsidR="00DC6468" w:rsidRPr="004B488D" w:rsidRDefault="00DC6468" w:rsidP="00DC6468">
      <w:pPr>
        <w:pStyle w:val="SingleTxtG"/>
      </w:pPr>
      <w:r>
        <w:rPr>
          <w:lang w:val="fr-FR"/>
        </w:rPr>
        <w:t>30.</w:t>
      </w:r>
      <w:r>
        <w:rPr>
          <w:lang w:val="fr-FR"/>
        </w:rPr>
        <w:tab/>
        <w:t>Le Royaume du Cambodge respecte le principe de l</w:t>
      </w:r>
      <w:r w:rsidR="00467ECB">
        <w:rPr>
          <w:lang w:val="fr-FR"/>
        </w:rPr>
        <w:t>’</w:t>
      </w:r>
      <w:r>
        <w:rPr>
          <w:lang w:val="fr-FR"/>
        </w:rPr>
        <w:t>état de droit tel que le garantissent les lois et leur bonne application. L</w:t>
      </w:r>
      <w:r w:rsidR="00467ECB">
        <w:rPr>
          <w:lang w:val="fr-FR"/>
        </w:rPr>
        <w:t>’</w:t>
      </w:r>
      <w:r>
        <w:rPr>
          <w:lang w:val="fr-FR"/>
        </w:rPr>
        <w:t>entrée illégale de 20 personnes de souche ouïghoure en territoire cambodgien constituait une infraction à la loi cambodgienne sur l</w:t>
      </w:r>
      <w:r w:rsidR="00467ECB">
        <w:rPr>
          <w:lang w:val="fr-FR"/>
        </w:rPr>
        <w:t>’</w:t>
      </w:r>
      <w:r>
        <w:rPr>
          <w:lang w:val="fr-FR"/>
        </w:rPr>
        <w:t>immigration, et en l</w:t>
      </w:r>
      <w:r w:rsidR="00467ECB">
        <w:rPr>
          <w:lang w:val="fr-FR"/>
        </w:rPr>
        <w:t>’</w:t>
      </w:r>
      <w:r>
        <w:rPr>
          <w:lang w:val="fr-FR"/>
        </w:rPr>
        <w:t>espèce, le Ministre de l</w:t>
      </w:r>
      <w:r w:rsidR="00467ECB">
        <w:rPr>
          <w:lang w:val="fr-FR"/>
        </w:rPr>
        <w:t>’</w:t>
      </w:r>
      <w:r>
        <w:rPr>
          <w:lang w:val="fr-FR"/>
        </w:rPr>
        <w:t>intérieur avait le pouvoir de renvoyer les personnes concernées dans leur pays d</w:t>
      </w:r>
      <w:r w:rsidR="00467ECB">
        <w:rPr>
          <w:lang w:val="fr-FR"/>
        </w:rPr>
        <w:t>’</w:t>
      </w:r>
      <w:r>
        <w:rPr>
          <w:lang w:val="fr-FR"/>
        </w:rPr>
        <w:t>origine. En conséquence, la décision d</w:t>
      </w:r>
      <w:r w:rsidR="00467ECB">
        <w:rPr>
          <w:lang w:val="fr-FR"/>
        </w:rPr>
        <w:t>’</w:t>
      </w:r>
      <w:r>
        <w:rPr>
          <w:lang w:val="fr-FR"/>
        </w:rPr>
        <w:t>expulser ces 20 personnes du territoire cambodgien résultait de l</w:t>
      </w:r>
      <w:r w:rsidR="00467ECB">
        <w:rPr>
          <w:lang w:val="fr-FR"/>
        </w:rPr>
        <w:t>’</w:t>
      </w:r>
      <w:r>
        <w:rPr>
          <w:lang w:val="fr-FR"/>
        </w:rPr>
        <w:t>application des lois du Royaume.</w:t>
      </w:r>
    </w:p>
    <w:p w:rsidR="00DC6468" w:rsidRPr="004B488D" w:rsidRDefault="00DC6468" w:rsidP="00DC6468">
      <w:pPr>
        <w:pStyle w:val="H1G"/>
      </w:pPr>
      <w:r>
        <w:rPr>
          <w:lang w:val="fr-FR"/>
        </w:rPr>
        <w:tab/>
        <w:t>4.</w:t>
      </w:r>
      <w:r>
        <w:rPr>
          <w:lang w:val="fr-FR"/>
        </w:rPr>
        <w:tab/>
      </w:r>
      <w:r>
        <w:rPr>
          <w:bCs/>
          <w:lang w:val="fr-FR"/>
        </w:rPr>
        <w:t>Délivrance de cartes d</w:t>
      </w:r>
      <w:r w:rsidR="00467ECB">
        <w:rPr>
          <w:bCs/>
          <w:lang w:val="fr-FR"/>
        </w:rPr>
        <w:t>’</w:t>
      </w:r>
      <w:r>
        <w:rPr>
          <w:bCs/>
          <w:lang w:val="fr-FR"/>
        </w:rPr>
        <w:t xml:space="preserve">identité nationales aux Khmers </w:t>
      </w:r>
      <w:proofErr w:type="spellStart"/>
      <w:r>
        <w:rPr>
          <w:bCs/>
          <w:lang w:val="fr-FR"/>
        </w:rPr>
        <w:t>krom</w:t>
      </w:r>
      <w:proofErr w:type="spellEnd"/>
      <w:r>
        <w:rPr>
          <w:bCs/>
          <w:lang w:val="fr-FR"/>
        </w:rPr>
        <w:t xml:space="preserve"> (recommandations n</w:t>
      </w:r>
      <w:r>
        <w:rPr>
          <w:bCs/>
          <w:vertAlign w:val="superscript"/>
          <w:lang w:val="fr-FR"/>
        </w:rPr>
        <w:t>os</w:t>
      </w:r>
      <w:r>
        <w:rPr>
          <w:bCs/>
          <w:lang w:val="fr-FR"/>
        </w:rPr>
        <w:t> 18 et 19)</w:t>
      </w:r>
    </w:p>
    <w:p w:rsidR="00DC6468" w:rsidRPr="004B488D" w:rsidRDefault="00DC6468" w:rsidP="00DC6468">
      <w:pPr>
        <w:pStyle w:val="H23G"/>
      </w:pPr>
      <w:r>
        <w:rPr>
          <w:lang w:val="fr-FR"/>
        </w:rPr>
        <w:tab/>
      </w:r>
      <w:r>
        <w:rPr>
          <w:lang w:val="fr-FR"/>
        </w:rPr>
        <w:tab/>
      </w:r>
      <w:r>
        <w:rPr>
          <w:bCs/>
          <w:lang w:val="fr-FR"/>
        </w:rPr>
        <w:t>Recommandation n</w:t>
      </w:r>
      <w:r>
        <w:rPr>
          <w:bCs/>
          <w:vertAlign w:val="superscript"/>
          <w:lang w:val="fr-FR"/>
        </w:rPr>
        <w:t>o</w:t>
      </w:r>
      <w:r>
        <w:rPr>
          <w:bCs/>
          <w:lang w:val="fr-FR"/>
        </w:rPr>
        <w:t> 18</w:t>
      </w:r>
    </w:p>
    <w:p w:rsidR="00DC6468" w:rsidRPr="004B488D" w:rsidRDefault="00DC6468" w:rsidP="00DC6468">
      <w:pPr>
        <w:pStyle w:val="SingleTxtG"/>
      </w:pPr>
      <w:r>
        <w:rPr>
          <w:lang w:val="fr-FR"/>
        </w:rPr>
        <w:t>31.</w:t>
      </w:r>
      <w:r>
        <w:rPr>
          <w:lang w:val="fr-FR"/>
        </w:rPr>
        <w:tab/>
        <w:t xml:space="preserve">Le Royaume du Cambodge reconnaît les Khmers </w:t>
      </w:r>
      <w:proofErr w:type="spellStart"/>
      <w:r>
        <w:rPr>
          <w:lang w:val="fr-FR"/>
        </w:rPr>
        <w:t>krom</w:t>
      </w:r>
      <w:proofErr w:type="spellEnd"/>
      <w:r>
        <w:rPr>
          <w:lang w:val="fr-FR"/>
        </w:rPr>
        <w:t xml:space="preserve"> et les Khmers vivant à l</w:t>
      </w:r>
      <w:r w:rsidR="00467ECB">
        <w:rPr>
          <w:lang w:val="fr-FR"/>
        </w:rPr>
        <w:t>’</w:t>
      </w:r>
      <w:r>
        <w:rPr>
          <w:lang w:val="fr-FR"/>
        </w:rPr>
        <w:t>étranger en tant que Khmers. Toutefois, la nationalité khmère est reconnue selon les termes et principes des dispositions légales en vigueur.</w:t>
      </w:r>
    </w:p>
    <w:p w:rsidR="00DC6468" w:rsidRPr="004B488D" w:rsidRDefault="00DC6468" w:rsidP="00DC6468">
      <w:pPr>
        <w:pStyle w:val="SingleTxtG"/>
      </w:pPr>
      <w:r>
        <w:rPr>
          <w:lang w:val="fr-FR"/>
        </w:rPr>
        <w:t>32.</w:t>
      </w:r>
      <w:r>
        <w:rPr>
          <w:lang w:val="fr-FR"/>
        </w:rPr>
        <w:tab/>
        <w:t>La loi sur la nationalité cambodgienne de 1996 dispose que l</w:t>
      </w:r>
      <w:r w:rsidR="00467ECB">
        <w:rPr>
          <w:lang w:val="fr-FR"/>
        </w:rPr>
        <w:t>’</w:t>
      </w:r>
      <w:r>
        <w:rPr>
          <w:lang w:val="fr-FR"/>
        </w:rPr>
        <w:t>obtention de la nationalité est régie par les conditions suivantes :</w:t>
      </w:r>
    </w:p>
    <w:p w:rsidR="00DC6468" w:rsidRPr="004B488D" w:rsidRDefault="00DC6468" w:rsidP="008567E2">
      <w:pPr>
        <w:pStyle w:val="Bullet1G"/>
      </w:pPr>
      <w:r>
        <w:rPr>
          <w:lang w:val="fr-FR"/>
        </w:rPr>
        <w:t xml:space="preserve">Attribution de la </w:t>
      </w:r>
      <w:r w:rsidRPr="008567E2">
        <w:t>nationalité</w:t>
      </w:r>
      <w:r>
        <w:rPr>
          <w:lang w:val="fr-FR"/>
        </w:rPr>
        <w:t xml:space="preserve"> khmère </w:t>
      </w:r>
      <w:r w:rsidRPr="008567E2">
        <w:t>par</w:t>
      </w:r>
      <w:r>
        <w:rPr>
          <w:lang w:val="fr-FR"/>
        </w:rPr>
        <w:t xml:space="preserve"> la naissance, quel que soit le lieu :</w:t>
      </w:r>
    </w:p>
    <w:p w:rsidR="00DC6468" w:rsidRPr="008567E2" w:rsidRDefault="00DC6468" w:rsidP="008567E2">
      <w:pPr>
        <w:pStyle w:val="Bullet2G"/>
      </w:pPr>
      <w:r>
        <w:rPr>
          <w:lang w:val="fr-FR"/>
        </w:rPr>
        <w:t>L</w:t>
      </w:r>
      <w:r w:rsidR="00467ECB">
        <w:rPr>
          <w:lang w:val="fr-FR"/>
        </w:rPr>
        <w:t>’</w:t>
      </w:r>
      <w:r>
        <w:rPr>
          <w:lang w:val="fr-FR"/>
        </w:rPr>
        <w:t xml:space="preserve">enfant est né dans le </w:t>
      </w:r>
      <w:r w:rsidRPr="008567E2">
        <w:t>mariage et d</w:t>
      </w:r>
      <w:r w:rsidR="00467ECB">
        <w:t>’</w:t>
      </w:r>
      <w:r w:rsidRPr="008567E2">
        <w:t xml:space="preserve">un parent khmer ; </w:t>
      </w:r>
    </w:p>
    <w:p w:rsidR="00DC6468" w:rsidRPr="008567E2" w:rsidRDefault="00DC6468" w:rsidP="008567E2">
      <w:pPr>
        <w:pStyle w:val="Bullet2G"/>
      </w:pPr>
      <w:r w:rsidRPr="008567E2">
        <w:tab/>
        <w:t>L</w:t>
      </w:r>
      <w:r w:rsidR="00467ECB">
        <w:t>’</w:t>
      </w:r>
      <w:r w:rsidRPr="008567E2">
        <w:t>enfant est né hors mariage et d</w:t>
      </w:r>
      <w:r w:rsidR="00467ECB">
        <w:t>’</w:t>
      </w:r>
      <w:r w:rsidRPr="008567E2">
        <w:t>un parent khmer ;</w:t>
      </w:r>
    </w:p>
    <w:p w:rsidR="00DC6468" w:rsidRPr="008567E2" w:rsidRDefault="00DC6468" w:rsidP="008567E2">
      <w:pPr>
        <w:pStyle w:val="Bullet2G"/>
      </w:pPr>
      <w:r w:rsidRPr="008567E2">
        <w:tab/>
        <w:t>L</w:t>
      </w:r>
      <w:r w:rsidR="00467ECB">
        <w:t>’</w:t>
      </w:r>
      <w:r w:rsidRPr="008567E2">
        <w:t>enfant non reconnu par ses parents est déclaré de parent khmer par décision de justice.</w:t>
      </w:r>
    </w:p>
    <w:p w:rsidR="00DC6468" w:rsidRPr="004B488D" w:rsidRDefault="00DC6468" w:rsidP="008567E2">
      <w:pPr>
        <w:pStyle w:val="Bullet1G"/>
      </w:pPr>
      <w:r>
        <w:rPr>
          <w:lang w:val="fr-FR"/>
        </w:rPr>
        <w:t xml:space="preserve">Attribution de la </w:t>
      </w:r>
      <w:r w:rsidRPr="008567E2">
        <w:t>nationalité</w:t>
      </w:r>
      <w:r>
        <w:rPr>
          <w:lang w:val="fr-FR"/>
        </w:rPr>
        <w:t xml:space="preserve"> khmère par la naissance au Cambodge :</w:t>
      </w:r>
    </w:p>
    <w:p w:rsidR="00DC6468" w:rsidRPr="008567E2" w:rsidRDefault="00DC6468" w:rsidP="008567E2">
      <w:pPr>
        <w:pStyle w:val="Bullet2G"/>
      </w:pPr>
      <w:r>
        <w:rPr>
          <w:lang w:val="fr-FR"/>
        </w:rPr>
        <w:tab/>
        <w:t>L</w:t>
      </w:r>
      <w:r w:rsidR="00467ECB">
        <w:rPr>
          <w:lang w:val="fr-FR"/>
        </w:rPr>
        <w:t>’</w:t>
      </w:r>
      <w:r>
        <w:rPr>
          <w:lang w:val="fr-FR"/>
        </w:rPr>
        <w:t xml:space="preserve">enfant est </w:t>
      </w:r>
      <w:r w:rsidRPr="008567E2">
        <w:t>né de parents étrangers qui sont eux-mêmes nés au Cambodge et y résident légalement ;</w:t>
      </w:r>
    </w:p>
    <w:p w:rsidR="00DC6468" w:rsidRPr="004B488D" w:rsidRDefault="00DC6468" w:rsidP="008567E2">
      <w:pPr>
        <w:pStyle w:val="Bullet2G"/>
      </w:pPr>
      <w:r w:rsidRPr="008567E2">
        <w:tab/>
        <w:t>L</w:t>
      </w:r>
      <w:r w:rsidR="00467ECB">
        <w:t>’</w:t>
      </w:r>
      <w:r w:rsidRPr="008567E2">
        <w:t>enfant est né de parents inconnus, le nouveau-né trouvé sur le territoire du Cambodge étant également</w:t>
      </w:r>
      <w:r>
        <w:rPr>
          <w:lang w:val="fr-FR"/>
        </w:rPr>
        <w:t xml:space="preserve"> considéré comme né au Cambodge.</w:t>
      </w:r>
    </w:p>
    <w:p w:rsidR="00DC6468" w:rsidRPr="004B488D" w:rsidRDefault="00DC6468" w:rsidP="00DC6468">
      <w:pPr>
        <w:pStyle w:val="SingleTxtG"/>
      </w:pPr>
      <w:r>
        <w:rPr>
          <w:lang w:val="fr-FR"/>
        </w:rPr>
        <w:t>33.</w:t>
      </w:r>
      <w:r>
        <w:rPr>
          <w:lang w:val="fr-FR"/>
        </w:rPr>
        <w:tab/>
        <w:t xml:space="preserve">La nationalité cambodgienne est attribuable à tout citoyen </w:t>
      </w:r>
      <w:r w:rsidR="008567E2">
        <w:rPr>
          <w:lang w:val="fr-FR"/>
        </w:rPr>
        <w:t>−</w:t>
      </w:r>
      <w:r>
        <w:rPr>
          <w:lang w:val="fr-FR"/>
        </w:rPr>
        <w:t> qu</w:t>
      </w:r>
      <w:r w:rsidR="00467ECB">
        <w:rPr>
          <w:lang w:val="fr-FR"/>
        </w:rPr>
        <w:t>’</w:t>
      </w:r>
      <w:r>
        <w:rPr>
          <w:lang w:val="fr-FR"/>
        </w:rPr>
        <w:t xml:space="preserve">il soit </w:t>
      </w:r>
      <w:r w:rsidR="00423D4F">
        <w:rPr>
          <w:lang w:val="fr-FR"/>
        </w:rPr>
        <w:t>K</w:t>
      </w:r>
      <w:r>
        <w:rPr>
          <w:lang w:val="fr-FR"/>
        </w:rPr>
        <w:t xml:space="preserve">hmer </w:t>
      </w:r>
      <w:proofErr w:type="spellStart"/>
      <w:r>
        <w:rPr>
          <w:lang w:val="fr-FR"/>
        </w:rPr>
        <w:t>krom</w:t>
      </w:r>
      <w:proofErr w:type="spellEnd"/>
      <w:r>
        <w:rPr>
          <w:lang w:val="fr-FR"/>
        </w:rPr>
        <w:t xml:space="preserve"> ou autre </w:t>
      </w:r>
      <w:r w:rsidR="00E84450">
        <w:rPr>
          <w:lang w:val="fr-FR"/>
        </w:rPr>
        <w:t>−</w:t>
      </w:r>
      <w:r>
        <w:rPr>
          <w:lang w:val="fr-FR"/>
        </w:rPr>
        <w:t xml:space="preserve"> qui remplit l</w:t>
      </w:r>
      <w:r w:rsidR="00467ECB">
        <w:rPr>
          <w:lang w:val="fr-FR"/>
        </w:rPr>
        <w:t>’</w:t>
      </w:r>
      <w:r>
        <w:rPr>
          <w:lang w:val="fr-FR"/>
        </w:rPr>
        <w:t>une des conditions susmentionnées. À défaut, la nationalité cambodgienne est attribuable lorsqu</w:t>
      </w:r>
      <w:r w:rsidR="00467ECB">
        <w:rPr>
          <w:lang w:val="fr-FR"/>
        </w:rPr>
        <w:t>’</w:t>
      </w:r>
      <w:r>
        <w:rPr>
          <w:lang w:val="fr-FR"/>
        </w:rPr>
        <w:t>il est satisfait aux conditions relatives au mariage, telles que les énonce l</w:t>
      </w:r>
      <w:r w:rsidR="00467ECB">
        <w:rPr>
          <w:lang w:val="fr-FR"/>
        </w:rPr>
        <w:t>’</w:t>
      </w:r>
      <w:r>
        <w:rPr>
          <w:lang w:val="fr-FR"/>
        </w:rPr>
        <w:t>article 5 de la loi sur la nationalité, ou par naturalisation, comme le prévoit l</w:t>
      </w:r>
      <w:r w:rsidR="00467ECB">
        <w:rPr>
          <w:lang w:val="fr-FR"/>
        </w:rPr>
        <w:t>’</w:t>
      </w:r>
      <w:r>
        <w:rPr>
          <w:lang w:val="fr-FR"/>
        </w:rPr>
        <w:t>article 7 de ladite loi.</w:t>
      </w:r>
    </w:p>
    <w:p w:rsidR="00DC6468" w:rsidRPr="004B488D" w:rsidRDefault="00DC6468" w:rsidP="00DC6468">
      <w:pPr>
        <w:pStyle w:val="H23G"/>
      </w:pPr>
      <w:r>
        <w:rPr>
          <w:lang w:val="fr-FR"/>
        </w:rPr>
        <w:lastRenderedPageBreak/>
        <w:tab/>
      </w:r>
      <w:r>
        <w:rPr>
          <w:lang w:val="fr-FR"/>
        </w:rPr>
        <w:tab/>
      </w:r>
      <w:r>
        <w:rPr>
          <w:bCs/>
          <w:lang w:val="fr-FR"/>
        </w:rPr>
        <w:t>Recommandation n</w:t>
      </w:r>
      <w:r>
        <w:rPr>
          <w:bCs/>
          <w:vertAlign w:val="superscript"/>
          <w:lang w:val="fr-FR"/>
        </w:rPr>
        <w:t>o</w:t>
      </w:r>
      <w:r>
        <w:rPr>
          <w:bCs/>
          <w:lang w:val="fr-FR"/>
        </w:rPr>
        <w:t> 19</w:t>
      </w:r>
    </w:p>
    <w:p w:rsidR="00DC6468" w:rsidRPr="004B488D" w:rsidRDefault="00DC6468" w:rsidP="00DC6468">
      <w:pPr>
        <w:pStyle w:val="SingleTxtG"/>
      </w:pPr>
      <w:r>
        <w:rPr>
          <w:lang w:val="fr-FR"/>
        </w:rPr>
        <w:t>34.</w:t>
      </w:r>
      <w:r>
        <w:rPr>
          <w:lang w:val="fr-FR"/>
        </w:rPr>
        <w:tab/>
        <w:t xml:space="preserve">Tout citoyen </w:t>
      </w:r>
      <w:r w:rsidR="00E84450">
        <w:rPr>
          <w:lang w:val="fr-FR"/>
        </w:rPr>
        <w:t>− </w:t>
      </w:r>
      <w:r>
        <w:rPr>
          <w:lang w:val="fr-FR"/>
        </w:rPr>
        <w:t>qu</w:t>
      </w:r>
      <w:r w:rsidR="00467ECB">
        <w:rPr>
          <w:lang w:val="fr-FR"/>
        </w:rPr>
        <w:t>’</w:t>
      </w:r>
      <w:r>
        <w:rPr>
          <w:lang w:val="fr-FR"/>
        </w:rPr>
        <w:t xml:space="preserve">il soit Khmer </w:t>
      </w:r>
      <w:proofErr w:type="spellStart"/>
      <w:r>
        <w:rPr>
          <w:lang w:val="fr-FR"/>
        </w:rPr>
        <w:t>krom</w:t>
      </w:r>
      <w:proofErr w:type="spellEnd"/>
      <w:r>
        <w:rPr>
          <w:lang w:val="fr-FR"/>
        </w:rPr>
        <w:t xml:space="preserve"> ou autre </w:t>
      </w:r>
      <w:r w:rsidR="00E84450">
        <w:rPr>
          <w:lang w:val="fr-FR"/>
        </w:rPr>
        <w:t>−</w:t>
      </w:r>
      <w:r>
        <w:rPr>
          <w:lang w:val="fr-FR"/>
        </w:rPr>
        <w:t xml:space="preserve"> est en droit de se voir délivrer une carte d</w:t>
      </w:r>
      <w:r w:rsidR="00467ECB">
        <w:rPr>
          <w:lang w:val="fr-FR"/>
        </w:rPr>
        <w:t>’</w:t>
      </w:r>
      <w:r>
        <w:rPr>
          <w:lang w:val="fr-FR"/>
        </w:rPr>
        <w:t>identité cambodgienne s</w:t>
      </w:r>
      <w:r w:rsidR="00467ECB">
        <w:rPr>
          <w:lang w:val="fr-FR"/>
        </w:rPr>
        <w:t>’</w:t>
      </w:r>
      <w:r>
        <w:rPr>
          <w:lang w:val="fr-FR"/>
        </w:rPr>
        <w:t>il remplit toutes les conditions suivantes :</w:t>
      </w:r>
    </w:p>
    <w:p w:rsidR="00DC6468" w:rsidRPr="00E84450" w:rsidRDefault="00DC6468" w:rsidP="00E84450">
      <w:pPr>
        <w:pStyle w:val="Bullet1G"/>
      </w:pPr>
      <w:r>
        <w:rPr>
          <w:lang w:val="fr-FR"/>
        </w:rPr>
        <w:t xml:space="preserve">Être un </w:t>
      </w:r>
      <w:r w:rsidRPr="00E84450">
        <w:t>résident permanent au Cambodge ;</w:t>
      </w:r>
    </w:p>
    <w:p w:rsidR="00DC6468" w:rsidRPr="00E84450" w:rsidRDefault="00DC6468" w:rsidP="00E84450">
      <w:pPr>
        <w:pStyle w:val="Bullet1G"/>
      </w:pPr>
      <w:r w:rsidRPr="00E84450">
        <w:t>Avoir un certificat de naissance indiquant sa nationalité khmère ;</w:t>
      </w:r>
    </w:p>
    <w:p w:rsidR="00DC6468" w:rsidRPr="00E84450" w:rsidRDefault="00DC6468" w:rsidP="00E84450">
      <w:pPr>
        <w:pStyle w:val="Bullet1G"/>
      </w:pPr>
      <w:r w:rsidRPr="00E84450">
        <w:t xml:space="preserve">Avoir un livret de famille </w:t>
      </w:r>
      <w:r w:rsidR="00493366">
        <w:t>(A4)2</w:t>
      </w:r>
      <w:r w:rsidRPr="00E84450">
        <w:t> ;</w:t>
      </w:r>
    </w:p>
    <w:p w:rsidR="00DC6468" w:rsidRPr="00E84450" w:rsidRDefault="00DC6468" w:rsidP="00E84450">
      <w:pPr>
        <w:pStyle w:val="Bullet1G"/>
      </w:pPr>
      <w:r w:rsidRPr="00E84450">
        <w:t>Avoir fait l</w:t>
      </w:r>
      <w:r w:rsidR="00467ECB">
        <w:t>’</w:t>
      </w:r>
      <w:r w:rsidRPr="00E84450">
        <w:t>objet d</w:t>
      </w:r>
      <w:r w:rsidR="00467ECB">
        <w:t>’</w:t>
      </w:r>
      <w:r w:rsidRPr="00E84450">
        <w:t>une décision de justice confirmant sa naissance de parent khmer, ou d</w:t>
      </w:r>
      <w:r w:rsidR="00467ECB">
        <w:t>’</w:t>
      </w:r>
      <w:r w:rsidRPr="00E84450">
        <w:t>un décret royal reconnaissant sa nationalité khmère ;</w:t>
      </w:r>
    </w:p>
    <w:p w:rsidR="00DC6468" w:rsidRPr="004B488D" w:rsidRDefault="00DC6468" w:rsidP="00E84450">
      <w:pPr>
        <w:pStyle w:val="Bullet1G"/>
      </w:pPr>
      <w:r w:rsidRPr="00E84450">
        <w:t>Fournir la</w:t>
      </w:r>
      <w:r>
        <w:rPr>
          <w:lang w:val="fr-FR"/>
        </w:rPr>
        <w:t xml:space="preserve"> preuve qu</w:t>
      </w:r>
      <w:r w:rsidR="00467ECB">
        <w:rPr>
          <w:lang w:val="fr-FR"/>
        </w:rPr>
        <w:t>’</w:t>
      </w:r>
      <w:r>
        <w:rPr>
          <w:lang w:val="fr-FR"/>
        </w:rPr>
        <w:t>il est né de parent</w:t>
      </w:r>
      <w:r w:rsidR="00493366">
        <w:rPr>
          <w:lang w:val="fr-FR"/>
        </w:rPr>
        <w:t>s</w:t>
      </w:r>
      <w:r>
        <w:rPr>
          <w:lang w:val="fr-FR"/>
        </w:rPr>
        <w:t xml:space="preserve"> khmer</w:t>
      </w:r>
      <w:r w:rsidR="00493366">
        <w:rPr>
          <w:lang w:val="fr-FR"/>
        </w:rPr>
        <w:t>s</w:t>
      </w:r>
      <w:r>
        <w:rPr>
          <w:lang w:val="fr-FR"/>
        </w:rPr>
        <w:t>.</w:t>
      </w:r>
    </w:p>
    <w:p w:rsidR="00DC6468" w:rsidRPr="004B488D" w:rsidRDefault="00DC6468" w:rsidP="00E84450">
      <w:pPr>
        <w:pStyle w:val="SingleTxtG"/>
      </w:pPr>
      <w:r>
        <w:rPr>
          <w:lang w:val="fr-FR"/>
        </w:rPr>
        <w:t>35.</w:t>
      </w:r>
      <w:r>
        <w:rPr>
          <w:lang w:val="fr-FR"/>
        </w:rPr>
        <w:tab/>
        <w:t xml:space="preserve">Les Khmers </w:t>
      </w:r>
      <w:proofErr w:type="spellStart"/>
      <w:r>
        <w:rPr>
          <w:lang w:val="fr-FR"/>
        </w:rPr>
        <w:t>krom</w:t>
      </w:r>
      <w:proofErr w:type="spellEnd"/>
      <w:r>
        <w:rPr>
          <w:lang w:val="fr-FR"/>
        </w:rPr>
        <w:t xml:space="preserve"> et toutes personnes qui souhaitent obtenir une carte d</w:t>
      </w:r>
      <w:r w:rsidR="00467ECB">
        <w:rPr>
          <w:lang w:val="fr-FR"/>
        </w:rPr>
        <w:t>’</w:t>
      </w:r>
      <w:r>
        <w:rPr>
          <w:lang w:val="fr-FR"/>
        </w:rPr>
        <w:t>identité cambodgienne doivent remplir toutes les conditions énoncées ci-dessus. Il ne s</w:t>
      </w:r>
      <w:r w:rsidR="00467ECB">
        <w:rPr>
          <w:lang w:val="fr-FR"/>
        </w:rPr>
        <w:t>’</w:t>
      </w:r>
      <w:r>
        <w:rPr>
          <w:lang w:val="fr-FR"/>
        </w:rPr>
        <w:t>agit pas en l</w:t>
      </w:r>
      <w:r w:rsidR="00467ECB">
        <w:rPr>
          <w:lang w:val="fr-FR"/>
        </w:rPr>
        <w:t>’</w:t>
      </w:r>
      <w:r>
        <w:rPr>
          <w:lang w:val="fr-FR"/>
        </w:rPr>
        <w:t>occurrence de pousser des individus à modifier leurs renseignements personnels. Ce sont des exigences qui découlent de dispositions légales applicables de façon égale, sans discrimination, à tout individu.</w:t>
      </w:r>
    </w:p>
    <w:p w:rsidR="00DC6468" w:rsidRPr="004B488D" w:rsidRDefault="00DC6468" w:rsidP="00DC6468">
      <w:pPr>
        <w:pStyle w:val="SingleTxtG"/>
      </w:pPr>
      <w:r>
        <w:rPr>
          <w:lang w:val="fr-FR"/>
        </w:rPr>
        <w:t>36.</w:t>
      </w:r>
      <w:r>
        <w:rPr>
          <w:lang w:val="fr-FR"/>
        </w:rPr>
        <w:tab/>
        <w:t>Bien que les disposition légales posent des conditions spécifiques, leur application reste difficile :</w:t>
      </w:r>
    </w:p>
    <w:p w:rsidR="00DC6468" w:rsidRPr="00E84450" w:rsidRDefault="00DC6468" w:rsidP="00E84450">
      <w:pPr>
        <w:pStyle w:val="Bullet1G"/>
      </w:pPr>
      <w:r>
        <w:rPr>
          <w:lang w:val="fr-FR"/>
        </w:rPr>
        <w:t xml:space="preserve">Les citoyens, </w:t>
      </w:r>
      <w:r w:rsidRPr="00E84450">
        <w:t xml:space="preserve">Khmers </w:t>
      </w:r>
      <w:proofErr w:type="spellStart"/>
      <w:r w:rsidRPr="00E84450">
        <w:t>krom</w:t>
      </w:r>
      <w:proofErr w:type="spellEnd"/>
      <w:r w:rsidRPr="00E84450">
        <w:t xml:space="preserve"> ou autres, n</w:t>
      </w:r>
      <w:r w:rsidR="00467ECB">
        <w:t>’</w:t>
      </w:r>
      <w:r w:rsidRPr="00E84450">
        <w:t>ont pas pleinement compris les conditions et obligations légales qui régissent l</w:t>
      </w:r>
      <w:r w:rsidR="00467ECB">
        <w:t>’</w:t>
      </w:r>
      <w:r w:rsidRPr="00E84450">
        <w:t>obtention de la nationalité et de la carte d</w:t>
      </w:r>
      <w:r w:rsidR="00467ECB">
        <w:t>’</w:t>
      </w:r>
      <w:r w:rsidRPr="00E84450">
        <w:t>identité cambodgiennes ;</w:t>
      </w:r>
    </w:p>
    <w:p w:rsidR="00DC6468" w:rsidRPr="00E84450" w:rsidRDefault="00DC6468" w:rsidP="00E84450">
      <w:pPr>
        <w:pStyle w:val="Bullet1G"/>
      </w:pPr>
      <w:r w:rsidRPr="00E84450">
        <w:t>Les autorités locales n</w:t>
      </w:r>
      <w:r w:rsidR="00467ECB">
        <w:t>’</w:t>
      </w:r>
      <w:r w:rsidRPr="00E84450">
        <w:t>ont pas saisi le détail des procédures d</w:t>
      </w:r>
      <w:r w:rsidR="00467ECB">
        <w:t>’</w:t>
      </w:r>
      <w:r w:rsidRPr="00E84450">
        <w:t>octroi de la nationalité khmère et de la délivrance de la carte d</w:t>
      </w:r>
      <w:r w:rsidR="00467ECB">
        <w:t>’</w:t>
      </w:r>
      <w:r w:rsidRPr="00E84450">
        <w:t>identité cambodgienne, ce qui complique l</w:t>
      </w:r>
      <w:r w:rsidR="00467ECB">
        <w:t>’</w:t>
      </w:r>
      <w:r w:rsidRPr="00E84450">
        <w:t>application desdites procédures ;</w:t>
      </w:r>
    </w:p>
    <w:p w:rsidR="00DC6468" w:rsidRPr="004B488D" w:rsidRDefault="00DC6468" w:rsidP="00E84450">
      <w:pPr>
        <w:pStyle w:val="Bullet1G"/>
      </w:pPr>
      <w:r w:rsidRPr="00E84450">
        <w:t>La confusion entourant les situations présentées ci-dessus a donné à penser qu</w:t>
      </w:r>
      <w:r w:rsidR="00467ECB">
        <w:t>’</w:t>
      </w:r>
      <w:r w:rsidRPr="00E84450">
        <w:t>il y avait eu discrimination à l</w:t>
      </w:r>
      <w:r w:rsidR="00467ECB">
        <w:t>’</w:t>
      </w:r>
      <w:r w:rsidRPr="00E84450">
        <w:t>encontre des Khmers </w:t>
      </w:r>
      <w:proofErr w:type="spellStart"/>
      <w:r w:rsidRPr="00E84450">
        <w:t>krom</w:t>
      </w:r>
      <w:proofErr w:type="spellEnd"/>
      <w:r w:rsidRPr="00E84450">
        <w:t xml:space="preserve"> quant à l</w:t>
      </w:r>
      <w:r w:rsidR="00467ECB">
        <w:t>’</w:t>
      </w:r>
      <w:r w:rsidRPr="00E84450">
        <w:t>attribution de cartes d</w:t>
      </w:r>
      <w:r w:rsidR="00467ECB">
        <w:t>’</w:t>
      </w:r>
      <w:r w:rsidRPr="00E84450">
        <w:t xml:space="preserve">identité cambodgiennes. En réalité, la question ne concerne pas seulement les Khmers </w:t>
      </w:r>
      <w:proofErr w:type="spellStart"/>
      <w:r w:rsidRPr="00E84450">
        <w:t>krom</w:t>
      </w:r>
      <w:proofErr w:type="spellEnd"/>
      <w:r w:rsidRPr="00E84450">
        <w:t>. À ce jour, des Cambodgiens n</w:t>
      </w:r>
      <w:r w:rsidR="00467ECB">
        <w:t>’</w:t>
      </w:r>
      <w:r w:rsidRPr="00E84450">
        <w:t>ont pas encore obtenu de carte d</w:t>
      </w:r>
      <w:r w:rsidR="00467ECB">
        <w:t>’</w:t>
      </w:r>
      <w:r w:rsidRPr="00E84450">
        <w:t>identité faute d</w:t>
      </w:r>
      <w:r w:rsidR="00467ECB">
        <w:t>’</w:t>
      </w:r>
      <w:r w:rsidRPr="00E84450">
        <w:t>avoir</w:t>
      </w:r>
      <w:r>
        <w:rPr>
          <w:lang w:val="fr-FR"/>
        </w:rPr>
        <w:t xml:space="preserve"> satisfait aux exigences légales.</w:t>
      </w:r>
    </w:p>
    <w:p w:rsidR="00DC6468" w:rsidRPr="004B488D" w:rsidRDefault="00DC6468" w:rsidP="00DC6468">
      <w:pPr>
        <w:pStyle w:val="SingleTxtG"/>
      </w:pPr>
      <w:r>
        <w:rPr>
          <w:lang w:val="fr-FR"/>
        </w:rPr>
        <w:t>37.</w:t>
      </w:r>
      <w:r>
        <w:rPr>
          <w:lang w:val="fr-FR"/>
        </w:rPr>
        <w:tab/>
        <w:t>Le Gouvernement a insisté sur la délivrance de cartes d</w:t>
      </w:r>
      <w:r w:rsidR="00467ECB">
        <w:rPr>
          <w:lang w:val="fr-FR"/>
        </w:rPr>
        <w:t>’</w:t>
      </w:r>
      <w:r>
        <w:rPr>
          <w:lang w:val="fr-FR"/>
        </w:rPr>
        <w:t>identité aux citoyens qui remplissaient les conditions légales. Il reste que les intéressés doivent en faire la demande conformément aux conditions fixées par la loi.</w:t>
      </w:r>
    </w:p>
    <w:p w:rsidR="00DC6468" w:rsidRPr="004B488D" w:rsidRDefault="00DC6468" w:rsidP="00DC6468">
      <w:pPr>
        <w:pStyle w:val="H1G"/>
      </w:pPr>
      <w:r>
        <w:rPr>
          <w:lang w:val="fr-FR"/>
        </w:rPr>
        <w:tab/>
        <w:t>5.</w:t>
      </w:r>
      <w:r>
        <w:rPr>
          <w:lang w:val="fr-FR"/>
        </w:rPr>
        <w:tab/>
      </w:r>
      <w:r>
        <w:rPr>
          <w:bCs/>
          <w:lang w:val="fr-FR"/>
        </w:rPr>
        <w:t>Institution nationale de défense des droits de l</w:t>
      </w:r>
      <w:r w:rsidR="00467ECB">
        <w:rPr>
          <w:bCs/>
          <w:lang w:val="fr-FR"/>
        </w:rPr>
        <w:t>’</w:t>
      </w:r>
      <w:r>
        <w:rPr>
          <w:bCs/>
          <w:lang w:val="fr-FR"/>
        </w:rPr>
        <w:t>homme</w:t>
      </w:r>
    </w:p>
    <w:p w:rsidR="00DC6468" w:rsidRPr="004B488D" w:rsidRDefault="00DC6468" w:rsidP="00DC6468">
      <w:pPr>
        <w:pStyle w:val="H23G"/>
      </w:pPr>
      <w:r>
        <w:rPr>
          <w:lang w:val="fr-FR"/>
        </w:rPr>
        <w:tab/>
      </w:r>
      <w:r>
        <w:rPr>
          <w:lang w:val="fr-FR"/>
        </w:rPr>
        <w:tab/>
      </w:r>
      <w:r>
        <w:rPr>
          <w:bCs/>
          <w:lang w:val="fr-FR"/>
        </w:rPr>
        <w:t>Recommandation n</w:t>
      </w:r>
      <w:r>
        <w:rPr>
          <w:bCs/>
          <w:vertAlign w:val="superscript"/>
          <w:lang w:val="fr-FR"/>
        </w:rPr>
        <w:t>o</w:t>
      </w:r>
      <w:r>
        <w:rPr>
          <w:bCs/>
          <w:lang w:val="fr-FR"/>
        </w:rPr>
        <w:t> 15</w:t>
      </w:r>
    </w:p>
    <w:p w:rsidR="00DC6468" w:rsidRPr="004B488D" w:rsidRDefault="00DC6468" w:rsidP="00DC6468">
      <w:pPr>
        <w:pStyle w:val="SingleTxtG"/>
      </w:pPr>
      <w:r>
        <w:rPr>
          <w:lang w:val="fr-FR"/>
        </w:rPr>
        <w:t>38.</w:t>
      </w:r>
      <w:r>
        <w:rPr>
          <w:lang w:val="fr-FR"/>
        </w:rPr>
        <w:tab/>
        <w:t>Le Gouvernement a donné son accord de principe à la création d</w:t>
      </w:r>
      <w:r w:rsidR="00467ECB">
        <w:rPr>
          <w:lang w:val="fr-FR"/>
        </w:rPr>
        <w:t>’</w:t>
      </w:r>
      <w:r>
        <w:rPr>
          <w:lang w:val="fr-FR"/>
        </w:rPr>
        <w:t>une institution nationale de défense des droits de l</w:t>
      </w:r>
      <w:r w:rsidR="00467ECB">
        <w:rPr>
          <w:lang w:val="fr-FR"/>
        </w:rPr>
        <w:t>’</w:t>
      </w:r>
      <w:r>
        <w:rPr>
          <w:lang w:val="fr-FR"/>
        </w:rPr>
        <w:t>homme, moyennant l</w:t>
      </w:r>
      <w:r w:rsidR="00467ECB">
        <w:rPr>
          <w:lang w:val="fr-FR"/>
        </w:rPr>
        <w:t>’</w:t>
      </w:r>
      <w:r>
        <w:rPr>
          <w:lang w:val="fr-FR"/>
        </w:rPr>
        <w:t>adoption d</w:t>
      </w:r>
      <w:r w:rsidR="00467ECB">
        <w:rPr>
          <w:lang w:val="fr-FR"/>
        </w:rPr>
        <w:t>’</w:t>
      </w:r>
      <w:r>
        <w:rPr>
          <w:lang w:val="fr-FR"/>
        </w:rPr>
        <w:t>une loi portant création d</w:t>
      </w:r>
      <w:r w:rsidR="00467ECB">
        <w:rPr>
          <w:lang w:val="fr-FR"/>
        </w:rPr>
        <w:t>’</w:t>
      </w:r>
      <w:r>
        <w:rPr>
          <w:lang w:val="fr-FR"/>
        </w:rPr>
        <w:t>un tel organisme en conformité avec les Principes de Paris. La Commission cambodgienne des droits de l</w:t>
      </w:r>
      <w:r w:rsidR="00467ECB">
        <w:rPr>
          <w:lang w:val="fr-FR"/>
        </w:rPr>
        <w:t>’</w:t>
      </w:r>
      <w:r>
        <w:rPr>
          <w:lang w:val="fr-FR"/>
        </w:rPr>
        <w:t>homme coopère avec des organisations de la société civile à la rédaction du projet de loi.</w:t>
      </w:r>
    </w:p>
    <w:p w:rsidR="00DC6468" w:rsidRPr="004B488D" w:rsidRDefault="00DC6468" w:rsidP="00DC6468">
      <w:pPr>
        <w:pStyle w:val="SingleTxtG"/>
      </w:pPr>
      <w:r>
        <w:rPr>
          <w:lang w:val="fr-FR"/>
        </w:rPr>
        <w:t>39.</w:t>
      </w:r>
      <w:r>
        <w:rPr>
          <w:lang w:val="fr-FR"/>
        </w:rPr>
        <w:tab/>
        <w:t>L</w:t>
      </w:r>
      <w:r w:rsidR="00467ECB">
        <w:rPr>
          <w:lang w:val="fr-FR"/>
        </w:rPr>
        <w:t>’</w:t>
      </w:r>
      <w:r>
        <w:rPr>
          <w:lang w:val="fr-FR"/>
        </w:rPr>
        <w:t>élaboration du projet de loi a été prise en charge par un groupe de travail de la société civile et le texte a été examiné avec la Commission cambodgienne des droits de l</w:t>
      </w:r>
      <w:r w:rsidR="00467ECB">
        <w:rPr>
          <w:lang w:val="fr-FR"/>
        </w:rPr>
        <w:t>’</w:t>
      </w:r>
      <w:r>
        <w:rPr>
          <w:lang w:val="fr-FR"/>
        </w:rPr>
        <w:t>homme à de nombreuses reprises. Ce travail est toujours en cours. La Commission cambodgienne des droits de l</w:t>
      </w:r>
      <w:r w:rsidR="00467ECB">
        <w:rPr>
          <w:lang w:val="fr-FR"/>
        </w:rPr>
        <w:t>’</w:t>
      </w:r>
      <w:r>
        <w:rPr>
          <w:lang w:val="fr-FR"/>
        </w:rPr>
        <w:t>homme soumettra le projet de loi pour consultation aux parties intéressées, notamment au Haut-Commissariat des Nations Unies aux droits de l</w:t>
      </w:r>
      <w:r w:rsidR="00467ECB">
        <w:rPr>
          <w:lang w:val="fr-FR"/>
        </w:rPr>
        <w:t>’</w:t>
      </w:r>
      <w:r>
        <w:rPr>
          <w:lang w:val="fr-FR"/>
        </w:rPr>
        <w:t>homme au Cambodge, pour en assurer la conformité avec les Principes de Paris.</w:t>
      </w:r>
    </w:p>
    <w:p w:rsidR="00DC6468" w:rsidRPr="004B488D" w:rsidRDefault="00DC6468" w:rsidP="00DC6468">
      <w:pPr>
        <w:pStyle w:val="H1G"/>
      </w:pPr>
      <w:r>
        <w:rPr>
          <w:lang w:val="fr-FR"/>
        </w:rPr>
        <w:lastRenderedPageBreak/>
        <w:tab/>
        <w:t>6.</w:t>
      </w:r>
      <w:r>
        <w:rPr>
          <w:lang w:val="fr-FR"/>
        </w:rPr>
        <w:tab/>
      </w:r>
      <w:r>
        <w:rPr>
          <w:bCs/>
          <w:lang w:val="fr-FR"/>
        </w:rPr>
        <w:t>Ratification des instruments internationaux</w:t>
      </w:r>
    </w:p>
    <w:p w:rsidR="00DC6468" w:rsidRPr="004B488D" w:rsidRDefault="00DC6468" w:rsidP="00DC6468">
      <w:pPr>
        <w:pStyle w:val="H23G"/>
      </w:pPr>
      <w:r>
        <w:rPr>
          <w:lang w:val="fr-FR"/>
        </w:rPr>
        <w:tab/>
      </w:r>
      <w:r>
        <w:rPr>
          <w:lang w:val="fr-FR"/>
        </w:rPr>
        <w:tab/>
      </w:r>
      <w:r>
        <w:rPr>
          <w:bCs/>
          <w:lang w:val="fr-FR"/>
        </w:rPr>
        <w:t>Recommandation n</w:t>
      </w:r>
      <w:r>
        <w:rPr>
          <w:bCs/>
          <w:vertAlign w:val="superscript"/>
          <w:lang w:val="fr-FR"/>
        </w:rPr>
        <w:t>o</w:t>
      </w:r>
      <w:r>
        <w:rPr>
          <w:bCs/>
          <w:lang w:val="fr-FR"/>
        </w:rPr>
        <w:t> 21</w:t>
      </w:r>
    </w:p>
    <w:p w:rsidR="00DC6468" w:rsidRPr="004B488D" w:rsidRDefault="00DC6468" w:rsidP="00DC6468">
      <w:pPr>
        <w:pStyle w:val="SingleTxtG"/>
      </w:pPr>
      <w:r>
        <w:rPr>
          <w:lang w:val="fr-FR"/>
        </w:rPr>
        <w:t>40.</w:t>
      </w:r>
      <w:r>
        <w:rPr>
          <w:lang w:val="fr-FR"/>
        </w:rPr>
        <w:tab/>
        <w:t>Le Gouvernement a accordé toute son attention à l</w:t>
      </w:r>
      <w:r w:rsidR="00467ECB">
        <w:rPr>
          <w:lang w:val="fr-FR"/>
        </w:rPr>
        <w:t>’</w:t>
      </w:r>
      <w:r>
        <w:rPr>
          <w:lang w:val="fr-FR"/>
        </w:rPr>
        <w:t>adoption des traités relatifs aux droits de l</w:t>
      </w:r>
      <w:r w:rsidR="00467ECB">
        <w:rPr>
          <w:lang w:val="fr-FR"/>
        </w:rPr>
        <w:t>’</w:t>
      </w:r>
      <w:r>
        <w:rPr>
          <w:lang w:val="fr-FR"/>
        </w:rPr>
        <w:t>homme, comme l</w:t>
      </w:r>
      <w:r w:rsidR="00467ECB">
        <w:rPr>
          <w:lang w:val="fr-FR"/>
        </w:rPr>
        <w:t>’</w:t>
      </w:r>
      <w:r>
        <w:rPr>
          <w:lang w:val="fr-FR"/>
        </w:rPr>
        <w:t>atteste la qualité d</w:t>
      </w:r>
      <w:r w:rsidR="00467ECB">
        <w:rPr>
          <w:lang w:val="fr-FR"/>
        </w:rPr>
        <w:t>’</w:t>
      </w:r>
      <w:r>
        <w:rPr>
          <w:lang w:val="fr-FR"/>
        </w:rPr>
        <w:t>État signataire du Cambodge. Il reste cependant quelques instruments dont il envisage encore la ratification, comme la Convention internationale sur la protection des droits de tous les travailleurs migrants et des membres de leur famille.</w:t>
      </w:r>
    </w:p>
    <w:p w:rsidR="00DC6468" w:rsidRPr="00963F16" w:rsidRDefault="00DC6468" w:rsidP="00DC6468">
      <w:pPr>
        <w:pStyle w:val="SingleTxtG"/>
      </w:pPr>
      <w:r>
        <w:rPr>
          <w:lang w:val="fr-FR"/>
        </w:rPr>
        <w:t>41.</w:t>
      </w:r>
      <w:r>
        <w:rPr>
          <w:lang w:val="fr-FR"/>
        </w:rPr>
        <w:tab/>
        <w:t>Avant de ratifier un traité international, le Gouvernement a toujours pris soin de le soumettre à un examen approfondi afin d</w:t>
      </w:r>
      <w:r w:rsidR="00467ECB">
        <w:rPr>
          <w:lang w:val="fr-FR"/>
        </w:rPr>
        <w:t>’</w:t>
      </w:r>
      <w:r>
        <w:rPr>
          <w:lang w:val="fr-FR"/>
        </w:rPr>
        <w:t>en vérifier les modalités d</w:t>
      </w:r>
      <w:r w:rsidR="00467ECB">
        <w:rPr>
          <w:lang w:val="fr-FR"/>
        </w:rPr>
        <w:t>’</w:t>
      </w:r>
      <w:r>
        <w:rPr>
          <w:lang w:val="fr-FR"/>
        </w:rPr>
        <w:t>application. Le Gouvernement envisage la ratification de la Convention internationale sur la protection des droits de tous les travailleurs migrants et des membres de leur famille. La coopération d</w:t>
      </w:r>
      <w:r w:rsidR="00467ECB">
        <w:rPr>
          <w:lang w:val="fr-FR"/>
        </w:rPr>
        <w:t>’</w:t>
      </w:r>
      <w:r>
        <w:rPr>
          <w:lang w:val="fr-FR"/>
        </w:rPr>
        <w:t>ONU-Femmes à cet égard a permis :</w:t>
      </w:r>
    </w:p>
    <w:p w:rsidR="00DC6468" w:rsidRPr="005030AC" w:rsidRDefault="00DC6468" w:rsidP="005030AC">
      <w:pPr>
        <w:pStyle w:val="Bullet1G"/>
      </w:pPr>
      <w:r>
        <w:rPr>
          <w:lang w:val="fr-FR"/>
        </w:rPr>
        <w:t>La mise sur pied d</w:t>
      </w:r>
      <w:r w:rsidR="00467ECB">
        <w:rPr>
          <w:lang w:val="fr-FR"/>
        </w:rPr>
        <w:t>’</w:t>
      </w:r>
      <w:r>
        <w:rPr>
          <w:lang w:val="fr-FR"/>
        </w:rPr>
        <w:t>un groupe de travail interministériel technique chargé d</w:t>
      </w:r>
      <w:r w:rsidR="00467ECB">
        <w:rPr>
          <w:lang w:val="fr-FR"/>
        </w:rPr>
        <w:t>’</w:t>
      </w:r>
      <w:r>
        <w:rPr>
          <w:lang w:val="fr-FR"/>
        </w:rPr>
        <w:t xml:space="preserve">examiner la teneur et les </w:t>
      </w:r>
      <w:r w:rsidRPr="005030AC">
        <w:t>implications de la Convention sous l</w:t>
      </w:r>
      <w:r w:rsidR="00467ECB">
        <w:t>’</w:t>
      </w:r>
      <w:r w:rsidRPr="005030AC">
        <w:t xml:space="preserve">angle du développement des capacités et de la sensibilisation ; </w:t>
      </w:r>
    </w:p>
    <w:p w:rsidR="00DC6468" w:rsidRPr="004B488D" w:rsidRDefault="00DC6468" w:rsidP="005030AC">
      <w:pPr>
        <w:pStyle w:val="Bullet1G"/>
      </w:pPr>
      <w:r w:rsidRPr="005030AC">
        <w:t>L</w:t>
      </w:r>
      <w:r w:rsidR="00467ECB">
        <w:t>’</w:t>
      </w:r>
      <w:r w:rsidRPr="005030AC">
        <w:t>organisation de plusieurs ateliers pour mieux faire connaître le contexte de la Convention et en assurer</w:t>
      </w:r>
      <w:r>
        <w:rPr>
          <w:lang w:val="fr-FR"/>
        </w:rPr>
        <w:t xml:space="preserve"> l</w:t>
      </w:r>
      <w:r w:rsidR="00467ECB">
        <w:rPr>
          <w:lang w:val="fr-FR"/>
        </w:rPr>
        <w:t>’</w:t>
      </w:r>
      <w:r>
        <w:rPr>
          <w:lang w:val="fr-FR"/>
        </w:rPr>
        <w:t>application effective.</w:t>
      </w:r>
    </w:p>
    <w:p w:rsidR="00DC6468" w:rsidRPr="004B488D" w:rsidRDefault="00DC6468" w:rsidP="00DC6468">
      <w:pPr>
        <w:pStyle w:val="H1G"/>
      </w:pPr>
      <w:r>
        <w:rPr>
          <w:lang w:val="fr-FR"/>
        </w:rPr>
        <w:tab/>
        <w:t>7.</w:t>
      </w:r>
      <w:r>
        <w:rPr>
          <w:lang w:val="fr-FR"/>
        </w:rPr>
        <w:tab/>
      </w:r>
      <w:r>
        <w:rPr>
          <w:bCs/>
          <w:lang w:val="fr-FR"/>
        </w:rPr>
        <w:t>Mise en œuvre de la Déclaration de Durban</w:t>
      </w:r>
      <w:r>
        <w:rPr>
          <w:lang w:val="fr-FR"/>
        </w:rPr>
        <w:t xml:space="preserve"> </w:t>
      </w:r>
    </w:p>
    <w:p w:rsidR="00DC6468" w:rsidRPr="004B488D" w:rsidRDefault="00DC6468" w:rsidP="00DC6468">
      <w:pPr>
        <w:pStyle w:val="H23G"/>
      </w:pPr>
      <w:r>
        <w:rPr>
          <w:lang w:val="fr-FR"/>
        </w:rPr>
        <w:tab/>
      </w:r>
      <w:r>
        <w:rPr>
          <w:lang w:val="fr-FR"/>
        </w:rPr>
        <w:tab/>
      </w:r>
      <w:r>
        <w:rPr>
          <w:bCs/>
          <w:lang w:val="fr-FR"/>
        </w:rPr>
        <w:t>Recommandation n</w:t>
      </w:r>
      <w:r>
        <w:rPr>
          <w:bCs/>
          <w:vertAlign w:val="superscript"/>
          <w:lang w:val="fr-FR"/>
        </w:rPr>
        <w:t>o</w:t>
      </w:r>
      <w:r>
        <w:rPr>
          <w:bCs/>
          <w:lang w:val="fr-FR"/>
        </w:rPr>
        <w:t> 22</w:t>
      </w:r>
    </w:p>
    <w:p w:rsidR="00DC6468" w:rsidRPr="004B488D" w:rsidRDefault="00DC6468" w:rsidP="00DC6468">
      <w:pPr>
        <w:pStyle w:val="SingleTxtG"/>
      </w:pPr>
      <w:r>
        <w:rPr>
          <w:lang w:val="fr-FR"/>
        </w:rPr>
        <w:t>42.</w:t>
      </w:r>
      <w:r>
        <w:rPr>
          <w:lang w:val="fr-FR"/>
        </w:rPr>
        <w:tab/>
        <w:t>Eu égard à la présente recommandation et à la conférence de Durban (Afrique du Sud), le Royaume du Cambodge s</w:t>
      </w:r>
      <w:r w:rsidR="00467ECB">
        <w:rPr>
          <w:lang w:val="fr-FR"/>
        </w:rPr>
        <w:t>’</w:t>
      </w:r>
      <w:r>
        <w:rPr>
          <w:lang w:val="fr-FR"/>
        </w:rPr>
        <w:t>est engagé à mettre en œuvre toutes les conventions et tous les pactes internationaux auxquels il est partie. Les principes de respect et d</w:t>
      </w:r>
      <w:r w:rsidR="00467ECB">
        <w:rPr>
          <w:lang w:val="fr-FR"/>
        </w:rPr>
        <w:t>’</w:t>
      </w:r>
      <w:r>
        <w:rPr>
          <w:lang w:val="fr-FR"/>
        </w:rPr>
        <w:t>incorporation des termes de ces instruments sont clairement inscrits à l</w:t>
      </w:r>
      <w:r w:rsidR="00467ECB">
        <w:rPr>
          <w:lang w:val="fr-FR"/>
        </w:rPr>
        <w:t>’</w:t>
      </w:r>
      <w:r>
        <w:rPr>
          <w:lang w:val="fr-FR"/>
        </w:rPr>
        <w:t>article 31 de la Constitution du Royaume du Cambodge de 1993.</w:t>
      </w:r>
    </w:p>
    <w:p w:rsidR="00DC6468" w:rsidRPr="004B488D" w:rsidRDefault="00DC6468" w:rsidP="00DC6468">
      <w:pPr>
        <w:pStyle w:val="H1G"/>
      </w:pPr>
      <w:r>
        <w:rPr>
          <w:lang w:val="fr-FR"/>
        </w:rPr>
        <w:tab/>
        <w:t>8.</w:t>
      </w:r>
      <w:r>
        <w:rPr>
          <w:lang w:val="fr-FR"/>
        </w:rPr>
        <w:tab/>
      </w:r>
      <w:r>
        <w:rPr>
          <w:bCs/>
          <w:lang w:val="fr-FR"/>
        </w:rPr>
        <w:t>Déclaration de reconnaissance de la compétence du Comité</w:t>
      </w:r>
    </w:p>
    <w:p w:rsidR="00DC6468" w:rsidRPr="004B488D" w:rsidRDefault="00DC6468" w:rsidP="00DC6468">
      <w:pPr>
        <w:pStyle w:val="H23G"/>
      </w:pPr>
      <w:r>
        <w:rPr>
          <w:lang w:val="fr-FR"/>
        </w:rPr>
        <w:tab/>
      </w:r>
      <w:r>
        <w:rPr>
          <w:lang w:val="fr-FR"/>
        </w:rPr>
        <w:tab/>
      </w:r>
      <w:r>
        <w:rPr>
          <w:bCs/>
          <w:lang w:val="fr-FR"/>
        </w:rPr>
        <w:t>Recommandation n</w:t>
      </w:r>
      <w:r>
        <w:rPr>
          <w:bCs/>
          <w:vertAlign w:val="superscript"/>
          <w:lang w:val="fr-FR"/>
        </w:rPr>
        <w:t>o</w:t>
      </w:r>
      <w:r>
        <w:rPr>
          <w:bCs/>
          <w:lang w:val="fr-FR"/>
        </w:rPr>
        <w:t> 24</w:t>
      </w:r>
    </w:p>
    <w:p w:rsidR="00DC6468" w:rsidRPr="004B488D" w:rsidRDefault="00DC6468" w:rsidP="00DC6468">
      <w:pPr>
        <w:pStyle w:val="SingleTxtG"/>
      </w:pPr>
      <w:r>
        <w:rPr>
          <w:lang w:val="fr-FR"/>
        </w:rPr>
        <w:t>43.</w:t>
      </w:r>
      <w:r>
        <w:rPr>
          <w:lang w:val="fr-FR"/>
        </w:rPr>
        <w:tab/>
        <w:t>Le Gouvernement se penchera sur la question de la déclaration reconnaissant la compétence du Comité pour recevoir et examiner des plaintes individuelle</w:t>
      </w:r>
      <w:r w:rsidR="003E08F2">
        <w:rPr>
          <w:lang w:val="fr-FR"/>
        </w:rPr>
        <w:t>s</w:t>
      </w:r>
      <w:r>
        <w:rPr>
          <w:lang w:val="fr-FR"/>
        </w:rPr>
        <w:t xml:space="preserve"> au titre de l</w:t>
      </w:r>
      <w:r w:rsidR="00467ECB">
        <w:rPr>
          <w:lang w:val="fr-FR"/>
        </w:rPr>
        <w:t>’</w:t>
      </w:r>
      <w:r>
        <w:rPr>
          <w:lang w:val="fr-FR"/>
        </w:rPr>
        <w:t>article 14 de la Convention. Il reste qu</w:t>
      </w:r>
      <w:r w:rsidR="00467ECB">
        <w:rPr>
          <w:lang w:val="fr-FR"/>
        </w:rPr>
        <w:t>’</w:t>
      </w:r>
      <w:r>
        <w:rPr>
          <w:lang w:val="fr-FR"/>
        </w:rPr>
        <w:t>au Cambodge, quiconque fait valoir que ses droits au titre de la Convention ont été violés peut porter l</w:t>
      </w:r>
      <w:r w:rsidR="00467ECB">
        <w:rPr>
          <w:lang w:val="fr-FR"/>
        </w:rPr>
        <w:t>’</w:t>
      </w:r>
      <w:r>
        <w:rPr>
          <w:lang w:val="fr-FR"/>
        </w:rPr>
        <w:t>infraction devant les tribunaux des trois degrés d</w:t>
      </w:r>
      <w:r w:rsidR="00467ECB">
        <w:rPr>
          <w:lang w:val="fr-FR"/>
        </w:rPr>
        <w:t>’</w:t>
      </w:r>
      <w:r>
        <w:rPr>
          <w:lang w:val="fr-FR"/>
        </w:rPr>
        <w:t>instance afin d</w:t>
      </w:r>
      <w:r w:rsidR="00467ECB">
        <w:rPr>
          <w:lang w:val="fr-FR"/>
        </w:rPr>
        <w:t>’</w:t>
      </w:r>
      <w:r>
        <w:rPr>
          <w:lang w:val="fr-FR"/>
        </w:rPr>
        <w:t>en obtenir réparation.</w:t>
      </w:r>
    </w:p>
    <w:p w:rsidR="00DC6468" w:rsidRPr="004B488D" w:rsidRDefault="00DC6468" w:rsidP="00DC6468">
      <w:pPr>
        <w:pStyle w:val="H1G"/>
      </w:pPr>
      <w:r>
        <w:rPr>
          <w:lang w:val="fr-FR"/>
        </w:rPr>
        <w:tab/>
        <w:t>9.</w:t>
      </w:r>
      <w:r>
        <w:rPr>
          <w:lang w:val="fr-FR"/>
        </w:rPr>
        <w:tab/>
      </w:r>
      <w:r>
        <w:rPr>
          <w:bCs/>
          <w:lang w:val="fr-FR"/>
        </w:rPr>
        <w:t>Ratification de l</w:t>
      </w:r>
      <w:r w:rsidR="00467ECB">
        <w:rPr>
          <w:bCs/>
          <w:lang w:val="fr-FR"/>
        </w:rPr>
        <w:t>’</w:t>
      </w:r>
      <w:r>
        <w:rPr>
          <w:bCs/>
          <w:lang w:val="fr-FR"/>
        </w:rPr>
        <w:t>amendement à l</w:t>
      </w:r>
      <w:r w:rsidR="00467ECB">
        <w:rPr>
          <w:bCs/>
          <w:lang w:val="fr-FR"/>
        </w:rPr>
        <w:t>’</w:t>
      </w:r>
      <w:r>
        <w:rPr>
          <w:bCs/>
          <w:lang w:val="fr-FR"/>
        </w:rPr>
        <w:t>article 8 de la Convention</w:t>
      </w:r>
    </w:p>
    <w:p w:rsidR="00DC6468" w:rsidRPr="004B488D" w:rsidRDefault="00DC6468" w:rsidP="00DC6468">
      <w:pPr>
        <w:pStyle w:val="H23G"/>
      </w:pPr>
      <w:r>
        <w:rPr>
          <w:lang w:val="fr-FR"/>
        </w:rPr>
        <w:tab/>
      </w:r>
      <w:r>
        <w:rPr>
          <w:lang w:val="fr-FR"/>
        </w:rPr>
        <w:tab/>
      </w:r>
      <w:r>
        <w:rPr>
          <w:bCs/>
          <w:lang w:val="fr-FR"/>
        </w:rPr>
        <w:t>Recommandation n</w:t>
      </w:r>
      <w:r>
        <w:rPr>
          <w:bCs/>
          <w:vertAlign w:val="superscript"/>
          <w:lang w:val="fr-FR"/>
        </w:rPr>
        <w:t>o</w:t>
      </w:r>
      <w:r>
        <w:rPr>
          <w:bCs/>
          <w:lang w:val="fr-FR"/>
        </w:rPr>
        <w:t> 25</w:t>
      </w:r>
    </w:p>
    <w:p w:rsidR="00DC6468" w:rsidRPr="004B488D" w:rsidRDefault="00DC6468" w:rsidP="00DC6468">
      <w:pPr>
        <w:pStyle w:val="SingleTxtG"/>
      </w:pPr>
      <w:r>
        <w:rPr>
          <w:lang w:val="fr-FR"/>
        </w:rPr>
        <w:t>44.</w:t>
      </w:r>
      <w:r>
        <w:rPr>
          <w:lang w:val="fr-FR"/>
        </w:rPr>
        <w:tab/>
        <w:t>La procédure à suivre pour ratifier l</w:t>
      </w:r>
      <w:r w:rsidR="00467ECB">
        <w:rPr>
          <w:lang w:val="fr-FR"/>
        </w:rPr>
        <w:t>’</w:t>
      </w:r>
      <w:r>
        <w:rPr>
          <w:lang w:val="fr-FR"/>
        </w:rPr>
        <w:t>amendement au paragraphe 6 de l</w:t>
      </w:r>
      <w:r w:rsidR="00467ECB">
        <w:rPr>
          <w:lang w:val="fr-FR"/>
        </w:rPr>
        <w:t>’</w:t>
      </w:r>
      <w:r>
        <w:rPr>
          <w:lang w:val="fr-FR"/>
        </w:rPr>
        <w:t>article 8 de la Convention est actuellement examinée par le Gouvernement, qui adressera une note écrite à ce sujet au Secrétaire général de l</w:t>
      </w:r>
      <w:r w:rsidR="00467ECB">
        <w:rPr>
          <w:lang w:val="fr-FR"/>
        </w:rPr>
        <w:t>’</w:t>
      </w:r>
      <w:r>
        <w:rPr>
          <w:lang w:val="fr-FR"/>
        </w:rPr>
        <w:t>Organisation des Nations Unies.</w:t>
      </w:r>
    </w:p>
    <w:p w:rsidR="00DC6468" w:rsidRPr="004B488D" w:rsidRDefault="00DC6468" w:rsidP="00DC6468">
      <w:pPr>
        <w:pStyle w:val="H1G"/>
      </w:pPr>
      <w:r>
        <w:rPr>
          <w:lang w:val="fr-FR"/>
        </w:rPr>
        <w:tab/>
        <w:t>10.</w:t>
      </w:r>
      <w:r>
        <w:rPr>
          <w:lang w:val="fr-FR"/>
        </w:rPr>
        <w:tab/>
      </w:r>
      <w:r>
        <w:rPr>
          <w:bCs/>
          <w:lang w:val="fr-FR"/>
        </w:rPr>
        <w:t>Consultation de la société civile</w:t>
      </w:r>
    </w:p>
    <w:p w:rsidR="00DC6468" w:rsidRPr="004B488D" w:rsidRDefault="00DC6468" w:rsidP="00DC6468">
      <w:pPr>
        <w:pStyle w:val="SingleTxtG"/>
      </w:pPr>
      <w:r>
        <w:rPr>
          <w:lang w:val="fr-FR"/>
        </w:rPr>
        <w:t>45.</w:t>
      </w:r>
      <w:r>
        <w:rPr>
          <w:lang w:val="fr-FR"/>
        </w:rPr>
        <w:tab/>
        <w:t>Le rapport relatif à l</w:t>
      </w:r>
      <w:r w:rsidR="00467ECB">
        <w:rPr>
          <w:lang w:val="fr-FR"/>
        </w:rPr>
        <w:t>’</w:t>
      </w:r>
      <w:r>
        <w:rPr>
          <w:lang w:val="fr-FR"/>
        </w:rPr>
        <w:t>élimination de toutes les formes de discrimination raciale, comme d</w:t>
      </w:r>
      <w:r w:rsidR="00467ECB">
        <w:rPr>
          <w:lang w:val="fr-FR"/>
        </w:rPr>
        <w:t>’</w:t>
      </w:r>
      <w:r>
        <w:rPr>
          <w:lang w:val="fr-FR"/>
        </w:rPr>
        <w:t>ailleurs tout rapport consacré à la mise en œuvre des traités relatifs aux droits de l</w:t>
      </w:r>
      <w:r w:rsidR="00467ECB">
        <w:rPr>
          <w:lang w:val="fr-FR"/>
        </w:rPr>
        <w:t>’</w:t>
      </w:r>
      <w:r>
        <w:rPr>
          <w:lang w:val="fr-FR"/>
        </w:rPr>
        <w:t>homme, a été soumis par l</w:t>
      </w:r>
      <w:r w:rsidR="00467ECB">
        <w:rPr>
          <w:lang w:val="fr-FR"/>
        </w:rPr>
        <w:t>’</w:t>
      </w:r>
      <w:r>
        <w:rPr>
          <w:lang w:val="fr-FR"/>
        </w:rPr>
        <w:t>organisme compétent après consultation avec des organisations concernées de la société civile. Le présent rapport a également fait l</w:t>
      </w:r>
      <w:r w:rsidR="00467ECB">
        <w:rPr>
          <w:lang w:val="fr-FR"/>
        </w:rPr>
        <w:t>’</w:t>
      </w:r>
      <w:r>
        <w:rPr>
          <w:lang w:val="fr-FR"/>
        </w:rPr>
        <w:t>objet de consultations avec des organisations de la société civile, dans le cadre de réunions tenues le 20 décembre 2017, auxquelles 10 représentants de diverses organisations ont fait part de leurs conseils et recommandations.</w:t>
      </w:r>
    </w:p>
    <w:p w:rsidR="00DC6468" w:rsidRPr="004B488D" w:rsidRDefault="00DC6468" w:rsidP="00DC6468">
      <w:pPr>
        <w:pStyle w:val="HChG"/>
      </w:pPr>
      <w:r>
        <w:rPr>
          <w:lang w:val="fr-FR"/>
        </w:rPr>
        <w:lastRenderedPageBreak/>
        <w:t xml:space="preserve"> </w:t>
      </w:r>
      <w:r>
        <w:rPr>
          <w:lang w:val="fr-FR"/>
        </w:rPr>
        <w:tab/>
      </w:r>
      <w:r>
        <w:rPr>
          <w:lang w:val="fr-FR"/>
        </w:rPr>
        <w:tab/>
      </w:r>
      <w:r>
        <w:rPr>
          <w:bCs/>
          <w:lang w:val="fr-FR"/>
        </w:rPr>
        <w:t>Références</w:t>
      </w:r>
    </w:p>
    <w:p w:rsidR="00DC6468" w:rsidRPr="004B488D" w:rsidRDefault="00DC6468" w:rsidP="00DC6468">
      <w:pPr>
        <w:pStyle w:val="SingleTxtG"/>
      </w:pPr>
      <w:r>
        <w:rPr>
          <w:lang w:val="fr-FR"/>
        </w:rPr>
        <w:t>1.</w:t>
      </w:r>
      <w:r>
        <w:rPr>
          <w:lang w:val="fr-FR"/>
        </w:rPr>
        <w:tab/>
        <w:t>Constitution du Royaume du Cambodge (1993)</w:t>
      </w:r>
    </w:p>
    <w:p w:rsidR="00DC6468" w:rsidRPr="004B488D" w:rsidRDefault="00DC6468" w:rsidP="00DC6468">
      <w:pPr>
        <w:pStyle w:val="SingleTxtG"/>
      </w:pPr>
      <w:r>
        <w:rPr>
          <w:lang w:val="fr-FR"/>
        </w:rPr>
        <w:t>2.</w:t>
      </w:r>
      <w:r>
        <w:rPr>
          <w:lang w:val="fr-FR"/>
        </w:rPr>
        <w:tab/>
        <w:t>Loi sur la nationalité (9 octobre 1996)</w:t>
      </w:r>
    </w:p>
    <w:p w:rsidR="00DC6468" w:rsidRPr="004B488D" w:rsidRDefault="00DC6468" w:rsidP="00DC6468">
      <w:pPr>
        <w:pStyle w:val="SingleTxtG"/>
      </w:pPr>
      <w:r>
        <w:rPr>
          <w:lang w:val="fr-FR"/>
        </w:rPr>
        <w:t>3.</w:t>
      </w:r>
      <w:r>
        <w:rPr>
          <w:lang w:val="fr-FR"/>
        </w:rPr>
        <w:tab/>
        <w:t>Loi sur l</w:t>
      </w:r>
      <w:r w:rsidR="00467ECB">
        <w:rPr>
          <w:lang w:val="fr-FR"/>
        </w:rPr>
        <w:t>’</w:t>
      </w:r>
      <w:r>
        <w:rPr>
          <w:lang w:val="fr-FR"/>
        </w:rPr>
        <w:t>immigration (26 août 1994)</w:t>
      </w:r>
    </w:p>
    <w:p w:rsidR="00DC6468" w:rsidRPr="004B488D" w:rsidRDefault="00DC6468" w:rsidP="00DC6468">
      <w:pPr>
        <w:pStyle w:val="SingleTxtG"/>
      </w:pPr>
      <w:r>
        <w:rPr>
          <w:lang w:val="fr-FR"/>
        </w:rPr>
        <w:t>4.</w:t>
      </w:r>
      <w:r>
        <w:rPr>
          <w:lang w:val="fr-FR"/>
        </w:rPr>
        <w:tab/>
        <w:t>Politique nationale de développement des peuples autochtones (24 avril 2009)</w:t>
      </w:r>
    </w:p>
    <w:p w:rsidR="00DC6468" w:rsidRPr="004B488D" w:rsidRDefault="00DC6468" w:rsidP="00DC6468">
      <w:pPr>
        <w:pStyle w:val="SingleTxtG"/>
        <w:ind w:left="1701" w:hanging="567"/>
      </w:pPr>
      <w:r>
        <w:rPr>
          <w:lang w:val="fr-FR"/>
        </w:rPr>
        <w:t>5.</w:t>
      </w:r>
      <w:r>
        <w:rPr>
          <w:lang w:val="fr-FR"/>
        </w:rPr>
        <w:tab/>
        <w:t>Politique en matière de droits de propriété et d</w:t>
      </w:r>
      <w:r w:rsidR="00467ECB">
        <w:rPr>
          <w:lang w:val="fr-FR"/>
        </w:rPr>
        <w:t>’</w:t>
      </w:r>
      <w:r>
        <w:rPr>
          <w:lang w:val="fr-FR"/>
        </w:rPr>
        <w:t>exploitation des terres communautaires des peuples autochtones (24 avril 2009)</w:t>
      </w:r>
    </w:p>
    <w:p w:rsidR="00DC6468" w:rsidRPr="004B488D" w:rsidRDefault="00DC6468" w:rsidP="00DC6468">
      <w:pPr>
        <w:pStyle w:val="SingleTxtG"/>
      </w:pPr>
      <w:r>
        <w:rPr>
          <w:lang w:val="fr-FR"/>
        </w:rPr>
        <w:t>6.</w:t>
      </w:r>
      <w:r>
        <w:rPr>
          <w:lang w:val="fr-FR"/>
        </w:rPr>
        <w:tab/>
        <w:t>Plan national de développement stratégique (2014-2018)</w:t>
      </w:r>
    </w:p>
    <w:p w:rsidR="00DC6468" w:rsidRPr="004B488D" w:rsidRDefault="00DC6468" w:rsidP="00DC6468">
      <w:pPr>
        <w:pStyle w:val="SingleTxtG"/>
      </w:pPr>
      <w:r>
        <w:rPr>
          <w:lang w:val="fr-FR"/>
        </w:rPr>
        <w:t>7.</w:t>
      </w:r>
      <w:r>
        <w:rPr>
          <w:lang w:val="fr-FR"/>
        </w:rPr>
        <w:tab/>
        <w:t>Plan stratégique pour l</w:t>
      </w:r>
      <w:r w:rsidR="00467ECB">
        <w:rPr>
          <w:lang w:val="fr-FR"/>
        </w:rPr>
        <w:t>’</w:t>
      </w:r>
      <w:r>
        <w:rPr>
          <w:lang w:val="fr-FR"/>
        </w:rPr>
        <w:t>éducation (2014-2018)</w:t>
      </w:r>
    </w:p>
    <w:p w:rsidR="00DC6468" w:rsidRPr="004B488D" w:rsidRDefault="00DC6468" w:rsidP="00DC6468">
      <w:pPr>
        <w:pStyle w:val="SingleTxtG"/>
      </w:pPr>
      <w:r>
        <w:rPr>
          <w:lang w:val="fr-FR"/>
        </w:rPr>
        <w:t>8.</w:t>
      </w:r>
      <w:r>
        <w:rPr>
          <w:lang w:val="fr-FR"/>
        </w:rPr>
        <w:tab/>
        <w:t>Plan d</w:t>
      </w:r>
      <w:r w:rsidR="00467ECB">
        <w:rPr>
          <w:lang w:val="fr-FR"/>
        </w:rPr>
        <w:t>’</w:t>
      </w:r>
      <w:r>
        <w:rPr>
          <w:lang w:val="fr-FR"/>
        </w:rPr>
        <w:t>action stratégique pour l</w:t>
      </w:r>
      <w:r w:rsidR="00467ECB">
        <w:rPr>
          <w:lang w:val="fr-FR"/>
        </w:rPr>
        <w:t>’</w:t>
      </w:r>
      <w:r>
        <w:rPr>
          <w:lang w:val="fr-FR"/>
        </w:rPr>
        <w:t>éducation multilingue (2015-2018)</w:t>
      </w:r>
    </w:p>
    <w:p w:rsidR="00DC6468" w:rsidRPr="004B488D" w:rsidRDefault="00DC6468" w:rsidP="00DC6468">
      <w:pPr>
        <w:pStyle w:val="SingleTxtG"/>
      </w:pPr>
      <w:r>
        <w:rPr>
          <w:lang w:val="fr-FR"/>
        </w:rPr>
        <w:t>9.</w:t>
      </w:r>
      <w:r>
        <w:rPr>
          <w:lang w:val="fr-FR"/>
        </w:rPr>
        <w:tab/>
        <w:t>Rapport annuel du Ministère du développement rural (2017)</w:t>
      </w:r>
    </w:p>
    <w:p w:rsidR="00DC6468" w:rsidRPr="004B488D" w:rsidRDefault="00DC6468" w:rsidP="00DC6468">
      <w:pPr>
        <w:pStyle w:val="SingleTxtG"/>
        <w:ind w:left="1701" w:hanging="567"/>
      </w:pPr>
      <w:r>
        <w:rPr>
          <w:lang w:val="fr-FR"/>
        </w:rPr>
        <w:t>10.</w:t>
      </w:r>
      <w:r>
        <w:rPr>
          <w:lang w:val="fr-FR"/>
        </w:rPr>
        <w:tab/>
        <w:t>Rapport annuel du Ministère de l</w:t>
      </w:r>
      <w:r w:rsidR="00467ECB">
        <w:rPr>
          <w:lang w:val="fr-FR"/>
        </w:rPr>
        <w:t>’</w:t>
      </w:r>
      <w:r>
        <w:rPr>
          <w:lang w:val="fr-FR"/>
        </w:rPr>
        <w:t>aménagement du territoire, de l</w:t>
      </w:r>
      <w:r w:rsidR="00467ECB">
        <w:rPr>
          <w:lang w:val="fr-FR"/>
        </w:rPr>
        <w:t>’</w:t>
      </w:r>
      <w:r>
        <w:rPr>
          <w:lang w:val="fr-FR"/>
        </w:rPr>
        <w:t>urbanisme et des constructions (2017)</w:t>
      </w:r>
    </w:p>
    <w:p w:rsidR="00703857" w:rsidRDefault="00DC6468" w:rsidP="005030AC">
      <w:pPr>
        <w:pStyle w:val="SingleTxtG"/>
        <w:ind w:left="1701" w:hanging="567"/>
        <w:rPr>
          <w:i/>
          <w:lang w:val="en-GB"/>
        </w:rPr>
      </w:pPr>
      <w:r w:rsidRPr="004B488D">
        <w:rPr>
          <w:lang w:val="en-US"/>
        </w:rPr>
        <w:t>11.</w:t>
      </w:r>
      <w:r w:rsidRPr="004B488D">
        <w:rPr>
          <w:lang w:val="en-US"/>
        </w:rPr>
        <w:tab/>
      </w:r>
      <w:r w:rsidRPr="00DC6468">
        <w:rPr>
          <w:i/>
          <w:lang w:val="en-GB"/>
        </w:rPr>
        <w:t>Congress on Education, Youth and Sport for Academic Year 2015-2016 and Objectives for Academic Year 2016-2017</w:t>
      </w:r>
    </w:p>
    <w:p w:rsidR="00467ECB" w:rsidRPr="00467ECB" w:rsidRDefault="00467ECB" w:rsidP="00467ECB">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467ECB" w:rsidRPr="00467ECB" w:rsidSect="00703857">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8C9" w:rsidRDefault="006618C9" w:rsidP="00F95C08">
      <w:pPr>
        <w:spacing w:line="240" w:lineRule="auto"/>
      </w:pPr>
    </w:p>
  </w:endnote>
  <w:endnote w:type="continuationSeparator" w:id="0">
    <w:p w:rsidR="006618C9" w:rsidRPr="00AC3823" w:rsidRDefault="006618C9" w:rsidP="00AC3823">
      <w:pPr>
        <w:pStyle w:val="Pieddepage"/>
      </w:pPr>
    </w:p>
  </w:endnote>
  <w:endnote w:type="continuationNotice" w:id="1">
    <w:p w:rsidR="006618C9" w:rsidRDefault="006618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C9" w:rsidRPr="00CD3BD7" w:rsidRDefault="006618C9" w:rsidP="00CD3BD7">
    <w:pPr>
      <w:pStyle w:val="Pieddepage"/>
      <w:tabs>
        <w:tab w:val="right" w:pos="9638"/>
      </w:tabs>
    </w:pPr>
    <w:r w:rsidRPr="00CD3BD7">
      <w:rPr>
        <w:b/>
        <w:sz w:val="18"/>
      </w:rPr>
      <w:fldChar w:fldCharType="begin"/>
    </w:r>
    <w:r w:rsidRPr="00CD3BD7">
      <w:rPr>
        <w:b/>
        <w:sz w:val="18"/>
      </w:rPr>
      <w:instrText xml:space="preserve"> PAGE  \* MERGEFORMAT </w:instrText>
    </w:r>
    <w:r w:rsidRPr="00CD3BD7">
      <w:rPr>
        <w:b/>
        <w:sz w:val="18"/>
      </w:rPr>
      <w:fldChar w:fldCharType="separate"/>
    </w:r>
    <w:r w:rsidRPr="00CD3BD7">
      <w:rPr>
        <w:b/>
        <w:noProof/>
        <w:sz w:val="18"/>
      </w:rPr>
      <w:t>2</w:t>
    </w:r>
    <w:r w:rsidRPr="00CD3BD7">
      <w:rPr>
        <w:b/>
        <w:sz w:val="18"/>
      </w:rPr>
      <w:fldChar w:fldCharType="end"/>
    </w:r>
    <w:r>
      <w:rPr>
        <w:b/>
        <w:sz w:val="18"/>
      </w:rPr>
      <w:tab/>
    </w:r>
    <w:r>
      <w:t>GE.18-19471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C9" w:rsidRPr="00CD3BD7" w:rsidRDefault="006618C9" w:rsidP="00CD3BD7">
    <w:pPr>
      <w:pStyle w:val="Pieddepage"/>
      <w:tabs>
        <w:tab w:val="right" w:pos="9638"/>
      </w:tabs>
      <w:rPr>
        <w:b/>
        <w:sz w:val="18"/>
      </w:rPr>
    </w:pPr>
    <w:r>
      <w:t>GE.18-19471</w:t>
    </w:r>
    <w:r>
      <w:tab/>
    </w:r>
    <w:r w:rsidRPr="00CD3BD7">
      <w:rPr>
        <w:b/>
        <w:sz w:val="18"/>
      </w:rPr>
      <w:fldChar w:fldCharType="begin"/>
    </w:r>
    <w:r w:rsidRPr="00CD3BD7">
      <w:rPr>
        <w:b/>
        <w:sz w:val="18"/>
      </w:rPr>
      <w:instrText xml:space="preserve"> PAGE  \* MERGEFORMAT </w:instrText>
    </w:r>
    <w:r w:rsidRPr="00CD3BD7">
      <w:rPr>
        <w:b/>
        <w:sz w:val="18"/>
      </w:rPr>
      <w:fldChar w:fldCharType="separate"/>
    </w:r>
    <w:r w:rsidRPr="00CD3BD7">
      <w:rPr>
        <w:b/>
        <w:noProof/>
        <w:sz w:val="18"/>
      </w:rPr>
      <w:t>3</w:t>
    </w:r>
    <w:r w:rsidRPr="00CD3B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C9" w:rsidRPr="00CD3BD7" w:rsidRDefault="006618C9" w:rsidP="00CD3BD7">
    <w:pPr>
      <w:pStyle w:val="Pieddepage"/>
      <w:spacing w:before="120"/>
      <w:rPr>
        <w:sz w:val="20"/>
      </w:rPr>
    </w:pPr>
    <w:r>
      <w:rPr>
        <w:sz w:val="20"/>
      </w:rPr>
      <w:t>GE.</w:t>
    </w:r>
    <w:r>
      <w:rPr>
        <w:noProof/>
        <w:lang w:eastAsia="fr-CH"/>
      </w:rPr>
      <w:drawing>
        <wp:anchor distT="0" distB="0" distL="114300" distR="114300" simplePos="0" relativeHeight="251686912"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18-19471  (F)    070119    210519</w:t>
    </w:r>
    <w:r>
      <w:rPr>
        <w:sz w:val="20"/>
      </w:rPr>
      <w:br/>
    </w:r>
    <w:r w:rsidRPr="00CD3BD7">
      <w:rPr>
        <w:rFonts w:ascii="C39T30Lfz" w:hAnsi="C39T30Lfz"/>
        <w:sz w:val="56"/>
      </w:rPr>
      <w:t></w:t>
    </w:r>
    <w:r w:rsidRPr="00CD3BD7">
      <w:rPr>
        <w:rFonts w:ascii="C39T30Lfz" w:hAnsi="C39T30Lfz"/>
        <w:sz w:val="56"/>
      </w:rPr>
      <w:t></w:t>
    </w:r>
    <w:r w:rsidRPr="00CD3BD7">
      <w:rPr>
        <w:rFonts w:ascii="C39T30Lfz" w:hAnsi="C39T30Lfz"/>
        <w:sz w:val="56"/>
      </w:rPr>
      <w:t></w:t>
    </w:r>
    <w:r w:rsidRPr="00CD3BD7">
      <w:rPr>
        <w:rFonts w:ascii="C39T30Lfz" w:hAnsi="C39T30Lfz"/>
        <w:sz w:val="56"/>
      </w:rPr>
      <w:t></w:t>
    </w:r>
    <w:r w:rsidRPr="00CD3BD7">
      <w:rPr>
        <w:rFonts w:ascii="C39T30Lfz" w:hAnsi="C39T30Lfz"/>
        <w:sz w:val="56"/>
      </w:rPr>
      <w:t></w:t>
    </w:r>
    <w:r w:rsidRPr="00CD3BD7">
      <w:rPr>
        <w:rFonts w:ascii="C39T30Lfz" w:hAnsi="C39T30Lfz"/>
        <w:sz w:val="56"/>
      </w:rPr>
      <w:t></w:t>
    </w:r>
    <w:r w:rsidRPr="00CD3BD7">
      <w:rPr>
        <w:rFonts w:ascii="C39T30Lfz" w:hAnsi="C39T30Lfz"/>
        <w:sz w:val="56"/>
      </w:rPr>
      <w:t></w:t>
    </w:r>
    <w:r w:rsidRPr="00CD3BD7">
      <w:rPr>
        <w:rFonts w:ascii="C39T30Lfz" w:hAnsi="C39T30Lfz"/>
        <w:sz w:val="56"/>
      </w:rPr>
      <w:t></w:t>
    </w:r>
    <w:r w:rsidRPr="00CD3BD7">
      <w:rPr>
        <w:rFonts w:ascii="C39T30Lfz" w:hAnsi="C39T30Lfz"/>
        <w:sz w:val="56"/>
      </w:rPr>
      <w:t></w:t>
    </w:r>
    <w:r>
      <w:rPr>
        <w:noProof/>
        <w:sz w:val="20"/>
      </w:rPr>
      <w:drawing>
        <wp:anchor distT="0" distB="0" distL="114300" distR="114300" simplePos="0" relativeHeight="251631616"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KHM/14-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HM/14-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C9" w:rsidRPr="0053469E" w:rsidRDefault="006618C9" w:rsidP="0053469E">
    <w:pPr>
      <w:pStyle w:val="Pieddepage"/>
    </w:pPr>
    <w:r>
      <w:rPr>
        <w:noProof/>
      </w:rPr>
      <mc:AlternateContent>
        <mc:Choice Requires="wps">
          <w:drawing>
            <wp:anchor distT="0" distB="0" distL="114300" distR="114300" simplePos="0" relativeHeight="25165414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618C9" w:rsidRPr="00CD3BD7" w:rsidRDefault="006618C9" w:rsidP="0053469E">
                          <w:pPr>
                            <w:pStyle w:val="Pieddepage"/>
                            <w:tabs>
                              <w:tab w:val="right" w:pos="9638"/>
                            </w:tabs>
                          </w:pPr>
                          <w:r w:rsidRPr="00CD3BD7">
                            <w:rPr>
                              <w:b/>
                              <w:sz w:val="18"/>
                            </w:rPr>
                            <w:fldChar w:fldCharType="begin"/>
                          </w:r>
                          <w:r w:rsidRPr="00CD3BD7">
                            <w:rPr>
                              <w:b/>
                              <w:sz w:val="18"/>
                            </w:rPr>
                            <w:instrText xml:space="preserve"> PAGE  \* MERGEFORMAT </w:instrText>
                          </w:r>
                          <w:r w:rsidRPr="00CD3BD7">
                            <w:rPr>
                              <w:b/>
                              <w:sz w:val="18"/>
                            </w:rPr>
                            <w:fldChar w:fldCharType="separate"/>
                          </w:r>
                          <w:r>
                            <w:rPr>
                              <w:b/>
                              <w:sz w:val="18"/>
                            </w:rPr>
                            <w:t>4</w:t>
                          </w:r>
                          <w:r w:rsidRPr="00CD3BD7">
                            <w:rPr>
                              <w:b/>
                              <w:sz w:val="18"/>
                            </w:rPr>
                            <w:fldChar w:fldCharType="end"/>
                          </w:r>
                          <w:r>
                            <w:rPr>
                              <w:b/>
                              <w:sz w:val="18"/>
                            </w:rPr>
                            <w:tab/>
                          </w:r>
                          <w:r>
                            <w:t>GE.18-19471</w:t>
                          </w:r>
                        </w:p>
                        <w:p w:rsidR="006618C9" w:rsidRDefault="006618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34pt;margin-top:0;width:17pt;height:481.9pt;z-index:2516541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6618C9" w:rsidRPr="00CD3BD7" w:rsidRDefault="006618C9" w:rsidP="0053469E">
                    <w:pPr>
                      <w:pStyle w:val="Pieddepage"/>
                      <w:tabs>
                        <w:tab w:val="right" w:pos="9638"/>
                      </w:tabs>
                    </w:pPr>
                    <w:r w:rsidRPr="00CD3BD7">
                      <w:rPr>
                        <w:b/>
                        <w:sz w:val="18"/>
                      </w:rPr>
                      <w:fldChar w:fldCharType="begin"/>
                    </w:r>
                    <w:r w:rsidRPr="00CD3BD7">
                      <w:rPr>
                        <w:b/>
                        <w:sz w:val="18"/>
                      </w:rPr>
                      <w:instrText xml:space="preserve"> PAGE  \* MERGEFORMAT </w:instrText>
                    </w:r>
                    <w:r w:rsidRPr="00CD3BD7">
                      <w:rPr>
                        <w:b/>
                        <w:sz w:val="18"/>
                      </w:rPr>
                      <w:fldChar w:fldCharType="separate"/>
                    </w:r>
                    <w:r>
                      <w:rPr>
                        <w:b/>
                        <w:sz w:val="18"/>
                      </w:rPr>
                      <w:t>4</w:t>
                    </w:r>
                    <w:r w:rsidRPr="00CD3BD7">
                      <w:rPr>
                        <w:b/>
                        <w:sz w:val="18"/>
                      </w:rPr>
                      <w:fldChar w:fldCharType="end"/>
                    </w:r>
                    <w:r>
                      <w:rPr>
                        <w:b/>
                        <w:sz w:val="18"/>
                      </w:rPr>
                      <w:tab/>
                    </w:r>
                    <w:r>
                      <w:t>GE.18-19471</w:t>
                    </w:r>
                  </w:p>
                  <w:p w:rsidR="006618C9" w:rsidRDefault="006618C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C9" w:rsidRPr="0053469E" w:rsidRDefault="006618C9" w:rsidP="0053469E">
    <w:pPr>
      <w:pStyle w:val="Pieddepage"/>
    </w:pPr>
    <w:r>
      <w:rPr>
        <w:noProof/>
      </w:rPr>
      <mc:AlternateContent>
        <mc:Choice Requires="wps">
          <w:drawing>
            <wp:anchor distT="0" distB="0" distL="114300" distR="114300" simplePos="0" relativeHeight="25167462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618C9" w:rsidRPr="00CD3BD7" w:rsidRDefault="006618C9" w:rsidP="0053469E">
                          <w:pPr>
                            <w:pStyle w:val="Pieddepage"/>
                            <w:tabs>
                              <w:tab w:val="right" w:pos="9638"/>
                            </w:tabs>
                            <w:rPr>
                              <w:b/>
                              <w:sz w:val="18"/>
                            </w:rPr>
                          </w:pPr>
                          <w:r>
                            <w:t>GE.18-19471</w:t>
                          </w:r>
                          <w:r>
                            <w:tab/>
                          </w:r>
                          <w:r w:rsidRPr="00CD3BD7">
                            <w:rPr>
                              <w:b/>
                              <w:sz w:val="18"/>
                            </w:rPr>
                            <w:fldChar w:fldCharType="begin"/>
                          </w:r>
                          <w:r w:rsidRPr="00CD3BD7">
                            <w:rPr>
                              <w:b/>
                              <w:sz w:val="18"/>
                            </w:rPr>
                            <w:instrText xml:space="preserve"> PAGE  \* MERGEFORMAT </w:instrText>
                          </w:r>
                          <w:r w:rsidRPr="00CD3BD7">
                            <w:rPr>
                              <w:b/>
                              <w:sz w:val="18"/>
                            </w:rPr>
                            <w:fldChar w:fldCharType="separate"/>
                          </w:r>
                          <w:r>
                            <w:rPr>
                              <w:b/>
                              <w:sz w:val="18"/>
                            </w:rPr>
                            <w:t>5</w:t>
                          </w:r>
                          <w:r w:rsidRPr="00CD3BD7">
                            <w:rPr>
                              <w:b/>
                              <w:sz w:val="18"/>
                            </w:rPr>
                            <w:fldChar w:fldCharType="end"/>
                          </w:r>
                        </w:p>
                        <w:p w:rsidR="006618C9" w:rsidRDefault="006618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9" type="#_x0000_t202"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6618C9" w:rsidRPr="00CD3BD7" w:rsidRDefault="006618C9" w:rsidP="0053469E">
                    <w:pPr>
                      <w:pStyle w:val="Pieddepage"/>
                      <w:tabs>
                        <w:tab w:val="right" w:pos="9638"/>
                      </w:tabs>
                      <w:rPr>
                        <w:b/>
                        <w:sz w:val="18"/>
                      </w:rPr>
                    </w:pPr>
                    <w:r>
                      <w:t>GE.18-19471</w:t>
                    </w:r>
                    <w:r>
                      <w:tab/>
                    </w:r>
                    <w:r w:rsidRPr="00CD3BD7">
                      <w:rPr>
                        <w:b/>
                        <w:sz w:val="18"/>
                      </w:rPr>
                      <w:fldChar w:fldCharType="begin"/>
                    </w:r>
                    <w:r w:rsidRPr="00CD3BD7">
                      <w:rPr>
                        <w:b/>
                        <w:sz w:val="18"/>
                      </w:rPr>
                      <w:instrText xml:space="preserve"> PAGE  \* MERGEFORMAT </w:instrText>
                    </w:r>
                    <w:r w:rsidRPr="00CD3BD7">
                      <w:rPr>
                        <w:b/>
                        <w:sz w:val="18"/>
                      </w:rPr>
                      <w:fldChar w:fldCharType="separate"/>
                    </w:r>
                    <w:r>
                      <w:rPr>
                        <w:b/>
                        <w:sz w:val="18"/>
                      </w:rPr>
                      <w:t>5</w:t>
                    </w:r>
                    <w:r w:rsidRPr="00CD3BD7">
                      <w:rPr>
                        <w:b/>
                        <w:sz w:val="18"/>
                      </w:rPr>
                      <w:fldChar w:fldCharType="end"/>
                    </w:r>
                  </w:p>
                  <w:p w:rsidR="006618C9" w:rsidRDefault="006618C9"/>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C9" w:rsidRPr="00703857" w:rsidRDefault="006618C9" w:rsidP="00703857">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rsidRPr="00703857">
      <w:t>GE.18-19471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C9" w:rsidRPr="00703857" w:rsidRDefault="006618C9" w:rsidP="00703857">
    <w:pPr>
      <w:pStyle w:val="Pieddepage"/>
      <w:tabs>
        <w:tab w:val="right" w:pos="9638"/>
      </w:tabs>
      <w:rPr>
        <w:b/>
        <w:sz w:val="18"/>
      </w:rPr>
    </w:pPr>
    <w:r>
      <w:t>GE.</w:t>
    </w:r>
    <w:r w:rsidRPr="00703857">
      <w:t>18</w:t>
    </w:r>
    <w:r>
      <w:t>-</w:t>
    </w:r>
    <w:r w:rsidRPr="00703857">
      <w:t>19471</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8C9" w:rsidRPr="00AC3823" w:rsidRDefault="006618C9" w:rsidP="00AC3823">
      <w:pPr>
        <w:pStyle w:val="Pieddepage"/>
        <w:tabs>
          <w:tab w:val="right" w:pos="2155"/>
        </w:tabs>
        <w:spacing w:after="80" w:line="240" w:lineRule="atLeast"/>
        <w:ind w:left="680"/>
        <w:rPr>
          <w:u w:val="single"/>
        </w:rPr>
      </w:pPr>
      <w:r>
        <w:rPr>
          <w:u w:val="single"/>
        </w:rPr>
        <w:tab/>
      </w:r>
    </w:p>
  </w:footnote>
  <w:footnote w:type="continuationSeparator" w:id="0">
    <w:p w:rsidR="006618C9" w:rsidRPr="00AC3823" w:rsidRDefault="006618C9" w:rsidP="00AC3823">
      <w:pPr>
        <w:pStyle w:val="Pieddepage"/>
        <w:tabs>
          <w:tab w:val="right" w:pos="2155"/>
        </w:tabs>
        <w:spacing w:after="80" w:line="240" w:lineRule="atLeast"/>
        <w:ind w:left="680"/>
        <w:rPr>
          <w:u w:val="single"/>
        </w:rPr>
      </w:pPr>
      <w:r>
        <w:rPr>
          <w:u w:val="single"/>
        </w:rPr>
        <w:tab/>
      </w:r>
    </w:p>
  </w:footnote>
  <w:footnote w:type="continuationNotice" w:id="1">
    <w:p w:rsidR="006618C9" w:rsidRPr="00AC3823" w:rsidRDefault="006618C9">
      <w:pPr>
        <w:spacing w:line="240" w:lineRule="auto"/>
        <w:rPr>
          <w:sz w:val="2"/>
          <w:szCs w:val="2"/>
        </w:rPr>
      </w:pPr>
    </w:p>
  </w:footnote>
  <w:footnote w:id="2">
    <w:p w:rsidR="006618C9" w:rsidRPr="004B488D" w:rsidRDefault="006618C9" w:rsidP="00DA58EE">
      <w:pPr>
        <w:pStyle w:val="Notedebasdepage"/>
      </w:pPr>
      <w:r>
        <w:rPr>
          <w:lang w:val="fr-FR"/>
        </w:rPr>
        <w:tab/>
      </w:r>
      <w:r w:rsidRPr="005B67D4">
        <w:rPr>
          <w:sz w:val="20"/>
          <w:lang w:val="fr-FR"/>
        </w:rPr>
        <w:t>*</w:t>
      </w:r>
      <w:r>
        <w:rPr>
          <w:lang w:val="fr-FR"/>
        </w:rPr>
        <w:tab/>
        <w:t>La version originale du p</w:t>
      </w:r>
      <w:bookmarkStart w:id="0" w:name="_GoBack"/>
      <w:bookmarkEnd w:id="0"/>
      <w:r>
        <w:rPr>
          <w:lang w:val="fr-FR"/>
        </w:rPr>
        <w:t>résent document n’a pas été revue par les services d’édition.</w:t>
      </w:r>
    </w:p>
  </w:footnote>
  <w:footnote w:id="3">
    <w:p w:rsidR="006618C9" w:rsidRPr="004B488D" w:rsidRDefault="006618C9" w:rsidP="00DA58EE">
      <w:pPr>
        <w:pStyle w:val="Notedebasdepage"/>
      </w:pPr>
      <w:r>
        <w:rPr>
          <w:lang w:val="fr-FR"/>
        </w:rPr>
        <w:tab/>
      </w:r>
      <w:r w:rsidRPr="00DA58EE">
        <w:rPr>
          <w:rStyle w:val="Appelnotedebasdep"/>
        </w:rPr>
        <w:footnoteRef/>
      </w:r>
      <w:r>
        <w:rPr>
          <w:lang w:val="fr-FR"/>
        </w:rPr>
        <w:tab/>
        <w:t>Plan national de développement stratégique (2014-2018).</w:t>
      </w:r>
    </w:p>
  </w:footnote>
  <w:footnote w:id="4">
    <w:p w:rsidR="006618C9" w:rsidRPr="004B488D" w:rsidRDefault="006618C9" w:rsidP="00DA58EE">
      <w:pPr>
        <w:pStyle w:val="Notedebasdepage"/>
      </w:pPr>
      <w:r>
        <w:rPr>
          <w:lang w:val="fr-FR"/>
        </w:rPr>
        <w:tab/>
      </w:r>
      <w:r w:rsidRPr="00DA58EE">
        <w:rPr>
          <w:rStyle w:val="Appelnotedebasdep"/>
        </w:rPr>
        <w:footnoteRef/>
      </w:r>
      <w:r>
        <w:rPr>
          <w:lang w:val="fr-FR"/>
        </w:rPr>
        <w:tab/>
        <w:t>Plan national de développement stratégique (2014-2018).</w:t>
      </w:r>
    </w:p>
  </w:footnote>
  <w:footnote w:id="5">
    <w:p w:rsidR="006618C9" w:rsidRPr="004B488D" w:rsidRDefault="006618C9" w:rsidP="00DA58EE">
      <w:pPr>
        <w:pStyle w:val="Notedebasdepage"/>
      </w:pPr>
      <w:r>
        <w:rPr>
          <w:lang w:val="fr-FR"/>
        </w:rPr>
        <w:tab/>
      </w:r>
      <w:r w:rsidRPr="00DA58EE">
        <w:rPr>
          <w:rStyle w:val="Appelnotedebasdep"/>
        </w:rPr>
        <w:footnoteRef/>
      </w:r>
      <w:r>
        <w:rPr>
          <w:lang w:val="fr-FR"/>
        </w:rPr>
        <w:tab/>
        <w:t>Rapport annuel du Ministère du développement rural (2016).</w:t>
      </w:r>
    </w:p>
  </w:footnote>
  <w:footnote w:id="6">
    <w:p w:rsidR="00DC6468" w:rsidRPr="004B488D" w:rsidRDefault="00DC6468" w:rsidP="00DA58EE">
      <w:pPr>
        <w:pStyle w:val="Notedebasdepage"/>
      </w:pPr>
      <w:r>
        <w:rPr>
          <w:lang w:val="fr-FR"/>
        </w:rPr>
        <w:tab/>
      </w:r>
      <w:r w:rsidRPr="00DA58EE">
        <w:rPr>
          <w:rStyle w:val="Appelnotedebasdep"/>
        </w:rPr>
        <w:footnoteRef/>
      </w:r>
      <w:r>
        <w:rPr>
          <w:lang w:val="fr-FR"/>
        </w:rPr>
        <w:tab/>
        <w:t xml:space="preserve">Politique nationale de développement des peuples autochtones (2009). </w:t>
      </w:r>
    </w:p>
  </w:footnote>
  <w:footnote w:id="7">
    <w:p w:rsidR="00DC6468" w:rsidRPr="004B488D" w:rsidRDefault="00DC6468" w:rsidP="00DA58EE">
      <w:pPr>
        <w:pStyle w:val="Notedebasdepage"/>
      </w:pPr>
      <w:r>
        <w:rPr>
          <w:lang w:val="fr-FR"/>
        </w:rPr>
        <w:tab/>
      </w:r>
      <w:r w:rsidRPr="00DA58EE">
        <w:rPr>
          <w:rStyle w:val="Appelnotedebasdep"/>
        </w:rPr>
        <w:footnoteRef/>
      </w:r>
      <w:r>
        <w:rPr>
          <w:lang w:val="fr-FR"/>
        </w:rPr>
        <w:tab/>
      </w:r>
      <w:r w:rsidRPr="00022502">
        <w:rPr>
          <w:spacing w:val="-2"/>
          <w:lang w:val="fr-FR"/>
        </w:rPr>
        <w:t>Rapport annuel du Ministère de l’aménagement du territoire, de l’urbanisme et des constructions (2017).</w:t>
      </w:r>
    </w:p>
  </w:footnote>
  <w:footnote w:id="8">
    <w:p w:rsidR="00DC6468" w:rsidRPr="004B488D" w:rsidRDefault="00DC6468" w:rsidP="00DA58EE">
      <w:pPr>
        <w:pStyle w:val="Notedebasdepage"/>
      </w:pPr>
      <w:r>
        <w:rPr>
          <w:lang w:val="fr-FR"/>
        </w:rPr>
        <w:tab/>
      </w:r>
      <w:r w:rsidRPr="00DA58EE">
        <w:rPr>
          <w:rStyle w:val="Appelnotedebasdep"/>
        </w:rPr>
        <w:footnoteRef/>
      </w:r>
      <w:r>
        <w:rPr>
          <w:lang w:val="fr-FR"/>
        </w:rPr>
        <w:tab/>
      </w:r>
      <w:proofErr w:type="spellStart"/>
      <w:r w:rsidRPr="004B488D">
        <w:rPr>
          <w:i/>
        </w:rPr>
        <w:t>Congress</w:t>
      </w:r>
      <w:proofErr w:type="spellEnd"/>
      <w:r w:rsidRPr="004B488D">
        <w:rPr>
          <w:i/>
        </w:rPr>
        <w:t xml:space="preserve"> on </w:t>
      </w:r>
      <w:proofErr w:type="spellStart"/>
      <w:r w:rsidRPr="004B488D">
        <w:rPr>
          <w:i/>
        </w:rPr>
        <w:t>Education</w:t>
      </w:r>
      <w:proofErr w:type="spellEnd"/>
      <w:r w:rsidRPr="004B488D">
        <w:rPr>
          <w:i/>
        </w:rPr>
        <w:t xml:space="preserve">, </w:t>
      </w:r>
      <w:proofErr w:type="spellStart"/>
      <w:r w:rsidRPr="004B488D">
        <w:rPr>
          <w:i/>
        </w:rPr>
        <w:t>Youth</w:t>
      </w:r>
      <w:proofErr w:type="spellEnd"/>
      <w:r w:rsidRPr="004B488D">
        <w:rPr>
          <w:i/>
        </w:rPr>
        <w:t xml:space="preserve"> and Sport for Academic </w:t>
      </w:r>
      <w:proofErr w:type="spellStart"/>
      <w:r w:rsidRPr="004B488D">
        <w:rPr>
          <w:i/>
        </w:rPr>
        <w:t>Year</w:t>
      </w:r>
      <w:proofErr w:type="spellEnd"/>
      <w:r w:rsidRPr="004B488D">
        <w:rPr>
          <w:i/>
        </w:rPr>
        <w:t xml:space="preserve"> 2015-2016 and Objectives for Academic </w:t>
      </w:r>
      <w:proofErr w:type="spellStart"/>
      <w:r w:rsidRPr="004B488D">
        <w:rPr>
          <w:i/>
        </w:rPr>
        <w:t>Year</w:t>
      </w:r>
      <w:proofErr w:type="spellEnd"/>
      <w:r w:rsidRPr="004B488D">
        <w:rPr>
          <w:i/>
        </w:rPr>
        <w:t> 2016-2017</w:t>
      </w:r>
      <w:r>
        <w:rPr>
          <w:lang w:val="fr-FR"/>
        </w:rPr>
        <w:t xml:space="preserve"> (congrès du Ministère de l’éducation, de la jeunesse et des sports consacré au bilan de l’année scolaire 2015/16 et aux objectifs de l’année scolaire 2016/17).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C9" w:rsidRPr="00CD3BD7" w:rsidRDefault="004A2488">
    <w:pPr>
      <w:pStyle w:val="En-tte"/>
    </w:pPr>
    <w:r>
      <w:fldChar w:fldCharType="begin"/>
    </w:r>
    <w:r>
      <w:instrText xml:space="preserve"> TITLE  \* MERGEFORMAT </w:instrText>
    </w:r>
    <w:r>
      <w:fldChar w:fldCharType="separate"/>
    </w:r>
    <w:r w:rsidR="00BE62C1">
      <w:t>CERD/C/KHM/14-17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C9" w:rsidRPr="00CD3BD7" w:rsidRDefault="004A2488" w:rsidP="00CD3BD7">
    <w:pPr>
      <w:pStyle w:val="En-tte"/>
      <w:jc w:val="right"/>
    </w:pPr>
    <w:r>
      <w:fldChar w:fldCharType="begin"/>
    </w:r>
    <w:r>
      <w:instrText xml:space="preserve"> TITLE  \* MERGEFORMAT </w:instrText>
    </w:r>
    <w:r>
      <w:fldChar w:fldCharType="separate"/>
    </w:r>
    <w:r w:rsidR="00BE62C1">
      <w:t>CERD/C/KHM/14-17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C9" w:rsidRPr="0053469E" w:rsidRDefault="006618C9" w:rsidP="0053469E">
    <w:r>
      <w:rPr>
        <w:noProof/>
      </w:rPr>
      <mc:AlternateContent>
        <mc:Choice Requires="wps">
          <w:drawing>
            <wp:anchor distT="0" distB="0" distL="114300" distR="114300" simplePos="0" relativeHeight="25163776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618C9" w:rsidRPr="00CD3BD7" w:rsidRDefault="004A2488" w:rsidP="0053469E">
                          <w:pPr>
                            <w:pStyle w:val="En-tte"/>
                          </w:pPr>
                          <w:r>
                            <w:fldChar w:fldCharType="begin"/>
                          </w:r>
                          <w:r>
                            <w:instrText xml:space="preserve"> TITLE  \* MERGEFORMAT </w:instrText>
                          </w:r>
                          <w:r>
                            <w:fldChar w:fldCharType="separate"/>
                          </w:r>
                          <w:r w:rsidR="00BE62C1">
                            <w:t>CERD/C/KHM/14-17</w:t>
                          </w:r>
                          <w:r>
                            <w:fldChar w:fldCharType="end"/>
                          </w:r>
                        </w:p>
                        <w:p w:rsidR="006618C9" w:rsidRDefault="006618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377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6618C9" w:rsidRPr="00CD3BD7" w:rsidRDefault="004A2488" w:rsidP="0053469E">
                    <w:pPr>
                      <w:pStyle w:val="En-tte"/>
                    </w:pPr>
                    <w:r>
                      <w:fldChar w:fldCharType="begin"/>
                    </w:r>
                    <w:r>
                      <w:instrText xml:space="preserve"> TITLE  \* MERGEFORMAT </w:instrText>
                    </w:r>
                    <w:r>
                      <w:fldChar w:fldCharType="separate"/>
                    </w:r>
                    <w:r w:rsidR="00BE62C1">
                      <w:t>CERD/C/KHM/14-17</w:t>
                    </w:r>
                    <w:r>
                      <w:fldChar w:fldCharType="end"/>
                    </w:r>
                  </w:p>
                  <w:p w:rsidR="006618C9" w:rsidRDefault="006618C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C9" w:rsidRPr="0053469E" w:rsidRDefault="006618C9" w:rsidP="0053469E">
    <w:r>
      <w:rPr>
        <w:noProof/>
      </w:rPr>
      <mc:AlternateContent>
        <mc:Choice Requires="wps">
          <w:drawing>
            <wp:anchor distT="0" distB="0" distL="114300" distR="114300" simplePos="0" relativeHeight="25165824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6618C9" w:rsidRPr="00CD3BD7" w:rsidRDefault="004A2488" w:rsidP="0053469E">
                          <w:pPr>
                            <w:pStyle w:val="En-tte"/>
                            <w:jc w:val="right"/>
                          </w:pPr>
                          <w:r>
                            <w:fldChar w:fldCharType="begin"/>
                          </w:r>
                          <w:r>
                            <w:instrText xml:space="preserve"> TITLE  \* MERGEFORMAT </w:instrText>
                          </w:r>
                          <w:r>
                            <w:fldChar w:fldCharType="separate"/>
                          </w:r>
                          <w:r w:rsidR="00BE62C1">
                            <w:t>CERD/C/KHM/14-17</w:t>
                          </w:r>
                          <w:r>
                            <w:fldChar w:fldCharType="end"/>
                          </w:r>
                        </w:p>
                        <w:p w:rsidR="006618C9" w:rsidRDefault="006618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6618C9" w:rsidRPr="00CD3BD7" w:rsidRDefault="004A2488" w:rsidP="0053469E">
                    <w:pPr>
                      <w:pStyle w:val="En-tte"/>
                      <w:jc w:val="right"/>
                    </w:pPr>
                    <w:r>
                      <w:fldChar w:fldCharType="begin"/>
                    </w:r>
                    <w:r>
                      <w:instrText xml:space="preserve"> TITLE  \* MERGEFORMAT </w:instrText>
                    </w:r>
                    <w:r>
                      <w:fldChar w:fldCharType="separate"/>
                    </w:r>
                    <w:r w:rsidR="00BE62C1">
                      <w:t>CERD/C/KHM/14-17</w:t>
                    </w:r>
                    <w:r>
                      <w:fldChar w:fldCharType="end"/>
                    </w:r>
                  </w:p>
                  <w:p w:rsidR="006618C9" w:rsidRDefault="006618C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C9" w:rsidRPr="00703857" w:rsidRDefault="004A2488" w:rsidP="00703857">
    <w:pPr>
      <w:pStyle w:val="En-tte"/>
    </w:pPr>
    <w:r>
      <w:fldChar w:fldCharType="begin"/>
    </w:r>
    <w:r>
      <w:instrText xml:space="preserve"> TITLE  \* MERGEFORMAT </w:instrText>
    </w:r>
    <w:r>
      <w:fldChar w:fldCharType="separate"/>
    </w:r>
    <w:r w:rsidR="00BE62C1">
      <w:t>CERD/C/KHM/14-17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C9" w:rsidRPr="00703857" w:rsidRDefault="004A2488" w:rsidP="00703857">
    <w:pPr>
      <w:pStyle w:val="En-tte"/>
      <w:jc w:val="right"/>
    </w:pPr>
    <w:r>
      <w:fldChar w:fldCharType="begin"/>
    </w:r>
    <w:r>
      <w:instrText xml:space="preserve"> TITLE  \* MERGEFORMAT </w:instrText>
    </w:r>
    <w:r>
      <w:fldChar w:fldCharType="separate"/>
    </w:r>
    <w:r w:rsidR="00BE62C1">
      <w:t>CERD/C/KHM/14-17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4123FF6"/>
    <w:multiLevelType w:val="hybridMultilevel"/>
    <w:tmpl w:val="8654EEA0"/>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46FD"/>
    <w:rsid w:val="00017F94"/>
    <w:rsid w:val="00022502"/>
    <w:rsid w:val="00023842"/>
    <w:rsid w:val="000334F9"/>
    <w:rsid w:val="0007796D"/>
    <w:rsid w:val="000A46FD"/>
    <w:rsid w:val="000B7790"/>
    <w:rsid w:val="000D7D70"/>
    <w:rsid w:val="00107D3A"/>
    <w:rsid w:val="00111F2F"/>
    <w:rsid w:val="00136391"/>
    <w:rsid w:val="0014365E"/>
    <w:rsid w:val="00145B94"/>
    <w:rsid w:val="00176178"/>
    <w:rsid w:val="00177C35"/>
    <w:rsid w:val="001846A6"/>
    <w:rsid w:val="001C2D93"/>
    <w:rsid w:val="001F525A"/>
    <w:rsid w:val="00215BEC"/>
    <w:rsid w:val="00223272"/>
    <w:rsid w:val="0024779E"/>
    <w:rsid w:val="002B5D34"/>
    <w:rsid w:val="002C4D1F"/>
    <w:rsid w:val="00336C4D"/>
    <w:rsid w:val="003E08F2"/>
    <w:rsid w:val="00423D4F"/>
    <w:rsid w:val="00446FE5"/>
    <w:rsid w:val="00452396"/>
    <w:rsid w:val="004632F3"/>
    <w:rsid w:val="00467ECB"/>
    <w:rsid w:val="004710B3"/>
    <w:rsid w:val="00493366"/>
    <w:rsid w:val="004A191F"/>
    <w:rsid w:val="004F094E"/>
    <w:rsid w:val="005030AC"/>
    <w:rsid w:val="00523B43"/>
    <w:rsid w:val="0053469E"/>
    <w:rsid w:val="005505B7"/>
    <w:rsid w:val="00554148"/>
    <w:rsid w:val="00573BE5"/>
    <w:rsid w:val="00586ED3"/>
    <w:rsid w:val="00596AA9"/>
    <w:rsid w:val="005B67D4"/>
    <w:rsid w:val="005D53D9"/>
    <w:rsid w:val="00623CA8"/>
    <w:rsid w:val="006341F8"/>
    <w:rsid w:val="006462C7"/>
    <w:rsid w:val="006618C9"/>
    <w:rsid w:val="006C7089"/>
    <w:rsid w:val="00703857"/>
    <w:rsid w:val="00712E6E"/>
    <w:rsid w:val="0071601D"/>
    <w:rsid w:val="00780585"/>
    <w:rsid w:val="00783E9F"/>
    <w:rsid w:val="007A62E6"/>
    <w:rsid w:val="007D47EF"/>
    <w:rsid w:val="0080684C"/>
    <w:rsid w:val="00820A36"/>
    <w:rsid w:val="008567E2"/>
    <w:rsid w:val="00871C75"/>
    <w:rsid w:val="008776DC"/>
    <w:rsid w:val="008A46DE"/>
    <w:rsid w:val="008D1E09"/>
    <w:rsid w:val="009705C8"/>
    <w:rsid w:val="00984B29"/>
    <w:rsid w:val="009D5F1A"/>
    <w:rsid w:val="009E4DDA"/>
    <w:rsid w:val="00A2720E"/>
    <w:rsid w:val="00A30353"/>
    <w:rsid w:val="00AA1028"/>
    <w:rsid w:val="00AB4CEC"/>
    <w:rsid w:val="00AC3823"/>
    <w:rsid w:val="00AD4A15"/>
    <w:rsid w:val="00AE323C"/>
    <w:rsid w:val="00B00181"/>
    <w:rsid w:val="00B765F7"/>
    <w:rsid w:val="00BA0CA9"/>
    <w:rsid w:val="00BB0B66"/>
    <w:rsid w:val="00BE62C1"/>
    <w:rsid w:val="00BF5539"/>
    <w:rsid w:val="00C02897"/>
    <w:rsid w:val="00C040CE"/>
    <w:rsid w:val="00C333BF"/>
    <w:rsid w:val="00C90DAC"/>
    <w:rsid w:val="00CD3BD7"/>
    <w:rsid w:val="00D3439C"/>
    <w:rsid w:val="00D552F7"/>
    <w:rsid w:val="00DA58EE"/>
    <w:rsid w:val="00DA72C5"/>
    <w:rsid w:val="00DB1831"/>
    <w:rsid w:val="00DC0149"/>
    <w:rsid w:val="00DC6468"/>
    <w:rsid w:val="00DD3BFD"/>
    <w:rsid w:val="00DD7559"/>
    <w:rsid w:val="00DF6678"/>
    <w:rsid w:val="00E35EC8"/>
    <w:rsid w:val="00E52A62"/>
    <w:rsid w:val="00E6714C"/>
    <w:rsid w:val="00E84450"/>
    <w:rsid w:val="00EC3BEA"/>
    <w:rsid w:val="00EF5498"/>
    <w:rsid w:val="00F128A4"/>
    <w:rsid w:val="00F20660"/>
    <w:rsid w:val="00F660DF"/>
    <w:rsid w:val="00F95C08"/>
    <w:rsid w:val="00FF66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BAFB7"/>
  <w15:docId w15:val="{B9F4CF54-746E-45E8-AEC7-C58835D0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11</Pages>
  <Words>4459</Words>
  <Characters>24529</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CERD/C/KHM/14-17</vt:lpstr>
    </vt:vector>
  </TitlesOfParts>
  <Company>DCM</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CERD/C/KHM/14-17</dc:title>
  <dc:subject/>
  <dc:creator>Corinne ROBERT</dc:creator>
  <cp:keywords/>
  <cp:lastModifiedBy>Corinne Robert</cp:lastModifiedBy>
  <cp:revision>2</cp:revision>
  <cp:lastPrinted>2019-05-21T09:34:00Z</cp:lastPrinted>
  <dcterms:created xsi:type="dcterms:W3CDTF">2019-05-21T13:34:00Z</dcterms:created>
  <dcterms:modified xsi:type="dcterms:W3CDTF">2019-05-21T13:34:00Z</dcterms:modified>
</cp:coreProperties>
</file>