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739"/>
        <w:gridCol w:w="3626"/>
      </w:tblGrid>
      <w:tr w:rsidR="006B3E27" w:rsidRPr="00ED7442" w:rsidTr="00002021">
        <w:trPr>
          <w:trHeight w:hRule="exact" w:val="851"/>
        </w:trPr>
        <w:tc>
          <w:tcPr>
            <w:tcW w:w="1274" w:type="dxa"/>
            <w:tcBorders>
              <w:bottom w:val="single" w:sz="4" w:space="0" w:color="auto"/>
            </w:tcBorders>
          </w:tcPr>
          <w:p w:rsidR="006B3E27" w:rsidRPr="003E159A" w:rsidRDefault="006B3E27" w:rsidP="00BA5E8B">
            <w:pPr>
              <w:pStyle w:val="H4GA"/>
              <w:bidi w:val="0"/>
            </w:pPr>
            <w:bookmarkStart w:id="0" w:name="_GoBack"/>
            <w:bookmarkEnd w:id="0"/>
          </w:p>
        </w:tc>
        <w:tc>
          <w:tcPr>
            <w:tcW w:w="4739" w:type="dxa"/>
            <w:tcBorders>
              <w:bottom w:val="single" w:sz="4" w:space="0" w:color="auto"/>
            </w:tcBorders>
            <w:vAlign w:val="bottom"/>
          </w:tcPr>
          <w:p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3626" w:type="dxa"/>
            <w:tcBorders>
              <w:bottom w:val="single" w:sz="4" w:space="0" w:color="auto"/>
            </w:tcBorders>
            <w:vAlign w:val="bottom"/>
          </w:tcPr>
          <w:p w:rsidR="006B3E27" w:rsidRPr="003E159A" w:rsidRDefault="0047448B" w:rsidP="00002021">
            <w:pPr>
              <w:bidi w:val="0"/>
              <w:spacing w:after="20"/>
              <w:jc w:val="left"/>
              <w:rPr>
                <w:szCs w:val="20"/>
              </w:rPr>
            </w:pPr>
            <w:r w:rsidRPr="0047448B">
              <w:rPr>
                <w:sz w:val="40"/>
                <w:szCs w:val="20"/>
              </w:rPr>
              <w:t>C</w:t>
            </w:r>
            <w:r w:rsidRPr="00002021">
              <w:rPr>
                <w:sz w:val="40"/>
                <w:szCs w:val="40"/>
              </w:rPr>
              <w:t>ED</w:t>
            </w:r>
            <w:r>
              <w:rPr>
                <w:szCs w:val="20"/>
              </w:rPr>
              <w:t>/C/13/3</w:t>
            </w:r>
          </w:p>
        </w:tc>
      </w:tr>
      <w:tr w:rsidR="006B3E27" w:rsidRPr="00ED7442" w:rsidTr="00002021">
        <w:trPr>
          <w:trHeight w:hRule="exact" w:val="2835"/>
        </w:trPr>
        <w:tc>
          <w:tcPr>
            <w:tcW w:w="1274" w:type="dxa"/>
            <w:tcBorders>
              <w:top w:val="single" w:sz="4" w:space="0" w:color="auto"/>
              <w:bottom w:val="single" w:sz="12" w:space="0" w:color="auto"/>
            </w:tcBorders>
          </w:tcPr>
          <w:p w:rsidR="006B3E27" w:rsidRPr="00ED7442" w:rsidRDefault="0059622A" w:rsidP="00BA5E8B">
            <w:pPr>
              <w:jc w:val="center"/>
              <w:rPr>
                <w:sz w:val="56"/>
                <w:szCs w:val="56"/>
                <w:rtl/>
              </w:rPr>
            </w:pPr>
            <w:r w:rsidRPr="00ED7442">
              <w:rPr>
                <w:noProof/>
                <w:sz w:val="56"/>
                <w:szCs w:val="56"/>
                <w:lang w:eastAsia="zh-CN"/>
              </w:rPr>
              <w:drawing>
                <wp:inline distT="0" distB="0" distL="0" distR="0" wp14:anchorId="3BA1E85C" wp14:editId="4D5BD67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39" w:type="dxa"/>
            <w:tcBorders>
              <w:top w:val="single" w:sz="4" w:space="0" w:color="auto"/>
              <w:bottom w:val="single" w:sz="12" w:space="0" w:color="auto"/>
            </w:tcBorders>
          </w:tcPr>
          <w:p w:rsidR="006B3E27" w:rsidRPr="008930DB" w:rsidRDefault="00002021" w:rsidP="00002021">
            <w:pPr>
              <w:spacing w:before="120" w:after="40" w:line="640" w:lineRule="exact"/>
              <w:rPr>
                <w:b/>
                <w:bCs/>
                <w:sz w:val="56"/>
                <w:szCs w:val="56"/>
                <w:lang w:bidi="ar-DZ"/>
              </w:rPr>
            </w:pPr>
            <w:r w:rsidRPr="00002021">
              <w:rPr>
                <w:b/>
                <w:bCs/>
                <w:sz w:val="56"/>
                <w:szCs w:val="56"/>
                <w:rtl/>
              </w:rPr>
              <w:t>الاتفاقية الدولية لحماية جميع الأشخاص من الاختفاء القسري</w:t>
            </w:r>
          </w:p>
        </w:tc>
        <w:tc>
          <w:tcPr>
            <w:tcW w:w="3626" w:type="dxa"/>
            <w:tcBorders>
              <w:top w:val="single" w:sz="4" w:space="0" w:color="auto"/>
              <w:bottom w:val="single" w:sz="12" w:space="0" w:color="auto"/>
            </w:tcBorders>
          </w:tcPr>
          <w:p w:rsidR="00D857BB" w:rsidRPr="00D857BB" w:rsidRDefault="00D857BB" w:rsidP="00D857BB">
            <w:pPr>
              <w:bidi w:val="0"/>
              <w:spacing w:before="240" w:line="240" w:lineRule="exact"/>
              <w:jc w:val="left"/>
              <w:rPr>
                <w:rFonts w:cs="Times New Roman"/>
                <w:szCs w:val="20"/>
                <w:lang w:val="en-GB"/>
              </w:rPr>
            </w:pPr>
            <w:r w:rsidRPr="00D857BB">
              <w:rPr>
                <w:rFonts w:cs="Times New Roman"/>
                <w:szCs w:val="20"/>
                <w:lang w:val="en-GB"/>
              </w:rPr>
              <w:t>Distr.: General</w:t>
            </w:r>
          </w:p>
          <w:p w:rsidR="00D857BB" w:rsidRPr="00D857BB" w:rsidRDefault="00D857BB" w:rsidP="00D857BB">
            <w:pPr>
              <w:bidi w:val="0"/>
              <w:jc w:val="left"/>
              <w:rPr>
                <w:rFonts w:cs="Times New Roman"/>
                <w:szCs w:val="20"/>
                <w:lang w:val="en-GB"/>
              </w:rPr>
            </w:pPr>
            <w:r w:rsidRPr="00D857BB">
              <w:rPr>
                <w:rFonts w:cs="Times New Roman"/>
                <w:szCs w:val="20"/>
                <w:lang w:val="en-GB"/>
              </w:rPr>
              <w:t>29 September 2017</w:t>
            </w:r>
          </w:p>
          <w:p w:rsidR="00D857BB" w:rsidRPr="00D857BB" w:rsidRDefault="00D857BB" w:rsidP="00D857BB">
            <w:pPr>
              <w:bidi w:val="0"/>
              <w:jc w:val="left"/>
              <w:rPr>
                <w:rFonts w:cs="Times New Roman"/>
                <w:szCs w:val="20"/>
                <w:lang w:val="en-GB"/>
              </w:rPr>
            </w:pPr>
            <w:r w:rsidRPr="00D857BB">
              <w:rPr>
                <w:rFonts w:cs="Times New Roman"/>
                <w:szCs w:val="20"/>
                <w:lang w:val="en-GB"/>
              </w:rPr>
              <w:t>English</w:t>
            </w:r>
          </w:p>
          <w:p w:rsidR="00002021" w:rsidRPr="003E159A" w:rsidRDefault="00D857BB" w:rsidP="00D857BB">
            <w:pPr>
              <w:bidi w:val="0"/>
              <w:jc w:val="left"/>
              <w:rPr>
                <w:szCs w:val="20"/>
              </w:rPr>
            </w:pPr>
            <w:r w:rsidRPr="00D857BB">
              <w:rPr>
                <w:rFonts w:cs="Times New Roman"/>
                <w:szCs w:val="20"/>
                <w:lang w:val="en-GB"/>
              </w:rPr>
              <w:t>Original: Spanish</w:t>
            </w:r>
          </w:p>
        </w:tc>
      </w:tr>
    </w:tbl>
    <w:p w:rsidR="002F6C52" w:rsidRPr="00160ACD" w:rsidRDefault="002F6C52" w:rsidP="00160ACD">
      <w:pPr>
        <w:spacing w:before="120" w:after="120" w:line="380" w:lineRule="exact"/>
        <w:textDirection w:val="tbRlV"/>
        <w:rPr>
          <w:b/>
          <w:bCs/>
          <w:sz w:val="36"/>
          <w:szCs w:val="36"/>
          <w:rtl/>
          <w:lang w:eastAsia="zh-TW"/>
        </w:rPr>
      </w:pPr>
      <w:r w:rsidRPr="00160ACD">
        <w:rPr>
          <w:b/>
          <w:bCs/>
          <w:sz w:val="36"/>
          <w:szCs w:val="36"/>
          <w:rtl/>
          <w:lang w:eastAsia="zh-TW"/>
        </w:rPr>
        <w:t>اللجنة المعنية بحالات الاختفاء القسري</w:t>
      </w:r>
    </w:p>
    <w:p w:rsidR="002F6C52" w:rsidRPr="00893F1D" w:rsidRDefault="00DF46FF" w:rsidP="00DF46FF">
      <w:pPr>
        <w:pStyle w:val="HChGA"/>
        <w:rPr>
          <w:rtl/>
          <w:lang w:eastAsia="zh-TW"/>
        </w:rPr>
      </w:pPr>
      <w:r>
        <w:rPr>
          <w:rtl/>
          <w:lang w:eastAsia="zh-TW"/>
        </w:rPr>
        <w:tab/>
      </w:r>
      <w:r>
        <w:rPr>
          <w:rtl/>
          <w:lang w:eastAsia="zh-TW"/>
        </w:rPr>
        <w:tab/>
      </w:r>
      <w:r w:rsidR="002F6C52" w:rsidRPr="00893F1D">
        <w:rPr>
          <w:rtl/>
          <w:lang w:eastAsia="zh-TW"/>
        </w:rPr>
        <w:t>تقرير عن طلبات الإجراءات العاجلة المقدمة بموجب المادة ٣٠ من الاتفاقية</w:t>
      </w:r>
      <w:r w:rsidRPr="00DF46FF">
        <w:rPr>
          <w:rStyle w:val="FootnoteReference"/>
          <w:sz w:val="20"/>
          <w:vertAlign w:val="baseline"/>
          <w:rtl/>
          <w:lang w:eastAsia="zh-TW"/>
        </w:rPr>
        <w:footnoteReference w:customMarkFollows="1" w:id="1"/>
        <w:t>*</w:t>
      </w:r>
    </w:p>
    <w:p w:rsidR="002F6C52" w:rsidRPr="00893F1D" w:rsidRDefault="00DF46FF" w:rsidP="00DF46FF">
      <w:pPr>
        <w:pStyle w:val="H1GA"/>
        <w:rPr>
          <w:rtl/>
          <w:lang w:eastAsia="zh-TW"/>
        </w:rPr>
      </w:pPr>
      <w:r>
        <w:rPr>
          <w:rtl/>
          <w:lang w:eastAsia="zh-TW"/>
        </w:rPr>
        <w:tab/>
      </w:r>
      <w:r w:rsidR="002F6C52" w:rsidRPr="00893F1D">
        <w:rPr>
          <w:rtl/>
          <w:lang w:eastAsia="zh-TW"/>
        </w:rPr>
        <w:t>ألف-</w:t>
      </w:r>
      <w:r>
        <w:rPr>
          <w:rtl/>
          <w:lang w:eastAsia="zh-TW"/>
        </w:rPr>
        <w:tab/>
      </w:r>
      <w:r w:rsidR="002F6C52" w:rsidRPr="00893F1D">
        <w:rPr>
          <w:rtl/>
          <w:lang w:eastAsia="zh-TW"/>
        </w:rPr>
        <w:t>مقدمة</w:t>
      </w:r>
    </w:p>
    <w:p w:rsidR="002F6C52" w:rsidRPr="003D22AB" w:rsidRDefault="004D0546" w:rsidP="00DF46FF">
      <w:pPr>
        <w:pStyle w:val="SingleTxtGA"/>
        <w:rPr>
          <w:rtl/>
          <w:lang w:eastAsia="zh-TW" w:bidi="ar-DZ"/>
        </w:rPr>
      </w:pPr>
      <w:r>
        <w:rPr>
          <w:rtl/>
          <w:lang w:eastAsia="zh-TW"/>
        </w:rPr>
        <w:t>١-</w:t>
      </w:r>
      <w:r>
        <w:rPr>
          <w:rtl/>
          <w:lang w:eastAsia="zh-TW"/>
        </w:rPr>
        <w:tab/>
      </w:r>
      <w:r w:rsidR="002F6C52">
        <w:rPr>
          <w:rtl/>
          <w:lang w:eastAsia="zh-TW"/>
        </w:rPr>
        <w:t>تنص المادتان 57 و58 من نظام اللجنة الداخلي (</w:t>
      </w:r>
      <w:r w:rsidR="002F6C52" w:rsidRPr="004D0546">
        <w:rPr>
          <w:rFonts w:asciiTheme="majorBidi" w:hAnsiTheme="majorBidi" w:cstheme="majorBidi"/>
          <w:szCs w:val="20"/>
          <w:rtl/>
          <w:lang w:eastAsia="zh-TW"/>
        </w:rPr>
        <w:t>CED/C/1</w:t>
      </w:r>
      <w:r w:rsidR="002F6C52">
        <w:rPr>
          <w:rtl/>
          <w:lang w:eastAsia="zh-TW"/>
        </w:rPr>
        <w:t xml:space="preserve">) على توجيه نظر اللجنة إلى جميع طلبات الإجراءات العاجلة المقدمة بموجب المادة 30 من الاتفاقية لكي تنظر فيها. ويجوز إتاحة النص الكامل لأي من هذه الطلبات، باللغة التي قُدّم بها، لأي عضو من أعضاء اللجنة بناء على طلبه. </w:t>
      </w:r>
      <w:dir w:val="rtl">
        <w:r w:rsidR="002F6C52">
          <w:rPr>
            <w:rtl/>
            <w:lang w:eastAsia="zh-TW"/>
          </w:rPr>
          <w:t>ويلخص هذا التقرير المواضيع الرئيسية المتصلة بطلبات الإجراءات العاجلة التي تلقتها اللجنة بموجب المادة 30 من الاتفاقية والقرارات المتّخذة في هذا الصدد منذ الدورة الثانية عشرة للجنة.</w:t>
        </w:r>
        <w:r>
          <w:rPr>
            <w:rFonts w:hint="cs"/>
            <w:rtl/>
            <w:lang w:eastAsia="zh-TW"/>
          </w:rPr>
          <w:t xml:space="preserve"> </w:t>
        </w:r>
        <w:r w:rsidR="00FA2738">
          <w:t>‬</w:t>
        </w:r>
        <w:r w:rsidR="008A5FDE">
          <w:t>‬</w:t>
        </w:r>
      </w:dir>
    </w:p>
    <w:p w:rsidR="002F6C52" w:rsidRPr="00390FE7" w:rsidRDefault="004D0546" w:rsidP="0072652E">
      <w:pPr>
        <w:pStyle w:val="H1GA"/>
        <w:rPr>
          <w:rtl/>
          <w:lang w:eastAsia="zh-TW"/>
        </w:rPr>
      </w:pPr>
      <w:r>
        <w:rPr>
          <w:rtl/>
          <w:lang w:eastAsia="zh-TW"/>
        </w:rPr>
        <w:tab/>
      </w:r>
      <w:r w:rsidR="002F6C52" w:rsidRPr="00390FE7">
        <w:rPr>
          <w:rtl/>
          <w:lang w:eastAsia="zh-TW"/>
        </w:rPr>
        <w:t>باء-</w:t>
      </w:r>
      <w:r>
        <w:rPr>
          <w:rtl/>
          <w:lang w:eastAsia="zh-TW"/>
        </w:rPr>
        <w:tab/>
      </w:r>
      <w:r w:rsidR="002F6C52" w:rsidRPr="00390FE7">
        <w:rPr>
          <w:rtl/>
          <w:lang w:eastAsia="zh-TW"/>
        </w:rPr>
        <w:t xml:space="preserve">طلبات الإجراءات العاجلة </w:t>
      </w:r>
      <w:r w:rsidR="002F6C52">
        <w:rPr>
          <w:rtl/>
          <w:lang w:eastAsia="zh-TW"/>
        </w:rPr>
        <w:t>الواردة منذ الدورة</w:t>
      </w:r>
      <w:r w:rsidR="0072652E">
        <w:rPr>
          <w:rtl/>
          <w:lang w:eastAsia="zh-TW"/>
        </w:rPr>
        <w:t xml:space="preserve"> الثانية ع</w:t>
      </w:r>
      <w:r w:rsidR="002F6C52" w:rsidRPr="00390FE7">
        <w:rPr>
          <w:rtl/>
          <w:lang w:eastAsia="zh-TW"/>
        </w:rPr>
        <w:t>شرة</w:t>
      </w:r>
      <w:r w:rsidR="002F6C52">
        <w:rPr>
          <w:rtl/>
          <w:lang w:eastAsia="zh-TW"/>
        </w:rPr>
        <w:t xml:space="preserve"> للجنة</w:t>
      </w:r>
    </w:p>
    <w:p w:rsidR="002F6C52" w:rsidRPr="003D22AB" w:rsidRDefault="002F6C52" w:rsidP="001619E2">
      <w:pPr>
        <w:pStyle w:val="SingleTxtGA"/>
        <w:rPr>
          <w:rtl/>
          <w:lang w:eastAsia="zh-TW"/>
        </w:rPr>
      </w:pPr>
      <w:r>
        <w:rPr>
          <w:rtl/>
          <w:lang w:eastAsia="zh-TW"/>
        </w:rPr>
        <w:t>٢-</w:t>
      </w:r>
      <w:r w:rsidR="001619E2">
        <w:rPr>
          <w:rtl/>
          <w:lang w:eastAsia="zh-TW"/>
        </w:rPr>
        <w:tab/>
      </w:r>
      <w:r>
        <w:rPr>
          <w:rtl/>
          <w:lang w:eastAsia="zh-TW"/>
        </w:rPr>
        <w:t xml:space="preserve">بيّنت اللجنة في تقريرها المتعلق بطلبات الإجراءات العاجل والمعتمد في دورتها الثانية عشرة القرارات التي اتُّخذت بشأن طلبات الإجراءات العاجلة المسجّلة </w:t>
      </w:r>
      <w:r w:rsidR="004D0546">
        <w:rPr>
          <w:rtl/>
          <w:lang w:eastAsia="zh-TW"/>
        </w:rPr>
        <w:t>حتى 18 كانون الثاني/</w:t>
      </w:r>
      <w:r w:rsidR="004D0546">
        <w:rPr>
          <w:rFonts w:hint="cs"/>
          <w:rtl/>
          <w:lang w:eastAsia="zh-TW"/>
        </w:rPr>
        <w:t xml:space="preserve"> </w:t>
      </w:r>
      <w:r w:rsidR="004D0546">
        <w:rPr>
          <w:rtl/>
          <w:lang w:eastAsia="zh-TW"/>
        </w:rPr>
        <w:t>يناير</w:t>
      </w:r>
      <w:r w:rsidR="004D0546">
        <w:rPr>
          <w:rFonts w:hint="cs"/>
          <w:rtl/>
          <w:lang w:eastAsia="zh-TW"/>
        </w:rPr>
        <w:t> </w:t>
      </w:r>
      <w:r>
        <w:rPr>
          <w:rtl/>
          <w:lang w:eastAsia="zh-TW"/>
        </w:rPr>
        <w:t xml:space="preserve">2017، والبالغ عددها 359 طلباً. ومنذ ذلك التاريخ حتى 12 تموز/يوليه 2017، تلقّت اللجنة 29 طلباً جديداً لاتخاذ إجراءات عاجلة، سُجّل منها 27 طلباً. وتتعلق الطلبات السبعة والعشرون بأحداث وقعت في الأرجنتين، وأرمينيا، وسري لانكا، والعراق، وكولومبيا، والمغرب، والمكسيك، وموريتانيا. وترفَق بهذا التقرير قائمة بطلبات الإجراءات العاجلة المسجّلة. </w:t>
      </w:r>
    </w:p>
    <w:p w:rsidR="002F6C52" w:rsidRPr="003D22AB" w:rsidRDefault="001619E2" w:rsidP="001619E2">
      <w:pPr>
        <w:pStyle w:val="SingleTxtGA"/>
        <w:rPr>
          <w:rtl/>
          <w:lang w:eastAsia="zh-TW"/>
        </w:rPr>
      </w:pPr>
      <w:r>
        <w:rPr>
          <w:rtl/>
          <w:lang w:eastAsia="zh-TW"/>
        </w:rPr>
        <w:t>٣-</w:t>
      </w:r>
      <w:r>
        <w:rPr>
          <w:rtl/>
          <w:lang w:eastAsia="zh-TW"/>
        </w:rPr>
        <w:tab/>
      </w:r>
      <w:r w:rsidR="002F6C52">
        <w:rPr>
          <w:rtl/>
          <w:lang w:eastAsia="zh-TW"/>
        </w:rPr>
        <w:t>ولم تُسجّل أربعة طلبات للأسباب التالية: ثلاثة منها يتعلق بحالات اختفاء في دولة ليست طرفا</w:t>
      </w:r>
      <w:r w:rsidR="00CA4A90">
        <w:rPr>
          <w:rFonts w:hint="cs"/>
          <w:rtl/>
          <w:lang w:eastAsia="zh-TW"/>
        </w:rPr>
        <w:t>ً</w:t>
      </w:r>
      <w:r w:rsidR="002F6C52">
        <w:rPr>
          <w:rtl/>
          <w:lang w:eastAsia="zh-TW"/>
        </w:rPr>
        <w:t xml:space="preserve"> في الاتفاقية، وواحد يتعلق بضحية مزعومة عُثر عليها بعد ساعات قليلة من إرسال مقدمي طلب الإجراء العاجل لطلبهم وقبل أن تتاح إمكانية تسجيله (المغرب).</w:t>
      </w:r>
    </w:p>
    <w:p w:rsidR="002F6C52" w:rsidRPr="003D22AB" w:rsidRDefault="002F6C52" w:rsidP="006345DE">
      <w:pPr>
        <w:pStyle w:val="SingleTxtGA"/>
        <w:rPr>
          <w:rtl/>
          <w:lang w:eastAsia="zh-TW"/>
        </w:rPr>
      </w:pPr>
      <w:r>
        <w:rPr>
          <w:rtl/>
          <w:lang w:eastAsia="zh-TW"/>
        </w:rPr>
        <w:t>٤-</w:t>
      </w:r>
      <w:r w:rsidR="006345DE">
        <w:rPr>
          <w:rtl/>
          <w:lang w:eastAsia="zh-TW"/>
        </w:rPr>
        <w:tab/>
      </w:r>
      <w:r>
        <w:rPr>
          <w:rtl/>
          <w:lang w:eastAsia="zh-TW"/>
        </w:rPr>
        <w:t>وبناءً عليه، تكون اللجنة قد سجّلت، وقت كتابة هذا التقرير، ما مجموعه 385 طلب إجراءات عاجلة. وقد وُزّعت هذه الطلبات حسب السنة والبلد على النحو التالي:</w:t>
      </w:r>
    </w:p>
    <w:p w:rsidR="002F6C52" w:rsidRDefault="002F6C52" w:rsidP="006345DE">
      <w:pPr>
        <w:pStyle w:val="SingleTxtGA"/>
        <w:rPr>
          <w:b/>
          <w:rtl/>
          <w:lang w:eastAsia="zh-TW" w:bidi="ar-DZ"/>
        </w:rPr>
      </w:pPr>
      <w:r>
        <w:rPr>
          <w:rtl/>
          <w:lang w:eastAsia="zh-TW"/>
        </w:rPr>
        <w:lastRenderedPageBreak/>
        <w:t>الجدول</w:t>
      </w:r>
      <w:r w:rsidRPr="00465EF4">
        <w:rPr>
          <w:rtl/>
          <w:lang w:eastAsia="zh-TW"/>
        </w:rPr>
        <w:t xml:space="preserve"> </w:t>
      </w:r>
      <w:r w:rsidR="006345DE">
        <w:rPr>
          <w:rFonts w:hint="cs"/>
          <w:rtl/>
          <w:lang w:eastAsia="zh-TW"/>
        </w:rPr>
        <w:t xml:space="preserve">1 </w:t>
      </w:r>
    </w:p>
    <w:p w:rsidR="002F6C52" w:rsidRPr="006345DE" w:rsidRDefault="002F6C52" w:rsidP="006345DE">
      <w:pPr>
        <w:pStyle w:val="SingleTxtGA"/>
        <w:rPr>
          <w:b/>
          <w:bCs/>
          <w:rtl/>
          <w:lang w:eastAsia="zh-TW"/>
        </w:rPr>
      </w:pPr>
      <w:r w:rsidRPr="006345DE">
        <w:rPr>
          <w:b/>
          <w:bCs/>
          <w:rtl/>
          <w:lang w:eastAsia="zh-TW"/>
        </w:rPr>
        <w:t>الإجراء العاجل المسجّل، حسب السنة والبلد</w:t>
      </w:r>
    </w:p>
    <w:tbl>
      <w:tblPr>
        <w:tblStyle w:val="TableGrid"/>
        <w:bidiVisual/>
        <w:tblW w:w="9639"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02"/>
        <w:gridCol w:w="882"/>
        <w:gridCol w:w="742"/>
        <w:gridCol w:w="826"/>
        <w:gridCol w:w="937"/>
        <w:gridCol w:w="840"/>
        <w:gridCol w:w="686"/>
        <w:gridCol w:w="742"/>
        <w:gridCol w:w="826"/>
        <w:gridCol w:w="728"/>
        <w:gridCol w:w="868"/>
        <w:gridCol w:w="560"/>
      </w:tblGrid>
      <w:tr w:rsidR="006345DE" w:rsidRPr="006345DE" w:rsidTr="006345DE">
        <w:trPr>
          <w:cantSplit/>
          <w:tblHeader/>
        </w:trPr>
        <w:tc>
          <w:tcPr>
            <w:tcW w:w="1002" w:type="dxa"/>
            <w:tcBorders>
              <w:top w:val="single" w:sz="4" w:space="0" w:color="auto"/>
              <w:bottom w:val="single" w:sz="12" w:space="0" w:color="auto"/>
            </w:tcBorders>
            <w:shd w:val="clear" w:color="auto" w:fill="auto"/>
            <w:vAlign w:val="bottom"/>
          </w:tcPr>
          <w:p w:rsidR="002F6C52" w:rsidRPr="006345DE" w:rsidRDefault="002F6C52" w:rsidP="006345DE">
            <w:pPr>
              <w:keepNext/>
              <w:spacing w:before="40" w:after="40" w:line="300" w:lineRule="exact"/>
              <w:ind w:left="57" w:right="57"/>
              <w:textDirection w:val="tbRlV"/>
              <w:rPr>
                <w:rFonts w:ascii="Traditional Arabic" w:hAnsi="Traditional Arabic"/>
                <w:i/>
                <w:iCs/>
                <w:sz w:val="24"/>
                <w:szCs w:val="24"/>
                <w:rtl/>
                <w:lang w:eastAsia="zh-TW"/>
              </w:rPr>
            </w:pPr>
            <w:r w:rsidRPr="006345DE">
              <w:rPr>
                <w:rFonts w:ascii="Traditional Arabic" w:hAnsi="Traditional Arabic"/>
                <w:i/>
                <w:iCs/>
                <w:sz w:val="24"/>
                <w:szCs w:val="24"/>
                <w:rtl/>
                <w:lang w:eastAsia="zh-TW"/>
              </w:rPr>
              <w:t>السنة</w:t>
            </w:r>
          </w:p>
        </w:tc>
        <w:tc>
          <w:tcPr>
            <w:tcW w:w="882" w:type="dxa"/>
            <w:tcBorders>
              <w:top w:val="single" w:sz="4" w:space="0" w:color="auto"/>
              <w:bottom w:val="single" w:sz="12" w:space="0" w:color="auto"/>
            </w:tcBorders>
            <w:shd w:val="clear" w:color="auto" w:fill="auto"/>
            <w:vAlign w:val="bottom"/>
          </w:tcPr>
          <w:p w:rsidR="002F6C52" w:rsidRPr="006345DE" w:rsidRDefault="002F6C52" w:rsidP="006345DE">
            <w:pPr>
              <w:keepNext/>
              <w:spacing w:before="40" w:after="40" w:line="300" w:lineRule="exact"/>
              <w:ind w:left="57" w:right="113"/>
              <w:textDirection w:val="tbRlV"/>
              <w:rPr>
                <w:rFonts w:ascii="Traditional Arabic" w:hAnsi="Traditional Arabic"/>
                <w:i/>
                <w:iCs/>
                <w:sz w:val="24"/>
                <w:szCs w:val="24"/>
                <w:rtl/>
                <w:lang w:eastAsia="zh-TW"/>
              </w:rPr>
            </w:pPr>
            <w:r w:rsidRPr="006345DE">
              <w:rPr>
                <w:rFonts w:ascii="Traditional Arabic" w:hAnsi="Traditional Arabic"/>
                <w:i/>
                <w:iCs/>
                <w:sz w:val="24"/>
                <w:szCs w:val="24"/>
                <w:rtl/>
                <w:lang w:eastAsia="zh-TW"/>
              </w:rPr>
              <w:t>الأرجنتين</w:t>
            </w:r>
          </w:p>
        </w:tc>
        <w:tc>
          <w:tcPr>
            <w:tcW w:w="742" w:type="dxa"/>
            <w:tcBorders>
              <w:top w:val="single" w:sz="4" w:space="0" w:color="auto"/>
              <w:bottom w:val="single" w:sz="12" w:space="0" w:color="auto"/>
            </w:tcBorders>
            <w:shd w:val="clear" w:color="auto" w:fill="auto"/>
            <w:vAlign w:val="bottom"/>
          </w:tcPr>
          <w:p w:rsidR="002F6C52" w:rsidRPr="006345DE" w:rsidRDefault="002F6C52" w:rsidP="006345DE">
            <w:pPr>
              <w:keepNext/>
              <w:spacing w:before="40" w:after="40" w:line="300" w:lineRule="exact"/>
              <w:ind w:left="57" w:right="113"/>
              <w:textDirection w:val="tbRlV"/>
              <w:rPr>
                <w:rFonts w:ascii="Traditional Arabic" w:hAnsi="Traditional Arabic"/>
                <w:i/>
                <w:iCs/>
                <w:sz w:val="24"/>
                <w:szCs w:val="24"/>
                <w:rtl/>
                <w:lang w:eastAsia="zh-TW" w:bidi="ar-DZ"/>
              </w:rPr>
            </w:pPr>
            <w:r w:rsidRPr="006345DE">
              <w:rPr>
                <w:rFonts w:ascii="Traditional Arabic" w:hAnsi="Traditional Arabic"/>
                <w:i/>
                <w:iCs/>
                <w:sz w:val="24"/>
                <w:szCs w:val="24"/>
                <w:rtl/>
                <w:lang w:eastAsia="zh-TW"/>
              </w:rPr>
              <w:t>أرمينيا</w:t>
            </w:r>
          </w:p>
        </w:tc>
        <w:tc>
          <w:tcPr>
            <w:tcW w:w="826" w:type="dxa"/>
            <w:tcBorders>
              <w:top w:val="single" w:sz="4" w:space="0" w:color="auto"/>
              <w:bottom w:val="single" w:sz="12" w:space="0" w:color="auto"/>
            </w:tcBorders>
            <w:shd w:val="clear" w:color="auto" w:fill="auto"/>
            <w:vAlign w:val="bottom"/>
          </w:tcPr>
          <w:p w:rsidR="002F6C52" w:rsidRPr="006345DE" w:rsidRDefault="002F6C52" w:rsidP="006345DE">
            <w:pPr>
              <w:keepNext/>
              <w:spacing w:before="40" w:after="40" w:line="300" w:lineRule="exact"/>
              <w:ind w:left="57" w:right="113"/>
              <w:textDirection w:val="tbRlV"/>
              <w:rPr>
                <w:rFonts w:ascii="Traditional Arabic" w:hAnsi="Traditional Arabic"/>
                <w:i/>
                <w:iCs/>
                <w:sz w:val="24"/>
                <w:szCs w:val="24"/>
                <w:rtl/>
                <w:lang w:eastAsia="zh-TW"/>
              </w:rPr>
            </w:pPr>
            <w:r w:rsidRPr="006345DE">
              <w:rPr>
                <w:rFonts w:ascii="Traditional Arabic" w:hAnsi="Traditional Arabic"/>
                <w:i/>
                <w:iCs/>
                <w:sz w:val="24"/>
                <w:szCs w:val="24"/>
                <w:rtl/>
                <w:lang w:eastAsia="zh-TW"/>
              </w:rPr>
              <w:t>البرازيل</w:t>
            </w:r>
          </w:p>
        </w:tc>
        <w:tc>
          <w:tcPr>
            <w:tcW w:w="937" w:type="dxa"/>
            <w:tcBorders>
              <w:top w:val="single" w:sz="4" w:space="0" w:color="auto"/>
              <w:bottom w:val="single" w:sz="12" w:space="0" w:color="auto"/>
            </w:tcBorders>
            <w:shd w:val="clear" w:color="auto" w:fill="auto"/>
            <w:vAlign w:val="bottom"/>
          </w:tcPr>
          <w:p w:rsidR="002F6C52" w:rsidRPr="006345DE" w:rsidRDefault="002F6C52" w:rsidP="006345DE">
            <w:pPr>
              <w:keepNext/>
              <w:spacing w:before="40" w:after="40" w:line="300" w:lineRule="exact"/>
              <w:ind w:left="57" w:right="113"/>
              <w:textDirection w:val="tbRlV"/>
              <w:rPr>
                <w:rFonts w:ascii="Traditional Arabic" w:hAnsi="Traditional Arabic"/>
                <w:i/>
                <w:iCs/>
                <w:sz w:val="24"/>
                <w:szCs w:val="24"/>
                <w:rtl/>
                <w:lang w:eastAsia="zh-TW"/>
              </w:rPr>
            </w:pPr>
            <w:r w:rsidRPr="006345DE">
              <w:rPr>
                <w:rFonts w:ascii="Traditional Arabic" w:hAnsi="Traditional Arabic"/>
                <w:i/>
                <w:iCs/>
                <w:sz w:val="24"/>
                <w:szCs w:val="24"/>
                <w:rtl/>
                <w:lang w:eastAsia="zh-TW"/>
              </w:rPr>
              <w:t>كمبوديا</w:t>
            </w:r>
          </w:p>
        </w:tc>
        <w:tc>
          <w:tcPr>
            <w:tcW w:w="840" w:type="dxa"/>
            <w:tcBorders>
              <w:top w:val="single" w:sz="4" w:space="0" w:color="auto"/>
              <w:bottom w:val="single" w:sz="12" w:space="0" w:color="auto"/>
            </w:tcBorders>
            <w:shd w:val="clear" w:color="auto" w:fill="auto"/>
            <w:vAlign w:val="bottom"/>
          </w:tcPr>
          <w:p w:rsidR="002F6C52" w:rsidRPr="006345DE" w:rsidRDefault="002F6C52" w:rsidP="006345DE">
            <w:pPr>
              <w:keepNext/>
              <w:spacing w:before="40" w:after="40" w:line="300" w:lineRule="exact"/>
              <w:ind w:left="57" w:right="113"/>
              <w:textDirection w:val="tbRlV"/>
              <w:rPr>
                <w:rFonts w:ascii="Traditional Arabic" w:hAnsi="Traditional Arabic"/>
                <w:i/>
                <w:iCs/>
                <w:sz w:val="24"/>
                <w:szCs w:val="24"/>
                <w:rtl/>
                <w:lang w:eastAsia="zh-TW"/>
              </w:rPr>
            </w:pPr>
            <w:r w:rsidRPr="006345DE">
              <w:rPr>
                <w:rFonts w:ascii="Traditional Arabic" w:hAnsi="Traditional Arabic"/>
                <w:i/>
                <w:iCs/>
                <w:sz w:val="24"/>
                <w:szCs w:val="24"/>
                <w:rtl/>
                <w:lang w:eastAsia="zh-TW"/>
              </w:rPr>
              <w:t>كولومبيا</w:t>
            </w:r>
          </w:p>
        </w:tc>
        <w:tc>
          <w:tcPr>
            <w:tcW w:w="686" w:type="dxa"/>
            <w:tcBorders>
              <w:top w:val="single" w:sz="4" w:space="0" w:color="auto"/>
              <w:bottom w:val="single" w:sz="12" w:space="0" w:color="auto"/>
            </w:tcBorders>
            <w:shd w:val="clear" w:color="auto" w:fill="auto"/>
            <w:vAlign w:val="bottom"/>
          </w:tcPr>
          <w:p w:rsidR="002F6C52" w:rsidRPr="006345DE" w:rsidRDefault="002F6C52" w:rsidP="006345DE">
            <w:pPr>
              <w:keepNext/>
              <w:spacing w:before="40" w:after="40" w:line="300" w:lineRule="exact"/>
              <w:ind w:left="57" w:right="113"/>
              <w:textDirection w:val="tbRlV"/>
              <w:rPr>
                <w:rFonts w:ascii="Traditional Arabic" w:hAnsi="Traditional Arabic"/>
                <w:i/>
                <w:iCs/>
                <w:sz w:val="24"/>
                <w:szCs w:val="24"/>
                <w:rtl/>
                <w:lang w:eastAsia="zh-TW"/>
              </w:rPr>
            </w:pPr>
            <w:r w:rsidRPr="006345DE">
              <w:rPr>
                <w:rFonts w:ascii="Traditional Arabic" w:hAnsi="Traditional Arabic"/>
                <w:i/>
                <w:iCs/>
                <w:sz w:val="24"/>
                <w:szCs w:val="24"/>
                <w:rtl/>
                <w:lang w:eastAsia="zh-TW"/>
              </w:rPr>
              <w:t>العراق</w:t>
            </w:r>
          </w:p>
        </w:tc>
        <w:tc>
          <w:tcPr>
            <w:tcW w:w="742" w:type="dxa"/>
            <w:tcBorders>
              <w:top w:val="single" w:sz="4" w:space="0" w:color="auto"/>
              <w:bottom w:val="single" w:sz="12" w:space="0" w:color="auto"/>
            </w:tcBorders>
            <w:shd w:val="clear" w:color="auto" w:fill="auto"/>
            <w:vAlign w:val="bottom"/>
          </w:tcPr>
          <w:p w:rsidR="002F6C52" w:rsidRPr="006345DE" w:rsidRDefault="002F6C52" w:rsidP="006345DE">
            <w:pPr>
              <w:keepNext/>
              <w:spacing w:before="40" w:after="40" w:line="300" w:lineRule="exact"/>
              <w:ind w:left="57" w:right="113"/>
              <w:textDirection w:val="tbRlV"/>
              <w:rPr>
                <w:rFonts w:ascii="Traditional Arabic" w:hAnsi="Traditional Arabic"/>
                <w:i/>
                <w:iCs/>
                <w:sz w:val="24"/>
                <w:szCs w:val="24"/>
                <w:rtl/>
                <w:lang w:eastAsia="zh-TW"/>
              </w:rPr>
            </w:pPr>
            <w:r w:rsidRPr="006345DE">
              <w:rPr>
                <w:rFonts w:ascii="Traditional Arabic" w:hAnsi="Traditional Arabic"/>
                <w:i/>
                <w:iCs/>
                <w:sz w:val="24"/>
                <w:szCs w:val="24"/>
                <w:rtl/>
                <w:lang w:eastAsia="zh-TW"/>
              </w:rPr>
              <w:t>موريتانيا</w:t>
            </w:r>
          </w:p>
        </w:tc>
        <w:tc>
          <w:tcPr>
            <w:tcW w:w="826" w:type="dxa"/>
            <w:tcBorders>
              <w:top w:val="single" w:sz="4" w:space="0" w:color="auto"/>
              <w:bottom w:val="single" w:sz="12" w:space="0" w:color="auto"/>
            </w:tcBorders>
            <w:shd w:val="clear" w:color="auto" w:fill="auto"/>
            <w:vAlign w:val="bottom"/>
          </w:tcPr>
          <w:p w:rsidR="002F6C52" w:rsidRPr="006345DE" w:rsidRDefault="002F6C52" w:rsidP="006345DE">
            <w:pPr>
              <w:keepNext/>
              <w:spacing w:before="40" w:after="40" w:line="300" w:lineRule="exact"/>
              <w:ind w:left="57" w:right="113"/>
              <w:textDirection w:val="tbRlV"/>
              <w:rPr>
                <w:rFonts w:ascii="Traditional Arabic" w:hAnsi="Traditional Arabic"/>
                <w:i/>
                <w:iCs/>
                <w:sz w:val="24"/>
                <w:szCs w:val="24"/>
                <w:rtl/>
                <w:lang w:eastAsia="zh-TW"/>
              </w:rPr>
            </w:pPr>
            <w:r w:rsidRPr="006345DE">
              <w:rPr>
                <w:rFonts w:ascii="Traditional Arabic" w:hAnsi="Traditional Arabic"/>
                <w:i/>
                <w:iCs/>
                <w:sz w:val="24"/>
                <w:szCs w:val="24"/>
                <w:rtl/>
                <w:lang w:eastAsia="zh-TW"/>
              </w:rPr>
              <w:t>المكسيك</w:t>
            </w:r>
          </w:p>
        </w:tc>
        <w:tc>
          <w:tcPr>
            <w:tcW w:w="728" w:type="dxa"/>
            <w:tcBorders>
              <w:top w:val="single" w:sz="4" w:space="0" w:color="auto"/>
              <w:bottom w:val="single" w:sz="12" w:space="0" w:color="auto"/>
            </w:tcBorders>
            <w:shd w:val="clear" w:color="auto" w:fill="auto"/>
            <w:vAlign w:val="bottom"/>
          </w:tcPr>
          <w:p w:rsidR="002F6C52" w:rsidRPr="006345DE" w:rsidRDefault="002F6C52" w:rsidP="006345DE">
            <w:pPr>
              <w:keepNext/>
              <w:spacing w:before="40" w:after="40" w:line="300" w:lineRule="exact"/>
              <w:ind w:left="57" w:right="113"/>
              <w:textDirection w:val="tbRlV"/>
              <w:rPr>
                <w:rFonts w:ascii="Traditional Arabic" w:hAnsi="Traditional Arabic"/>
                <w:i/>
                <w:iCs/>
                <w:sz w:val="24"/>
                <w:szCs w:val="24"/>
                <w:rtl/>
                <w:lang w:eastAsia="zh-TW"/>
              </w:rPr>
            </w:pPr>
            <w:r w:rsidRPr="006345DE">
              <w:rPr>
                <w:rFonts w:ascii="Traditional Arabic" w:hAnsi="Traditional Arabic"/>
                <w:i/>
                <w:iCs/>
                <w:sz w:val="24"/>
                <w:szCs w:val="24"/>
                <w:rtl/>
                <w:lang w:eastAsia="zh-TW"/>
              </w:rPr>
              <w:t>المغرب</w:t>
            </w:r>
          </w:p>
        </w:tc>
        <w:tc>
          <w:tcPr>
            <w:tcW w:w="868" w:type="dxa"/>
            <w:tcBorders>
              <w:top w:val="single" w:sz="4" w:space="0" w:color="auto"/>
              <w:bottom w:val="single" w:sz="12" w:space="0" w:color="auto"/>
            </w:tcBorders>
            <w:shd w:val="clear" w:color="auto" w:fill="auto"/>
            <w:vAlign w:val="bottom"/>
          </w:tcPr>
          <w:p w:rsidR="002F6C52" w:rsidRPr="006345DE" w:rsidRDefault="002F6C52" w:rsidP="006345DE">
            <w:pPr>
              <w:keepNext/>
              <w:spacing w:before="40" w:after="40" w:line="300" w:lineRule="exact"/>
              <w:ind w:left="57" w:right="113"/>
              <w:textDirection w:val="tbRlV"/>
              <w:rPr>
                <w:rFonts w:ascii="Traditional Arabic" w:hAnsi="Traditional Arabic"/>
                <w:i/>
                <w:iCs/>
                <w:sz w:val="24"/>
                <w:szCs w:val="24"/>
                <w:rtl/>
                <w:lang w:eastAsia="zh-TW"/>
              </w:rPr>
            </w:pPr>
            <w:r w:rsidRPr="006345DE">
              <w:rPr>
                <w:rFonts w:ascii="Traditional Arabic" w:hAnsi="Traditional Arabic"/>
                <w:i/>
                <w:iCs/>
                <w:sz w:val="24"/>
                <w:szCs w:val="24"/>
                <w:rtl/>
                <w:lang w:eastAsia="zh-TW"/>
              </w:rPr>
              <w:t>سري لانكا</w:t>
            </w:r>
          </w:p>
        </w:tc>
        <w:tc>
          <w:tcPr>
            <w:tcW w:w="560" w:type="dxa"/>
            <w:tcBorders>
              <w:top w:val="single" w:sz="4" w:space="0" w:color="auto"/>
              <w:bottom w:val="single" w:sz="12" w:space="0" w:color="auto"/>
            </w:tcBorders>
            <w:shd w:val="clear" w:color="auto" w:fill="auto"/>
            <w:vAlign w:val="bottom"/>
          </w:tcPr>
          <w:p w:rsidR="002F6C52" w:rsidRPr="006345DE" w:rsidRDefault="002F6C52" w:rsidP="006345DE">
            <w:pPr>
              <w:keepNext/>
              <w:spacing w:before="40" w:after="40" w:line="300" w:lineRule="exact"/>
              <w:ind w:left="57"/>
              <w:textDirection w:val="tbRlV"/>
              <w:rPr>
                <w:rFonts w:ascii="Traditional Arabic" w:hAnsi="Traditional Arabic"/>
                <w:b/>
                <w:bCs/>
                <w:i/>
                <w:iCs/>
                <w:sz w:val="24"/>
                <w:szCs w:val="24"/>
                <w:rtl/>
                <w:lang w:eastAsia="zh-TW"/>
              </w:rPr>
            </w:pPr>
            <w:r w:rsidRPr="006345DE">
              <w:rPr>
                <w:rFonts w:ascii="Traditional Arabic" w:hAnsi="Traditional Arabic"/>
                <w:b/>
                <w:bCs/>
                <w:i/>
                <w:iCs/>
                <w:sz w:val="24"/>
                <w:szCs w:val="24"/>
                <w:rtl/>
                <w:lang w:eastAsia="zh-TW"/>
              </w:rPr>
              <w:t>المجموع</w:t>
            </w:r>
          </w:p>
        </w:tc>
      </w:tr>
      <w:tr w:rsidR="006345DE" w:rsidRPr="006345DE" w:rsidTr="006345DE">
        <w:trPr>
          <w:cantSplit/>
        </w:trPr>
        <w:tc>
          <w:tcPr>
            <w:tcW w:w="1002" w:type="dxa"/>
            <w:tcBorders>
              <w:top w:val="single" w:sz="12" w:space="0" w:color="auto"/>
            </w:tcBorders>
            <w:shd w:val="clear" w:color="auto" w:fill="auto"/>
          </w:tcPr>
          <w:p w:rsidR="002F6C52" w:rsidRPr="006345DE" w:rsidRDefault="002F6C52" w:rsidP="006345DE">
            <w:pPr>
              <w:keepNext/>
              <w:spacing w:before="40" w:after="40" w:line="300" w:lineRule="exact"/>
              <w:ind w:left="57" w:right="57"/>
              <w:textDirection w:val="tbRlV"/>
              <w:rPr>
                <w:rFonts w:ascii="Traditional Arabic" w:hAnsi="Traditional Arabic"/>
                <w:sz w:val="24"/>
                <w:szCs w:val="24"/>
                <w:rtl/>
                <w:lang w:eastAsia="zh-TW"/>
              </w:rPr>
            </w:pPr>
            <w:r w:rsidRPr="006345DE">
              <w:rPr>
                <w:rFonts w:ascii="Traditional Arabic" w:hAnsi="Traditional Arabic"/>
                <w:sz w:val="24"/>
                <w:szCs w:val="24"/>
                <w:rtl/>
                <w:lang w:eastAsia="zh-TW"/>
              </w:rPr>
              <w:t>٢٠١٢</w:t>
            </w:r>
          </w:p>
        </w:tc>
        <w:tc>
          <w:tcPr>
            <w:tcW w:w="882" w:type="dxa"/>
            <w:tcBorders>
              <w:top w:val="single" w:sz="12" w:space="0" w:color="auto"/>
            </w:tcBorders>
            <w:shd w:val="clear" w:color="auto" w:fill="auto"/>
            <w:vAlign w:val="bottom"/>
          </w:tcPr>
          <w:p w:rsidR="002F6C52" w:rsidRPr="006345DE" w:rsidRDefault="002F6C52" w:rsidP="006345DE">
            <w:pPr>
              <w:keepNext/>
              <w:spacing w:before="40" w:after="40" w:line="300" w:lineRule="exact"/>
              <w:ind w:left="57" w:right="113"/>
              <w:textDirection w:val="tbRlV"/>
              <w:rPr>
                <w:rFonts w:ascii="Traditional Arabic" w:hAnsi="Traditional Arabic"/>
                <w:sz w:val="24"/>
                <w:szCs w:val="24"/>
                <w:rtl/>
                <w:lang w:eastAsia="zh-TW"/>
              </w:rPr>
            </w:pPr>
            <w:r w:rsidRPr="006345DE">
              <w:rPr>
                <w:rFonts w:ascii="Traditional Arabic" w:hAnsi="Traditional Arabic"/>
                <w:sz w:val="24"/>
                <w:szCs w:val="24"/>
                <w:lang w:eastAsia="zh-TW"/>
              </w:rPr>
              <w:t>-</w:t>
            </w:r>
          </w:p>
        </w:tc>
        <w:tc>
          <w:tcPr>
            <w:tcW w:w="742" w:type="dxa"/>
            <w:tcBorders>
              <w:top w:val="single" w:sz="12" w:space="0" w:color="auto"/>
            </w:tcBorders>
            <w:shd w:val="clear" w:color="auto" w:fill="auto"/>
            <w:vAlign w:val="bottom"/>
          </w:tcPr>
          <w:p w:rsidR="002F6C52" w:rsidRPr="006345DE" w:rsidRDefault="002F6C52" w:rsidP="006345DE">
            <w:pPr>
              <w:keepNext/>
              <w:spacing w:before="40" w:after="40" w:line="300" w:lineRule="exact"/>
              <w:ind w:left="57" w:right="113"/>
              <w:textDirection w:val="tbRlV"/>
              <w:rPr>
                <w:rFonts w:ascii="Traditional Arabic" w:hAnsi="Traditional Arabic"/>
                <w:sz w:val="24"/>
                <w:szCs w:val="24"/>
                <w:rtl/>
                <w:lang w:eastAsia="zh-TW"/>
              </w:rPr>
            </w:pPr>
            <w:r w:rsidRPr="006345DE">
              <w:rPr>
                <w:rFonts w:ascii="Traditional Arabic" w:hAnsi="Traditional Arabic"/>
                <w:sz w:val="24"/>
                <w:szCs w:val="24"/>
                <w:lang w:eastAsia="zh-TW"/>
              </w:rPr>
              <w:t>-</w:t>
            </w:r>
          </w:p>
        </w:tc>
        <w:tc>
          <w:tcPr>
            <w:tcW w:w="826" w:type="dxa"/>
            <w:tcBorders>
              <w:top w:val="single" w:sz="12" w:space="0" w:color="auto"/>
            </w:tcBorders>
            <w:shd w:val="clear" w:color="auto" w:fill="auto"/>
            <w:vAlign w:val="bottom"/>
          </w:tcPr>
          <w:p w:rsidR="002F6C52" w:rsidRPr="006345DE" w:rsidRDefault="002F6C52" w:rsidP="006345DE">
            <w:pPr>
              <w:keepNext/>
              <w:spacing w:before="40" w:after="40" w:line="300" w:lineRule="exact"/>
              <w:ind w:left="57" w:right="113"/>
              <w:textDirection w:val="tbRlV"/>
              <w:rPr>
                <w:rFonts w:ascii="Traditional Arabic" w:hAnsi="Traditional Arabic"/>
                <w:sz w:val="24"/>
                <w:szCs w:val="24"/>
                <w:rtl/>
                <w:lang w:eastAsia="zh-TW"/>
              </w:rPr>
            </w:pPr>
            <w:r w:rsidRPr="006345DE">
              <w:rPr>
                <w:rFonts w:ascii="Traditional Arabic" w:hAnsi="Traditional Arabic"/>
                <w:sz w:val="24"/>
                <w:szCs w:val="24"/>
                <w:lang w:eastAsia="zh-TW"/>
              </w:rPr>
              <w:t>-</w:t>
            </w:r>
          </w:p>
        </w:tc>
        <w:tc>
          <w:tcPr>
            <w:tcW w:w="937" w:type="dxa"/>
            <w:tcBorders>
              <w:top w:val="single" w:sz="12" w:space="0" w:color="auto"/>
            </w:tcBorders>
            <w:shd w:val="clear" w:color="auto" w:fill="auto"/>
            <w:vAlign w:val="bottom"/>
          </w:tcPr>
          <w:p w:rsidR="002F6C52" w:rsidRPr="006345DE" w:rsidRDefault="002F6C52" w:rsidP="006345DE">
            <w:pPr>
              <w:keepNext/>
              <w:spacing w:before="40" w:after="40" w:line="300" w:lineRule="exact"/>
              <w:ind w:left="57" w:right="113"/>
              <w:textDirection w:val="tbRlV"/>
              <w:rPr>
                <w:rFonts w:ascii="Traditional Arabic" w:hAnsi="Traditional Arabic"/>
                <w:sz w:val="24"/>
                <w:szCs w:val="24"/>
                <w:rtl/>
                <w:lang w:eastAsia="zh-TW"/>
              </w:rPr>
            </w:pPr>
            <w:r w:rsidRPr="006345DE">
              <w:rPr>
                <w:rFonts w:ascii="Traditional Arabic" w:hAnsi="Traditional Arabic"/>
                <w:sz w:val="24"/>
                <w:szCs w:val="24"/>
                <w:lang w:eastAsia="zh-TW"/>
              </w:rPr>
              <w:t>-</w:t>
            </w:r>
          </w:p>
        </w:tc>
        <w:tc>
          <w:tcPr>
            <w:tcW w:w="840" w:type="dxa"/>
            <w:tcBorders>
              <w:top w:val="single" w:sz="12" w:space="0" w:color="auto"/>
            </w:tcBorders>
            <w:shd w:val="clear" w:color="auto" w:fill="auto"/>
            <w:vAlign w:val="bottom"/>
          </w:tcPr>
          <w:p w:rsidR="002F6C52" w:rsidRPr="006345DE" w:rsidRDefault="002F6C52" w:rsidP="006345DE">
            <w:pPr>
              <w:keepNext/>
              <w:spacing w:before="40" w:after="40" w:line="300" w:lineRule="exact"/>
              <w:ind w:left="57" w:right="113"/>
              <w:textDirection w:val="tbRlV"/>
              <w:rPr>
                <w:rFonts w:ascii="Traditional Arabic" w:hAnsi="Traditional Arabic"/>
                <w:sz w:val="24"/>
                <w:szCs w:val="24"/>
                <w:rtl/>
                <w:lang w:eastAsia="zh-TW"/>
              </w:rPr>
            </w:pPr>
            <w:r w:rsidRPr="006345DE">
              <w:rPr>
                <w:rFonts w:ascii="Traditional Arabic" w:hAnsi="Traditional Arabic"/>
                <w:sz w:val="24"/>
                <w:szCs w:val="24"/>
                <w:lang w:eastAsia="zh-TW"/>
              </w:rPr>
              <w:t>-</w:t>
            </w:r>
          </w:p>
        </w:tc>
        <w:tc>
          <w:tcPr>
            <w:tcW w:w="686" w:type="dxa"/>
            <w:tcBorders>
              <w:top w:val="single" w:sz="12" w:space="0" w:color="auto"/>
            </w:tcBorders>
            <w:shd w:val="clear" w:color="auto" w:fill="auto"/>
            <w:vAlign w:val="bottom"/>
          </w:tcPr>
          <w:p w:rsidR="002F6C52" w:rsidRPr="006345DE" w:rsidRDefault="002F6C52" w:rsidP="006345DE">
            <w:pPr>
              <w:keepNext/>
              <w:spacing w:before="40" w:after="40" w:line="300" w:lineRule="exact"/>
              <w:ind w:left="57" w:right="113"/>
              <w:textDirection w:val="tbRlV"/>
              <w:rPr>
                <w:rFonts w:ascii="Traditional Arabic" w:hAnsi="Traditional Arabic"/>
                <w:sz w:val="24"/>
                <w:szCs w:val="24"/>
                <w:rtl/>
                <w:lang w:eastAsia="zh-TW"/>
              </w:rPr>
            </w:pPr>
            <w:r w:rsidRPr="006345DE">
              <w:rPr>
                <w:rFonts w:ascii="Traditional Arabic" w:hAnsi="Traditional Arabic"/>
                <w:sz w:val="24"/>
                <w:szCs w:val="24"/>
                <w:lang w:eastAsia="zh-TW"/>
              </w:rPr>
              <w:t>-</w:t>
            </w:r>
          </w:p>
        </w:tc>
        <w:tc>
          <w:tcPr>
            <w:tcW w:w="742" w:type="dxa"/>
            <w:tcBorders>
              <w:top w:val="single" w:sz="12" w:space="0" w:color="auto"/>
            </w:tcBorders>
            <w:shd w:val="clear" w:color="auto" w:fill="auto"/>
            <w:vAlign w:val="bottom"/>
          </w:tcPr>
          <w:p w:rsidR="002F6C52" w:rsidRPr="006345DE" w:rsidRDefault="002F6C52" w:rsidP="006345DE">
            <w:pPr>
              <w:keepNext/>
              <w:spacing w:before="40" w:after="40" w:line="300" w:lineRule="exact"/>
              <w:ind w:left="57" w:right="113"/>
              <w:textDirection w:val="tbRlV"/>
              <w:rPr>
                <w:rFonts w:ascii="Traditional Arabic" w:hAnsi="Traditional Arabic"/>
                <w:sz w:val="24"/>
                <w:szCs w:val="24"/>
                <w:rtl/>
                <w:lang w:eastAsia="zh-TW"/>
              </w:rPr>
            </w:pPr>
            <w:r w:rsidRPr="006345DE">
              <w:rPr>
                <w:rFonts w:ascii="Traditional Arabic" w:hAnsi="Traditional Arabic"/>
                <w:sz w:val="24"/>
                <w:szCs w:val="24"/>
                <w:lang w:eastAsia="zh-TW"/>
              </w:rPr>
              <w:t>-</w:t>
            </w:r>
          </w:p>
        </w:tc>
        <w:tc>
          <w:tcPr>
            <w:tcW w:w="826" w:type="dxa"/>
            <w:tcBorders>
              <w:top w:val="single" w:sz="12" w:space="0" w:color="auto"/>
            </w:tcBorders>
            <w:shd w:val="clear" w:color="auto" w:fill="auto"/>
            <w:vAlign w:val="bottom"/>
          </w:tcPr>
          <w:p w:rsidR="002F6C52" w:rsidRPr="006345DE" w:rsidRDefault="002F6C52" w:rsidP="006345DE">
            <w:pPr>
              <w:keepNext/>
              <w:spacing w:before="40" w:after="40" w:line="300" w:lineRule="exact"/>
              <w:ind w:left="57" w:right="113"/>
              <w:textDirection w:val="tbRlV"/>
              <w:rPr>
                <w:rFonts w:ascii="Traditional Arabic" w:hAnsi="Traditional Arabic"/>
                <w:sz w:val="24"/>
                <w:szCs w:val="24"/>
                <w:rtl/>
                <w:lang w:eastAsia="zh-TW"/>
              </w:rPr>
            </w:pPr>
            <w:r w:rsidRPr="006345DE">
              <w:rPr>
                <w:rFonts w:ascii="Traditional Arabic" w:hAnsi="Traditional Arabic"/>
                <w:sz w:val="24"/>
                <w:szCs w:val="24"/>
                <w:rtl/>
                <w:lang w:eastAsia="zh-TW"/>
              </w:rPr>
              <w:t>٥</w:t>
            </w:r>
          </w:p>
        </w:tc>
        <w:tc>
          <w:tcPr>
            <w:tcW w:w="728" w:type="dxa"/>
            <w:tcBorders>
              <w:top w:val="single" w:sz="12" w:space="0" w:color="auto"/>
            </w:tcBorders>
            <w:shd w:val="clear" w:color="auto" w:fill="auto"/>
            <w:vAlign w:val="bottom"/>
          </w:tcPr>
          <w:p w:rsidR="002F6C52" w:rsidRPr="006345DE" w:rsidRDefault="002F6C52" w:rsidP="006345DE">
            <w:pPr>
              <w:keepNext/>
              <w:spacing w:before="40" w:after="40" w:line="300" w:lineRule="exact"/>
              <w:ind w:left="57" w:right="113"/>
              <w:textDirection w:val="tbRlV"/>
              <w:rPr>
                <w:rFonts w:ascii="Traditional Arabic" w:hAnsi="Traditional Arabic"/>
                <w:sz w:val="24"/>
                <w:szCs w:val="24"/>
                <w:rtl/>
                <w:lang w:eastAsia="zh-TW"/>
              </w:rPr>
            </w:pPr>
            <w:r w:rsidRPr="006345DE">
              <w:rPr>
                <w:rFonts w:ascii="Traditional Arabic" w:hAnsi="Traditional Arabic"/>
                <w:sz w:val="24"/>
                <w:szCs w:val="24"/>
                <w:lang w:eastAsia="zh-TW"/>
              </w:rPr>
              <w:t>-</w:t>
            </w:r>
          </w:p>
        </w:tc>
        <w:tc>
          <w:tcPr>
            <w:tcW w:w="868" w:type="dxa"/>
            <w:tcBorders>
              <w:top w:val="single" w:sz="12" w:space="0" w:color="auto"/>
            </w:tcBorders>
            <w:shd w:val="clear" w:color="auto" w:fill="auto"/>
            <w:vAlign w:val="bottom"/>
          </w:tcPr>
          <w:p w:rsidR="002F6C52" w:rsidRPr="006345DE" w:rsidRDefault="002F6C52" w:rsidP="006345DE">
            <w:pPr>
              <w:keepNext/>
              <w:spacing w:before="40" w:after="40" w:line="300" w:lineRule="exact"/>
              <w:ind w:left="57" w:right="113"/>
              <w:textDirection w:val="tbRlV"/>
              <w:rPr>
                <w:rFonts w:ascii="Traditional Arabic" w:hAnsi="Traditional Arabic"/>
                <w:sz w:val="24"/>
                <w:szCs w:val="24"/>
                <w:rtl/>
                <w:lang w:eastAsia="zh-TW"/>
              </w:rPr>
            </w:pPr>
            <w:r w:rsidRPr="006345DE">
              <w:rPr>
                <w:rFonts w:ascii="Traditional Arabic" w:hAnsi="Traditional Arabic"/>
                <w:sz w:val="24"/>
                <w:szCs w:val="24"/>
                <w:lang w:eastAsia="zh-TW"/>
              </w:rPr>
              <w:t>-</w:t>
            </w:r>
          </w:p>
        </w:tc>
        <w:tc>
          <w:tcPr>
            <w:tcW w:w="560" w:type="dxa"/>
            <w:tcBorders>
              <w:top w:val="single" w:sz="12" w:space="0" w:color="auto"/>
            </w:tcBorders>
            <w:shd w:val="clear" w:color="auto" w:fill="auto"/>
            <w:vAlign w:val="bottom"/>
          </w:tcPr>
          <w:p w:rsidR="002F6C52" w:rsidRPr="006345DE" w:rsidRDefault="002F6C52" w:rsidP="006345DE">
            <w:pPr>
              <w:keepNext/>
              <w:spacing w:before="40" w:after="40" w:line="300" w:lineRule="exact"/>
              <w:ind w:left="57"/>
              <w:textDirection w:val="tbRlV"/>
              <w:rPr>
                <w:rFonts w:ascii="Traditional Arabic" w:hAnsi="Traditional Arabic"/>
                <w:b/>
                <w:bCs/>
                <w:sz w:val="24"/>
                <w:szCs w:val="24"/>
                <w:rtl/>
                <w:lang w:eastAsia="zh-TW"/>
              </w:rPr>
            </w:pPr>
            <w:r w:rsidRPr="006345DE">
              <w:rPr>
                <w:rFonts w:ascii="Traditional Arabic" w:hAnsi="Traditional Arabic"/>
                <w:b/>
                <w:bCs/>
                <w:sz w:val="24"/>
                <w:szCs w:val="24"/>
                <w:rtl/>
                <w:lang w:eastAsia="zh-TW"/>
              </w:rPr>
              <w:t>٥</w:t>
            </w:r>
          </w:p>
        </w:tc>
      </w:tr>
      <w:tr w:rsidR="006345DE" w:rsidRPr="006345DE" w:rsidTr="006345DE">
        <w:trPr>
          <w:cantSplit/>
        </w:trPr>
        <w:tc>
          <w:tcPr>
            <w:tcW w:w="1002" w:type="dxa"/>
            <w:tcBorders>
              <w:bottom w:val="nil"/>
            </w:tcBorders>
            <w:shd w:val="clear" w:color="auto" w:fill="auto"/>
          </w:tcPr>
          <w:p w:rsidR="002F6C52" w:rsidRPr="006345DE" w:rsidRDefault="002F6C52" w:rsidP="006345DE">
            <w:pPr>
              <w:keepNext/>
              <w:spacing w:before="40" w:after="40" w:line="300" w:lineRule="exact"/>
              <w:ind w:left="57" w:right="57"/>
              <w:textDirection w:val="tbRlV"/>
              <w:rPr>
                <w:rFonts w:ascii="Traditional Arabic" w:hAnsi="Traditional Arabic"/>
                <w:sz w:val="24"/>
                <w:szCs w:val="24"/>
                <w:rtl/>
                <w:lang w:eastAsia="zh-TW"/>
              </w:rPr>
            </w:pPr>
            <w:r w:rsidRPr="006345DE">
              <w:rPr>
                <w:rFonts w:ascii="Traditional Arabic" w:hAnsi="Traditional Arabic"/>
                <w:sz w:val="24"/>
                <w:szCs w:val="24"/>
                <w:rtl/>
                <w:lang w:eastAsia="zh-TW"/>
              </w:rPr>
              <w:t>٢٠١٣</w:t>
            </w:r>
          </w:p>
        </w:tc>
        <w:tc>
          <w:tcPr>
            <w:tcW w:w="882" w:type="dxa"/>
            <w:tcBorders>
              <w:bottom w:val="nil"/>
            </w:tcBorders>
            <w:shd w:val="clear" w:color="auto" w:fill="auto"/>
            <w:vAlign w:val="bottom"/>
          </w:tcPr>
          <w:p w:rsidR="002F6C52" w:rsidRPr="006345DE" w:rsidRDefault="002F6C52" w:rsidP="006345DE">
            <w:pPr>
              <w:keepNext/>
              <w:spacing w:before="40" w:after="40" w:line="300" w:lineRule="exact"/>
              <w:ind w:left="57" w:right="113"/>
              <w:textDirection w:val="tbRlV"/>
              <w:rPr>
                <w:rFonts w:ascii="Traditional Arabic" w:hAnsi="Traditional Arabic"/>
                <w:sz w:val="24"/>
                <w:szCs w:val="24"/>
                <w:rtl/>
                <w:lang w:eastAsia="zh-TW"/>
              </w:rPr>
            </w:pPr>
            <w:r w:rsidRPr="006345DE">
              <w:rPr>
                <w:rFonts w:ascii="Traditional Arabic" w:hAnsi="Traditional Arabic"/>
                <w:sz w:val="24"/>
                <w:szCs w:val="24"/>
                <w:lang w:eastAsia="zh-TW"/>
              </w:rPr>
              <w:t>-</w:t>
            </w:r>
          </w:p>
        </w:tc>
        <w:tc>
          <w:tcPr>
            <w:tcW w:w="742" w:type="dxa"/>
            <w:tcBorders>
              <w:bottom w:val="nil"/>
            </w:tcBorders>
            <w:shd w:val="clear" w:color="auto" w:fill="auto"/>
            <w:vAlign w:val="bottom"/>
          </w:tcPr>
          <w:p w:rsidR="002F6C52" w:rsidRPr="006345DE" w:rsidRDefault="002F6C52" w:rsidP="006345DE">
            <w:pPr>
              <w:keepNext/>
              <w:spacing w:before="40" w:after="40" w:line="300" w:lineRule="exact"/>
              <w:ind w:left="57" w:right="113"/>
              <w:textDirection w:val="tbRlV"/>
              <w:rPr>
                <w:rFonts w:ascii="Traditional Arabic" w:hAnsi="Traditional Arabic"/>
                <w:sz w:val="24"/>
                <w:szCs w:val="24"/>
                <w:rtl/>
                <w:lang w:eastAsia="zh-TW"/>
              </w:rPr>
            </w:pPr>
            <w:r w:rsidRPr="006345DE">
              <w:rPr>
                <w:rFonts w:ascii="Traditional Arabic" w:hAnsi="Traditional Arabic"/>
                <w:sz w:val="24"/>
                <w:szCs w:val="24"/>
                <w:lang w:eastAsia="zh-TW"/>
              </w:rPr>
              <w:t>-</w:t>
            </w:r>
          </w:p>
        </w:tc>
        <w:tc>
          <w:tcPr>
            <w:tcW w:w="826" w:type="dxa"/>
            <w:tcBorders>
              <w:bottom w:val="nil"/>
            </w:tcBorders>
            <w:shd w:val="clear" w:color="auto" w:fill="auto"/>
            <w:vAlign w:val="bottom"/>
          </w:tcPr>
          <w:p w:rsidR="002F6C52" w:rsidRPr="006345DE" w:rsidRDefault="002F6C52" w:rsidP="006345DE">
            <w:pPr>
              <w:keepNext/>
              <w:spacing w:before="40" w:after="40" w:line="300" w:lineRule="exact"/>
              <w:ind w:left="57" w:right="113"/>
              <w:textDirection w:val="tbRlV"/>
              <w:rPr>
                <w:rFonts w:ascii="Traditional Arabic" w:hAnsi="Traditional Arabic"/>
                <w:sz w:val="24"/>
                <w:szCs w:val="24"/>
                <w:rtl/>
                <w:lang w:eastAsia="zh-TW"/>
              </w:rPr>
            </w:pPr>
            <w:r w:rsidRPr="006345DE">
              <w:rPr>
                <w:rFonts w:ascii="Traditional Arabic" w:hAnsi="Traditional Arabic"/>
                <w:sz w:val="24"/>
                <w:szCs w:val="24"/>
                <w:lang w:eastAsia="zh-TW"/>
              </w:rPr>
              <w:t>-</w:t>
            </w:r>
          </w:p>
        </w:tc>
        <w:tc>
          <w:tcPr>
            <w:tcW w:w="937" w:type="dxa"/>
            <w:tcBorders>
              <w:bottom w:val="nil"/>
            </w:tcBorders>
            <w:shd w:val="clear" w:color="auto" w:fill="auto"/>
            <w:vAlign w:val="bottom"/>
          </w:tcPr>
          <w:p w:rsidR="002F6C52" w:rsidRPr="006345DE" w:rsidRDefault="002F6C52" w:rsidP="006345DE">
            <w:pPr>
              <w:keepNext/>
              <w:spacing w:before="40" w:after="40" w:line="300" w:lineRule="exact"/>
              <w:ind w:left="57" w:right="113"/>
              <w:textDirection w:val="tbRlV"/>
              <w:rPr>
                <w:rFonts w:ascii="Traditional Arabic" w:hAnsi="Traditional Arabic"/>
                <w:sz w:val="24"/>
                <w:szCs w:val="24"/>
                <w:rtl/>
                <w:lang w:eastAsia="zh-TW"/>
              </w:rPr>
            </w:pPr>
            <w:r w:rsidRPr="006345DE">
              <w:rPr>
                <w:rFonts w:ascii="Traditional Arabic" w:hAnsi="Traditional Arabic"/>
                <w:sz w:val="24"/>
                <w:szCs w:val="24"/>
                <w:lang w:eastAsia="zh-TW"/>
              </w:rPr>
              <w:t>-</w:t>
            </w:r>
          </w:p>
        </w:tc>
        <w:tc>
          <w:tcPr>
            <w:tcW w:w="840" w:type="dxa"/>
            <w:tcBorders>
              <w:bottom w:val="nil"/>
            </w:tcBorders>
            <w:shd w:val="clear" w:color="auto" w:fill="auto"/>
            <w:vAlign w:val="bottom"/>
          </w:tcPr>
          <w:p w:rsidR="002F6C52" w:rsidRPr="006345DE" w:rsidRDefault="002F6C52" w:rsidP="006345DE">
            <w:pPr>
              <w:keepNext/>
              <w:spacing w:before="40" w:after="40" w:line="300" w:lineRule="exact"/>
              <w:ind w:left="57" w:right="113"/>
              <w:textDirection w:val="tbRlV"/>
              <w:rPr>
                <w:rFonts w:ascii="Traditional Arabic" w:hAnsi="Traditional Arabic"/>
                <w:sz w:val="24"/>
                <w:szCs w:val="24"/>
                <w:rtl/>
                <w:lang w:eastAsia="zh-TW"/>
              </w:rPr>
            </w:pPr>
            <w:r w:rsidRPr="006345DE">
              <w:rPr>
                <w:rFonts w:ascii="Traditional Arabic" w:hAnsi="Traditional Arabic"/>
                <w:sz w:val="24"/>
                <w:szCs w:val="24"/>
                <w:rtl/>
                <w:lang w:eastAsia="zh-TW"/>
              </w:rPr>
              <w:t>١</w:t>
            </w:r>
          </w:p>
        </w:tc>
        <w:tc>
          <w:tcPr>
            <w:tcW w:w="686" w:type="dxa"/>
            <w:tcBorders>
              <w:bottom w:val="nil"/>
            </w:tcBorders>
            <w:shd w:val="clear" w:color="auto" w:fill="auto"/>
            <w:vAlign w:val="bottom"/>
          </w:tcPr>
          <w:p w:rsidR="002F6C52" w:rsidRPr="006345DE" w:rsidRDefault="002F6C52" w:rsidP="006345DE">
            <w:pPr>
              <w:keepNext/>
              <w:spacing w:before="40" w:after="40" w:line="300" w:lineRule="exact"/>
              <w:ind w:left="57" w:right="113"/>
              <w:textDirection w:val="tbRlV"/>
              <w:rPr>
                <w:rFonts w:ascii="Traditional Arabic" w:hAnsi="Traditional Arabic"/>
                <w:sz w:val="24"/>
                <w:szCs w:val="24"/>
                <w:rtl/>
                <w:lang w:eastAsia="zh-TW"/>
              </w:rPr>
            </w:pPr>
            <w:r w:rsidRPr="006345DE">
              <w:rPr>
                <w:rFonts w:ascii="Traditional Arabic" w:hAnsi="Traditional Arabic"/>
                <w:sz w:val="24"/>
                <w:szCs w:val="24"/>
                <w:lang w:eastAsia="zh-TW"/>
              </w:rPr>
              <w:t>-</w:t>
            </w:r>
          </w:p>
        </w:tc>
        <w:tc>
          <w:tcPr>
            <w:tcW w:w="742" w:type="dxa"/>
            <w:tcBorders>
              <w:bottom w:val="nil"/>
            </w:tcBorders>
            <w:shd w:val="clear" w:color="auto" w:fill="auto"/>
            <w:vAlign w:val="bottom"/>
          </w:tcPr>
          <w:p w:rsidR="002F6C52" w:rsidRPr="006345DE" w:rsidRDefault="002F6C52" w:rsidP="006345DE">
            <w:pPr>
              <w:keepNext/>
              <w:spacing w:before="40" w:after="40" w:line="300" w:lineRule="exact"/>
              <w:ind w:left="57" w:right="113"/>
              <w:textDirection w:val="tbRlV"/>
              <w:rPr>
                <w:rFonts w:ascii="Traditional Arabic" w:hAnsi="Traditional Arabic"/>
                <w:sz w:val="24"/>
                <w:szCs w:val="24"/>
                <w:rtl/>
                <w:lang w:eastAsia="zh-TW"/>
              </w:rPr>
            </w:pPr>
            <w:r w:rsidRPr="006345DE">
              <w:rPr>
                <w:rFonts w:ascii="Traditional Arabic" w:hAnsi="Traditional Arabic"/>
                <w:sz w:val="24"/>
                <w:szCs w:val="24"/>
                <w:lang w:eastAsia="zh-TW"/>
              </w:rPr>
              <w:t>-</w:t>
            </w:r>
          </w:p>
        </w:tc>
        <w:tc>
          <w:tcPr>
            <w:tcW w:w="826" w:type="dxa"/>
            <w:tcBorders>
              <w:bottom w:val="nil"/>
            </w:tcBorders>
            <w:shd w:val="clear" w:color="auto" w:fill="auto"/>
            <w:vAlign w:val="bottom"/>
          </w:tcPr>
          <w:p w:rsidR="002F6C52" w:rsidRPr="006345DE" w:rsidRDefault="006345DE" w:rsidP="006345DE">
            <w:pPr>
              <w:keepNext/>
              <w:spacing w:before="40" w:after="40" w:line="300" w:lineRule="exact"/>
              <w:ind w:left="57" w:right="113"/>
              <w:textDirection w:val="tbRlV"/>
              <w:rPr>
                <w:rFonts w:ascii="Traditional Arabic" w:hAnsi="Traditional Arabic"/>
                <w:sz w:val="24"/>
                <w:szCs w:val="24"/>
                <w:rtl/>
                <w:lang w:eastAsia="zh-TW"/>
              </w:rPr>
            </w:pPr>
            <w:r w:rsidRPr="006345DE">
              <w:rPr>
                <w:rFonts w:ascii="Traditional Arabic" w:hAnsi="Traditional Arabic" w:hint="cs"/>
                <w:sz w:val="24"/>
                <w:szCs w:val="24"/>
                <w:rtl/>
                <w:lang w:eastAsia="zh-TW"/>
              </w:rPr>
              <w:t>5</w:t>
            </w:r>
            <w:r w:rsidR="002F6C52" w:rsidRPr="00FE6BFA">
              <w:rPr>
                <w:rFonts w:ascii="Traditional Arabic" w:hAnsi="Traditional Arabic"/>
                <w:sz w:val="24"/>
                <w:szCs w:val="24"/>
                <w:vertAlign w:val="superscript"/>
                <w:rtl/>
                <w:lang w:eastAsia="zh-TW"/>
              </w:rPr>
              <w:t>(أ)</w:t>
            </w:r>
          </w:p>
        </w:tc>
        <w:tc>
          <w:tcPr>
            <w:tcW w:w="728" w:type="dxa"/>
            <w:tcBorders>
              <w:bottom w:val="nil"/>
            </w:tcBorders>
            <w:shd w:val="clear" w:color="auto" w:fill="auto"/>
            <w:vAlign w:val="bottom"/>
          </w:tcPr>
          <w:p w:rsidR="002F6C52" w:rsidRPr="006345DE" w:rsidRDefault="002F6C52" w:rsidP="006345DE">
            <w:pPr>
              <w:keepNext/>
              <w:spacing w:before="40" w:after="40" w:line="300" w:lineRule="exact"/>
              <w:ind w:left="57" w:right="113"/>
              <w:textDirection w:val="tbRlV"/>
              <w:rPr>
                <w:rFonts w:ascii="Traditional Arabic" w:hAnsi="Traditional Arabic"/>
                <w:sz w:val="24"/>
                <w:szCs w:val="24"/>
                <w:rtl/>
                <w:lang w:eastAsia="zh-TW"/>
              </w:rPr>
            </w:pPr>
            <w:r w:rsidRPr="006345DE">
              <w:rPr>
                <w:rFonts w:ascii="Traditional Arabic" w:hAnsi="Traditional Arabic"/>
                <w:sz w:val="24"/>
                <w:szCs w:val="24"/>
                <w:lang w:eastAsia="zh-TW"/>
              </w:rPr>
              <w:t>-</w:t>
            </w:r>
          </w:p>
        </w:tc>
        <w:tc>
          <w:tcPr>
            <w:tcW w:w="868" w:type="dxa"/>
            <w:tcBorders>
              <w:bottom w:val="nil"/>
            </w:tcBorders>
            <w:shd w:val="clear" w:color="auto" w:fill="auto"/>
            <w:vAlign w:val="bottom"/>
          </w:tcPr>
          <w:p w:rsidR="002F6C52" w:rsidRPr="006345DE" w:rsidRDefault="002F6C52" w:rsidP="006345DE">
            <w:pPr>
              <w:keepNext/>
              <w:spacing w:before="40" w:after="40" w:line="300" w:lineRule="exact"/>
              <w:ind w:left="57" w:right="113"/>
              <w:textDirection w:val="tbRlV"/>
              <w:rPr>
                <w:rFonts w:ascii="Traditional Arabic" w:hAnsi="Traditional Arabic"/>
                <w:sz w:val="24"/>
                <w:szCs w:val="24"/>
                <w:rtl/>
                <w:lang w:eastAsia="zh-TW"/>
              </w:rPr>
            </w:pPr>
            <w:r w:rsidRPr="006345DE">
              <w:rPr>
                <w:rFonts w:ascii="Traditional Arabic" w:hAnsi="Traditional Arabic"/>
                <w:sz w:val="24"/>
                <w:szCs w:val="24"/>
                <w:lang w:eastAsia="zh-TW"/>
              </w:rPr>
              <w:t>-</w:t>
            </w:r>
          </w:p>
        </w:tc>
        <w:tc>
          <w:tcPr>
            <w:tcW w:w="560" w:type="dxa"/>
            <w:tcBorders>
              <w:bottom w:val="nil"/>
            </w:tcBorders>
            <w:shd w:val="clear" w:color="auto" w:fill="auto"/>
            <w:vAlign w:val="bottom"/>
          </w:tcPr>
          <w:p w:rsidR="002F6C52" w:rsidRPr="006345DE" w:rsidRDefault="002F6C52" w:rsidP="006345DE">
            <w:pPr>
              <w:keepNext/>
              <w:spacing w:before="40" w:after="40" w:line="300" w:lineRule="exact"/>
              <w:ind w:left="57"/>
              <w:textDirection w:val="tbRlV"/>
              <w:rPr>
                <w:rFonts w:ascii="Traditional Arabic" w:hAnsi="Traditional Arabic"/>
                <w:b/>
                <w:bCs/>
                <w:sz w:val="24"/>
                <w:szCs w:val="24"/>
                <w:rtl/>
                <w:lang w:eastAsia="zh-TW"/>
              </w:rPr>
            </w:pPr>
            <w:r w:rsidRPr="006345DE">
              <w:rPr>
                <w:rFonts w:ascii="Traditional Arabic" w:hAnsi="Traditional Arabic"/>
                <w:b/>
                <w:bCs/>
                <w:sz w:val="24"/>
                <w:szCs w:val="24"/>
                <w:rtl/>
                <w:lang w:eastAsia="zh-TW"/>
              </w:rPr>
              <w:t>٦</w:t>
            </w:r>
          </w:p>
        </w:tc>
      </w:tr>
      <w:tr w:rsidR="006345DE" w:rsidRPr="006345DE" w:rsidTr="006345DE">
        <w:trPr>
          <w:cantSplit/>
        </w:trPr>
        <w:tc>
          <w:tcPr>
            <w:tcW w:w="1002" w:type="dxa"/>
            <w:tcBorders>
              <w:top w:val="nil"/>
              <w:bottom w:val="nil"/>
            </w:tcBorders>
            <w:shd w:val="clear" w:color="auto" w:fill="auto"/>
          </w:tcPr>
          <w:p w:rsidR="002F6C52" w:rsidRPr="006345DE" w:rsidRDefault="002F6C52" w:rsidP="006345DE">
            <w:pPr>
              <w:keepNext/>
              <w:spacing w:before="40" w:after="40" w:line="300" w:lineRule="exact"/>
              <w:ind w:left="57" w:right="57"/>
              <w:textDirection w:val="tbRlV"/>
              <w:rPr>
                <w:rFonts w:ascii="Traditional Arabic" w:hAnsi="Traditional Arabic"/>
                <w:sz w:val="24"/>
                <w:szCs w:val="24"/>
                <w:rtl/>
                <w:lang w:eastAsia="zh-TW"/>
              </w:rPr>
            </w:pPr>
            <w:r w:rsidRPr="006345DE">
              <w:rPr>
                <w:rFonts w:ascii="Traditional Arabic" w:hAnsi="Traditional Arabic"/>
                <w:sz w:val="24"/>
                <w:szCs w:val="24"/>
                <w:rtl/>
                <w:lang w:eastAsia="zh-TW"/>
              </w:rPr>
              <w:t>٢٠١٤</w:t>
            </w:r>
          </w:p>
        </w:tc>
        <w:tc>
          <w:tcPr>
            <w:tcW w:w="882" w:type="dxa"/>
            <w:tcBorders>
              <w:top w:val="nil"/>
              <w:bottom w:val="nil"/>
            </w:tcBorders>
            <w:shd w:val="clear" w:color="auto" w:fill="auto"/>
            <w:vAlign w:val="bottom"/>
          </w:tcPr>
          <w:p w:rsidR="002F6C52" w:rsidRPr="006345DE" w:rsidRDefault="002F6C52" w:rsidP="006345DE">
            <w:pPr>
              <w:keepNext/>
              <w:spacing w:before="40" w:after="40" w:line="300" w:lineRule="exact"/>
              <w:ind w:left="57" w:right="113"/>
              <w:textDirection w:val="tbRlV"/>
              <w:rPr>
                <w:rFonts w:ascii="Traditional Arabic" w:hAnsi="Traditional Arabic"/>
                <w:sz w:val="24"/>
                <w:szCs w:val="24"/>
                <w:rtl/>
                <w:lang w:eastAsia="zh-TW"/>
              </w:rPr>
            </w:pPr>
            <w:r w:rsidRPr="006345DE">
              <w:rPr>
                <w:rFonts w:ascii="Traditional Arabic" w:hAnsi="Traditional Arabic"/>
                <w:sz w:val="24"/>
                <w:szCs w:val="24"/>
                <w:lang w:eastAsia="zh-TW"/>
              </w:rPr>
              <w:t>-</w:t>
            </w:r>
          </w:p>
        </w:tc>
        <w:tc>
          <w:tcPr>
            <w:tcW w:w="742" w:type="dxa"/>
            <w:tcBorders>
              <w:top w:val="nil"/>
              <w:bottom w:val="nil"/>
            </w:tcBorders>
            <w:shd w:val="clear" w:color="auto" w:fill="auto"/>
            <w:vAlign w:val="bottom"/>
          </w:tcPr>
          <w:p w:rsidR="002F6C52" w:rsidRPr="006345DE" w:rsidRDefault="002F6C52" w:rsidP="006345DE">
            <w:pPr>
              <w:keepNext/>
              <w:spacing w:before="40" w:after="40" w:line="300" w:lineRule="exact"/>
              <w:ind w:left="57" w:right="113"/>
              <w:textDirection w:val="tbRlV"/>
              <w:rPr>
                <w:rFonts w:ascii="Traditional Arabic" w:hAnsi="Traditional Arabic"/>
                <w:sz w:val="24"/>
                <w:szCs w:val="24"/>
                <w:rtl/>
                <w:lang w:eastAsia="zh-TW"/>
              </w:rPr>
            </w:pPr>
            <w:r w:rsidRPr="006345DE">
              <w:rPr>
                <w:rFonts w:ascii="Traditional Arabic" w:hAnsi="Traditional Arabic"/>
                <w:sz w:val="24"/>
                <w:szCs w:val="24"/>
                <w:lang w:eastAsia="zh-TW"/>
              </w:rPr>
              <w:t>-</w:t>
            </w:r>
          </w:p>
        </w:tc>
        <w:tc>
          <w:tcPr>
            <w:tcW w:w="826" w:type="dxa"/>
            <w:tcBorders>
              <w:top w:val="nil"/>
              <w:bottom w:val="nil"/>
            </w:tcBorders>
            <w:shd w:val="clear" w:color="auto" w:fill="auto"/>
            <w:vAlign w:val="bottom"/>
          </w:tcPr>
          <w:p w:rsidR="002F6C52" w:rsidRPr="006345DE" w:rsidRDefault="002F6C52" w:rsidP="006345DE">
            <w:pPr>
              <w:keepNext/>
              <w:spacing w:before="40" w:after="40" w:line="300" w:lineRule="exact"/>
              <w:ind w:left="57" w:right="113"/>
              <w:textDirection w:val="tbRlV"/>
              <w:rPr>
                <w:rFonts w:ascii="Traditional Arabic" w:hAnsi="Traditional Arabic"/>
                <w:sz w:val="24"/>
                <w:szCs w:val="24"/>
                <w:rtl/>
                <w:lang w:eastAsia="zh-TW"/>
              </w:rPr>
            </w:pPr>
            <w:r w:rsidRPr="006345DE">
              <w:rPr>
                <w:rFonts w:ascii="Traditional Arabic" w:hAnsi="Traditional Arabic"/>
                <w:sz w:val="24"/>
                <w:szCs w:val="24"/>
                <w:rtl/>
                <w:lang w:eastAsia="zh-TW"/>
              </w:rPr>
              <w:t>١</w:t>
            </w:r>
          </w:p>
        </w:tc>
        <w:tc>
          <w:tcPr>
            <w:tcW w:w="937" w:type="dxa"/>
            <w:tcBorders>
              <w:top w:val="nil"/>
              <w:bottom w:val="nil"/>
            </w:tcBorders>
            <w:shd w:val="clear" w:color="auto" w:fill="auto"/>
            <w:vAlign w:val="bottom"/>
          </w:tcPr>
          <w:p w:rsidR="002F6C52" w:rsidRPr="006345DE" w:rsidRDefault="002F6C52" w:rsidP="006345DE">
            <w:pPr>
              <w:keepNext/>
              <w:spacing w:before="40" w:after="40" w:line="300" w:lineRule="exact"/>
              <w:ind w:left="57" w:right="113"/>
              <w:textDirection w:val="tbRlV"/>
              <w:rPr>
                <w:rFonts w:ascii="Traditional Arabic" w:hAnsi="Traditional Arabic"/>
                <w:sz w:val="24"/>
                <w:szCs w:val="24"/>
                <w:rtl/>
                <w:lang w:eastAsia="zh-TW"/>
              </w:rPr>
            </w:pPr>
            <w:r w:rsidRPr="006345DE">
              <w:rPr>
                <w:rFonts w:ascii="Traditional Arabic" w:hAnsi="Traditional Arabic"/>
                <w:sz w:val="24"/>
                <w:szCs w:val="24"/>
                <w:rtl/>
                <w:lang w:eastAsia="zh-TW"/>
              </w:rPr>
              <w:t>١</w:t>
            </w:r>
          </w:p>
        </w:tc>
        <w:tc>
          <w:tcPr>
            <w:tcW w:w="840" w:type="dxa"/>
            <w:tcBorders>
              <w:top w:val="nil"/>
              <w:bottom w:val="nil"/>
            </w:tcBorders>
            <w:shd w:val="clear" w:color="auto" w:fill="auto"/>
            <w:vAlign w:val="bottom"/>
          </w:tcPr>
          <w:p w:rsidR="002F6C52" w:rsidRPr="006345DE" w:rsidRDefault="002F6C52" w:rsidP="006345DE">
            <w:pPr>
              <w:keepNext/>
              <w:spacing w:before="40" w:after="40" w:line="300" w:lineRule="exact"/>
              <w:ind w:left="57" w:right="113"/>
              <w:textDirection w:val="tbRlV"/>
              <w:rPr>
                <w:rFonts w:ascii="Traditional Arabic" w:hAnsi="Traditional Arabic"/>
                <w:sz w:val="24"/>
                <w:szCs w:val="24"/>
                <w:rtl/>
                <w:lang w:eastAsia="zh-TW"/>
              </w:rPr>
            </w:pPr>
            <w:r w:rsidRPr="006345DE">
              <w:rPr>
                <w:rFonts w:ascii="Traditional Arabic" w:hAnsi="Traditional Arabic"/>
                <w:sz w:val="24"/>
                <w:szCs w:val="24"/>
                <w:rtl/>
                <w:lang w:eastAsia="zh-TW"/>
              </w:rPr>
              <w:t>١</w:t>
            </w:r>
          </w:p>
        </w:tc>
        <w:tc>
          <w:tcPr>
            <w:tcW w:w="686" w:type="dxa"/>
            <w:tcBorders>
              <w:top w:val="nil"/>
              <w:bottom w:val="nil"/>
            </w:tcBorders>
            <w:shd w:val="clear" w:color="auto" w:fill="auto"/>
            <w:vAlign w:val="bottom"/>
          </w:tcPr>
          <w:p w:rsidR="002F6C52" w:rsidRPr="006345DE" w:rsidRDefault="002F6C52" w:rsidP="006345DE">
            <w:pPr>
              <w:keepNext/>
              <w:spacing w:before="40" w:after="40" w:line="300" w:lineRule="exact"/>
              <w:ind w:left="57" w:right="113"/>
              <w:textDirection w:val="tbRlV"/>
              <w:rPr>
                <w:rFonts w:ascii="Traditional Arabic" w:hAnsi="Traditional Arabic"/>
                <w:sz w:val="24"/>
                <w:szCs w:val="24"/>
                <w:rtl/>
                <w:lang w:eastAsia="zh-TW"/>
              </w:rPr>
            </w:pPr>
            <w:r w:rsidRPr="006345DE">
              <w:rPr>
                <w:rFonts w:ascii="Traditional Arabic" w:hAnsi="Traditional Arabic"/>
                <w:sz w:val="24"/>
                <w:szCs w:val="24"/>
                <w:rtl/>
                <w:lang w:eastAsia="zh-TW"/>
              </w:rPr>
              <w:t>٥</w:t>
            </w:r>
          </w:p>
        </w:tc>
        <w:tc>
          <w:tcPr>
            <w:tcW w:w="742" w:type="dxa"/>
            <w:tcBorders>
              <w:top w:val="nil"/>
              <w:bottom w:val="nil"/>
            </w:tcBorders>
            <w:shd w:val="clear" w:color="auto" w:fill="auto"/>
            <w:vAlign w:val="bottom"/>
          </w:tcPr>
          <w:p w:rsidR="002F6C52" w:rsidRPr="006345DE" w:rsidRDefault="002F6C52" w:rsidP="006345DE">
            <w:pPr>
              <w:keepNext/>
              <w:spacing w:before="40" w:after="40" w:line="300" w:lineRule="exact"/>
              <w:ind w:left="57" w:right="113"/>
              <w:textDirection w:val="tbRlV"/>
              <w:rPr>
                <w:rFonts w:ascii="Traditional Arabic" w:hAnsi="Traditional Arabic"/>
                <w:sz w:val="24"/>
                <w:szCs w:val="24"/>
                <w:rtl/>
                <w:lang w:eastAsia="zh-TW"/>
              </w:rPr>
            </w:pPr>
            <w:r w:rsidRPr="006345DE">
              <w:rPr>
                <w:rFonts w:ascii="Traditional Arabic" w:hAnsi="Traditional Arabic"/>
                <w:sz w:val="24"/>
                <w:szCs w:val="24"/>
                <w:lang w:eastAsia="zh-TW"/>
              </w:rPr>
              <w:t>-</w:t>
            </w:r>
          </w:p>
        </w:tc>
        <w:tc>
          <w:tcPr>
            <w:tcW w:w="826" w:type="dxa"/>
            <w:tcBorders>
              <w:top w:val="nil"/>
              <w:bottom w:val="nil"/>
            </w:tcBorders>
            <w:shd w:val="clear" w:color="auto" w:fill="auto"/>
            <w:vAlign w:val="bottom"/>
          </w:tcPr>
          <w:p w:rsidR="002F6C52" w:rsidRPr="006345DE" w:rsidRDefault="002F6C52" w:rsidP="006345DE">
            <w:pPr>
              <w:keepNext/>
              <w:spacing w:before="40" w:after="40" w:line="300" w:lineRule="exact"/>
              <w:ind w:left="57" w:right="113"/>
              <w:textDirection w:val="tbRlV"/>
              <w:rPr>
                <w:rFonts w:ascii="Traditional Arabic" w:hAnsi="Traditional Arabic"/>
                <w:sz w:val="24"/>
                <w:szCs w:val="24"/>
                <w:rtl/>
                <w:lang w:eastAsia="zh-TW"/>
              </w:rPr>
            </w:pPr>
            <w:r w:rsidRPr="006345DE">
              <w:rPr>
                <w:rFonts w:ascii="Traditional Arabic" w:hAnsi="Traditional Arabic"/>
                <w:sz w:val="24"/>
                <w:szCs w:val="24"/>
                <w:rtl/>
                <w:lang w:eastAsia="zh-TW"/>
              </w:rPr>
              <w:t>٤٣</w:t>
            </w:r>
          </w:p>
        </w:tc>
        <w:tc>
          <w:tcPr>
            <w:tcW w:w="728" w:type="dxa"/>
            <w:tcBorders>
              <w:top w:val="nil"/>
              <w:bottom w:val="nil"/>
            </w:tcBorders>
            <w:shd w:val="clear" w:color="auto" w:fill="auto"/>
            <w:vAlign w:val="bottom"/>
          </w:tcPr>
          <w:p w:rsidR="002F6C52" w:rsidRPr="006345DE" w:rsidRDefault="002F6C52" w:rsidP="006345DE">
            <w:pPr>
              <w:keepNext/>
              <w:spacing w:before="40" w:after="40" w:line="300" w:lineRule="exact"/>
              <w:ind w:left="57" w:right="113"/>
              <w:textDirection w:val="tbRlV"/>
              <w:rPr>
                <w:rFonts w:ascii="Traditional Arabic" w:hAnsi="Traditional Arabic"/>
                <w:sz w:val="24"/>
                <w:szCs w:val="24"/>
                <w:rtl/>
                <w:lang w:eastAsia="zh-TW"/>
              </w:rPr>
            </w:pPr>
            <w:r w:rsidRPr="006345DE">
              <w:rPr>
                <w:rFonts w:ascii="Traditional Arabic" w:hAnsi="Traditional Arabic"/>
                <w:sz w:val="24"/>
                <w:szCs w:val="24"/>
                <w:lang w:eastAsia="zh-TW"/>
              </w:rPr>
              <w:t>-</w:t>
            </w:r>
          </w:p>
        </w:tc>
        <w:tc>
          <w:tcPr>
            <w:tcW w:w="868" w:type="dxa"/>
            <w:tcBorders>
              <w:top w:val="nil"/>
              <w:bottom w:val="nil"/>
            </w:tcBorders>
            <w:shd w:val="clear" w:color="auto" w:fill="auto"/>
            <w:vAlign w:val="bottom"/>
          </w:tcPr>
          <w:p w:rsidR="002F6C52" w:rsidRPr="006345DE" w:rsidRDefault="002F6C52" w:rsidP="006345DE">
            <w:pPr>
              <w:keepNext/>
              <w:spacing w:before="40" w:after="40" w:line="300" w:lineRule="exact"/>
              <w:ind w:left="57" w:right="113"/>
              <w:textDirection w:val="tbRlV"/>
              <w:rPr>
                <w:rFonts w:ascii="Traditional Arabic" w:hAnsi="Traditional Arabic"/>
                <w:sz w:val="24"/>
                <w:szCs w:val="24"/>
                <w:rtl/>
                <w:lang w:eastAsia="zh-TW"/>
              </w:rPr>
            </w:pPr>
            <w:r w:rsidRPr="006345DE">
              <w:rPr>
                <w:rFonts w:ascii="Traditional Arabic" w:hAnsi="Traditional Arabic"/>
                <w:sz w:val="24"/>
                <w:szCs w:val="24"/>
                <w:lang w:eastAsia="zh-TW"/>
              </w:rPr>
              <w:t>-</w:t>
            </w:r>
          </w:p>
        </w:tc>
        <w:tc>
          <w:tcPr>
            <w:tcW w:w="560" w:type="dxa"/>
            <w:tcBorders>
              <w:top w:val="nil"/>
              <w:bottom w:val="nil"/>
            </w:tcBorders>
            <w:shd w:val="clear" w:color="auto" w:fill="auto"/>
            <w:vAlign w:val="bottom"/>
          </w:tcPr>
          <w:p w:rsidR="002F6C52" w:rsidRPr="006345DE" w:rsidRDefault="002F6C52" w:rsidP="006345DE">
            <w:pPr>
              <w:keepNext/>
              <w:spacing w:before="40" w:after="40" w:line="300" w:lineRule="exact"/>
              <w:ind w:left="57"/>
              <w:textDirection w:val="tbRlV"/>
              <w:rPr>
                <w:rFonts w:ascii="Traditional Arabic" w:hAnsi="Traditional Arabic"/>
                <w:b/>
                <w:bCs/>
                <w:sz w:val="24"/>
                <w:szCs w:val="24"/>
                <w:rtl/>
                <w:lang w:eastAsia="zh-TW"/>
              </w:rPr>
            </w:pPr>
            <w:r w:rsidRPr="006345DE">
              <w:rPr>
                <w:rFonts w:ascii="Traditional Arabic" w:hAnsi="Traditional Arabic"/>
                <w:b/>
                <w:bCs/>
                <w:sz w:val="24"/>
                <w:szCs w:val="24"/>
                <w:rtl/>
                <w:lang w:eastAsia="zh-TW"/>
              </w:rPr>
              <w:t>٥١</w:t>
            </w:r>
          </w:p>
        </w:tc>
      </w:tr>
      <w:tr w:rsidR="006345DE" w:rsidRPr="006345DE" w:rsidTr="006345DE">
        <w:trPr>
          <w:cantSplit/>
        </w:trPr>
        <w:tc>
          <w:tcPr>
            <w:tcW w:w="1002" w:type="dxa"/>
            <w:tcBorders>
              <w:top w:val="nil"/>
            </w:tcBorders>
            <w:shd w:val="clear" w:color="auto" w:fill="auto"/>
          </w:tcPr>
          <w:p w:rsidR="002F6C52" w:rsidRPr="006345DE" w:rsidRDefault="002F6C52" w:rsidP="006345DE">
            <w:pPr>
              <w:spacing w:before="40" w:after="40" w:line="300" w:lineRule="exact"/>
              <w:ind w:left="57" w:right="57"/>
              <w:textDirection w:val="tbRlV"/>
              <w:rPr>
                <w:rFonts w:ascii="Traditional Arabic" w:hAnsi="Traditional Arabic"/>
                <w:sz w:val="24"/>
                <w:szCs w:val="24"/>
                <w:rtl/>
                <w:lang w:eastAsia="zh-TW"/>
              </w:rPr>
            </w:pPr>
            <w:r w:rsidRPr="006345DE">
              <w:rPr>
                <w:rFonts w:ascii="Traditional Arabic" w:hAnsi="Traditional Arabic"/>
                <w:sz w:val="24"/>
                <w:szCs w:val="24"/>
                <w:rtl/>
                <w:lang w:eastAsia="zh-TW"/>
              </w:rPr>
              <w:t>٢٠١٥</w:t>
            </w:r>
          </w:p>
        </w:tc>
        <w:tc>
          <w:tcPr>
            <w:tcW w:w="882" w:type="dxa"/>
            <w:tcBorders>
              <w:top w:val="nil"/>
            </w:tcBorders>
            <w:shd w:val="clear" w:color="auto" w:fill="auto"/>
            <w:vAlign w:val="bottom"/>
          </w:tcPr>
          <w:p w:rsidR="002F6C52" w:rsidRPr="006345DE" w:rsidRDefault="002F6C52" w:rsidP="006345DE">
            <w:pPr>
              <w:spacing w:before="40" w:after="40" w:line="300" w:lineRule="exact"/>
              <w:ind w:left="57" w:right="113"/>
              <w:textDirection w:val="tbRlV"/>
              <w:rPr>
                <w:rFonts w:ascii="Traditional Arabic" w:hAnsi="Traditional Arabic"/>
                <w:sz w:val="24"/>
                <w:szCs w:val="24"/>
                <w:rtl/>
                <w:lang w:eastAsia="zh-TW"/>
              </w:rPr>
            </w:pPr>
            <w:r w:rsidRPr="006345DE">
              <w:rPr>
                <w:rFonts w:ascii="Traditional Arabic" w:hAnsi="Traditional Arabic"/>
                <w:sz w:val="24"/>
                <w:szCs w:val="24"/>
                <w:lang w:eastAsia="zh-TW"/>
              </w:rPr>
              <w:t>-</w:t>
            </w:r>
          </w:p>
        </w:tc>
        <w:tc>
          <w:tcPr>
            <w:tcW w:w="742" w:type="dxa"/>
            <w:tcBorders>
              <w:top w:val="nil"/>
            </w:tcBorders>
            <w:shd w:val="clear" w:color="auto" w:fill="auto"/>
            <w:vAlign w:val="bottom"/>
          </w:tcPr>
          <w:p w:rsidR="002F6C52" w:rsidRPr="006345DE" w:rsidRDefault="002F6C52" w:rsidP="006345DE">
            <w:pPr>
              <w:spacing w:before="40" w:after="40" w:line="300" w:lineRule="exact"/>
              <w:ind w:left="57" w:right="113"/>
              <w:textDirection w:val="tbRlV"/>
              <w:rPr>
                <w:rFonts w:ascii="Traditional Arabic" w:hAnsi="Traditional Arabic"/>
                <w:sz w:val="24"/>
                <w:szCs w:val="24"/>
                <w:rtl/>
                <w:lang w:eastAsia="zh-TW"/>
              </w:rPr>
            </w:pPr>
            <w:r w:rsidRPr="006345DE">
              <w:rPr>
                <w:rFonts w:ascii="Traditional Arabic" w:hAnsi="Traditional Arabic"/>
                <w:sz w:val="24"/>
                <w:szCs w:val="24"/>
                <w:lang w:eastAsia="zh-TW"/>
              </w:rPr>
              <w:t>-</w:t>
            </w:r>
          </w:p>
        </w:tc>
        <w:tc>
          <w:tcPr>
            <w:tcW w:w="826" w:type="dxa"/>
            <w:tcBorders>
              <w:top w:val="nil"/>
            </w:tcBorders>
            <w:shd w:val="clear" w:color="auto" w:fill="auto"/>
            <w:vAlign w:val="bottom"/>
          </w:tcPr>
          <w:p w:rsidR="002F6C52" w:rsidRPr="006345DE" w:rsidRDefault="002F6C52" w:rsidP="006345DE">
            <w:pPr>
              <w:spacing w:before="40" w:after="40" w:line="300" w:lineRule="exact"/>
              <w:ind w:left="57" w:right="113"/>
              <w:textDirection w:val="tbRlV"/>
              <w:rPr>
                <w:rFonts w:ascii="Traditional Arabic" w:hAnsi="Traditional Arabic"/>
                <w:sz w:val="24"/>
                <w:szCs w:val="24"/>
                <w:rtl/>
                <w:lang w:eastAsia="zh-TW"/>
              </w:rPr>
            </w:pPr>
            <w:r w:rsidRPr="006345DE">
              <w:rPr>
                <w:rFonts w:ascii="Traditional Arabic" w:hAnsi="Traditional Arabic"/>
                <w:sz w:val="24"/>
                <w:szCs w:val="24"/>
                <w:lang w:eastAsia="zh-TW"/>
              </w:rPr>
              <w:t>-</w:t>
            </w:r>
          </w:p>
        </w:tc>
        <w:tc>
          <w:tcPr>
            <w:tcW w:w="937" w:type="dxa"/>
            <w:tcBorders>
              <w:top w:val="nil"/>
            </w:tcBorders>
            <w:shd w:val="clear" w:color="auto" w:fill="auto"/>
            <w:vAlign w:val="bottom"/>
          </w:tcPr>
          <w:p w:rsidR="002F6C52" w:rsidRPr="006345DE" w:rsidRDefault="002F6C52" w:rsidP="006345DE">
            <w:pPr>
              <w:spacing w:before="40" w:after="40" w:line="300" w:lineRule="exact"/>
              <w:ind w:left="57" w:right="113"/>
              <w:textDirection w:val="tbRlV"/>
              <w:rPr>
                <w:rFonts w:ascii="Traditional Arabic" w:hAnsi="Traditional Arabic"/>
                <w:sz w:val="24"/>
                <w:szCs w:val="24"/>
                <w:rtl/>
                <w:lang w:eastAsia="zh-TW"/>
              </w:rPr>
            </w:pPr>
            <w:r w:rsidRPr="006345DE">
              <w:rPr>
                <w:rFonts w:ascii="Traditional Arabic" w:hAnsi="Traditional Arabic"/>
                <w:sz w:val="24"/>
                <w:szCs w:val="24"/>
                <w:lang w:eastAsia="zh-TW"/>
              </w:rPr>
              <w:t>-</w:t>
            </w:r>
          </w:p>
        </w:tc>
        <w:tc>
          <w:tcPr>
            <w:tcW w:w="840" w:type="dxa"/>
            <w:tcBorders>
              <w:top w:val="nil"/>
            </w:tcBorders>
            <w:shd w:val="clear" w:color="auto" w:fill="auto"/>
            <w:vAlign w:val="bottom"/>
          </w:tcPr>
          <w:p w:rsidR="002F6C52" w:rsidRPr="006345DE" w:rsidRDefault="002F6C52" w:rsidP="006345DE">
            <w:pPr>
              <w:spacing w:before="40" w:after="40" w:line="300" w:lineRule="exact"/>
              <w:ind w:left="57" w:right="113"/>
              <w:textDirection w:val="tbRlV"/>
              <w:rPr>
                <w:rFonts w:ascii="Traditional Arabic" w:hAnsi="Traditional Arabic"/>
                <w:sz w:val="24"/>
                <w:szCs w:val="24"/>
                <w:rtl/>
                <w:lang w:eastAsia="zh-TW"/>
              </w:rPr>
            </w:pPr>
            <w:r w:rsidRPr="006345DE">
              <w:rPr>
                <w:rFonts w:ascii="Traditional Arabic" w:hAnsi="Traditional Arabic"/>
                <w:sz w:val="24"/>
                <w:szCs w:val="24"/>
                <w:rtl/>
                <w:lang w:eastAsia="zh-TW"/>
              </w:rPr>
              <w:t>٣</w:t>
            </w:r>
          </w:p>
        </w:tc>
        <w:tc>
          <w:tcPr>
            <w:tcW w:w="686" w:type="dxa"/>
            <w:tcBorders>
              <w:top w:val="nil"/>
            </w:tcBorders>
            <w:shd w:val="clear" w:color="auto" w:fill="auto"/>
            <w:vAlign w:val="bottom"/>
          </w:tcPr>
          <w:p w:rsidR="002F6C52" w:rsidRPr="006345DE" w:rsidRDefault="002F6C52" w:rsidP="006345DE">
            <w:pPr>
              <w:spacing w:before="40" w:after="40" w:line="300" w:lineRule="exact"/>
              <w:ind w:left="57" w:right="113"/>
              <w:textDirection w:val="tbRlV"/>
              <w:rPr>
                <w:rFonts w:ascii="Traditional Arabic" w:hAnsi="Traditional Arabic"/>
                <w:sz w:val="24"/>
                <w:szCs w:val="24"/>
                <w:rtl/>
                <w:lang w:eastAsia="zh-TW"/>
              </w:rPr>
            </w:pPr>
            <w:r w:rsidRPr="006345DE">
              <w:rPr>
                <w:rFonts w:ascii="Traditional Arabic" w:hAnsi="Traditional Arabic"/>
                <w:sz w:val="24"/>
                <w:szCs w:val="24"/>
                <w:rtl/>
                <w:lang w:eastAsia="zh-TW"/>
              </w:rPr>
              <w:t>٤٣</w:t>
            </w:r>
          </w:p>
        </w:tc>
        <w:tc>
          <w:tcPr>
            <w:tcW w:w="742" w:type="dxa"/>
            <w:tcBorders>
              <w:top w:val="nil"/>
            </w:tcBorders>
            <w:shd w:val="clear" w:color="auto" w:fill="auto"/>
            <w:vAlign w:val="bottom"/>
          </w:tcPr>
          <w:p w:rsidR="002F6C52" w:rsidRPr="006345DE" w:rsidRDefault="002F6C52" w:rsidP="006345DE">
            <w:pPr>
              <w:spacing w:before="40" w:after="40" w:line="300" w:lineRule="exact"/>
              <w:ind w:left="57" w:right="113"/>
              <w:textDirection w:val="tbRlV"/>
              <w:rPr>
                <w:rFonts w:ascii="Traditional Arabic" w:hAnsi="Traditional Arabic"/>
                <w:sz w:val="24"/>
                <w:szCs w:val="24"/>
                <w:rtl/>
                <w:lang w:eastAsia="zh-TW"/>
              </w:rPr>
            </w:pPr>
            <w:r w:rsidRPr="006345DE">
              <w:rPr>
                <w:rFonts w:ascii="Traditional Arabic" w:hAnsi="Traditional Arabic"/>
                <w:sz w:val="24"/>
                <w:szCs w:val="24"/>
                <w:lang w:eastAsia="zh-TW"/>
              </w:rPr>
              <w:t>-</w:t>
            </w:r>
          </w:p>
        </w:tc>
        <w:tc>
          <w:tcPr>
            <w:tcW w:w="826" w:type="dxa"/>
            <w:tcBorders>
              <w:top w:val="nil"/>
            </w:tcBorders>
            <w:shd w:val="clear" w:color="auto" w:fill="auto"/>
            <w:vAlign w:val="bottom"/>
          </w:tcPr>
          <w:p w:rsidR="002F6C52" w:rsidRPr="006345DE" w:rsidRDefault="002F6C52" w:rsidP="006345DE">
            <w:pPr>
              <w:spacing w:before="40" w:after="40" w:line="300" w:lineRule="exact"/>
              <w:ind w:left="57" w:right="113"/>
              <w:textDirection w:val="tbRlV"/>
              <w:rPr>
                <w:rFonts w:ascii="Traditional Arabic" w:hAnsi="Traditional Arabic"/>
                <w:sz w:val="24"/>
                <w:szCs w:val="24"/>
                <w:rtl/>
                <w:lang w:eastAsia="zh-TW"/>
              </w:rPr>
            </w:pPr>
            <w:r w:rsidRPr="006345DE">
              <w:rPr>
                <w:rFonts w:ascii="Traditional Arabic" w:hAnsi="Traditional Arabic"/>
                <w:sz w:val="24"/>
                <w:szCs w:val="24"/>
                <w:rtl/>
                <w:lang w:eastAsia="zh-TW"/>
              </w:rPr>
              <w:t>١٦٥</w:t>
            </w:r>
          </w:p>
        </w:tc>
        <w:tc>
          <w:tcPr>
            <w:tcW w:w="728" w:type="dxa"/>
            <w:tcBorders>
              <w:top w:val="nil"/>
            </w:tcBorders>
            <w:shd w:val="clear" w:color="auto" w:fill="auto"/>
            <w:vAlign w:val="bottom"/>
          </w:tcPr>
          <w:p w:rsidR="002F6C52" w:rsidRPr="006345DE" w:rsidRDefault="002F6C52" w:rsidP="006345DE">
            <w:pPr>
              <w:spacing w:before="40" w:after="40" w:line="300" w:lineRule="exact"/>
              <w:ind w:left="57" w:right="113"/>
              <w:textDirection w:val="tbRlV"/>
              <w:rPr>
                <w:rFonts w:ascii="Traditional Arabic" w:hAnsi="Traditional Arabic"/>
                <w:sz w:val="24"/>
                <w:szCs w:val="24"/>
                <w:rtl/>
                <w:lang w:eastAsia="zh-TW"/>
              </w:rPr>
            </w:pPr>
            <w:r w:rsidRPr="006345DE">
              <w:rPr>
                <w:rFonts w:ascii="Traditional Arabic" w:hAnsi="Traditional Arabic"/>
                <w:sz w:val="24"/>
                <w:szCs w:val="24"/>
                <w:lang w:eastAsia="zh-TW"/>
              </w:rPr>
              <w:t>-</w:t>
            </w:r>
          </w:p>
        </w:tc>
        <w:tc>
          <w:tcPr>
            <w:tcW w:w="868" w:type="dxa"/>
            <w:tcBorders>
              <w:top w:val="nil"/>
            </w:tcBorders>
            <w:shd w:val="clear" w:color="auto" w:fill="auto"/>
            <w:vAlign w:val="bottom"/>
          </w:tcPr>
          <w:p w:rsidR="002F6C52" w:rsidRPr="006345DE" w:rsidRDefault="002F6C52" w:rsidP="006345DE">
            <w:pPr>
              <w:spacing w:before="40" w:after="40" w:line="300" w:lineRule="exact"/>
              <w:ind w:left="57" w:right="113"/>
              <w:textDirection w:val="tbRlV"/>
              <w:rPr>
                <w:rFonts w:ascii="Traditional Arabic" w:hAnsi="Traditional Arabic"/>
                <w:sz w:val="24"/>
                <w:szCs w:val="24"/>
                <w:rtl/>
                <w:lang w:eastAsia="zh-TW"/>
              </w:rPr>
            </w:pPr>
            <w:r w:rsidRPr="006345DE">
              <w:rPr>
                <w:rFonts w:ascii="Traditional Arabic" w:hAnsi="Traditional Arabic"/>
                <w:sz w:val="24"/>
                <w:szCs w:val="24"/>
                <w:lang w:eastAsia="zh-TW"/>
              </w:rPr>
              <w:t>-</w:t>
            </w:r>
          </w:p>
        </w:tc>
        <w:tc>
          <w:tcPr>
            <w:tcW w:w="560" w:type="dxa"/>
            <w:tcBorders>
              <w:top w:val="nil"/>
            </w:tcBorders>
            <w:shd w:val="clear" w:color="auto" w:fill="auto"/>
            <w:vAlign w:val="bottom"/>
          </w:tcPr>
          <w:p w:rsidR="002F6C52" w:rsidRPr="006345DE" w:rsidRDefault="002F6C52" w:rsidP="006345DE">
            <w:pPr>
              <w:spacing w:before="40" w:after="40" w:line="300" w:lineRule="exact"/>
              <w:ind w:left="57"/>
              <w:textDirection w:val="tbRlV"/>
              <w:rPr>
                <w:rFonts w:ascii="Traditional Arabic" w:hAnsi="Traditional Arabic"/>
                <w:b/>
                <w:bCs/>
                <w:sz w:val="24"/>
                <w:szCs w:val="24"/>
                <w:rtl/>
                <w:lang w:eastAsia="zh-TW"/>
              </w:rPr>
            </w:pPr>
            <w:r w:rsidRPr="006345DE">
              <w:rPr>
                <w:rFonts w:ascii="Traditional Arabic" w:hAnsi="Traditional Arabic"/>
                <w:b/>
                <w:bCs/>
                <w:sz w:val="24"/>
                <w:szCs w:val="24"/>
                <w:rtl/>
                <w:lang w:eastAsia="zh-TW"/>
              </w:rPr>
              <w:t>٢١١</w:t>
            </w:r>
          </w:p>
        </w:tc>
      </w:tr>
      <w:tr w:rsidR="006345DE" w:rsidRPr="006345DE" w:rsidTr="006345DE">
        <w:trPr>
          <w:cantSplit/>
        </w:trPr>
        <w:tc>
          <w:tcPr>
            <w:tcW w:w="1002" w:type="dxa"/>
            <w:shd w:val="clear" w:color="auto" w:fill="auto"/>
          </w:tcPr>
          <w:p w:rsidR="002F6C52" w:rsidRPr="006345DE" w:rsidRDefault="002F6C52" w:rsidP="006345DE">
            <w:pPr>
              <w:spacing w:before="40" w:after="40" w:line="300" w:lineRule="exact"/>
              <w:ind w:left="57" w:right="57"/>
              <w:textDirection w:val="tbRlV"/>
              <w:rPr>
                <w:rFonts w:ascii="Traditional Arabic" w:hAnsi="Traditional Arabic"/>
                <w:sz w:val="24"/>
                <w:szCs w:val="24"/>
                <w:rtl/>
                <w:lang w:eastAsia="zh-TW"/>
              </w:rPr>
            </w:pPr>
            <w:r w:rsidRPr="006345DE">
              <w:rPr>
                <w:rFonts w:ascii="Traditional Arabic" w:hAnsi="Traditional Arabic"/>
                <w:sz w:val="24"/>
                <w:szCs w:val="24"/>
                <w:rtl/>
                <w:lang w:eastAsia="zh-TW"/>
              </w:rPr>
              <w:t>٢٠١٦</w:t>
            </w:r>
          </w:p>
        </w:tc>
        <w:tc>
          <w:tcPr>
            <w:tcW w:w="882" w:type="dxa"/>
            <w:shd w:val="clear" w:color="auto" w:fill="auto"/>
            <w:vAlign w:val="bottom"/>
          </w:tcPr>
          <w:p w:rsidR="002F6C52" w:rsidRPr="006345DE" w:rsidRDefault="002F6C52" w:rsidP="006345DE">
            <w:pPr>
              <w:spacing w:before="40" w:after="40" w:line="300" w:lineRule="exact"/>
              <w:ind w:left="57" w:right="113"/>
              <w:textDirection w:val="tbRlV"/>
              <w:rPr>
                <w:rFonts w:ascii="Traditional Arabic" w:hAnsi="Traditional Arabic"/>
                <w:sz w:val="24"/>
                <w:szCs w:val="24"/>
                <w:rtl/>
                <w:lang w:eastAsia="zh-TW"/>
              </w:rPr>
            </w:pPr>
            <w:r w:rsidRPr="006345DE">
              <w:rPr>
                <w:rFonts w:ascii="Traditional Arabic" w:hAnsi="Traditional Arabic"/>
                <w:sz w:val="24"/>
                <w:szCs w:val="24"/>
                <w:lang w:eastAsia="zh-TW"/>
              </w:rPr>
              <w:t>-</w:t>
            </w:r>
          </w:p>
        </w:tc>
        <w:tc>
          <w:tcPr>
            <w:tcW w:w="742" w:type="dxa"/>
            <w:shd w:val="clear" w:color="auto" w:fill="auto"/>
            <w:vAlign w:val="bottom"/>
          </w:tcPr>
          <w:p w:rsidR="002F6C52" w:rsidRPr="006345DE" w:rsidRDefault="002F6C52" w:rsidP="006345DE">
            <w:pPr>
              <w:spacing w:before="40" w:after="40" w:line="300" w:lineRule="exact"/>
              <w:ind w:left="57" w:right="113"/>
              <w:textDirection w:val="tbRlV"/>
              <w:rPr>
                <w:rFonts w:ascii="Traditional Arabic" w:hAnsi="Traditional Arabic"/>
                <w:sz w:val="24"/>
                <w:szCs w:val="24"/>
                <w:rtl/>
                <w:lang w:eastAsia="zh-TW"/>
              </w:rPr>
            </w:pPr>
            <w:r w:rsidRPr="006345DE">
              <w:rPr>
                <w:rFonts w:ascii="Traditional Arabic" w:hAnsi="Traditional Arabic"/>
                <w:sz w:val="24"/>
                <w:szCs w:val="24"/>
                <w:lang w:eastAsia="zh-TW"/>
              </w:rPr>
              <w:t>-</w:t>
            </w:r>
          </w:p>
        </w:tc>
        <w:tc>
          <w:tcPr>
            <w:tcW w:w="826" w:type="dxa"/>
            <w:shd w:val="clear" w:color="auto" w:fill="auto"/>
            <w:vAlign w:val="bottom"/>
          </w:tcPr>
          <w:p w:rsidR="002F6C52" w:rsidRPr="006345DE" w:rsidRDefault="002F6C52" w:rsidP="006345DE">
            <w:pPr>
              <w:spacing w:before="40" w:after="40" w:line="300" w:lineRule="exact"/>
              <w:ind w:left="57" w:right="113"/>
              <w:textDirection w:val="tbRlV"/>
              <w:rPr>
                <w:rFonts w:ascii="Traditional Arabic" w:hAnsi="Traditional Arabic"/>
                <w:sz w:val="24"/>
                <w:szCs w:val="24"/>
                <w:rtl/>
                <w:lang w:eastAsia="zh-TW"/>
              </w:rPr>
            </w:pPr>
            <w:r w:rsidRPr="006345DE">
              <w:rPr>
                <w:rFonts w:ascii="Traditional Arabic" w:hAnsi="Traditional Arabic"/>
                <w:sz w:val="24"/>
                <w:szCs w:val="24"/>
                <w:lang w:eastAsia="zh-TW"/>
              </w:rPr>
              <w:t>-</w:t>
            </w:r>
          </w:p>
        </w:tc>
        <w:tc>
          <w:tcPr>
            <w:tcW w:w="937" w:type="dxa"/>
            <w:shd w:val="clear" w:color="auto" w:fill="auto"/>
            <w:vAlign w:val="bottom"/>
          </w:tcPr>
          <w:p w:rsidR="002F6C52" w:rsidRPr="006345DE" w:rsidRDefault="002F6C52" w:rsidP="006345DE">
            <w:pPr>
              <w:spacing w:before="40" w:after="40" w:line="300" w:lineRule="exact"/>
              <w:ind w:left="57" w:right="113"/>
              <w:textDirection w:val="tbRlV"/>
              <w:rPr>
                <w:rFonts w:ascii="Traditional Arabic" w:hAnsi="Traditional Arabic"/>
                <w:sz w:val="24"/>
                <w:szCs w:val="24"/>
                <w:rtl/>
                <w:lang w:eastAsia="zh-TW"/>
              </w:rPr>
            </w:pPr>
            <w:r w:rsidRPr="006345DE">
              <w:rPr>
                <w:rFonts w:ascii="Traditional Arabic" w:hAnsi="Traditional Arabic"/>
                <w:sz w:val="24"/>
                <w:szCs w:val="24"/>
                <w:lang w:eastAsia="zh-TW"/>
              </w:rPr>
              <w:t>-</w:t>
            </w:r>
          </w:p>
        </w:tc>
        <w:tc>
          <w:tcPr>
            <w:tcW w:w="840" w:type="dxa"/>
            <w:shd w:val="clear" w:color="auto" w:fill="auto"/>
            <w:vAlign w:val="bottom"/>
          </w:tcPr>
          <w:p w:rsidR="002F6C52" w:rsidRPr="006345DE" w:rsidRDefault="002F6C52" w:rsidP="006345DE">
            <w:pPr>
              <w:spacing w:before="40" w:after="40" w:line="300" w:lineRule="exact"/>
              <w:ind w:left="57" w:right="113"/>
              <w:textDirection w:val="tbRlV"/>
              <w:rPr>
                <w:rFonts w:ascii="Traditional Arabic" w:hAnsi="Traditional Arabic"/>
                <w:sz w:val="24"/>
                <w:szCs w:val="24"/>
                <w:rtl/>
                <w:lang w:eastAsia="zh-TW"/>
              </w:rPr>
            </w:pPr>
            <w:r w:rsidRPr="006345DE">
              <w:rPr>
                <w:rFonts w:ascii="Traditional Arabic" w:hAnsi="Traditional Arabic"/>
                <w:sz w:val="24"/>
                <w:szCs w:val="24"/>
                <w:rtl/>
                <w:lang w:eastAsia="zh-TW"/>
              </w:rPr>
              <w:t>٤</w:t>
            </w:r>
          </w:p>
        </w:tc>
        <w:tc>
          <w:tcPr>
            <w:tcW w:w="686" w:type="dxa"/>
            <w:shd w:val="clear" w:color="auto" w:fill="auto"/>
            <w:vAlign w:val="bottom"/>
          </w:tcPr>
          <w:p w:rsidR="002F6C52" w:rsidRPr="006345DE" w:rsidRDefault="002F6C52" w:rsidP="006345DE">
            <w:pPr>
              <w:spacing w:before="40" w:after="40" w:line="300" w:lineRule="exact"/>
              <w:ind w:left="57" w:right="113"/>
              <w:textDirection w:val="tbRlV"/>
              <w:rPr>
                <w:rFonts w:ascii="Traditional Arabic" w:hAnsi="Traditional Arabic"/>
                <w:sz w:val="24"/>
                <w:szCs w:val="24"/>
                <w:rtl/>
                <w:lang w:eastAsia="zh-TW"/>
              </w:rPr>
            </w:pPr>
            <w:r w:rsidRPr="006345DE">
              <w:rPr>
                <w:rFonts w:ascii="Traditional Arabic" w:hAnsi="Traditional Arabic"/>
                <w:sz w:val="24"/>
                <w:szCs w:val="24"/>
                <w:rtl/>
                <w:lang w:eastAsia="zh-TW"/>
              </w:rPr>
              <w:t>٢٢</w:t>
            </w:r>
          </w:p>
        </w:tc>
        <w:tc>
          <w:tcPr>
            <w:tcW w:w="742" w:type="dxa"/>
            <w:shd w:val="clear" w:color="auto" w:fill="auto"/>
            <w:vAlign w:val="bottom"/>
          </w:tcPr>
          <w:p w:rsidR="002F6C52" w:rsidRPr="006345DE" w:rsidRDefault="002F6C52" w:rsidP="006345DE">
            <w:pPr>
              <w:spacing w:before="40" w:after="40" w:line="300" w:lineRule="exact"/>
              <w:ind w:left="57" w:right="113"/>
              <w:textDirection w:val="tbRlV"/>
              <w:rPr>
                <w:rFonts w:ascii="Traditional Arabic" w:hAnsi="Traditional Arabic"/>
                <w:sz w:val="24"/>
                <w:szCs w:val="24"/>
                <w:rtl/>
                <w:lang w:eastAsia="zh-TW"/>
              </w:rPr>
            </w:pPr>
            <w:r w:rsidRPr="006345DE">
              <w:rPr>
                <w:rFonts w:ascii="Traditional Arabic" w:hAnsi="Traditional Arabic"/>
                <w:sz w:val="24"/>
                <w:szCs w:val="24"/>
                <w:lang w:eastAsia="zh-TW"/>
              </w:rPr>
              <w:t>-</w:t>
            </w:r>
          </w:p>
        </w:tc>
        <w:tc>
          <w:tcPr>
            <w:tcW w:w="826" w:type="dxa"/>
            <w:shd w:val="clear" w:color="auto" w:fill="auto"/>
            <w:vAlign w:val="bottom"/>
          </w:tcPr>
          <w:p w:rsidR="002F6C52" w:rsidRPr="006345DE" w:rsidRDefault="002F6C52" w:rsidP="006345DE">
            <w:pPr>
              <w:spacing w:before="40" w:after="40" w:line="300" w:lineRule="exact"/>
              <w:ind w:left="57" w:right="113"/>
              <w:textDirection w:val="tbRlV"/>
              <w:rPr>
                <w:rFonts w:ascii="Traditional Arabic" w:hAnsi="Traditional Arabic"/>
                <w:sz w:val="24"/>
                <w:szCs w:val="24"/>
                <w:rtl/>
                <w:lang w:eastAsia="zh-TW"/>
              </w:rPr>
            </w:pPr>
            <w:r w:rsidRPr="006345DE">
              <w:rPr>
                <w:rFonts w:ascii="Traditional Arabic" w:hAnsi="Traditional Arabic"/>
                <w:sz w:val="24"/>
                <w:szCs w:val="24"/>
                <w:rtl/>
                <w:lang w:eastAsia="zh-TW"/>
              </w:rPr>
              <w:t>٥٨</w:t>
            </w:r>
          </w:p>
        </w:tc>
        <w:tc>
          <w:tcPr>
            <w:tcW w:w="728" w:type="dxa"/>
            <w:shd w:val="clear" w:color="auto" w:fill="auto"/>
            <w:vAlign w:val="bottom"/>
          </w:tcPr>
          <w:p w:rsidR="002F6C52" w:rsidRPr="006345DE" w:rsidRDefault="002F6C52" w:rsidP="006345DE">
            <w:pPr>
              <w:spacing w:before="40" w:after="40" w:line="300" w:lineRule="exact"/>
              <w:ind w:left="57" w:right="113"/>
              <w:textDirection w:val="tbRlV"/>
              <w:rPr>
                <w:rFonts w:ascii="Traditional Arabic" w:hAnsi="Traditional Arabic"/>
                <w:sz w:val="24"/>
                <w:szCs w:val="24"/>
                <w:rtl/>
                <w:lang w:eastAsia="zh-TW"/>
              </w:rPr>
            </w:pPr>
            <w:r w:rsidRPr="006345DE">
              <w:rPr>
                <w:rFonts w:ascii="Traditional Arabic" w:hAnsi="Traditional Arabic"/>
                <w:sz w:val="24"/>
                <w:szCs w:val="24"/>
                <w:rtl/>
                <w:lang w:eastAsia="zh-TW"/>
              </w:rPr>
              <w:t>١</w:t>
            </w:r>
          </w:p>
        </w:tc>
        <w:tc>
          <w:tcPr>
            <w:tcW w:w="868" w:type="dxa"/>
            <w:shd w:val="clear" w:color="auto" w:fill="auto"/>
            <w:vAlign w:val="bottom"/>
          </w:tcPr>
          <w:p w:rsidR="002F6C52" w:rsidRPr="006345DE" w:rsidRDefault="002F6C52" w:rsidP="006345DE">
            <w:pPr>
              <w:spacing w:before="40" w:after="40" w:line="300" w:lineRule="exact"/>
              <w:ind w:left="57" w:right="113"/>
              <w:textDirection w:val="tbRlV"/>
              <w:rPr>
                <w:rFonts w:ascii="Traditional Arabic" w:hAnsi="Traditional Arabic"/>
                <w:sz w:val="24"/>
                <w:szCs w:val="24"/>
                <w:rtl/>
                <w:lang w:eastAsia="zh-TW"/>
              </w:rPr>
            </w:pPr>
            <w:r w:rsidRPr="006345DE">
              <w:rPr>
                <w:rFonts w:ascii="Traditional Arabic" w:hAnsi="Traditional Arabic"/>
                <w:sz w:val="24"/>
                <w:szCs w:val="24"/>
                <w:lang w:eastAsia="zh-TW"/>
              </w:rPr>
              <w:t>-</w:t>
            </w:r>
          </w:p>
        </w:tc>
        <w:tc>
          <w:tcPr>
            <w:tcW w:w="560" w:type="dxa"/>
            <w:shd w:val="clear" w:color="auto" w:fill="auto"/>
            <w:vAlign w:val="bottom"/>
          </w:tcPr>
          <w:p w:rsidR="002F6C52" w:rsidRPr="006345DE" w:rsidRDefault="002F6C52" w:rsidP="006345DE">
            <w:pPr>
              <w:spacing w:before="40" w:after="40" w:line="300" w:lineRule="exact"/>
              <w:ind w:left="57"/>
              <w:textDirection w:val="tbRlV"/>
              <w:rPr>
                <w:rFonts w:ascii="Traditional Arabic" w:hAnsi="Traditional Arabic"/>
                <w:b/>
                <w:bCs/>
                <w:sz w:val="24"/>
                <w:szCs w:val="24"/>
                <w:rtl/>
                <w:lang w:eastAsia="zh-TW"/>
              </w:rPr>
            </w:pPr>
            <w:r w:rsidRPr="006345DE">
              <w:rPr>
                <w:rFonts w:ascii="Traditional Arabic" w:hAnsi="Traditional Arabic"/>
                <w:b/>
                <w:bCs/>
                <w:sz w:val="24"/>
                <w:szCs w:val="24"/>
                <w:rtl/>
                <w:lang w:eastAsia="zh-TW"/>
              </w:rPr>
              <w:t>٨٥</w:t>
            </w:r>
          </w:p>
        </w:tc>
      </w:tr>
      <w:tr w:rsidR="006345DE" w:rsidRPr="006345DE" w:rsidTr="006345DE">
        <w:trPr>
          <w:cantSplit/>
        </w:trPr>
        <w:tc>
          <w:tcPr>
            <w:tcW w:w="1002" w:type="dxa"/>
            <w:tcBorders>
              <w:bottom w:val="single" w:sz="4" w:space="0" w:color="auto"/>
            </w:tcBorders>
            <w:shd w:val="clear" w:color="auto" w:fill="auto"/>
          </w:tcPr>
          <w:p w:rsidR="002F6C52" w:rsidRPr="006345DE" w:rsidRDefault="006345DE" w:rsidP="006345DE">
            <w:pPr>
              <w:spacing w:before="40" w:after="40" w:line="300" w:lineRule="exact"/>
              <w:ind w:left="57" w:right="57"/>
              <w:textDirection w:val="tbRlV"/>
              <w:rPr>
                <w:rFonts w:ascii="Traditional Arabic" w:hAnsi="Traditional Arabic"/>
                <w:sz w:val="24"/>
                <w:szCs w:val="24"/>
                <w:rtl/>
                <w:lang w:eastAsia="zh-TW"/>
              </w:rPr>
            </w:pPr>
            <w:r>
              <w:rPr>
                <w:rFonts w:ascii="Traditional Arabic" w:hAnsi="Traditional Arabic" w:hint="cs"/>
                <w:sz w:val="24"/>
                <w:szCs w:val="24"/>
                <w:rtl/>
                <w:lang w:eastAsia="zh-TW"/>
              </w:rPr>
              <w:t>2017</w:t>
            </w:r>
            <w:r w:rsidR="002F6C52" w:rsidRPr="00FE6BFA">
              <w:rPr>
                <w:rFonts w:ascii="Traditional Arabic" w:hAnsi="Traditional Arabic"/>
                <w:sz w:val="24"/>
                <w:szCs w:val="24"/>
                <w:vertAlign w:val="superscript"/>
                <w:rtl/>
                <w:lang w:eastAsia="zh-TW"/>
              </w:rPr>
              <w:t>(ب)</w:t>
            </w:r>
          </w:p>
        </w:tc>
        <w:tc>
          <w:tcPr>
            <w:tcW w:w="882" w:type="dxa"/>
            <w:tcBorders>
              <w:bottom w:val="single" w:sz="4" w:space="0" w:color="auto"/>
            </w:tcBorders>
            <w:shd w:val="clear" w:color="auto" w:fill="auto"/>
            <w:vAlign w:val="bottom"/>
          </w:tcPr>
          <w:p w:rsidR="002F6C52" w:rsidRPr="006345DE" w:rsidRDefault="002F6C52" w:rsidP="006345DE">
            <w:pPr>
              <w:spacing w:before="40" w:after="40" w:line="300" w:lineRule="exact"/>
              <w:ind w:left="57" w:right="113"/>
              <w:textDirection w:val="tbRlV"/>
              <w:rPr>
                <w:rFonts w:ascii="Traditional Arabic" w:hAnsi="Traditional Arabic"/>
                <w:sz w:val="24"/>
                <w:szCs w:val="24"/>
                <w:rtl/>
                <w:lang w:eastAsia="zh-TW"/>
              </w:rPr>
            </w:pPr>
            <w:r w:rsidRPr="006345DE">
              <w:rPr>
                <w:rFonts w:ascii="Traditional Arabic" w:hAnsi="Traditional Arabic"/>
                <w:sz w:val="24"/>
                <w:szCs w:val="24"/>
                <w:rtl/>
                <w:lang w:eastAsia="zh-TW"/>
              </w:rPr>
              <w:t>٢</w:t>
            </w:r>
          </w:p>
        </w:tc>
        <w:tc>
          <w:tcPr>
            <w:tcW w:w="742" w:type="dxa"/>
            <w:tcBorders>
              <w:bottom w:val="single" w:sz="4" w:space="0" w:color="auto"/>
            </w:tcBorders>
            <w:shd w:val="clear" w:color="auto" w:fill="auto"/>
            <w:vAlign w:val="bottom"/>
          </w:tcPr>
          <w:p w:rsidR="002F6C52" w:rsidRPr="006345DE" w:rsidRDefault="002F6C52" w:rsidP="006345DE">
            <w:pPr>
              <w:spacing w:before="40" w:after="40" w:line="300" w:lineRule="exact"/>
              <w:ind w:left="57" w:right="113"/>
              <w:textDirection w:val="tbRlV"/>
              <w:rPr>
                <w:rFonts w:ascii="Traditional Arabic" w:hAnsi="Traditional Arabic"/>
                <w:sz w:val="24"/>
                <w:szCs w:val="24"/>
                <w:rtl/>
                <w:lang w:eastAsia="zh-TW"/>
              </w:rPr>
            </w:pPr>
            <w:r w:rsidRPr="006345DE">
              <w:rPr>
                <w:rFonts w:ascii="Traditional Arabic" w:hAnsi="Traditional Arabic"/>
                <w:sz w:val="24"/>
                <w:szCs w:val="24"/>
                <w:rtl/>
                <w:lang w:eastAsia="zh-TW"/>
              </w:rPr>
              <w:t>١</w:t>
            </w:r>
          </w:p>
        </w:tc>
        <w:tc>
          <w:tcPr>
            <w:tcW w:w="826" w:type="dxa"/>
            <w:tcBorders>
              <w:bottom w:val="single" w:sz="4" w:space="0" w:color="auto"/>
            </w:tcBorders>
            <w:shd w:val="clear" w:color="auto" w:fill="auto"/>
            <w:vAlign w:val="bottom"/>
          </w:tcPr>
          <w:p w:rsidR="002F6C52" w:rsidRPr="006345DE" w:rsidRDefault="002F6C52" w:rsidP="006345DE">
            <w:pPr>
              <w:spacing w:before="40" w:after="40" w:line="300" w:lineRule="exact"/>
              <w:ind w:left="57" w:right="113"/>
              <w:textDirection w:val="tbRlV"/>
              <w:rPr>
                <w:rFonts w:ascii="Traditional Arabic" w:hAnsi="Traditional Arabic"/>
                <w:sz w:val="24"/>
                <w:szCs w:val="24"/>
                <w:rtl/>
                <w:lang w:eastAsia="zh-TW"/>
              </w:rPr>
            </w:pPr>
            <w:r w:rsidRPr="006345DE">
              <w:rPr>
                <w:rFonts w:ascii="Traditional Arabic" w:hAnsi="Traditional Arabic"/>
                <w:sz w:val="24"/>
                <w:szCs w:val="24"/>
                <w:lang w:eastAsia="zh-TW"/>
              </w:rPr>
              <w:t>-</w:t>
            </w:r>
          </w:p>
        </w:tc>
        <w:tc>
          <w:tcPr>
            <w:tcW w:w="937" w:type="dxa"/>
            <w:tcBorders>
              <w:bottom w:val="single" w:sz="4" w:space="0" w:color="auto"/>
            </w:tcBorders>
            <w:shd w:val="clear" w:color="auto" w:fill="auto"/>
            <w:vAlign w:val="bottom"/>
          </w:tcPr>
          <w:p w:rsidR="002F6C52" w:rsidRPr="006345DE" w:rsidRDefault="002F6C52" w:rsidP="006345DE">
            <w:pPr>
              <w:spacing w:before="40" w:after="40" w:line="300" w:lineRule="exact"/>
              <w:ind w:left="57" w:right="113"/>
              <w:textDirection w:val="tbRlV"/>
              <w:rPr>
                <w:rFonts w:ascii="Traditional Arabic" w:hAnsi="Traditional Arabic"/>
                <w:sz w:val="24"/>
                <w:szCs w:val="24"/>
                <w:rtl/>
                <w:lang w:eastAsia="zh-TW"/>
              </w:rPr>
            </w:pPr>
            <w:r w:rsidRPr="006345DE">
              <w:rPr>
                <w:rFonts w:ascii="Traditional Arabic" w:hAnsi="Traditional Arabic"/>
                <w:sz w:val="24"/>
                <w:szCs w:val="24"/>
                <w:lang w:eastAsia="zh-TW"/>
              </w:rPr>
              <w:t>-</w:t>
            </w:r>
          </w:p>
        </w:tc>
        <w:tc>
          <w:tcPr>
            <w:tcW w:w="840" w:type="dxa"/>
            <w:tcBorders>
              <w:bottom w:val="single" w:sz="4" w:space="0" w:color="auto"/>
            </w:tcBorders>
            <w:shd w:val="clear" w:color="auto" w:fill="auto"/>
            <w:vAlign w:val="bottom"/>
          </w:tcPr>
          <w:p w:rsidR="002F6C52" w:rsidRPr="006345DE" w:rsidRDefault="002F6C52" w:rsidP="006345DE">
            <w:pPr>
              <w:spacing w:before="40" w:after="40" w:line="300" w:lineRule="exact"/>
              <w:ind w:left="57" w:right="113"/>
              <w:textDirection w:val="tbRlV"/>
              <w:rPr>
                <w:rFonts w:ascii="Traditional Arabic" w:hAnsi="Traditional Arabic"/>
                <w:sz w:val="24"/>
                <w:szCs w:val="24"/>
                <w:rtl/>
                <w:lang w:eastAsia="zh-TW"/>
              </w:rPr>
            </w:pPr>
            <w:r w:rsidRPr="006345DE">
              <w:rPr>
                <w:rFonts w:ascii="Traditional Arabic" w:hAnsi="Traditional Arabic"/>
                <w:sz w:val="24"/>
                <w:szCs w:val="24"/>
                <w:rtl/>
                <w:lang w:eastAsia="zh-TW"/>
              </w:rPr>
              <w:t>٣</w:t>
            </w:r>
          </w:p>
        </w:tc>
        <w:tc>
          <w:tcPr>
            <w:tcW w:w="686" w:type="dxa"/>
            <w:tcBorders>
              <w:bottom w:val="single" w:sz="4" w:space="0" w:color="auto"/>
            </w:tcBorders>
            <w:shd w:val="clear" w:color="auto" w:fill="auto"/>
            <w:vAlign w:val="bottom"/>
          </w:tcPr>
          <w:p w:rsidR="002F6C52" w:rsidRPr="006345DE" w:rsidRDefault="002F6C52" w:rsidP="006345DE">
            <w:pPr>
              <w:spacing w:before="40" w:after="40" w:line="300" w:lineRule="exact"/>
              <w:ind w:left="57" w:right="113"/>
              <w:textDirection w:val="tbRlV"/>
              <w:rPr>
                <w:rFonts w:ascii="Traditional Arabic" w:hAnsi="Traditional Arabic"/>
                <w:sz w:val="24"/>
                <w:szCs w:val="24"/>
                <w:rtl/>
                <w:lang w:eastAsia="zh-TW"/>
              </w:rPr>
            </w:pPr>
            <w:r w:rsidRPr="006345DE">
              <w:rPr>
                <w:rFonts w:ascii="Traditional Arabic" w:hAnsi="Traditional Arabic"/>
                <w:sz w:val="24"/>
                <w:szCs w:val="24"/>
                <w:rtl/>
                <w:lang w:eastAsia="zh-TW"/>
              </w:rPr>
              <w:t>٤٦</w:t>
            </w:r>
          </w:p>
        </w:tc>
        <w:tc>
          <w:tcPr>
            <w:tcW w:w="742" w:type="dxa"/>
            <w:tcBorders>
              <w:bottom w:val="single" w:sz="4" w:space="0" w:color="auto"/>
            </w:tcBorders>
            <w:shd w:val="clear" w:color="auto" w:fill="auto"/>
            <w:vAlign w:val="bottom"/>
          </w:tcPr>
          <w:p w:rsidR="002F6C52" w:rsidRPr="006345DE" w:rsidRDefault="002F6C52" w:rsidP="006345DE">
            <w:pPr>
              <w:spacing w:before="40" w:after="40" w:line="300" w:lineRule="exact"/>
              <w:ind w:left="57" w:right="113"/>
              <w:textDirection w:val="tbRlV"/>
              <w:rPr>
                <w:rFonts w:ascii="Traditional Arabic" w:hAnsi="Traditional Arabic"/>
                <w:sz w:val="24"/>
                <w:szCs w:val="24"/>
                <w:rtl/>
                <w:lang w:eastAsia="zh-TW"/>
              </w:rPr>
            </w:pPr>
            <w:r w:rsidRPr="006345DE">
              <w:rPr>
                <w:rFonts w:ascii="Traditional Arabic" w:hAnsi="Traditional Arabic"/>
                <w:sz w:val="24"/>
                <w:szCs w:val="24"/>
                <w:rtl/>
                <w:lang w:eastAsia="zh-TW"/>
              </w:rPr>
              <w:t>١</w:t>
            </w:r>
          </w:p>
        </w:tc>
        <w:tc>
          <w:tcPr>
            <w:tcW w:w="826" w:type="dxa"/>
            <w:tcBorders>
              <w:bottom w:val="single" w:sz="4" w:space="0" w:color="auto"/>
            </w:tcBorders>
            <w:shd w:val="clear" w:color="auto" w:fill="auto"/>
            <w:vAlign w:val="bottom"/>
          </w:tcPr>
          <w:p w:rsidR="002F6C52" w:rsidRPr="006345DE" w:rsidRDefault="002F6C52" w:rsidP="006345DE">
            <w:pPr>
              <w:spacing w:before="40" w:after="40" w:line="300" w:lineRule="exact"/>
              <w:ind w:left="57" w:right="113"/>
              <w:textDirection w:val="tbRlV"/>
              <w:rPr>
                <w:rFonts w:ascii="Traditional Arabic" w:hAnsi="Traditional Arabic"/>
                <w:sz w:val="24"/>
                <w:szCs w:val="24"/>
                <w:rtl/>
                <w:lang w:eastAsia="zh-TW"/>
              </w:rPr>
            </w:pPr>
            <w:r w:rsidRPr="006345DE">
              <w:rPr>
                <w:rFonts w:ascii="Traditional Arabic" w:hAnsi="Traditional Arabic"/>
                <w:sz w:val="24"/>
                <w:szCs w:val="24"/>
                <w:rtl/>
                <w:lang w:eastAsia="zh-TW"/>
              </w:rPr>
              <w:t>١٢</w:t>
            </w:r>
          </w:p>
        </w:tc>
        <w:tc>
          <w:tcPr>
            <w:tcW w:w="728" w:type="dxa"/>
            <w:tcBorders>
              <w:bottom w:val="single" w:sz="4" w:space="0" w:color="auto"/>
            </w:tcBorders>
            <w:shd w:val="clear" w:color="auto" w:fill="auto"/>
            <w:vAlign w:val="bottom"/>
          </w:tcPr>
          <w:p w:rsidR="002F6C52" w:rsidRPr="006345DE" w:rsidRDefault="002F6C52" w:rsidP="006345DE">
            <w:pPr>
              <w:spacing w:before="40" w:after="40" w:line="300" w:lineRule="exact"/>
              <w:ind w:left="57" w:right="113"/>
              <w:textDirection w:val="tbRlV"/>
              <w:rPr>
                <w:rFonts w:ascii="Traditional Arabic" w:hAnsi="Traditional Arabic"/>
                <w:sz w:val="24"/>
                <w:szCs w:val="24"/>
                <w:rtl/>
                <w:lang w:eastAsia="zh-TW"/>
              </w:rPr>
            </w:pPr>
            <w:r w:rsidRPr="006345DE">
              <w:rPr>
                <w:rFonts w:ascii="Traditional Arabic" w:hAnsi="Traditional Arabic"/>
                <w:sz w:val="24"/>
                <w:szCs w:val="24"/>
                <w:rtl/>
                <w:lang w:eastAsia="zh-TW"/>
              </w:rPr>
              <w:t>١</w:t>
            </w:r>
          </w:p>
        </w:tc>
        <w:tc>
          <w:tcPr>
            <w:tcW w:w="868" w:type="dxa"/>
            <w:tcBorders>
              <w:bottom w:val="single" w:sz="4" w:space="0" w:color="auto"/>
            </w:tcBorders>
            <w:shd w:val="clear" w:color="auto" w:fill="auto"/>
            <w:vAlign w:val="bottom"/>
          </w:tcPr>
          <w:p w:rsidR="002F6C52" w:rsidRPr="006345DE" w:rsidRDefault="002F6C52" w:rsidP="006345DE">
            <w:pPr>
              <w:spacing w:before="40" w:after="40" w:line="300" w:lineRule="exact"/>
              <w:ind w:left="57" w:right="113"/>
              <w:textDirection w:val="tbRlV"/>
              <w:rPr>
                <w:rFonts w:ascii="Traditional Arabic" w:hAnsi="Traditional Arabic"/>
                <w:sz w:val="24"/>
                <w:szCs w:val="24"/>
                <w:rtl/>
                <w:lang w:eastAsia="zh-TW"/>
              </w:rPr>
            </w:pPr>
            <w:r w:rsidRPr="006345DE">
              <w:rPr>
                <w:rFonts w:ascii="Traditional Arabic" w:hAnsi="Traditional Arabic"/>
                <w:sz w:val="24"/>
                <w:szCs w:val="24"/>
                <w:rtl/>
                <w:lang w:eastAsia="zh-TW"/>
              </w:rPr>
              <w:t>١</w:t>
            </w:r>
          </w:p>
        </w:tc>
        <w:tc>
          <w:tcPr>
            <w:tcW w:w="560" w:type="dxa"/>
            <w:tcBorders>
              <w:bottom w:val="single" w:sz="4" w:space="0" w:color="auto"/>
            </w:tcBorders>
            <w:shd w:val="clear" w:color="auto" w:fill="auto"/>
            <w:vAlign w:val="bottom"/>
          </w:tcPr>
          <w:p w:rsidR="002F6C52" w:rsidRPr="006345DE" w:rsidRDefault="002F6C52" w:rsidP="006345DE">
            <w:pPr>
              <w:spacing w:before="40" w:after="40" w:line="300" w:lineRule="exact"/>
              <w:ind w:left="57"/>
              <w:textDirection w:val="tbRlV"/>
              <w:rPr>
                <w:rFonts w:ascii="Traditional Arabic" w:hAnsi="Traditional Arabic"/>
                <w:b/>
                <w:bCs/>
                <w:sz w:val="24"/>
                <w:szCs w:val="24"/>
                <w:rtl/>
                <w:lang w:eastAsia="zh-TW"/>
              </w:rPr>
            </w:pPr>
            <w:r w:rsidRPr="006345DE">
              <w:rPr>
                <w:rFonts w:ascii="Traditional Arabic" w:hAnsi="Traditional Arabic"/>
                <w:b/>
                <w:bCs/>
                <w:sz w:val="24"/>
                <w:szCs w:val="24"/>
                <w:rtl/>
                <w:lang w:eastAsia="zh-TW"/>
              </w:rPr>
              <w:t>٢٧</w:t>
            </w:r>
          </w:p>
        </w:tc>
      </w:tr>
      <w:tr w:rsidR="006345DE" w:rsidRPr="006345DE" w:rsidTr="006345DE">
        <w:trPr>
          <w:cantSplit/>
        </w:trPr>
        <w:tc>
          <w:tcPr>
            <w:tcW w:w="1002" w:type="dxa"/>
            <w:tcBorders>
              <w:top w:val="single" w:sz="4" w:space="0" w:color="auto"/>
              <w:bottom w:val="single" w:sz="12" w:space="0" w:color="auto"/>
            </w:tcBorders>
            <w:shd w:val="clear" w:color="auto" w:fill="auto"/>
          </w:tcPr>
          <w:p w:rsidR="002F6C52" w:rsidRPr="006345DE" w:rsidRDefault="002F6C52" w:rsidP="006345DE">
            <w:pPr>
              <w:spacing w:before="40" w:after="40" w:line="300" w:lineRule="exact"/>
              <w:ind w:left="57" w:right="57"/>
              <w:textDirection w:val="tbRlV"/>
              <w:rPr>
                <w:rFonts w:ascii="Traditional Arabic" w:hAnsi="Traditional Arabic"/>
                <w:b/>
                <w:bCs/>
                <w:sz w:val="24"/>
                <w:szCs w:val="24"/>
                <w:rtl/>
                <w:lang w:eastAsia="zh-TW"/>
              </w:rPr>
            </w:pPr>
            <w:r w:rsidRPr="006345DE">
              <w:rPr>
                <w:rFonts w:ascii="Traditional Arabic" w:hAnsi="Traditional Arabic"/>
                <w:b/>
                <w:bCs/>
                <w:sz w:val="24"/>
                <w:szCs w:val="24"/>
                <w:rtl/>
                <w:lang w:eastAsia="zh-TW"/>
              </w:rPr>
              <w:t>المجموع</w:t>
            </w:r>
          </w:p>
        </w:tc>
        <w:tc>
          <w:tcPr>
            <w:tcW w:w="882" w:type="dxa"/>
            <w:tcBorders>
              <w:top w:val="single" w:sz="4" w:space="0" w:color="auto"/>
              <w:bottom w:val="single" w:sz="12" w:space="0" w:color="auto"/>
            </w:tcBorders>
            <w:shd w:val="clear" w:color="auto" w:fill="auto"/>
            <w:vAlign w:val="bottom"/>
          </w:tcPr>
          <w:p w:rsidR="002F6C52" w:rsidRPr="006345DE" w:rsidRDefault="002F6C52" w:rsidP="006345DE">
            <w:pPr>
              <w:spacing w:before="40" w:after="40" w:line="300" w:lineRule="exact"/>
              <w:ind w:left="57" w:right="113"/>
              <w:textDirection w:val="tbRlV"/>
              <w:rPr>
                <w:rFonts w:ascii="Traditional Arabic" w:hAnsi="Traditional Arabic"/>
                <w:b/>
                <w:bCs/>
                <w:sz w:val="24"/>
                <w:szCs w:val="24"/>
                <w:rtl/>
                <w:lang w:eastAsia="zh-TW"/>
              </w:rPr>
            </w:pPr>
            <w:r w:rsidRPr="006345DE">
              <w:rPr>
                <w:rFonts w:ascii="Traditional Arabic" w:hAnsi="Traditional Arabic"/>
                <w:b/>
                <w:bCs/>
                <w:sz w:val="24"/>
                <w:szCs w:val="24"/>
                <w:rtl/>
                <w:lang w:eastAsia="zh-TW"/>
              </w:rPr>
              <w:t>٢</w:t>
            </w:r>
          </w:p>
        </w:tc>
        <w:tc>
          <w:tcPr>
            <w:tcW w:w="742" w:type="dxa"/>
            <w:tcBorders>
              <w:top w:val="single" w:sz="4" w:space="0" w:color="auto"/>
              <w:bottom w:val="single" w:sz="12" w:space="0" w:color="auto"/>
            </w:tcBorders>
            <w:shd w:val="clear" w:color="auto" w:fill="auto"/>
            <w:vAlign w:val="bottom"/>
          </w:tcPr>
          <w:p w:rsidR="002F6C52" w:rsidRPr="006345DE" w:rsidRDefault="002F6C52" w:rsidP="006345DE">
            <w:pPr>
              <w:spacing w:before="40" w:after="40" w:line="300" w:lineRule="exact"/>
              <w:ind w:left="57" w:right="113"/>
              <w:textDirection w:val="tbRlV"/>
              <w:rPr>
                <w:rFonts w:ascii="Traditional Arabic" w:hAnsi="Traditional Arabic"/>
                <w:b/>
                <w:bCs/>
                <w:sz w:val="24"/>
                <w:szCs w:val="24"/>
                <w:rtl/>
                <w:lang w:eastAsia="zh-TW"/>
              </w:rPr>
            </w:pPr>
            <w:r w:rsidRPr="006345DE">
              <w:rPr>
                <w:rFonts w:ascii="Traditional Arabic" w:hAnsi="Traditional Arabic"/>
                <w:b/>
                <w:bCs/>
                <w:sz w:val="24"/>
                <w:szCs w:val="24"/>
                <w:rtl/>
                <w:lang w:eastAsia="zh-TW"/>
              </w:rPr>
              <w:t>١</w:t>
            </w:r>
          </w:p>
        </w:tc>
        <w:tc>
          <w:tcPr>
            <w:tcW w:w="826" w:type="dxa"/>
            <w:tcBorders>
              <w:top w:val="single" w:sz="4" w:space="0" w:color="auto"/>
              <w:bottom w:val="single" w:sz="12" w:space="0" w:color="auto"/>
            </w:tcBorders>
            <w:shd w:val="clear" w:color="auto" w:fill="auto"/>
            <w:vAlign w:val="bottom"/>
          </w:tcPr>
          <w:p w:rsidR="002F6C52" w:rsidRPr="006345DE" w:rsidRDefault="002F6C52" w:rsidP="006345DE">
            <w:pPr>
              <w:spacing w:before="40" w:after="40" w:line="300" w:lineRule="exact"/>
              <w:ind w:left="57" w:right="113"/>
              <w:textDirection w:val="tbRlV"/>
              <w:rPr>
                <w:rFonts w:ascii="Traditional Arabic" w:hAnsi="Traditional Arabic"/>
                <w:b/>
                <w:bCs/>
                <w:sz w:val="24"/>
                <w:szCs w:val="24"/>
                <w:rtl/>
                <w:lang w:eastAsia="zh-TW"/>
              </w:rPr>
            </w:pPr>
            <w:r w:rsidRPr="006345DE">
              <w:rPr>
                <w:rFonts w:ascii="Traditional Arabic" w:hAnsi="Traditional Arabic"/>
                <w:b/>
                <w:bCs/>
                <w:sz w:val="24"/>
                <w:szCs w:val="24"/>
                <w:rtl/>
                <w:lang w:eastAsia="zh-TW"/>
              </w:rPr>
              <w:t>١</w:t>
            </w:r>
          </w:p>
        </w:tc>
        <w:tc>
          <w:tcPr>
            <w:tcW w:w="937" w:type="dxa"/>
            <w:tcBorders>
              <w:top w:val="single" w:sz="4" w:space="0" w:color="auto"/>
              <w:bottom w:val="single" w:sz="12" w:space="0" w:color="auto"/>
            </w:tcBorders>
            <w:shd w:val="clear" w:color="auto" w:fill="auto"/>
            <w:vAlign w:val="bottom"/>
          </w:tcPr>
          <w:p w:rsidR="002F6C52" w:rsidRPr="006345DE" w:rsidRDefault="002F6C52" w:rsidP="006345DE">
            <w:pPr>
              <w:spacing w:before="40" w:after="40" w:line="300" w:lineRule="exact"/>
              <w:ind w:left="57" w:right="113"/>
              <w:textDirection w:val="tbRlV"/>
              <w:rPr>
                <w:rFonts w:ascii="Traditional Arabic" w:hAnsi="Traditional Arabic"/>
                <w:b/>
                <w:bCs/>
                <w:sz w:val="24"/>
                <w:szCs w:val="24"/>
                <w:rtl/>
                <w:lang w:eastAsia="zh-TW"/>
              </w:rPr>
            </w:pPr>
            <w:r w:rsidRPr="006345DE">
              <w:rPr>
                <w:rFonts w:ascii="Traditional Arabic" w:hAnsi="Traditional Arabic"/>
                <w:b/>
                <w:bCs/>
                <w:sz w:val="24"/>
                <w:szCs w:val="24"/>
                <w:rtl/>
                <w:lang w:eastAsia="zh-TW"/>
              </w:rPr>
              <w:t>١</w:t>
            </w:r>
          </w:p>
        </w:tc>
        <w:tc>
          <w:tcPr>
            <w:tcW w:w="840" w:type="dxa"/>
            <w:tcBorders>
              <w:top w:val="single" w:sz="4" w:space="0" w:color="auto"/>
              <w:bottom w:val="single" w:sz="12" w:space="0" w:color="auto"/>
            </w:tcBorders>
            <w:shd w:val="clear" w:color="auto" w:fill="auto"/>
            <w:vAlign w:val="bottom"/>
          </w:tcPr>
          <w:p w:rsidR="002F6C52" w:rsidRPr="006345DE" w:rsidRDefault="002F6C52" w:rsidP="006345DE">
            <w:pPr>
              <w:spacing w:before="40" w:after="40" w:line="300" w:lineRule="exact"/>
              <w:ind w:left="57" w:right="113"/>
              <w:textDirection w:val="tbRlV"/>
              <w:rPr>
                <w:rFonts w:ascii="Traditional Arabic" w:hAnsi="Traditional Arabic"/>
                <w:b/>
                <w:bCs/>
                <w:sz w:val="24"/>
                <w:szCs w:val="24"/>
                <w:rtl/>
                <w:lang w:eastAsia="zh-TW"/>
              </w:rPr>
            </w:pPr>
            <w:r w:rsidRPr="006345DE">
              <w:rPr>
                <w:rFonts w:ascii="Traditional Arabic" w:hAnsi="Traditional Arabic"/>
                <w:b/>
                <w:bCs/>
                <w:sz w:val="24"/>
                <w:szCs w:val="24"/>
                <w:rtl/>
                <w:lang w:eastAsia="zh-TW"/>
              </w:rPr>
              <w:t>١٢</w:t>
            </w:r>
          </w:p>
        </w:tc>
        <w:tc>
          <w:tcPr>
            <w:tcW w:w="686" w:type="dxa"/>
            <w:tcBorders>
              <w:top w:val="single" w:sz="4" w:space="0" w:color="auto"/>
              <w:bottom w:val="single" w:sz="12" w:space="0" w:color="auto"/>
            </w:tcBorders>
            <w:shd w:val="clear" w:color="auto" w:fill="auto"/>
            <w:vAlign w:val="bottom"/>
          </w:tcPr>
          <w:p w:rsidR="002F6C52" w:rsidRPr="006345DE" w:rsidRDefault="002F6C52" w:rsidP="006345DE">
            <w:pPr>
              <w:spacing w:before="40" w:after="40" w:line="300" w:lineRule="exact"/>
              <w:ind w:left="57" w:right="113"/>
              <w:textDirection w:val="tbRlV"/>
              <w:rPr>
                <w:rFonts w:ascii="Traditional Arabic" w:hAnsi="Traditional Arabic"/>
                <w:b/>
                <w:bCs/>
                <w:sz w:val="24"/>
                <w:szCs w:val="24"/>
                <w:rtl/>
                <w:lang w:eastAsia="zh-TW"/>
              </w:rPr>
            </w:pPr>
            <w:r w:rsidRPr="006345DE">
              <w:rPr>
                <w:rFonts w:ascii="Traditional Arabic" w:hAnsi="Traditional Arabic"/>
                <w:b/>
                <w:bCs/>
                <w:sz w:val="24"/>
                <w:szCs w:val="24"/>
                <w:rtl/>
                <w:lang w:eastAsia="zh-TW"/>
              </w:rPr>
              <w:t>٧٦</w:t>
            </w:r>
          </w:p>
        </w:tc>
        <w:tc>
          <w:tcPr>
            <w:tcW w:w="742" w:type="dxa"/>
            <w:tcBorders>
              <w:top w:val="single" w:sz="4" w:space="0" w:color="auto"/>
              <w:bottom w:val="single" w:sz="12" w:space="0" w:color="auto"/>
            </w:tcBorders>
            <w:shd w:val="clear" w:color="auto" w:fill="auto"/>
            <w:vAlign w:val="bottom"/>
          </w:tcPr>
          <w:p w:rsidR="002F6C52" w:rsidRPr="006345DE" w:rsidRDefault="002F6C52" w:rsidP="006345DE">
            <w:pPr>
              <w:spacing w:before="40" w:after="40" w:line="300" w:lineRule="exact"/>
              <w:ind w:left="57" w:right="113"/>
              <w:textDirection w:val="tbRlV"/>
              <w:rPr>
                <w:rFonts w:ascii="Traditional Arabic" w:hAnsi="Traditional Arabic"/>
                <w:b/>
                <w:bCs/>
                <w:sz w:val="24"/>
                <w:szCs w:val="24"/>
                <w:rtl/>
                <w:lang w:eastAsia="zh-TW"/>
              </w:rPr>
            </w:pPr>
            <w:r w:rsidRPr="006345DE">
              <w:rPr>
                <w:rFonts w:ascii="Traditional Arabic" w:hAnsi="Traditional Arabic"/>
                <w:b/>
                <w:bCs/>
                <w:sz w:val="24"/>
                <w:szCs w:val="24"/>
                <w:rtl/>
                <w:lang w:eastAsia="zh-TW"/>
              </w:rPr>
              <w:t>١</w:t>
            </w:r>
          </w:p>
        </w:tc>
        <w:tc>
          <w:tcPr>
            <w:tcW w:w="826" w:type="dxa"/>
            <w:tcBorders>
              <w:top w:val="single" w:sz="4" w:space="0" w:color="auto"/>
              <w:bottom w:val="single" w:sz="12" w:space="0" w:color="auto"/>
            </w:tcBorders>
            <w:shd w:val="clear" w:color="auto" w:fill="auto"/>
            <w:vAlign w:val="bottom"/>
          </w:tcPr>
          <w:p w:rsidR="002F6C52" w:rsidRPr="006345DE" w:rsidRDefault="002F6C52" w:rsidP="006345DE">
            <w:pPr>
              <w:spacing w:before="40" w:after="40" w:line="300" w:lineRule="exact"/>
              <w:ind w:left="57" w:right="113"/>
              <w:textDirection w:val="tbRlV"/>
              <w:rPr>
                <w:rFonts w:ascii="Traditional Arabic" w:hAnsi="Traditional Arabic"/>
                <w:b/>
                <w:bCs/>
                <w:sz w:val="24"/>
                <w:szCs w:val="24"/>
                <w:rtl/>
                <w:lang w:eastAsia="zh-TW"/>
              </w:rPr>
            </w:pPr>
            <w:r w:rsidRPr="006345DE">
              <w:rPr>
                <w:rFonts w:ascii="Traditional Arabic" w:hAnsi="Traditional Arabic"/>
                <w:b/>
                <w:bCs/>
                <w:sz w:val="24"/>
                <w:szCs w:val="24"/>
                <w:rtl/>
                <w:lang w:eastAsia="zh-TW"/>
              </w:rPr>
              <w:t>٢٨٨</w:t>
            </w:r>
          </w:p>
        </w:tc>
        <w:tc>
          <w:tcPr>
            <w:tcW w:w="728" w:type="dxa"/>
            <w:tcBorders>
              <w:top w:val="single" w:sz="4" w:space="0" w:color="auto"/>
              <w:bottom w:val="single" w:sz="12" w:space="0" w:color="auto"/>
            </w:tcBorders>
            <w:shd w:val="clear" w:color="auto" w:fill="auto"/>
            <w:vAlign w:val="bottom"/>
          </w:tcPr>
          <w:p w:rsidR="002F6C52" w:rsidRPr="006345DE" w:rsidRDefault="002F6C52" w:rsidP="006345DE">
            <w:pPr>
              <w:spacing w:before="40" w:after="40" w:line="300" w:lineRule="exact"/>
              <w:ind w:left="57" w:right="113"/>
              <w:textDirection w:val="tbRlV"/>
              <w:rPr>
                <w:rFonts w:ascii="Traditional Arabic" w:hAnsi="Traditional Arabic"/>
                <w:b/>
                <w:bCs/>
                <w:sz w:val="24"/>
                <w:szCs w:val="24"/>
                <w:rtl/>
                <w:lang w:eastAsia="zh-TW"/>
              </w:rPr>
            </w:pPr>
            <w:r w:rsidRPr="006345DE">
              <w:rPr>
                <w:rFonts w:ascii="Traditional Arabic" w:hAnsi="Traditional Arabic"/>
                <w:b/>
                <w:bCs/>
                <w:sz w:val="24"/>
                <w:szCs w:val="24"/>
                <w:rtl/>
                <w:lang w:eastAsia="zh-TW"/>
              </w:rPr>
              <w:t>٢</w:t>
            </w:r>
          </w:p>
        </w:tc>
        <w:tc>
          <w:tcPr>
            <w:tcW w:w="868" w:type="dxa"/>
            <w:tcBorders>
              <w:top w:val="single" w:sz="4" w:space="0" w:color="auto"/>
              <w:bottom w:val="single" w:sz="12" w:space="0" w:color="auto"/>
            </w:tcBorders>
            <w:shd w:val="clear" w:color="auto" w:fill="auto"/>
            <w:vAlign w:val="bottom"/>
          </w:tcPr>
          <w:p w:rsidR="002F6C52" w:rsidRPr="006345DE" w:rsidRDefault="002F6C52" w:rsidP="006345DE">
            <w:pPr>
              <w:spacing w:before="40" w:after="40" w:line="300" w:lineRule="exact"/>
              <w:ind w:left="57" w:right="113"/>
              <w:textDirection w:val="tbRlV"/>
              <w:rPr>
                <w:rFonts w:ascii="Traditional Arabic" w:hAnsi="Traditional Arabic"/>
                <w:b/>
                <w:bCs/>
                <w:sz w:val="24"/>
                <w:szCs w:val="24"/>
                <w:rtl/>
                <w:lang w:eastAsia="zh-TW"/>
              </w:rPr>
            </w:pPr>
            <w:r w:rsidRPr="006345DE">
              <w:rPr>
                <w:rFonts w:ascii="Traditional Arabic" w:hAnsi="Traditional Arabic"/>
                <w:b/>
                <w:bCs/>
                <w:sz w:val="24"/>
                <w:szCs w:val="24"/>
                <w:rtl/>
                <w:lang w:eastAsia="zh-TW"/>
              </w:rPr>
              <w:t>١</w:t>
            </w:r>
          </w:p>
        </w:tc>
        <w:tc>
          <w:tcPr>
            <w:tcW w:w="560" w:type="dxa"/>
            <w:tcBorders>
              <w:top w:val="single" w:sz="4" w:space="0" w:color="auto"/>
              <w:bottom w:val="single" w:sz="12" w:space="0" w:color="auto"/>
            </w:tcBorders>
            <w:shd w:val="clear" w:color="auto" w:fill="auto"/>
            <w:vAlign w:val="bottom"/>
          </w:tcPr>
          <w:p w:rsidR="002F6C52" w:rsidRPr="006345DE" w:rsidRDefault="002F6C52" w:rsidP="006345DE">
            <w:pPr>
              <w:spacing w:before="40" w:after="40" w:line="300" w:lineRule="exact"/>
              <w:ind w:left="57"/>
              <w:textDirection w:val="tbRlV"/>
              <w:rPr>
                <w:rFonts w:ascii="Traditional Arabic" w:hAnsi="Traditional Arabic"/>
                <w:b/>
                <w:bCs/>
                <w:sz w:val="24"/>
                <w:szCs w:val="24"/>
                <w:rtl/>
                <w:lang w:eastAsia="zh-TW"/>
              </w:rPr>
            </w:pPr>
            <w:r w:rsidRPr="006345DE">
              <w:rPr>
                <w:rFonts w:ascii="Traditional Arabic" w:hAnsi="Traditional Arabic"/>
                <w:b/>
                <w:bCs/>
                <w:sz w:val="24"/>
                <w:szCs w:val="24"/>
                <w:rtl/>
                <w:lang w:eastAsia="zh-TW"/>
              </w:rPr>
              <w:t>٣٨٥</w:t>
            </w:r>
          </w:p>
        </w:tc>
      </w:tr>
    </w:tbl>
    <w:p w:rsidR="002F6C52" w:rsidRPr="006345DE" w:rsidRDefault="002F6C52" w:rsidP="006345DE">
      <w:pPr>
        <w:spacing w:before="120" w:after="60" w:line="300" w:lineRule="exact"/>
        <w:ind w:left="1134" w:right="1134" w:firstLine="170"/>
        <w:textDirection w:val="tbRlV"/>
        <w:rPr>
          <w:sz w:val="26"/>
          <w:szCs w:val="26"/>
          <w:rtl/>
          <w:lang w:eastAsia="zh-TW"/>
        </w:rPr>
      </w:pPr>
      <w:r w:rsidRPr="006345DE">
        <w:rPr>
          <w:sz w:val="26"/>
          <w:szCs w:val="26"/>
          <w:rtl/>
          <w:lang w:eastAsia="zh-TW"/>
        </w:rPr>
        <w:t>(أ)</w:t>
      </w:r>
      <w:r w:rsidR="006345DE">
        <w:rPr>
          <w:sz w:val="26"/>
          <w:szCs w:val="26"/>
          <w:rtl/>
          <w:lang w:eastAsia="zh-TW"/>
        </w:rPr>
        <w:tab/>
      </w:r>
      <w:r w:rsidRPr="006345DE">
        <w:rPr>
          <w:sz w:val="26"/>
          <w:szCs w:val="26"/>
          <w:rtl/>
          <w:lang w:eastAsia="zh-TW"/>
        </w:rPr>
        <w:t>يُحيل الإجراء العاجل رقم 9/2013 إلى شخصين، ومن ثم، يُحتسب كإجراءين عاجلين.</w:t>
      </w:r>
    </w:p>
    <w:p w:rsidR="002F6C52" w:rsidRPr="006345DE" w:rsidRDefault="006345DE" w:rsidP="006345DE">
      <w:pPr>
        <w:spacing w:before="120" w:after="60" w:line="300" w:lineRule="exact"/>
        <w:ind w:left="1134" w:right="1134" w:firstLine="170"/>
        <w:textDirection w:val="tbRlV"/>
        <w:rPr>
          <w:sz w:val="26"/>
          <w:szCs w:val="26"/>
          <w:rtl/>
          <w:lang w:eastAsia="zh-TW"/>
        </w:rPr>
      </w:pPr>
      <w:r>
        <w:rPr>
          <w:sz w:val="26"/>
          <w:szCs w:val="26"/>
          <w:rtl/>
          <w:lang w:eastAsia="zh-TW"/>
        </w:rPr>
        <w:t>(ب)</w:t>
      </w:r>
      <w:r>
        <w:rPr>
          <w:sz w:val="26"/>
          <w:szCs w:val="26"/>
          <w:rtl/>
          <w:lang w:eastAsia="zh-TW"/>
        </w:rPr>
        <w:tab/>
      </w:r>
      <w:r w:rsidR="002F6C52" w:rsidRPr="006345DE">
        <w:rPr>
          <w:sz w:val="26"/>
          <w:szCs w:val="26"/>
          <w:rtl/>
          <w:lang w:eastAsia="zh-TW"/>
        </w:rPr>
        <w:t>حتى 8 أيلول/سبتمبر 2017.</w:t>
      </w:r>
    </w:p>
    <w:p w:rsidR="002F6C52" w:rsidRPr="00002B6B" w:rsidRDefault="002F6C52" w:rsidP="006345DE">
      <w:pPr>
        <w:pStyle w:val="H1GA"/>
        <w:rPr>
          <w:rtl/>
          <w:lang w:eastAsia="zh-TW"/>
        </w:rPr>
      </w:pPr>
      <w:r>
        <w:rPr>
          <w:rtl/>
          <w:lang w:eastAsia="zh-TW"/>
        </w:rPr>
        <w:tab/>
        <w:t>جيم-</w:t>
      </w:r>
      <w:r>
        <w:rPr>
          <w:rtl/>
          <w:lang w:eastAsia="zh-TW"/>
        </w:rPr>
        <w:tab/>
      </w:r>
      <w:r w:rsidRPr="00002B6B">
        <w:rPr>
          <w:rtl/>
          <w:lang w:eastAsia="zh-TW"/>
        </w:rPr>
        <w:t>سير الإجراءات العاجلة بعد تسجيل</w:t>
      </w:r>
      <w:r>
        <w:rPr>
          <w:rtl/>
          <w:lang w:eastAsia="zh-TW"/>
        </w:rPr>
        <w:t xml:space="preserve"> الطلبات ذات الصلة</w:t>
      </w:r>
      <w:r w:rsidRPr="00002B6B">
        <w:rPr>
          <w:rtl/>
          <w:lang w:eastAsia="zh-TW"/>
        </w:rPr>
        <w:t>: الاتجاهات الملاحظة منذ الدورة الثانية العاشرة (حتى 12 تموز/يوليه 2017)</w:t>
      </w:r>
    </w:p>
    <w:p w:rsidR="002F6C52" w:rsidRPr="00002B6B" w:rsidRDefault="002F6C52" w:rsidP="006345DE">
      <w:pPr>
        <w:pStyle w:val="H23GA"/>
        <w:rPr>
          <w:rtl/>
        </w:rPr>
      </w:pPr>
      <w:r>
        <w:rPr>
          <w:rtl/>
        </w:rPr>
        <w:tab/>
        <w:t>١</w:t>
      </w:r>
      <w:r w:rsidRPr="00002B6B">
        <w:rPr>
          <w:rtl/>
        </w:rPr>
        <w:t>-</w:t>
      </w:r>
      <w:r>
        <w:rPr>
          <w:rtl/>
        </w:rPr>
        <w:tab/>
      </w:r>
      <w:r w:rsidRPr="00002B6B">
        <w:rPr>
          <w:rtl/>
        </w:rPr>
        <w:t>التفاعل مع الدول الأطراف</w:t>
      </w:r>
    </w:p>
    <w:p w:rsidR="002F6C52" w:rsidRPr="003D22AB" w:rsidRDefault="002F6C52" w:rsidP="006345DE">
      <w:pPr>
        <w:pStyle w:val="SingleTxtGA"/>
        <w:rPr>
          <w:rtl/>
          <w:lang w:eastAsia="zh-TW"/>
        </w:rPr>
      </w:pPr>
      <w:r>
        <w:rPr>
          <w:rtl/>
          <w:lang w:eastAsia="zh-TW"/>
        </w:rPr>
        <w:t>٥-</w:t>
      </w:r>
      <w:r>
        <w:rPr>
          <w:rtl/>
          <w:lang w:eastAsia="zh-TW"/>
        </w:rPr>
        <w:tab/>
        <w:t>تتّصل اللجنة بالدول الأطراف عن طريق بعثاتها الدائمة، ولا</w:t>
      </w:r>
      <w:r w:rsidR="00FE6BFA">
        <w:rPr>
          <w:rFonts w:hint="cs"/>
          <w:rtl/>
          <w:lang w:eastAsia="zh-TW"/>
        </w:rPr>
        <w:t xml:space="preserve"> </w:t>
      </w:r>
      <w:r>
        <w:rPr>
          <w:rtl/>
          <w:lang w:eastAsia="zh-TW"/>
        </w:rPr>
        <w:t>سيما باستخدام المذكرات الشفوية. ولضمان أن يكون لتوصيات اللجنة تأثير أكبر في سياق طلبات الإجراءات العاجلة، تظل اللجنة مقتنعة بضرورة زيادة الاتصال المباشر بالسلطات المكلفة بالبحث عن الأشخاص المختفين الذين سُجّلت باسمهم إجراءات عاجلة وعن التحقيق في اختفائهم. بيد أنه تعذّر، حتى الآن، تحديد القنوات التي يمكن أن تيسر إقامة هذه الاتصالات.</w:t>
      </w:r>
    </w:p>
    <w:p w:rsidR="002F6C52" w:rsidRPr="003D22AB" w:rsidRDefault="002F6C52" w:rsidP="006345DE">
      <w:pPr>
        <w:pStyle w:val="SingleTxtGA"/>
        <w:rPr>
          <w:rtl/>
          <w:lang w:eastAsia="zh-TW"/>
        </w:rPr>
      </w:pPr>
      <w:r>
        <w:rPr>
          <w:rtl/>
          <w:lang w:eastAsia="zh-TW"/>
        </w:rPr>
        <w:t>٦-</w:t>
      </w:r>
      <w:r>
        <w:rPr>
          <w:rtl/>
          <w:lang w:eastAsia="zh-TW"/>
        </w:rPr>
        <w:tab/>
        <w:t>وخلال الفترة الحالية، سُجّل انخفاض في وتيرة الردود المقدمة من الدول الأطراف التي سُجّلت بشأنها طلبات الإجراءات العاجلة. وهكذا، لم يرد حتى تاريخ اعتماد هذا التقرير أي ردّ من الدول الأطراف بشأن 11 إجراء من أصل 27 إجراء عاجلا</w:t>
      </w:r>
      <w:r w:rsidR="00FE6BFA">
        <w:rPr>
          <w:rFonts w:hint="cs"/>
          <w:rtl/>
          <w:lang w:eastAsia="zh-TW"/>
        </w:rPr>
        <w:t>ً</w:t>
      </w:r>
      <w:r>
        <w:rPr>
          <w:rtl/>
          <w:lang w:eastAsia="zh-TW"/>
        </w:rPr>
        <w:t xml:space="preserve"> مسجلا</w:t>
      </w:r>
      <w:r w:rsidR="00FE6BFA">
        <w:rPr>
          <w:rFonts w:hint="cs"/>
          <w:rtl/>
          <w:lang w:eastAsia="zh-TW"/>
        </w:rPr>
        <w:t>ً</w:t>
      </w:r>
      <w:r>
        <w:rPr>
          <w:rtl/>
          <w:lang w:eastAsia="zh-TW"/>
        </w:rPr>
        <w:t xml:space="preserve"> في عام 2017. ووُجّهت رسائل تذكيرية إلى الدول الأطراف المعنية.</w:t>
      </w:r>
    </w:p>
    <w:p w:rsidR="002F6C52" w:rsidRPr="006345DE" w:rsidRDefault="002F6C52" w:rsidP="006345DE">
      <w:pPr>
        <w:pStyle w:val="SingleTxtGA"/>
        <w:rPr>
          <w:spacing w:val="-2"/>
          <w:rtl/>
          <w:lang w:eastAsia="zh-TW"/>
        </w:rPr>
      </w:pPr>
      <w:r w:rsidRPr="006345DE">
        <w:rPr>
          <w:spacing w:val="-2"/>
          <w:rtl/>
          <w:lang w:eastAsia="zh-TW"/>
        </w:rPr>
        <w:t>٧-</w:t>
      </w:r>
      <w:r w:rsidRPr="006345DE">
        <w:rPr>
          <w:spacing w:val="-2"/>
          <w:rtl/>
          <w:lang w:eastAsia="zh-TW"/>
        </w:rPr>
        <w:tab/>
        <w:t>وتحيط اللجنة علما</w:t>
      </w:r>
      <w:r w:rsidR="0005338B">
        <w:rPr>
          <w:rFonts w:hint="cs"/>
          <w:spacing w:val="-2"/>
          <w:rtl/>
          <w:lang w:eastAsia="zh-TW"/>
        </w:rPr>
        <w:t>ً</w:t>
      </w:r>
      <w:r w:rsidRPr="006345DE">
        <w:rPr>
          <w:spacing w:val="-2"/>
          <w:rtl/>
          <w:lang w:eastAsia="zh-TW"/>
        </w:rPr>
        <w:t xml:space="preserve"> في هذا السياق بطلب كولومبيا منحها المزيد من الوقت للرد على طلبات الإجراءات العاجلة ورسائل المتابعة. وحتى الآن، كان يُطلب تقديم رد على الطلب الأولي في غضون أسبوعين، ويمنح تمديدٌ بأسبوعين ثلاث مرات قبل أن يُرسل تذكير أخير يفيد بأنه يمكن للجنة أن تُقرر، في حال عدم استلام أي رد، الإشارة في تقريرها بشأن أعمال الدورة وفي تقريرها إلى الجمعية العامة إلى عدم تعاون الدولة الطرف. وبالنظر إلى الصعوبات التي قد تواجهها الدول الأطراف في جمع المعلومات اللازمة، وبغرض التعاون مع الدول الأطراف، قرّرت اللجنة الموافقة على طلب كولومبيا تحديد مهل زمنية جديدة لتقديم الردود (انظر الفرع هاء أدناه).</w:t>
      </w:r>
    </w:p>
    <w:p w:rsidR="002F6C52" w:rsidRPr="003D22AB" w:rsidRDefault="002F6C52" w:rsidP="006345DE">
      <w:pPr>
        <w:pStyle w:val="SingleTxtGA"/>
        <w:rPr>
          <w:rtl/>
          <w:lang w:eastAsia="zh-TW"/>
        </w:rPr>
      </w:pPr>
      <w:r>
        <w:rPr>
          <w:rtl/>
          <w:lang w:eastAsia="zh-TW"/>
        </w:rPr>
        <w:t>٨-</w:t>
      </w:r>
      <w:r>
        <w:rPr>
          <w:rtl/>
          <w:lang w:eastAsia="zh-TW"/>
        </w:rPr>
        <w:tab/>
        <w:t>وفيما يتعلق بمضمون ردود الدول الأطراف، برز مجدّ</w:t>
      </w:r>
      <w:r w:rsidR="007216E9">
        <w:rPr>
          <w:rtl/>
          <w:lang w:eastAsia="zh-TW"/>
        </w:rPr>
        <w:t xml:space="preserve">داً </w:t>
      </w:r>
      <w:r>
        <w:rPr>
          <w:rtl/>
          <w:lang w:eastAsia="zh-TW"/>
        </w:rPr>
        <w:t xml:space="preserve">عدد من الاتجاهات التي سُلّط عليها الضوء في التقرير المعتمد في الدورة الحادية عشرة للجنة (انظر </w:t>
      </w:r>
      <w:r w:rsidRPr="006345DE">
        <w:rPr>
          <w:rFonts w:asciiTheme="majorBidi" w:hAnsiTheme="majorBidi" w:cstheme="majorBidi"/>
          <w:szCs w:val="20"/>
          <w:rtl/>
          <w:lang w:eastAsia="zh-TW"/>
        </w:rPr>
        <w:t>CED/C/11/3</w:t>
      </w:r>
      <w:r>
        <w:rPr>
          <w:rtl/>
          <w:lang w:eastAsia="zh-TW"/>
        </w:rPr>
        <w:t xml:space="preserve"> </w:t>
      </w:r>
      <w:r>
        <w:rPr>
          <w:rtl/>
          <w:lang w:eastAsia="zh-TW"/>
        </w:rPr>
        <w:lastRenderedPageBreak/>
        <w:t>و</w:t>
      </w:r>
      <w:r w:rsidRPr="006345DE">
        <w:rPr>
          <w:rFonts w:asciiTheme="majorBidi" w:hAnsiTheme="majorBidi" w:cstheme="majorBidi"/>
          <w:szCs w:val="20"/>
          <w:rtl/>
          <w:lang w:eastAsia="zh-TW"/>
        </w:rPr>
        <w:t>CED/C/12/3</w:t>
      </w:r>
      <w:r>
        <w:rPr>
          <w:rtl/>
          <w:lang w:eastAsia="zh-TW"/>
        </w:rPr>
        <w:t xml:space="preserve">). وتلاحظ اللجنة أن ردود الدول الأطراف تشير إلى أن جهود البحث والتحقيق المبذولة في الحالات </w:t>
      </w:r>
      <w:r>
        <w:rPr>
          <w:rtl/>
          <w:lang w:eastAsia="zh-TW" w:bidi="ar-DZ"/>
        </w:rPr>
        <w:t>المعروضة</w:t>
      </w:r>
      <w:r>
        <w:rPr>
          <w:rtl/>
          <w:lang w:eastAsia="zh-TW"/>
        </w:rPr>
        <w:t xml:space="preserve"> عليها ستصل قريبا</w:t>
      </w:r>
      <w:r w:rsidR="0005338B">
        <w:rPr>
          <w:rFonts w:hint="cs"/>
          <w:rtl/>
          <w:lang w:eastAsia="zh-TW"/>
        </w:rPr>
        <w:t>ً</w:t>
      </w:r>
      <w:r>
        <w:rPr>
          <w:rtl/>
          <w:lang w:eastAsia="zh-TW"/>
        </w:rPr>
        <w:t xml:space="preserve"> إلى طريق مسدود.</w:t>
      </w:r>
      <w:r w:rsidR="0005338B">
        <w:rPr>
          <w:rFonts w:hint="cs"/>
          <w:rtl/>
          <w:lang w:eastAsia="zh-TW"/>
        </w:rPr>
        <w:t xml:space="preserve"> </w:t>
      </w:r>
    </w:p>
    <w:p w:rsidR="002F6C52" w:rsidRPr="003D22AB" w:rsidRDefault="002F6C52" w:rsidP="006345DE">
      <w:pPr>
        <w:pStyle w:val="SingleTxtGA"/>
        <w:rPr>
          <w:rtl/>
          <w:lang w:eastAsia="zh-TW"/>
        </w:rPr>
      </w:pPr>
      <w:r>
        <w:rPr>
          <w:rtl/>
          <w:lang w:eastAsia="zh-TW"/>
        </w:rPr>
        <w:t>٩-</w:t>
      </w:r>
      <w:r>
        <w:rPr>
          <w:rtl/>
          <w:lang w:eastAsia="zh-TW"/>
        </w:rPr>
        <w:tab/>
        <w:t>ولوحظت الاتجاهات التالية في حالة المكسيك:</w:t>
      </w:r>
    </w:p>
    <w:p w:rsidR="002F6C52" w:rsidRPr="003D22AB" w:rsidRDefault="002F6C52" w:rsidP="002F6C52">
      <w:pPr>
        <w:pStyle w:val="SingleTxtGA"/>
        <w:rPr>
          <w:rtl/>
          <w:lang w:eastAsia="zh-TW"/>
        </w:rPr>
      </w:pPr>
      <w:r>
        <w:rPr>
          <w:rtl/>
          <w:lang w:eastAsia="zh-TW"/>
        </w:rPr>
        <w:tab/>
        <w:t>(أ)</w:t>
      </w:r>
      <w:r>
        <w:rPr>
          <w:rtl/>
          <w:lang w:eastAsia="zh-TW"/>
        </w:rPr>
        <w:tab/>
        <w:t>تواصل الممارسة المتمثلة في عدم مباشرة التحقيقات في غضون ٧٢ ساعة من لحظة الاختفاء، حتى في الحالات التي توجد فيها بروتوكولات على مستوى الولاية أو على مستوى الاتحاد تؤكد أهمية بدء عمليات البحث "مباشرة" بعد الإبلاغ عن حالة الاختفاء؛</w:t>
      </w:r>
    </w:p>
    <w:p w:rsidR="002F6C52" w:rsidRPr="003D22AB" w:rsidRDefault="006345DE" w:rsidP="006345DE">
      <w:pPr>
        <w:pStyle w:val="SingleTxtGA"/>
        <w:rPr>
          <w:rtl/>
          <w:lang w:eastAsia="zh-TW"/>
        </w:rPr>
      </w:pPr>
      <w:r>
        <w:rPr>
          <w:rtl/>
          <w:lang w:eastAsia="zh-TW"/>
        </w:rPr>
        <w:tab/>
      </w:r>
      <w:r w:rsidR="002F6C52">
        <w:rPr>
          <w:rtl/>
          <w:lang w:eastAsia="zh-TW"/>
        </w:rPr>
        <w:t>(ب)</w:t>
      </w:r>
      <w:r w:rsidR="002F6C52">
        <w:rPr>
          <w:rtl/>
          <w:lang w:eastAsia="zh-TW"/>
        </w:rPr>
        <w:tab/>
        <w:t>في جميع حالات الإجراءات العاجلة، تعكس ملاحظات الدولة الطرف وتعليقات مقدمي الطلبات إجراءات معزولة ومتفرقة يتعلق معظمها بالشكل أكثر منه بالموضوع ولا يبدو أنها تتبع أو تخضع لاستراتيجية بحث وتحقيق محدّدة مسبقا</w:t>
      </w:r>
      <w:r w:rsidR="0005338B">
        <w:rPr>
          <w:rFonts w:hint="cs"/>
          <w:rtl/>
          <w:lang w:eastAsia="zh-TW"/>
        </w:rPr>
        <w:t>ً</w:t>
      </w:r>
      <w:r w:rsidR="002F6C52">
        <w:rPr>
          <w:rtl/>
          <w:lang w:eastAsia="zh-TW"/>
        </w:rPr>
        <w:t>؛</w:t>
      </w:r>
    </w:p>
    <w:p w:rsidR="002F6C52" w:rsidRPr="003D22AB" w:rsidRDefault="002F6C52" w:rsidP="002F6C52">
      <w:pPr>
        <w:pStyle w:val="SingleTxtGA"/>
        <w:rPr>
          <w:rtl/>
          <w:lang w:eastAsia="zh-TW"/>
        </w:rPr>
      </w:pPr>
      <w:r>
        <w:rPr>
          <w:rtl/>
          <w:lang w:eastAsia="zh-TW"/>
        </w:rPr>
        <w:tab/>
        <w:t>(ج)</w:t>
      </w:r>
      <w:r>
        <w:rPr>
          <w:rtl/>
          <w:lang w:eastAsia="zh-TW"/>
        </w:rPr>
        <w:tab/>
        <w:t xml:space="preserve">بدء عمليات البحث في الغالب بإرسال طلبات معلومات رسمية إلى المستشفيات ومراكز الاحتجاز. </w:t>
      </w:r>
      <w:dir w:val="rtl">
        <w:r>
          <w:rPr>
            <w:rtl/>
            <w:lang w:eastAsia="zh-TW"/>
          </w:rPr>
          <w:t xml:space="preserve">ويبقى معظم هذه الرسائل بلا رد. </w:t>
        </w:r>
        <w:r>
          <w:rPr>
            <w:rFonts w:ascii="Traditional Arabic" w:hAnsi="Traditional Arabic" w:hint="cs"/>
            <w:rtl/>
            <w:lang w:eastAsia="zh-TW"/>
          </w:rPr>
          <w:t>وأعربت</w:t>
        </w:r>
        <w:r>
          <w:rPr>
            <w:rtl/>
            <w:lang w:eastAsia="zh-TW"/>
          </w:rPr>
          <w:t xml:space="preserve"> </w:t>
        </w:r>
        <w:r>
          <w:rPr>
            <w:rFonts w:ascii="Traditional Arabic" w:hAnsi="Traditional Arabic" w:hint="cs"/>
            <w:rtl/>
            <w:lang w:eastAsia="zh-TW"/>
          </w:rPr>
          <w:t>اللجنة</w:t>
        </w:r>
        <w:r>
          <w:rPr>
            <w:rtl/>
            <w:lang w:eastAsia="zh-TW"/>
          </w:rPr>
          <w:t xml:space="preserve"> </w:t>
        </w:r>
        <w:r>
          <w:rPr>
            <w:rFonts w:ascii="Traditional Arabic" w:hAnsi="Traditional Arabic" w:hint="cs"/>
            <w:rtl/>
            <w:lang w:eastAsia="zh-TW"/>
          </w:rPr>
          <w:t>عن</w:t>
        </w:r>
        <w:r>
          <w:rPr>
            <w:rtl/>
            <w:lang w:eastAsia="zh-TW"/>
          </w:rPr>
          <w:t xml:space="preserve"> </w:t>
        </w:r>
        <w:r>
          <w:rPr>
            <w:rFonts w:ascii="Traditional Arabic" w:hAnsi="Traditional Arabic" w:hint="cs"/>
            <w:rtl/>
            <w:lang w:eastAsia="zh-TW"/>
          </w:rPr>
          <w:t>القلق</w:t>
        </w:r>
        <w:r>
          <w:rPr>
            <w:rtl/>
            <w:lang w:eastAsia="zh-TW"/>
          </w:rPr>
          <w:t xml:space="preserve"> </w:t>
        </w:r>
        <w:r>
          <w:rPr>
            <w:rFonts w:ascii="Traditional Arabic" w:hAnsi="Traditional Arabic" w:hint="cs"/>
            <w:rtl/>
            <w:lang w:eastAsia="zh-TW"/>
          </w:rPr>
          <w:t>لأن</w:t>
        </w:r>
        <w:r>
          <w:rPr>
            <w:rtl/>
            <w:lang w:eastAsia="zh-TW"/>
          </w:rPr>
          <w:t xml:space="preserve"> </w:t>
        </w:r>
        <w:r>
          <w:rPr>
            <w:rFonts w:ascii="Traditional Arabic" w:hAnsi="Traditional Arabic" w:hint="cs"/>
            <w:rtl/>
            <w:lang w:eastAsia="zh-TW"/>
          </w:rPr>
          <w:t>مكتب</w:t>
        </w:r>
        <w:r>
          <w:rPr>
            <w:rtl/>
            <w:lang w:eastAsia="zh-TW"/>
          </w:rPr>
          <w:t xml:space="preserve"> </w:t>
        </w:r>
        <w:r>
          <w:rPr>
            <w:rFonts w:ascii="Traditional Arabic" w:hAnsi="Traditional Arabic" w:hint="cs"/>
            <w:rtl/>
            <w:lang w:eastAsia="zh-TW"/>
          </w:rPr>
          <w:t>المد</w:t>
        </w:r>
        <w:r>
          <w:rPr>
            <w:rtl/>
            <w:lang w:eastAsia="zh-TW"/>
          </w:rPr>
          <w:t>ّعي العام لا يستخدم سلطته على ما يبدو، في هذه الحالات، استخداما</w:t>
        </w:r>
        <w:r w:rsidR="00604513">
          <w:rPr>
            <w:rFonts w:hint="cs"/>
            <w:rtl/>
            <w:lang w:eastAsia="zh-TW"/>
          </w:rPr>
          <w:t>ً</w:t>
        </w:r>
        <w:r>
          <w:rPr>
            <w:rtl/>
            <w:lang w:eastAsia="zh-TW"/>
          </w:rPr>
          <w:t xml:space="preserve"> كاملا</w:t>
        </w:r>
        <w:r w:rsidR="00604513">
          <w:rPr>
            <w:rFonts w:hint="cs"/>
            <w:rtl/>
            <w:lang w:eastAsia="zh-TW"/>
          </w:rPr>
          <w:t>ً</w:t>
        </w:r>
        <w:r>
          <w:rPr>
            <w:rtl/>
            <w:lang w:eastAsia="zh-TW"/>
          </w:rPr>
          <w:t xml:space="preserve"> للحصول على المعلومات المطلوبة؛</w:t>
        </w:r>
        <w:r w:rsidR="00FA2738">
          <w:t>‬</w:t>
        </w:r>
        <w:r w:rsidR="008A5FDE">
          <w:t>‬</w:t>
        </w:r>
      </w:dir>
    </w:p>
    <w:p w:rsidR="002F6C52" w:rsidRPr="003D22AB" w:rsidRDefault="002F6C52" w:rsidP="00604513">
      <w:pPr>
        <w:pStyle w:val="SingleTxtGA"/>
        <w:rPr>
          <w:rtl/>
          <w:lang w:eastAsia="zh-TW"/>
        </w:rPr>
      </w:pPr>
      <w:r>
        <w:rPr>
          <w:rtl/>
          <w:lang w:eastAsia="zh-TW"/>
        </w:rPr>
        <w:tab/>
        <w:t>(د)</w:t>
      </w:r>
      <w:r>
        <w:rPr>
          <w:rtl/>
          <w:lang w:eastAsia="zh-TW"/>
        </w:rPr>
        <w:tab/>
        <w:t>في السواد الأعظم من الحالات، لا يُتّخذ أي إجراء بعد توجيه الرسائل الرسمية، وتكاد التحقيقات الموقعية تنعدم. وكثي</w:t>
      </w:r>
      <w:r w:rsidR="00CA4A90">
        <w:rPr>
          <w:rtl/>
          <w:lang w:eastAsia="zh-TW"/>
        </w:rPr>
        <w:t xml:space="preserve">راً </w:t>
      </w:r>
      <w:r>
        <w:rPr>
          <w:rtl/>
          <w:lang w:eastAsia="zh-TW"/>
        </w:rPr>
        <w:t>ما أَبلغ مقدّمو الطلبات اللجنة بأن سلطات التحقيق إما تكون ضالعة على نحو مباشر أو غير مباشر في القضية أو أنها تخشى الذهاب إلى الأماكن حيث يمكنها جمع الأدلة؛</w:t>
      </w:r>
    </w:p>
    <w:p w:rsidR="002F6C52" w:rsidRPr="003D22AB" w:rsidRDefault="006345DE" w:rsidP="002F6C52">
      <w:pPr>
        <w:pStyle w:val="SingleTxtGA"/>
        <w:rPr>
          <w:rtl/>
          <w:lang w:eastAsia="zh-TW"/>
        </w:rPr>
      </w:pPr>
      <w:r>
        <w:rPr>
          <w:rtl/>
          <w:lang w:eastAsia="zh-TW"/>
        </w:rPr>
        <w:tab/>
      </w:r>
      <w:r w:rsidR="002F6C52">
        <w:rPr>
          <w:rtl/>
          <w:lang w:eastAsia="zh-TW"/>
        </w:rPr>
        <w:t>(ه)</w:t>
      </w:r>
      <w:r w:rsidR="002F6C52">
        <w:rPr>
          <w:rtl/>
          <w:lang w:eastAsia="zh-TW"/>
        </w:rPr>
        <w:tab/>
        <w:t>استنادا</w:t>
      </w:r>
      <w:r w:rsidR="002F6C52">
        <w:rPr>
          <w:rFonts w:hint="cs"/>
          <w:rtl/>
          <w:lang w:eastAsia="zh-TW"/>
        </w:rPr>
        <w:t>ً</w:t>
      </w:r>
      <w:r w:rsidR="002F6C52">
        <w:rPr>
          <w:rtl/>
          <w:lang w:eastAsia="zh-TW"/>
        </w:rPr>
        <w:t xml:space="preserve"> إلى المعلومات المتاحة، كثي</w:t>
      </w:r>
      <w:r w:rsidR="00CA4A90">
        <w:rPr>
          <w:rtl/>
          <w:lang w:eastAsia="zh-TW"/>
        </w:rPr>
        <w:t xml:space="preserve">راً </w:t>
      </w:r>
      <w:r w:rsidR="002F6C52">
        <w:rPr>
          <w:rtl/>
          <w:lang w:eastAsia="zh-TW"/>
        </w:rPr>
        <w:t xml:space="preserve">ما تتوقف مباشرة السلطات للتحقيقات على مبادرة أقارب الأشخاص المختفين أو مقرّبيهم أو ممثليهم. وفي حال عجز الأقارب </w:t>
      </w:r>
      <w:r w:rsidR="006C5FFC">
        <w:rPr>
          <w:rFonts w:hint="cs"/>
          <w:rtl/>
          <w:lang w:eastAsia="zh-TW"/>
        </w:rPr>
        <w:t xml:space="preserve">          </w:t>
      </w:r>
      <w:r w:rsidR="002F6C52">
        <w:rPr>
          <w:rtl/>
          <w:lang w:eastAsia="zh-TW"/>
        </w:rPr>
        <w:t>أو المقربين أو الممثلين عن تحديد خيوط التحقيق أو عجزهم عن إقناع السلطات باتخاذ الإجراءات اللازمة، تظل القضايا على وجه العموم في حالة جمود؛</w:t>
      </w:r>
    </w:p>
    <w:p w:rsidR="002F6C52" w:rsidRPr="003D22AB" w:rsidRDefault="002F6C52" w:rsidP="002F6C52">
      <w:pPr>
        <w:pStyle w:val="SingleTxtGA"/>
        <w:rPr>
          <w:rtl/>
          <w:lang w:eastAsia="zh-TW"/>
        </w:rPr>
      </w:pPr>
      <w:r>
        <w:rPr>
          <w:rtl/>
          <w:lang w:eastAsia="zh-TW"/>
        </w:rPr>
        <w:tab/>
        <w:t>(و)</w:t>
      </w:r>
      <w:r>
        <w:rPr>
          <w:rtl/>
          <w:lang w:eastAsia="zh-TW"/>
        </w:rPr>
        <w:tab/>
        <w:t>تواصل الاتجاه نحو تشتيت التحقيقات فيما بين المؤسسات على صعيد الولاية، وبين المؤسسات في الولايات والمؤسسات الاتحادية، ونحو عدم التنسيق فيما بين الوكالات وعدم وجود استراتيجية مشتركة. وبالنظر إلى هذه الظروف، قيل إنه وُجدت صعوبات كبيرة في إدماج جميع الأدلة في تحقيق واحد. ويفضي هذا التشتت وعدم التنسيق إلى تأخّر التحقيقات بصورة مفرطة؛</w:t>
      </w:r>
    </w:p>
    <w:p w:rsidR="002F6C52" w:rsidRPr="003D22AB" w:rsidRDefault="002F6C52" w:rsidP="002F6C52">
      <w:pPr>
        <w:pStyle w:val="SingleTxtGA"/>
        <w:rPr>
          <w:rtl/>
          <w:lang w:eastAsia="zh-TW"/>
        </w:rPr>
      </w:pPr>
      <w:r>
        <w:rPr>
          <w:lang w:eastAsia="zh-TW"/>
        </w:rPr>
        <w:tab/>
      </w:r>
      <w:r>
        <w:rPr>
          <w:rtl/>
          <w:lang w:eastAsia="zh-TW"/>
        </w:rPr>
        <w:t>(ز)</w:t>
      </w:r>
      <w:r>
        <w:rPr>
          <w:rtl/>
          <w:lang w:eastAsia="zh-TW"/>
        </w:rPr>
        <w:tab/>
        <w:t>مواصلة مقدّمي طلبات الإجراءات العاجلة إبراز الصعوبات التي يواجهها أقارب الأشخاص المختفين ومقرّبوهم وممثلوهم في الوصول إلى الملفات والمعلومات الأخرى، وفي المشاركة في البحث والتحقيق؛</w:t>
      </w:r>
    </w:p>
    <w:p w:rsidR="002F6C52" w:rsidRPr="003D22AB" w:rsidRDefault="002F6C52" w:rsidP="002F6C52">
      <w:pPr>
        <w:pStyle w:val="SingleTxtGA"/>
        <w:rPr>
          <w:rtl/>
          <w:lang w:eastAsia="zh-TW"/>
        </w:rPr>
      </w:pPr>
      <w:r>
        <w:rPr>
          <w:rtl/>
          <w:lang w:eastAsia="zh-TW"/>
        </w:rPr>
        <w:tab/>
        <w:t>(ح)</w:t>
      </w:r>
      <w:r>
        <w:rPr>
          <w:rtl/>
          <w:lang w:eastAsia="zh-TW"/>
        </w:rPr>
        <w:tab/>
        <w:t>تلقي أقارب الأشخاص المختفين دعما</w:t>
      </w:r>
      <w:r w:rsidR="005A1256">
        <w:rPr>
          <w:rFonts w:hint="cs"/>
          <w:rtl/>
          <w:lang w:eastAsia="zh-TW"/>
        </w:rPr>
        <w:t>ً</w:t>
      </w:r>
      <w:r>
        <w:rPr>
          <w:rtl/>
          <w:lang w:eastAsia="zh-TW"/>
        </w:rPr>
        <w:t xml:space="preserve"> محدودا</w:t>
      </w:r>
      <w:r w:rsidR="005A1256">
        <w:rPr>
          <w:rFonts w:hint="cs"/>
          <w:rtl/>
          <w:lang w:eastAsia="zh-TW"/>
        </w:rPr>
        <w:t>ً</w:t>
      </w:r>
      <w:r>
        <w:rPr>
          <w:rtl/>
          <w:lang w:eastAsia="zh-TW"/>
        </w:rPr>
        <w:t xml:space="preserve"> </w:t>
      </w:r>
      <w:r w:rsidR="007216E9">
        <w:rPr>
          <w:rtl/>
          <w:lang w:eastAsia="zh-TW"/>
        </w:rPr>
        <w:t>جداً</w:t>
      </w:r>
      <w:r>
        <w:rPr>
          <w:rtl/>
          <w:lang w:eastAsia="zh-TW"/>
        </w:rPr>
        <w:t xml:space="preserve"> لا يلبي احتياجاتهم. وفي</w:t>
      </w:r>
      <w:r>
        <w:rPr>
          <w:rFonts w:hint="cs"/>
          <w:rtl/>
          <w:lang w:eastAsia="zh-TW"/>
        </w:rPr>
        <w:t> </w:t>
      </w:r>
      <w:r>
        <w:rPr>
          <w:rtl/>
          <w:lang w:eastAsia="zh-TW"/>
        </w:rPr>
        <w:t>٧٥ في المائة من الإجراءات المسجلة ارتباطا</w:t>
      </w:r>
      <w:r w:rsidR="00CA4A90">
        <w:rPr>
          <w:rFonts w:hint="cs"/>
          <w:rtl/>
          <w:lang w:eastAsia="zh-TW"/>
        </w:rPr>
        <w:t>ً</w:t>
      </w:r>
      <w:r>
        <w:rPr>
          <w:rtl/>
          <w:lang w:eastAsia="zh-TW"/>
        </w:rPr>
        <w:t xml:space="preserve"> بأحداث وقعت في المكسيك، لفت الأقارب الانتباه إلى الصعوبات الرئيسية التي واجهتهم بعد اختفاء الضحية. وأفيد في عدة حالات بأن "البدلات" التي توزعها اللجنة التنفيذية لرعاية الضحايا لا تلبي الاحتياجات الأساسية، وبأن الإجراءات الإدارية الرامية إلى الحصول على الخدمات الصحية والدعم التعليمي اللازم تستغرق </w:t>
      </w:r>
      <w:r>
        <w:rPr>
          <w:rtl/>
          <w:lang w:eastAsia="zh-TW"/>
        </w:rPr>
        <w:lastRenderedPageBreak/>
        <w:t>وقتا</w:t>
      </w:r>
      <w:r>
        <w:rPr>
          <w:rFonts w:hint="cs"/>
          <w:rtl/>
          <w:lang w:eastAsia="zh-TW"/>
        </w:rPr>
        <w:t>ً</w:t>
      </w:r>
      <w:r>
        <w:rPr>
          <w:rtl/>
          <w:lang w:eastAsia="zh-TW"/>
        </w:rPr>
        <w:t xml:space="preserve"> طويلا</w:t>
      </w:r>
      <w:r>
        <w:rPr>
          <w:rFonts w:hint="cs"/>
          <w:rtl/>
          <w:lang w:eastAsia="zh-TW"/>
        </w:rPr>
        <w:t>ً</w:t>
      </w:r>
      <w:r>
        <w:rPr>
          <w:rtl/>
          <w:lang w:eastAsia="zh-TW"/>
        </w:rPr>
        <w:t xml:space="preserve"> </w:t>
      </w:r>
      <w:r w:rsidR="007216E9">
        <w:rPr>
          <w:rtl/>
          <w:lang w:eastAsia="zh-TW"/>
        </w:rPr>
        <w:t>جداً</w:t>
      </w:r>
      <w:r>
        <w:rPr>
          <w:rtl/>
          <w:lang w:eastAsia="zh-TW"/>
        </w:rPr>
        <w:t>، وبأن الوصول إلى هذه الخدمات والدعم غالبا</w:t>
      </w:r>
      <w:r w:rsidR="0005338B">
        <w:rPr>
          <w:rFonts w:hint="cs"/>
          <w:rtl/>
          <w:lang w:eastAsia="zh-TW"/>
        </w:rPr>
        <w:t>ً</w:t>
      </w:r>
      <w:r>
        <w:rPr>
          <w:rtl/>
          <w:lang w:eastAsia="zh-TW"/>
        </w:rPr>
        <w:t xml:space="preserve"> ما يتأخر كثي</w:t>
      </w:r>
      <w:r w:rsidR="00CA4A90">
        <w:rPr>
          <w:rtl/>
          <w:lang w:eastAsia="zh-TW"/>
        </w:rPr>
        <w:t xml:space="preserve">راً </w:t>
      </w:r>
      <w:r>
        <w:rPr>
          <w:rtl/>
          <w:lang w:eastAsia="zh-TW"/>
        </w:rPr>
        <w:t>لكي يلبي احتياجات الأسرة. ويتفاقم هذا الوضع جراء العوامل التي تمنع الأقارب والمقربين من المشاركة بصورة كاملة في البحث عن الأشخاص المختفين.</w:t>
      </w:r>
    </w:p>
    <w:p w:rsidR="002F6C52" w:rsidRPr="003D22AB" w:rsidRDefault="002F6C52" w:rsidP="002F6C52">
      <w:pPr>
        <w:pStyle w:val="SingleTxtGA"/>
        <w:rPr>
          <w:rtl/>
          <w:lang w:eastAsia="zh-TW"/>
        </w:rPr>
      </w:pPr>
      <w:r>
        <w:rPr>
          <w:rtl/>
          <w:lang w:eastAsia="zh-TW"/>
        </w:rPr>
        <w:t>١٠-</w:t>
      </w:r>
      <w:r>
        <w:rPr>
          <w:rtl/>
          <w:lang w:eastAsia="zh-TW"/>
        </w:rPr>
        <w:tab/>
        <w:t>وفيما يتعلق بالإجراءات العاجلة المسجلة ارتباطا</w:t>
      </w:r>
      <w:r w:rsidR="00CA4A90">
        <w:rPr>
          <w:rFonts w:hint="cs"/>
          <w:rtl/>
          <w:lang w:eastAsia="zh-TW"/>
        </w:rPr>
        <w:t>ً</w:t>
      </w:r>
      <w:r>
        <w:rPr>
          <w:rtl/>
          <w:lang w:eastAsia="zh-TW"/>
        </w:rPr>
        <w:t xml:space="preserve"> بأحداث وقعت في العراق، تشير اللجنة إلى أنها أرسلت، كما جاء في التقرير المعتمد في دورتها الثانية عشرة، رسالة تذكيرية رابعة بشأن ٢٣ إجراء عاجلا</w:t>
      </w:r>
      <w:r w:rsidR="0005338B">
        <w:rPr>
          <w:rFonts w:hint="cs"/>
          <w:rtl/>
          <w:lang w:eastAsia="zh-TW"/>
        </w:rPr>
        <w:t>ً</w:t>
      </w:r>
      <w:r>
        <w:rPr>
          <w:rtl/>
          <w:lang w:eastAsia="zh-TW"/>
        </w:rPr>
        <w:t xml:space="preserve"> مسجلا</w:t>
      </w:r>
      <w:r w:rsidR="0005338B">
        <w:rPr>
          <w:rFonts w:hint="cs"/>
          <w:rtl/>
          <w:lang w:eastAsia="zh-TW"/>
        </w:rPr>
        <w:t>ً</w:t>
      </w:r>
      <w:r>
        <w:rPr>
          <w:rtl/>
          <w:lang w:eastAsia="zh-TW"/>
        </w:rPr>
        <w:t xml:space="preserve">. وعقدت اللجنة خلال دورتها الثانية عشرة اجتماعاً ثنائياً مع البعثة الدائمة للعراق لكي تتاح للدولة الطرف فرصة عرض أسباب عدم تمكنها من الرد على رسائل اللجنة. وبعد توضيح بعض الجوانب من عملية الإجراءات العاجلة، تعهّدت الدولة الطرف بأن ترسل، في الأسابيع التالية لانتهاء الدورة، معلومات عن الإجراءات العاجلة المشار إليها، وقد فعلت ذلك. غير أن اللجنة تؤكد شواغلها الناجمة عمّا يلي: </w:t>
      </w:r>
    </w:p>
    <w:p w:rsidR="002F6C52" w:rsidRPr="003D22AB" w:rsidRDefault="002F6C52" w:rsidP="002F6C52">
      <w:pPr>
        <w:pStyle w:val="SingleTxtGA"/>
        <w:rPr>
          <w:rtl/>
          <w:lang w:eastAsia="zh-TW"/>
        </w:rPr>
      </w:pPr>
      <w:r>
        <w:rPr>
          <w:rtl/>
          <w:lang w:eastAsia="zh-TW"/>
        </w:rPr>
        <w:t>١١-</w:t>
      </w:r>
      <w:r>
        <w:rPr>
          <w:rtl/>
          <w:lang w:eastAsia="zh-TW"/>
        </w:rPr>
        <w:tab/>
        <w:t>في ٢٥ إجراء من الإجراءات العاجلة المسجلة، وجّهت الدولة الطرف رسالة إلى اللجنة تطلب فيها معلومات إضافية بشأن النقاط التالية:</w:t>
      </w:r>
    </w:p>
    <w:p w:rsidR="002F6C52" w:rsidRPr="003D22AB" w:rsidRDefault="002F6C52" w:rsidP="00D0573D">
      <w:pPr>
        <w:pStyle w:val="Bullet1GA"/>
        <w:bidi/>
        <w:rPr>
          <w:rtl/>
          <w:lang w:eastAsia="zh-TW"/>
        </w:rPr>
      </w:pPr>
      <w:r>
        <w:rPr>
          <w:rtl/>
          <w:lang w:eastAsia="zh-TW"/>
        </w:rPr>
        <w:t>الاسم الكامل (الأسماء الأربعة جميعها) واللقب</w:t>
      </w:r>
      <w:r w:rsidR="00D0573D">
        <w:rPr>
          <w:rFonts w:hint="cs"/>
          <w:rtl/>
          <w:lang w:eastAsia="zh-TW"/>
        </w:rPr>
        <w:t>؛</w:t>
      </w:r>
    </w:p>
    <w:p w:rsidR="002F6C52" w:rsidRPr="003D22AB" w:rsidRDefault="008A5FDE" w:rsidP="00D0573D">
      <w:pPr>
        <w:pStyle w:val="Bullet1GA"/>
        <w:bidi/>
        <w:rPr>
          <w:rtl/>
          <w:lang w:eastAsia="zh-TW"/>
        </w:rPr>
      </w:pPr>
      <w:dir w:val="rtl">
        <w:r w:rsidR="002F6C52">
          <w:rPr>
            <w:rtl/>
            <w:lang w:eastAsia="zh-TW"/>
          </w:rPr>
          <w:t>تاريخ ومكان الميلاد</w:t>
        </w:r>
        <w:r w:rsidR="00D0573D">
          <w:rPr>
            <w:rFonts w:hint="cs"/>
            <w:rtl/>
            <w:lang w:eastAsia="zh-TW"/>
          </w:rPr>
          <w:t>؛</w:t>
        </w:r>
        <w:r w:rsidR="00FA2738">
          <w:t>‬</w:t>
        </w:r>
        <w:r>
          <w:t>‬</w:t>
        </w:r>
      </w:dir>
    </w:p>
    <w:p w:rsidR="002F6C52" w:rsidRPr="003D22AB" w:rsidRDefault="002F6C52" w:rsidP="00D0573D">
      <w:pPr>
        <w:pStyle w:val="Bullet1GA"/>
        <w:bidi/>
        <w:rPr>
          <w:rtl/>
          <w:lang w:eastAsia="zh-TW"/>
        </w:rPr>
      </w:pPr>
      <w:r>
        <w:rPr>
          <w:rtl/>
          <w:lang w:eastAsia="zh-TW"/>
        </w:rPr>
        <w:t>اسم الأم</w:t>
      </w:r>
      <w:r w:rsidR="00D0573D">
        <w:rPr>
          <w:rFonts w:hint="cs"/>
          <w:rtl/>
          <w:lang w:eastAsia="zh-TW"/>
        </w:rPr>
        <w:t>؛</w:t>
      </w:r>
    </w:p>
    <w:p w:rsidR="002F6C52" w:rsidRPr="003D22AB" w:rsidRDefault="002F6C52" w:rsidP="00D0573D">
      <w:pPr>
        <w:pStyle w:val="Bullet1GA"/>
        <w:bidi/>
        <w:rPr>
          <w:rtl/>
          <w:lang w:eastAsia="zh-TW"/>
        </w:rPr>
      </w:pPr>
      <w:r>
        <w:rPr>
          <w:rtl/>
          <w:lang w:eastAsia="zh-TW"/>
        </w:rPr>
        <w:t>مكان وتاريخ الاختفاء</w:t>
      </w:r>
      <w:r w:rsidR="00D0573D">
        <w:rPr>
          <w:rFonts w:hint="cs"/>
          <w:rtl/>
          <w:lang w:eastAsia="zh-TW"/>
        </w:rPr>
        <w:t>؛</w:t>
      </w:r>
    </w:p>
    <w:p w:rsidR="002F6C52" w:rsidRPr="003D22AB" w:rsidRDefault="002F6C52" w:rsidP="00D0573D">
      <w:pPr>
        <w:pStyle w:val="Bullet1GA"/>
        <w:bidi/>
        <w:rPr>
          <w:rtl/>
          <w:lang w:eastAsia="zh-TW"/>
        </w:rPr>
      </w:pPr>
      <w:r>
        <w:rPr>
          <w:rtl/>
          <w:lang w:eastAsia="zh-TW"/>
        </w:rPr>
        <w:t>الوظيفة، والنشاط/المهنة، ومكان العمل</w:t>
      </w:r>
      <w:r w:rsidR="00D0573D">
        <w:rPr>
          <w:rFonts w:hint="cs"/>
          <w:rtl/>
          <w:lang w:eastAsia="zh-TW"/>
        </w:rPr>
        <w:t>؛</w:t>
      </w:r>
    </w:p>
    <w:p w:rsidR="002F6C52" w:rsidRPr="003D22AB" w:rsidRDefault="002F6C52" w:rsidP="00D0573D">
      <w:pPr>
        <w:pStyle w:val="Bullet1GA"/>
        <w:bidi/>
        <w:rPr>
          <w:rtl/>
          <w:lang w:eastAsia="zh-TW"/>
        </w:rPr>
      </w:pPr>
      <w:r>
        <w:rPr>
          <w:rtl/>
          <w:lang w:eastAsia="zh-TW"/>
        </w:rPr>
        <w:t>عنوان الأسرة</w:t>
      </w:r>
      <w:r w:rsidR="00D0573D">
        <w:rPr>
          <w:rFonts w:hint="cs"/>
          <w:rtl/>
          <w:lang w:eastAsia="zh-TW"/>
        </w:rPr>
        <w:t>؛</w:t>
      </w:r>
    </w:p>
    <w:p w:rsidR="002F6C52" w:rsidRPr="003D22AB" w:rsidRDefault="002F6C52" w:rsidP="00D0573D">
      <w:pPr>
        <w:pStyle w:val="Bullet1GA"/>
        <w:bidi/>
        <w:rPr>
          <w:rtl/>
          <w:lang w:eastAsia="zh-TW"/>
        </w:rPr>
      </w:pPr>
      <w:r>
        <w:rPr>
          <w:rtl/>
          <w:lang w:eastAsia="zh-TW"/>
        </w:rPr>
        <w:t>عنوان الشخص المختفي</w:t>
      </w:r>
      <w:r w:rsidR="00D0573D">
        <w:rPr>
          <w:rFonts w:hint="cs"/>
          <w:rtl/>
          <w:lang w:eastAsia="zh-TW"/>
        </w:rPr>
        <w:t>؛</w:t>
      </w:r>
    </w:p>
    <w:p w:rsidR="002F6C52" w:rsidRPr="003D22AB" w:rsidRDefault="002F6C52" w:rsidP="00D0573D">
      <w:pPr>
        <w:pStyle w:val="Bullet1GA"/>
        <w:bidi/>
        <w:rPr>
          <w:rtl/>
          <w:lang w:eastAsia="zh-TW"/>
        </w:rPr>
      </w:pPr>
      <w:r>
        <w:rPr>
          <w:rtl/>
          <w:lang w:eastAsia="zh-TW"/>
        </w:rPr>
        <w:t>التدريب/التعليم الأكاديمي</w:t>
      </w:r>
      <w:r w:rsidR="00D0573D">
        <w:rPr>
          <w:rFonts w:hint="cs"/>
          <w:rtl/>
          <w:lang w:eastAsia="zh-TW"/>
        </w:rPr>
        <w:t>؛</w:t>
      </w:r>
    </w:p>
    <w:p w:rsidR="002F6C52" w:rsidRPr="003D22AB" w:rsidRDefault="002F6C52" w:rsidP="00D0573D">
      <w:pPr>
        <w:pStyle w:val="Bullet1GA"/>
        <w:bidi/>
        <w:rPr>
          <w:rtl/>
          <w:lang w:eastAsia="zh-TW"/>
        </w:rPr>
      </w:pPr>
      <w:r>
        <w:rPr>
          <w:rtl/>
          <w:lang w:eastAsia="zh-TW"/>
        </w:rPr>
        <w:t>السجلّ الجنائي، إن وُجد</w:t>
      </w:r>
      <w:r w:rsidR="00D0573D">
        <w:rPr>
          <w:rFonts w:hint="cs"/>
          <w:rtl/>
          <w:lang w:eastAsia="zh-TW"/>
        </w:rPr>
        <w:t>؛</w:t>
      </w:r>
    </w:p>
    <w:p w:rsidR="002F6C52" w:rsidRPr="003D22AB" w:rsidRDefault="002F6C52" w:rsidP="00D0573D">
      <w:pPr>
        <w:pStyle w:val="Bullet1GA"/>
        <w:bidi/>
        <w:rPr>
          <w:rtl/>
          <w:lang w:eastAsia="zh-TW"/>
        </w:rPr>
      </w:pPr>
      <w:r>
        <w:rPr>
          <w:rtl/>
          <w:lang w:eastAsia="zh-TW"/>
        </w:rPr>
        <w:t>الصلة بمقدم طلب الإجراء العاجل</w:t>
      </w:r>
      <w:r w:rsidR="00D0573D">
        <w:rPr>
          <w:rFonts w:hint="cs"/>
          <w:rtl/>
          <w:lang w:eastAsia="zh-TW"/>
        </w:rPr>
        <w:t>؛</w:t>
      </w:r>
    </w:p>
    <w:p w:rsidR="002F6C52" w:rsidRPr="003D22AB" w:rsidRDefault="002F6C52" w:rsidP="00D0573D">
      <w:pPr>
        <w:pStyle w:val="Bullet1GA"/>
        <w:bidi/>
        <w:rPr>
          <w:rtl/>
          <w:lang w:eastAsia="zh-TW"/>
        </w:rPr>
      </w:pPr>
      <w:r>
        <w:rPr>
          <w:rtl/>
          <w:lang w:eastAsia="zh-TW"/>
        </w:rPr>
        <w:t>ما إذا أُبلغت الشرطة بحالة الاختفاء</w:t>
      </w:r>
      <w:r w:rsidR="00D0573D">
        <w:rPr>
          <w:rFonts w:hint="cs"/>
          <w:rtl/>
          <w:lang w:eastAsia="zh-TW"/>
        </w:rPr>
        <w:t>؛</w:t>
      </w:r>
    </w:p>
    <w:p w:rsidR="002F6C52" w:rsidRPr="003D22AB" w:rsidRDefault="002F6C52" w:rsidP="00D0573D">
      <w:pPr>
        <w:pStyle w:val="Bullet1GA"/>
        <w:bidi/>
        <w:rPr>
          <w:rtl/>
          <w:lang w:eastAsia="zh-TW"/>
        </w:rPr>
      </w:pPr>
      <w:r>
        <w:rPr>
          <w:rtl/>
          <w:lang w:eastAsia="zh-TW"/>
        </w:rPr>
        <w:t>ما إذا أبلغت المحاكم بحالة الاختفاء</w:t>
      </w:r>
      <w:r w:rsidR="00D0573D">
        <w:rPr>
          <w:rFonts w:hint="cs"/>
          <w:rtl/>
          <w:lang w:eastAsia="zh-TW"/>
        </w:rPr>
        <w:t>؛</w:t>
      </w:r>
    </w:p>
    <w:p w:rsidR="002F6C52" w:rsidRPr="003D22AB" w:rsidRDefault="002F6C52" w:rsidP="00D0573D">
      <w:pPr>
        <w:pStyle w:val="Bullet1GA"/>
        <w:bidi/>
        <w:rPr>
          <w:rtl/>
          <w:lang w:eastAsia="zh-TW"/>
        </w:rPr>
      </w:pPr>
      <w:r>
        <w:rPr>
          <w:rtl/>
          <w:lang w:eastAsia="zh-TW"/>
        </w:rPr>
        <w:t>الاسم الكامل لمقدم طلب الإجراء العاجل</w:t>
      </w:r>
      <w:r w:rsidR="00D0573D">
        <w:rPr>
          <w:rFonts w:hint="cs"/>
          <w:rtl/>
          <w:lang w:eastAsia="zh-TW"/>
        </w:rPr>
        <w:t>؛</w:t>
      </w:r>
    </w:p>
    <w:p w:rsidR="002F6C52" w:rsidRPr="003D22AB" w:rsidRDefault="002F6C52" w:rsidP="00D0573D">
      <w:pPr>
        <w:pStyle w:val="Bullet1GA"/>
        <w:bidi/>
        <w:rPr>
          <w:rtl/>
          <w:lang w:eastAsia="zh-TW"/>
        </w:rPr>
      </w:pPr>
      <w:r>
        <w:rPr>
          <w:rtl/>
          <w:lang w:eastAsia="zh-TW"/>
        </w:rPr>
        <w:t>تاريخ الطلب وتوقيع مقدم الطلب</w:t>
      </w:r>
      <w:r w:rsidR="00D0573D">
        <w:rPr>
          <w:rFonts w:hint="cs"/>
          <w:rtl/>
          <w:lang w:eastAsia="zh-TW"/>
        </w:rPr>
        <w:t>؛</w:t>
      </w:r>
    </w:p>
    <w:p w:rsidR="002F6C52" w:rsidRPr="003D22AB" w:rsidRDefault="002F6C52" w:rsidP="00D0573D">
      <w:pPr>
        <w:pStyle w:val="Bullet1GA"/>
        <w:bidi/>
        <w:rPr>
          <w:rtl/>
          <w:lang w:eastAsia="zh-TW"/>
        </w:rPr>
      </w:pPr>
      <w:r>
        <w:rPr>
          <w:rtl/>
          <w:lang w:eastAsia="zh-TW"/>
        </w:rPr>
        <w:t>بصمات أصابع مقدم الطلب</w:t>
      </w:r>
      <w:r w:rsidR="00D0573D">
        <w:rPr>
          <w:rFonts w:hint="cs"/>
          <w:rtl/>
          <w:lang w:eastAsia="zh-TW"/>
        </w:rPr>
        <w:t>؛</w:t>
      </w:r>
    </w:p>
    <w:p w:rsidR="002F6C52" w:rsidRPr="003D22AB" w:rsidRDefault="002F6C52" w:rsidP="00D0573D">
      <w:pPr>
        <w:pStyle w:val="Bullet1GA"/>
        <w:bidi/>
        <w:rPr>
          <w:rtl/>
          <w:lang w:eastAsia="zh-TW"/>
        </w:rPr>
      </w:pPr>
      <w:r>
        <w:rPr>
          <w:rtl/>
          <w:lang w:eastAsia="zh-TW"/>
        </w:rPr>
        <w:t>الوثائق الواجب تقديمها: بطاقة الهوية، وشهادة الجنسية العراقية، وتصريح الإقامة، وبطاقة التموين (البطاقة اللازمة للحصول على الأغذية والأدوية)، وجواز السفر، ونسخة من الشكوى المقدمة إلى السلطات الوطنية.</w:t>
      </w:r>
      <w:r w:rsidR="00D0573D">
        <w:rPr>
          <w:rFonts w:hint="cs"/>
          <w:rtl/>
          <w:lang w:eastAsia="zh-TW"/>
        </w:rPr>
        <w:t xml:space="preserve"> </w:t>
      </w:r>
    </w:p>
    <w:p w:rsidR="002F6C52" w:rsidRPr="003D22AB" w:rsidRDefault="002F6C52" w:rsidP="002F6C52">
      <w:pPr>
        <w:pStyle w:val="SingleTxtGA"/>
        <w:rPr>
          <w:rtl/>
          <w:lang w:eastAsia="zh-TW"/>
        </w:rPr>
      </w:pPr>
      <w:r>
        <w:rPr>
          <w:rtl/>
          <w:lang w:eastAsia="zh-TW"/>
        </w:rPr>
        <w:lastRenderedPageBreak/>
        <w:t>١٢-</w:t>
      </w:r>
      <w:r>
        <w:rPr>
          <w:rtl/>
          <w:lang w:eastAsia="zh-TW"/>
        </w:rPr>
        <w:tab/>
        <w:t>ووجّهت اللجنة رسالة إلى الدولة الطرف بشأن هذه الحالات حيث أعربت عن تقديرها لعزم الدولة الطرف الحصول على معلومات إضافية "لتمكين السلطات المختصة من التحقيق في ملابسات الاختفاء المزعوم". بيد أن اللجنة ذكّرت الدولة الطرف بأن المعلومات المطلوبة بشأن هوية الشخص المختفي وعنوان الاختفاء وتاريخه ومكانه وظروفه قُدّمت بالفعل في مذكرة تسجيل الإجراء العاجل. كما ذكّرت اللجنة الدولة الطرف بأن هذه المعلومات قُدمت في جميع المرات السابقة عندما طلبت الدولة الطرف معلومات إضافية عن هوية الشخص المختفي. وأعربت اللجنة عن قلقها لأن تقديم المعلومات المطلوبة لم يتبعه تلقي أي معلومات عما تبذله الدولة الطرف من جهود للبحث عن الشخص المختفي والعثور عليه وللتحقيق في الاختفاء القسري المزعوم.</w:t>
      </w:r>
    </w:p>
    <w:p w:rsidR="002F6C52" w:rsidRPr="003D22AB" w:rsidRDefault="002F6C52" w:rsidP="002F6C52">
      <w:pPr>
        <w:pStyle w:val="SingleTxtGA"/>
        <w:rPr>
          <w:rtl/>
          <w:lang w:eastAsia="zh-TW"/>
        </w:rPr>
      </w:pPr>
      <w:r>
        <w:rPr>
          <w:rtl/>
          <w:lang w:eastAsia="zh-TW"/>
        </w:rPr>
        <w:t>١٣-</w:t>
      </w:r>
      <w:r>
        <w:rPr>
          <w:rtl/>
          <w:lang w:eastAsia="zh-TW"/>
        </w:rPr>
        <w:tab/>
        <w:t>وفيما يتعلق بطلب الدولة الطرف أن تقدّم اللجنة معلومات عن مقدمي طلب الإجراء العاجل، ذكّرت اللجنة بأن هوية مقدمي جميع الطلبات بموجب المادة 30 من الاتفاقية تظل، لأسباب أمنية، محاطة بالسرية طيلة الإجراءات. وأخيرا</w:t>
      </w:r>
      <w:r w:rsidR="00E42B18">
        <w:rPr>
          <w:rFonts w:hint="cs"/>
          <w:rtl/>
          <w:lang w:eastAsia="zh-TW"/>
        </w:rPr>
        <w:t>ً</w:t>
      </w:r>
      <w:r>
        <w:rPr>
          <w:rtl/>
          <w:lang w:eastAsia="zh-TW"/>
        </w:rPr>
        <w:t>، أكّدت اللجنة أن طلبات الإجراءات العاجلة تنشأ عن ظروف طارئة وأن الرد السريع من سلطات الدولة الطرف على هذه الطلبات ضروري للعثور على الأشخاص المختفين. وفي هذا السياق، و</w:t>
      </w:r>
      <w:r w:rsidR="00CA4A90">
        <w:rPr>
          <w:rtl/>
          <w:lang w:eastAsia="zh-TW"/>
        </w:rPr>
        <w:t>وفقاً</w:t>
      </w:r>
      <w:r w:rsidR="00D143E7">
        <w:rPr>
          <w:rtl/>
          <w:lang w:eastAsia="zh-TW"/>
        </w:rPr>
        <w:t xml:space="preserve"> للمادة ٣٠ من الاتفاقية، لا</w:t>
      </w:r>
      <w:r w:rsidR="00D143E7">
        <w:rPr>
          <w:rFonts w:hint="cs"/>
          <w:rtl/>
          <w:lang w:eastAsia="zh-TW"/>
        </w:rPr>
        <w:t> </w:t>
      </w:r>
      <w:r>
        <w:rPr>
          <w:rtl/>
          <w:lang w:eastAsia="zh-TW"/>
        </w:rPr>
        <w:t>يمكن للدولة الطرف أن تتوقع من اللجنة اعتماد إجراء خاص لتيسير بدء التحقيق. وبدلا</w:t>
      </w:r>
      <w:r w:rsidR="00E42B18">
        <w:rPr>
          <w:rFonts w:hint="cs"/>
          <w:rtl/>
          <w:lang w:eastAsia="zh-TW"/>
        </w:rPr>
        <w:t>ً</w:t>
      </w:r>
      <w:r>
        <w:rPr>
          <w:rtl/>
          <w:lang w:eastAsia="zh-TW"/>
        </w:rPr>
        <w:t xml:space="preserve"> من ذلك، يتعين على الدولة الطرف، بموجب الاتفاقية، اتخاذ الخطوات اللازمة بحسن نية للبحث عن الأشخاص المختفين والعثور عليهم وللتحقيق في اختفائهم بالاعتماد على المعلومات الأساسية المقدمة بشأن هوية الأشخاص المختفين وبشأن تاريخ اختفائهم ومكانه وظروفه. وفي الختام، أعربت اللجنة عن قلقها لعدم تقديم توضيحات بخصوص مصير الأشخاص المختفين ومكان وجودهم وكرّرت تأكيد توصياتها السابقة بشأن طلب الإجراءات العاجلة ذات الصلة.</w:t>
      </w:r>
    </w:p>
    <w:p w:rsidR="002F6C52" w:rsidRPr="003D22AB" w:rsidRDefault="002F6C52" w:rsidP="002F6C52">
      <w:pPr>
        <w:pStyle w:val="SingleTxtGA"/>
        <w:rPr>
          <w:rtl/>
          <w:lang w:eastAsia="zh-TW" w:bidi="ar-DZ"/>
        </w:rPr>
      </w:pPr>
      <w:r>
        <w:rPr>
          <w:rtl/>
          <w:lang w:eastAsia="zh-TW"/>
        </w:rPr>
        <w:t>١٤-</w:t>
      </w:r>
      <w:r>
        <w:rPr>
          <w:rtl/>
          <w:lang w:eastAsia="zh-TW"/>
        </w:rPr>
        <w:tab/>
        <w:t>وفيما يتعلق بسلسلة أخرى من طلبات الإجراءات العاجلة، دعا العراق اللجنة إلى أن تطلب إلى أقارب الأشخاص المختفين زيارة مديرية حقوق الإنسان بمكتب المفتش العام لوزارة الداخلية بغرض "تقديم طلب بحث رسمي والإدلاء بشهادتهم من أجل دعم التحقيقات الجارية". و</w:t>
      </w:r>
      <w:r w:rsidR="00CA4A90">
        <w:rPr>
          <w:rtl/>
          <w:lang w:eastAsia="zh-TW"/>
        </w:rPr>
        <w:t>وفقاً</w:t>
      </w:r>
      <w:r>
        <w:rPr>
          <w:rtl/>
          <w:lang w:eastAsia="zh-TW"/>
        </w:rPr>
        <w:t xml:space="preserve"> للمعلومات التي تلقتها اللجنة، مَثَل أقارب الأشخاص المختفين المعنيين أمام السلطات التي حددتها الدولة الطرف ومعهم نسخة من رسالة الدولة، غير أن</w:t>
      </w:r>
      <w:r w:rsidRPr="00453ABB">
        <w:rPr>
          <w:rtl/>
          <w:lang w:eastAsia="zh-TW"/>
        </w:rPr>
        <w:t xml:space="preserve"> </w:t>
      </w:r>
      <w:r>
        <w:rPr>
          <w:rtl/>
          <w:lang w:eastAsia="zh-TW"/>
        </w:rPr>
        <w:t>السلطات المعنية لم تستقبلهم بل أُحيلوا إلى مؤسسات أخرى، مثل مديرية الطب الشرعي، للبحث عن "قريبهم الذي يحتمل أن يكون قد تُوفّي". وتشعر اللجنة بالقلق إزاء ردود فعل الدولة الطرف هذه التي تؤخّر إجراءات البحث ويبدو أنها تستند إلى فرضية لا أساس لها بشأن الوفاة المزعومة للأشخاص المختفين، وهو ما قد يحول دون إجراء بحث فعال عن الأشخاص المختفين الأحياء.</w:t>
      </w:r>
    </w:p>
    <w:p w:rsidR="002F6C52" w:rsidRPr="00D143E7" w:rsidRDefault="002F6C52" w:rsidP="002F6C52">
      <w:pPr>
        <w:pStyle w:val="SingleTxtGA"/>
        <w:rPr>
          <w:spacing w:val="-2"/>
          <w:rtl/>
          <w:lang w:eastAsia="zh-TW"/>
        </w:rPr>
      </w:pPr>
      <w:r w:rsidRPr="00D143E7">
        <w:rPr>
          <w:spacing w:val="-2"/>
          <w:rtl/>
          <w:lang w:eastAsia="zh-TW"/>
        </w:rPr>
        <w:t>١٥-</w:t>
      </w:r>
      <w:r w:rsidRPr="00D143E7">
        <w:rPr>
          <w:spacing w:val="-2"/>
          <w:rtl/>
          <w:lang w:eastAsia="zh-TW"/>
        </w:rPr>
        <w:tab/>
        <w:t xml:space="preserve">وفيما يتعلق بثلاثة طلبات لاتخاذ إجراءات عاجلة، قالت الدولة الطرف إنه لا يمكن الاستجابة لهذه الطلبات لأن أقارب الأشخاص المختفين لم يبلّغوا عن حالة الاختفاء إلى السلطات الوطنية المختصة. وذكّرت اللجنة، في رسالتها، الدولة الطرف بأنه ينبغي لمقدم طلب إجراء عاجل أن يكون، </w:t>
      </w:r>
      <w:r w:rsidR="00CA4A90">
        <w:rPr>
          <w:spacing w:val="-2"/>
          <w:rtl/>
          <w:lang w:eastAsia="zh-TW"/>
        </w:rPr>
        <w:t>وفقاً</w:t>
      </w:r>
      <w:r w:rsidRPr="00D143E7">
        <w:rPr>
          <w:spacing w:val="-2"/>
          <w:rtl/>
          <w:lang w:eastAsia="zh-TW"/>
        </w:rPr>
        <w:t xml:space="preserve"> للمادة ٣٠(٢)(ج) من الاتفاقية، قد سبق وأن قدم الطلب على النحو الواجب إلى الهيئات المختصة في الدولة الطرف المعنية، "في حالة وجود هذه الإمكانية". كما ذكّرت اللجنة الدولة الطرف بأنه لن تتاح، </w:t>
      </w:r>
      <w:r w:rsidR="00CA4A90">
        <w:rPr>
          <w:spacing w:val="-2"/>
          <w:rtl/>
          <w:lang w:eastAsia="zh-TW"/>
        </w:rPr>
        <w:t>وفقاً</w:t>
      </w:r>
      <w:r w:rsidRPr="00D143E7">
        <w:rPr>
          <w:spacing w:val="-2"/>
          <w:rtl/>
          <w:lang w:eastAsia="zh-TW"/>
        </w:rPr>
        <w:t xml:space="preserve"> للاجتهادات السابقة للجنة، إمكانية حقيقية لأن يبلّغ الأقاربُ السلطات المحلية المختصة بالاختفاء في حال أشارت المعلومات المتاحة إلى أنهم </w:t>
      </w:r>
      <w:r w:rsidRPr="00D143E7">
        <w:rPr>
          <w:spacing w:val="-2"/>
          <w:rtl/>
          <w:lang w:eastAsia="zh-TW"/>
        </w:rPr>
        <w:lastRenderedPageBreak/>
        <w:t>سيتعرضون للخطر في حال قيامهم بذلك. وبموجب المادة ١٢(٢) من الاتفاقية، يُلزم طلب اتخاذ إجراءات عاجلة الدولةَ الطرف بأن تجري "تحقيقا</w:t>
      </w:r>
      <w:r w:rsidR="007216E9">
        <w:rPr>
          <w:rFonts w:hint="cs"/>
          <w:spacing w:val="-2"/>
          <w:rtl/>
          <w:lang w:eastAsia="zh-TW"/>
        </w:rPr>
        <w:t>ً</w:t>
      </w:r>
      <w:r w:rsidRPr="00D143E7">
        <w:rPr>
          <w:spacing w:val="-2"/>
          <w:rtl/>
          <w:lang w:eastAsia="zh-TW"/>
        </w:rPr>
        <w:t xml:space="preserve"> حتى لو لم تقدم أية شكوى رسمية".</w:t>
      </w:r>
      <w:r w:rsidRPr="00D143E7">
        <w:rPr>
          <w:rFonts w:hint="cs"/>
          <w:spacing w:val="-2"/>
          <w:rtl/>
          <w:lang w:eastAsia="zh-TW"/>
        </w:rPr>
        <w:t xml:space="preserve"> </w:t>
      </w:r>
    </w:p>
    <w:p w:rsidR="002F6C52" w:rsidRPr="003D22AB" w:rsidRDefault="002F6C52" w:rsidP="002F6C52">
      <w:pPr>
        <w:pStyle w:val="SingleTxtGA"/>
        <w:rPr>
          <w:rtl/>
          <w:lang w:eastAsia="zh-TW"/>
        </w:rPr>
      </w:pPr>
      <w:r>
        <w:rPr>
          <w:rtl/>
          <w:lang w:eastAsia="zh-TW"/>
        </w:rPr>
        <w:t>١٦-</w:t>
      </w:r>
      <w:r>
        <w:rPr>
          <w:rtl/>
          <w:lang w:eastAsia="zh-TW"/>
        </w:rPr>
        <w:tab/>
        <w:t xml:space="preserve">وفيما يتعلق بطلبات الإجراءات العاجلة الموجهة إلى دول أطراف أخرى، ترى اللجنة أن عدد الطلبات المسجلة صغير </w:t>
      </w:r>
      <w:r w:rsidR="007216E9">
        <w:rPr>
          <w:rtl/>
          <w:lang w:eastAsia="zh-TW"/>
        </w:rPr>
        <w:t xml:space="preserve">جداً </w:t>
      </w:r>
      <w:r>
        <w:rPr>
          <w:rtl/>
          <w:lang w:eastAsia="zh-TW"/>
        </w:rPr>
        <w:t>لكي يسمح لها باستخلاص ما يفيد بوجود اتجاهات متكررة. بيد أنه يمكن تسليط الضوء على المعلومات التالية فيما يتعلق بطلبات الإجراءات العاجلة المسجلة:</w:t>
      </w:r>
    </w:p>
    <w:p w:rsidR="002F6C52" w:rsidRPr="003D22AB" w:rsidRDefault="002F6C52" w:rsidP="002F6C52">
      <w:pPr>
        <w:pStyle w:val="SingleTxtGA"/>
        <w:rPr>
          <w:rtl/>
          <w:lang w:eastAsia="zh-TW"/>
        </w:rPr>
      </w:pPr>
      <w:r>
        <w:rPr>
          <w:rtl/>
          <w:lang w:eastAsia="zh-TW"/>
        </w:rPr>
        <w:tab/>
        <w:t>(أ)</w:t>
      </w:r>
      <w:r>
        <w:rPr>
          <w:rtl/>
          <w:lang w:eastAsia="zh-TW"/>
        </w:rPr>
        <w:tab/>
        <w:t>الأرجنتين: فيما يتعلق بطلبي الإجراءات العاجلة المسجّلين، رفضت الدولة الطرف في ردّها ادّعاءات الاختفاء القسري، على الرغم من وجود عدد من البيانات والأدلّة التي تشير إلى تورط أفراد الشرطة أو أفراد الدرك على نحو مباشر في الحالتين. وكرّر مقدّمو الطلبات تأكيد ادّعاءاتهم. وسترسل اللجنة مذكرات متابعة في أقرب وقت ممكن بشأن هذين الطلبين؛</w:t>
      </w:r>
    </w:p>
    <w:p w:rsidR="002F6C52" w:rsidRPr="003D22AB" w:rsidRDefault="002F6C52" w:rsidP="002F6C52">
      <w:pPr>
        <w:pStyle w:val="SingleTxtGA"/>
        <w:rPr>
          <w:rtl/>
          <w:lang w:eastAsia="zh-TW"/>
        </w:rPr>
      </w:pPr>
      <w:r>
        <w:rPr>
          <w:rtl/>
          <w:lang w:eastAsia="zh-TW"/>
        </w:rPr>
        <w:tab/>
        <w:t>(ب)</w:t>
      </w:r>
      <w:r>
        <w:rPr>
          <w:rtl/>
          <w:lang w:eastAsia="zh-TW"/>
        </w:rPr>
        <w:tab/>
        <w:t>أرمينيا: أرسلت الدولة الطرف ردها وقدمت معلومات عن التحقيقات الجارية. ووُزّعت هذه المعلومات على مقدّمي الطلب للتعليق عليها؛</w:t>
      </w:r>
    </w:p>
    <w:p w:rsidR="002F6C52" w:rsidRPr="003D22AB" w:rsidRDefault="002F6C52" w:rsidP="002F6C52">
      <w:pPr>
        <w:pStyle w:val="SingleTxtGA"/>
        <w:rPr>
          <w:rtl/>
          <w:lang w:eastAsia="zh-TW"/>
        </w:rPr>
      </w:pPr>
      <w:r>
        <w:rPr>
          <w:rtl/>
          <w:lang w:eastAsia="zh-TW"/>
        </w:rPr>
        <w:tab/>
        <w:t>(ج)</w:t>
      </w:r>
      <w:r>
        <w:rPr>
          <w:rtl/>
          <w:lang w:eastAsia="zh-TW"/>
        </w:rPr>
        <w:tab/>
        <w:t xml:space="preserve">البرازيل: قُدّمت معلومات عامّة </w:t>
      </w:r>
      <w:r w:rsidR="007216E9">
        <w:rPr>
          <w:rtl/>
          <w:lang w:eastAsia="zh-TW"/>
        </w:rPr>
        <w:t>جداً</w:t>
      </w:r>
      <w:r>
        <w:rPr>
          <w:rtl/>
          <w:lang w:eastAsia="zh-TW"/>
        </w:rPr>
        <w:t xml:space="preserve">. وتسلط الدولة الطرف الضوء على المشاكل التي تعترض إجراء التحقيق. ومضى تنفيذ الإجراء العاجل بوتيرة بطيئة </w:t>
      </w:r>
      <w:r w:rsidR="007216E9">
        <w:rPr>
          <w:rtl/>
          <w:lang w:eastAsia="zh-TW"/>
        </w:rPr>
        <w:t xml:space="preserve">جداً </w:t>
      </w:r>
      <w:r>
        <w:rPr>
          <w:rtl/>
          <w:lang w:eastAsia="zh-TW"/>
        </w:rPr>
        <w:t>بسبب الصعوبات التي تعترض الحصول على تعليقات مقدمي الطلبات؛</w:t>
      </w:r>
    </w:p>
    <w:p w:rsidR="002F6C52" w:rsidRPr="003D22AB" w:rsidRDefault="002F6C52" w:rsidP="002F6C52">
      <w:pPr>
        <w:pStyle w:val="SingleTxtGA"/>
        <w:rPr>
          <w:rtl/>
          <w:lang w:eastAsia="zh-TW"/>
        </w:rPr>
      </w:pPr>
      <w:r>
        <w:rPr>
          <w:rtl/>
          <w:lang w:eastAsia="zh-TW"/>
        </w:rPr>
        <w:tab/>
        <w:t>(د)</w:t>
      </w:r>
      <w:r>
        <w:rPr>
          <w:rtl/>
          <w:lang w:eastAsia="zh-TW"/>
        </w:rPr>
        <w:tab/>
        <w:t>كمبوديا: تمسّكت الدولة الطرف بموقفها ومفاده عدم اختفاء الشخص الذي سُجّل بشأنه اختفاء قسري مزعوم، على الرغم من وجود بيانات وأدلة شتّى توحي بإمكانية وقوع ذلك. كما خلصت السلطات إلى عدم وجود ما يقضي بمباشرة التحقيق في هذه الحالة. وتنتظر اللجنة ملاحظات مقدمي الطلب من أجل اتخاذ الإجراءات اللازمة؛</w:t>
      </w:r>
    </w:p>
    <w:p w:rsidR="002F6C52" w:rsidRPr="003D22AB" w:rsidRDefault="002F6C52" w:rsidP="002F6C52">
      <w:pPr>
        <w:pStyle w:val="SingleTxtGA"/>
        <w:rPr>
          <w:rtl/>
          <w:lang w:eastAsia="zh-TW"/>
        </w:rPr>
      </w:pPr>
      <w:r>
        <w:rPr>
          <w:rtl/>
          <w:lang w:eastAsia="zh-TW"/>
        </w:rPr>
        <w:tab/>
        <w:t>(ه)</w:t>
      </w:r>
      <w:r>
        <w:rPr>
          <w:rtl/>
          <w:lang w:eastAsia="zh-TW"/>
        </w:rPr>
        <w:tab/>
        <w:t>كولومبيا: تتمسّك الدولة الطرف بمواصلة الحوار مع اللجنة، وقد ردّت على طلبات الإجراءات العاجلة ومذكرات المتابعة. وفي كثير من الحالات، توحي المعلومات المقدّمة منها بعدم إحراز تقدم يُذكر في التحقيقات وإجراءات البحث. ويفيد مقدمو الطلبات بأن رسائل اللجنة كثي</w:t>
      </w:r>
      <w:r w:rsidR="00CA4A90">
        <w:rPr>
          <w:rtl/>
          <w:lang w:eastAsia="zh-TW"/>
        </w:rPr>
        <w:t xml:space="preserve">راً </w:t>
      </w:r>
      <w:r>
        <w:rPr>
          <w:rtl/>
          <w:lang w:eastAsia="zh-TW"/>
        </w:rPr>
        <w:t>ما يعقبها اتخاذ إجراءات ملموسة، على الرغم من أن الإجراء لا يشكل دائما</w:t>
      </w:r>
      <w:r w:rsidR="00E42B18">
        <w:rPr>
          <w:rFonts w:hint="cs"/>
          <w:rtl/>
          <w:lang w:eastAsia="zh-TW"/>
        </w:rPr>
        <w:t>ً</w:t>
      </w:r>
      <w:r>
        <w:rPr>
          <w:rtl/>
          <w:lang w:eastAsia="zh-TW"/>
        </w:rPr>
        <w:t xml:space="preserve"> جزءا</w:t>
      </w:r>
      <w:r w:rsidR="00E42B18">
        <w:rPr>
          <w:rFonts w:hint="cs"/>
          <w:rtl/>
          <w:lang w:eastAsia="zh-TW"/>
        </w:rPr>
        <w:t>ً</w:t>
      </w:r>
      <w:r>
        <w:rPr>
          <w:rtl/>
          <w:lang w:eastAsia="zh-TW"/>
        </w:rPr>
        <w:t xml:space="preserve"> من استراتيجية بحث وتحقيق واضحة. وفي إحدى الحالات، أعرب مقدم الطلب عن قلقه إزاء عدم اتخاذ سلطات التحقيق الإجراءات اللازمة. وفي الواقع، تتّسم ردود الدولة الطرف بطابع عام </w:t>
      </w:r>
      <w:r w:rsidR="007216E9">
        <w:rPr>
          <w:rtl/>
          <w:lang w:eastAsia="zh-TW"/>
        </w:rPr>
        <w:t xml:space="preserve">جداً </w:t>
      </w:r>
      <w:r>
        <w:rPr>
          <w:rtl/>
          <w:lang w:eastAsia="zh-TW"/>
        </w:rPr>
        <w:t>وتكشف عدم اتخاذ إجراءات التحقيق اللازمة التي قد تعتبر أساسية في ضوء المعلومات المتاحة؛</w:t>
      </w:r>
    </w:p>
    <w:p w:rsidR="002F6C52" w:rsidRPr="003D22AB" w:rsidRDefault="002F6C52" w:rsidP="00FD3D78">
      <w:pPr>
        <w:pStyle w:val="SingleTxtGA"/>
        <w:spacing w:line="360" w:lineRule="exact"/>
        <w:rPr>
          <w:rtl/>
          <w:lang w:eastAsia="zh-TW"/>
        </w:rPr>
      </w:pPr>
      <w:r>
        <w:rPr>
          <w:rtl/>
          <w:lang w:eastAsia="zh-TW"/>
        </w:rPr>
        <w:tab/>
        <w:t>(و)</w:t>
      </w:r>
      <w:r>
        <w:rPr>
          <w:rtl/>
          <w:lang w:eastAsia="zh-TW"/>
        </w:rPr>
        <w:tab/>
        <w:t>المغرب: فيما يتعلق بطلبي الإجراءات العاجلة المسجّلين، ترى الدولة الطرف أن الوقائع ذات الصلة لا تتطابق مع حالات الاختفاء القسري. وقد أُوقف الطلب الأول عندما عُثر على الشخص المختفي في أيار/مايو ٢٠١٦ (</w:t>
      </w:r>
      <w:r w:rsidRPr="00D143E7">
        <w:rPr>
          <w:rFonts w:asciiTheme="majorBidi" w:hAnsiTheme="majorBidi" w:cstheme="majorBidi"/>
          <w:szCs w:val="20"/>
          <w:rtl/>
          <w:lang w:eastAsia="zh-TW"/>
        </w:rPr>
        <w:t>CED/C/12</w:t>
      </w:r>
      <w:r>
        <w:rPr>
          <w:rtl/>
          <w:lang w:eastAsia="zh-TW"/>
        </w:rPr>
        <w:t>). وأما بالنسبة للطلب الثاني، فقد أبلغت الدولة الطرف اللجنة بمكان احتجاز الشخص المدّعي أنّه ضحية. ووُزّعت المعلومات عل</w:t>
      </w:r>
      <w:r w:rsidR="00E42B18">
        <w:rPr>
          <w:rtl/>
          <w:lang w:eastAsia="zh-TW"/>
        </w:rPr>
        <w:t>ى مقدمي الطلبات، لكنهم لم يعلقو</w:t>
      </w:r>
      <w:r w:rsidR="00E42B18">
        <w:rPr>
          <w:rFonts w:hint="cs"/>
          <w:rtl/>
          <w:lang w:eastAsia="zh-TW"/>
        </w:rPr>
        <w:t>ا</w:t>
      </w:r>
      <w:r>
        <w:rPr>
          <w:rtl/>
          <w:lang w:eastAsia="zh-TW"/>
        </w:rPr>
        <w:t xml:space="preserve"> عليها بعدُ. وسيتعين على اللجنة أن تقرر بشأن تدابير المتابعة التي ينبغي اتخاذها حال ورود تعليقات مقدمي الطلبين؛</w:t>
      </w:r>
    </w:p>
    <w:p w:rsidR="002F6C52" w:rsidRPr="003D22AB" w:rsidRDefault="002F6C52" w:rsidP="002F6C52">
      <w:pPr>
        <w:pStyle w:val="SingleTxtGA"/>
        <w:rPr>
          <w:rtl/>
          <w:lang w:eastAsia="zh-TW"/>
        </w:rPr>
      </w:pPr>
      <w:r>
        <w:rPr>
          <w:rtl/>
          <w:lang w:eastAsia="zh-TW"/>
        </w:rPr>
        <w:tab/>
        <w:t>(ز)</w:t>
      </w:r>
      <w:r>
        <w:rPr>
          <w:rtl/>
          <w:lang w:eastAsia="zh-TW"/>
        </w:rPr>
        <w:tab/>
        <w:t>سري لانكا: لم ترد الدولة الطرف على طلب الإجراءات العاجلة المسجل. وقد وُجّهت إليها رسائل تذكيرية.</w:t>
      </w:r>
    </w:p>
    <w:p w:rsidR="002F6C52" w:rsidRPr="00342380" w:rsidRDefault="002F6C52" w:rsidP="002F6C52">
      <w:pPr>
        <w:pStyle w:val="H23GA"/>
        <w:rPr>
          <w:rtl/>
        </w:rPr>
      </w:pPr>
      <w:r>
        <w:rPr>
          <w:rtl/>
        </w:rPr>
        <w:lastRenderedPageBreak/>
        <w:tab/>
        <w:t>٢-</w:t>
      </w:r>
      <w:r>
        <w:rPr>
          <w:rtl/>
        </w:rPr>
        <w:tab/>
      </w:r>
      <w:r w:rsidRPr="00342380">
        <w:rPr>
          <w:rtl/>
        </w:rPr>
        <w:t>التفاعل مع مقدمي الطلبات</w:t>
      </w:r>
    </w:p>
    <w:p w:rsidR="002F6C52" w:rsidRPr="003D22AB" w:rsidRDefault="002F6C52" w:rsidP="002F6C52">
      <w:pPr>
        <w:pStyle w:val="SingleTxtGA"/>
        <w:rPr>
          <w:rtl/>
          <w:lang w:eastAsia="zh-TW"/>
        </w:rPr>
      </w:pPr>
      <w:r>
        <w:rPr>
          <w:rtl/>
          <w:lang w:eastAsia="zh-TW"/>
        </w:rPr>
        <w:t>١٧-</w:t>
      </w:r>
      <w:r>
        <w:rPr>
          <w:rtl/>
          <w:lang w:eastAsia="zh-TW"/>
        </w:rPr>
        <w:tab/>
        <w:t xml:space="preserve">تظل الأمانة على اتصال منتظم بمقدمي طلبات الإجراءات العاجلة، لا سيما من خلال رسائل موجهة باسم اللجنة، لكن </w:t>
      </w:r>
      <w:r w:rsidR="00CA4A90">
        <w:rPr>
          <w:rtl/>
          <w:lang w:eastAsia="zh-TW"/>
        </w:rPr>
        <w:t>أيضاً</w:t>
      </w:r>
      <w:r>
        <w:rPr>
          <w:rtl/>
          <w:lang w:eastAsia="zh-TW"/>
        </w:rPr>
        <w:t xml:space="preserve"> بشكل مباشر من خلال البريد الإلكتروني والمكالمات الهاتفية. وقد أفرزت اتصالات اللجنة بمقدمي الطلبات الاتجاهات المشار إليها أدناه.</w:t>
      </w:r>
    </w:p>
    <w:p w:rsidR="002F6C52" w:rsidRPr="003D22AB" w:rsidRDefault="002F6C52" w:rsidP="002F6C52">
      <w:pPr>
        <w:pStyle w:val="SingleTxtGA"/>
        <w:rPr>
          <w:rtl/>
          <w:lang w:eastAsia="zh-TW"/>
        </w:rPr>
      </w:pPr>
      <w:r>
        <w:rPr>
          <w:rtl/>
          <w:lang w:eastAsia="zh-TW"/>
        </w:rPr>
        <w:t>١٨-</w:t>
      </w:r>
      <w:r>
        <w:rPr>
          <w:rtl/>
          <w:lang w:eastAsia="zh-TW"/>
        </w:rPr>
        <w:tab/>
        <w:t>يواصل مقدمو الطلبات تسليط الضوء على أهمية الدعم الذي تقدّمه اللجنة كوسيط، بعد فشل عدة محاولات للحصول على مساعدة السلطات الوطنية. وفي بعض الحالات، أعلن مقدمو الطلبات أنهم حقّقوا، في أعقاب تدخل اللجنة، النتيجة المتوخاة فيما يتّصل بتنفيذ السلطات الوطنية لتوصيات اللجنة بشأن إنشاء الهيئات المعنية بتنسيق إجراءات البحث والتحقيق.</w:t>
      </w:r>
      <w:r w:rsidR="00D143E7">
        <w:rPr>
          <w:rFonts w:hint="cs"/>
          <w:rtl/>
          <w:lang w:eastAsia="zh-TW"/>
        </w:rPr>
        <w:t xml:space="preserve"> </w:t>
      </w:r>
    </w:p>
    <w:p w:rsidR="002F6C52" w:rsidRPr="003D22AB" w:rsidRDefault="002F6C52" w:rsidP="002F6C52">
      <w:pPr>
        <w:pStyle w:val="SingleTxtGA"/>
        <w:rPr>
          <w:rtl/>
          <w:lang w:eastAsia="zh-TW"/>
        </w:rPr>
      </w:pPr>
      <w:r>
        <w:rPr>
          <w:rtl/>
          <w:lang w:eastAsia="zh-TW"/>
        </w:rPr>
        <w:t>١٩-</w:t>
      </w:r>
      <w:r>
        <w:rPr>
          <w:rtl/>
          <w:lang w:eastAsia="zh-TW"/>
        </w:rPr>
        <w:tab/>
        <w:t xml:space="preserve">غير أنه في حالات أخرى، يشير مقدمو الطلبات إلى أن سلطات الدولة اتخذت في أعقاب المذكرات المرسلة من اللجنة إجراءات مشتتة وغير متواصلة. وإذ يشير مقدمو الطلبات، على سبيل المثال، إلى تلقيهم الدعم المادي، مثل توزيع المواد الغذائية أو المساعدة في ضمان حصول أحد أفراد الأسرة على العلاج الطبي، يشيرون </w:t>
      </w:r>
      <w:r w:rsidR="00CA4A90">
        <w:rPr>
          <w:rtl/>
          <w:lang w:eastAsia="zh-TW"/>
        </w:rPr>
        <w:t>أيضاً</w:t>
      </w:r>
      <w:r w:rsidR="00CA4A90">
        <w:rPr>
          <w:rFonts w:hint="cs"/>
          <w:rtl/>
          <w:lang w:eastAsia="zh-TW"/>
        </w:rPr>
        <w:t xml:space="preserve"> </w:t>
      </w:r>
      <w:r>
        <w:rPr>
          <w:rtl/>
          <w:lang w:eastAsia="zh-TW"/>
        </w:rPr>
        <w:t xml:space="preserve">إلى أن السلطات توقف تقديم الدعم على نحو سريع </w:t>
      </w:r>
      <w:r w:rsidR="007216E9">
        <w:rPr>
          <w:rtl/>
          <w:lang w:eastAsia="zh-TW"/>
        </w:rPr>
        <w:t>جداً</w:t>
      </w:r>
      <w:r>
        <w:rPr>
          <w:rtl/>
          <w:lang w:eastAsia="zh-TW"/>
        </w:rPr>
        <w:t xml:space="preserve"> بمجرد أن تقدّم الدولة إلى اللجنة تقريرها الذي تشير فيه إلى توفير هذه المساعدة.</w:t>
      </w:r>
      <w:r w:rsidR="00D143E7">
        <w:rPr>
          <w:rFonts w:hint="cs"/>
          <w:rtl/>
          <w:lang w:eastAsia="zh-TW"/>
        </w:rPr>
        <w:t xml:space="preserve"> </w:t>
      </w:r>
    </w:p>
    <w:p w:rsidR="002F6C52" w:rsidRPr="003D22AB" w:rsidRDefault="002F6C52" w:rsidP="002F6C52">
      <w:pPr>
        <w:pStyle w:val="SingleTxtGA"/>
        <w:rPr>
          <w:rtl/>
          <w:lang w:eastAsia="zh-TW"/>
        </w:rPr>
      </w:pPr>
      <w:r>
        <w:rPr>
          <w:rtl/>
          <w:lang w:eastAsia="zh-TW"/>
        </w:rPr>
        <w:t>٢٠-</w:t>
      </w:r>
      <w:r>
        <w:rPr>
          <w:rtl/>
          <w:lang w:eastAsia="zh-TW"/>
        </w:rPr>
        <w:tab/>
        <w:t>وفي كثير من الحالات، يعرب مقدمو الطلبات، بُعيد تسجيل طلبات الإجراءات العاجلة، عن شعور بالإحباط إزاء عدم إحراز تقدم في وفاء الدولة بواجباتها المرتبطة بالبحث والتحقيق. وهم يلاحظون بقلق عدم اتّخاذ السلطات إجراءات التحقيق الأساسية للبحث عن الأشخاص المختفين والعثور عليهم، حتى عندما تتاح معلومات موثوقة يمكن الاستناد إليها للمضي قدما</w:t>
      </w:r>
      <w:r w:rsidR="00FD3D78">
        <w:rPr>
          <w:rFonts w:hint="cs"/>
          <w:rtl/>
          <w:lang w:eastAsia="zh-TW"/>
        </w:rPr>
        <w:t>ً</w:t>
      </w:r>
      <w:r>
        <w:rPr>
          <w:rtl/>
          <w:lang w:eastAsia="zh-TW"/>
        </w:rPr>
        <w:t xml:space="preserve"> في البحث والتحقيق.</w:t>
      </w:r>
      <w:r w:rsidR="00D143E7">
        <w:rPr>
          <w:rFonts w:hint="cs"/>
          <w:rtl/>
          <w:lang w:eastAsia="zh-TW"/>
        </w:rPr>
        <w:t xml:space="preserve"> </w:t>
      </w:r>
    </w:p>
    <w:p w:rsidR="002F6C52" w:rsidRPr="00840307" w:rsidRDefault="002F6C52" w:rsidP="002F6C52">
      <w:pPr>
        <w:pStyle w:val="SingleTxtGA"/>
        <w:rPr>
          <w:spacing w:val="-2"/>
          <w:rtl/>
          <w:lang w:eastAsia="zh-TW"/>
        </w:rPr>
      </w:pPr>
      <w:r w:rsidRPr="00840307">
        <w:rPr>
          <w:spacing w:val="-2"/>
          <w:rtl/>
          <w:lang w:eastAsia="zh-TW"/>
        </w:rPr>
        <w:t>٢١-</w:t>
      </w:r>
      <w:r w:rsidRPr="00840307">
        <w:rPr>
          <w:spacing w:val="-2"/>
          <w:rtl/>
          <w:lang w:eastAsia="zh-TW"/>
        </w:rPr>
        <w:tab/>
        <w:t>وفي الحالات الأسبق، يُبيّن مقدمو الطلبات أن السلطات الوطنية باتت تتراجع تدريجيا</w:t>
      </w:r>
      <w:r w:rsidR="00840307" w:rsidRPr="00840307">
        <w:rPr>
          <w:rFonts w:hint="cs"/>
          <w:spacing w:val="-2"/>
          <w:rtl/>
          <w:lang w:eastAsia="zh-TW"/>
        </w:rPr>
        <w:t>ً</w:t>
      </w:r>
      <w:r w:rsidRPr="00840307">
        <w:rPr>
          <w:spacing w:val="-2"/>
          <w:rtl/>
          <w:lang w:eastAsia="zh-TW"/>
        </w:rPr>
        <w:t xml:space="preserve"> عن الإجراءات المتعلقة بالبحث عن الشخص المختفي والعثور عليه وتقصر تدخلاتها على اتخاذ إجراءات رسمية أو تكرار تحقيقات سابقة. وفي حالات أخرى، يسلط مقدمو الطلبات الضوء على عدم اتخاذ السلطات الوطنية إجراءات للتأكد مثلا</w:t>
      </w:r>
      <w:r w:rsidR="00FD3D78">
        <w:rPr>
          <w:rFonts w:hint="cs"/>
          <w:spacing w:val="-2"/>
          <w:rtl/>
          <w:lang w:eastAsia="zh-TW"/>
        </w:rPr>
        <w:t>ً</w:t>
      </w:r>
      <w:r w:rsidRPr="00840307">
        <w:rPr>
          <w:spacing w:val="-2"/>
          <w:rtl/>
          <w:lang w:eastAsia="zh-TW"/>
        </w:rPr>
        <w:t xml:space="preserve"> من أنه يجري استجواب جميع الشهود على النحو الواجب وفي أقرب وقت ممكن لتيسير البحث عن الشخص المختفي والتحقيق في اختفائه.</w:t>
      </w:r>
      <w:r w:rsidR="00840307">
        <w:rPr>
          <w:rFonts w:hint="cs"/>
          <w:spacing w:val="-2"/>
          <w:rtl/>
          <w:lang w:eastAsia="zh-TW"/>
        </w:rPr>
        <w:t xml:space="preserve"> </w:t>
      </w:r>
    </w:p>
    <w:p w:rsidR="002F6C52" w:rsidRPr="003D22AB" w:rsidRDefault="002F6C52" w:rsidP="002F6C52">
      <w:pPr>
        <w:pStyle w:val="SingleTxtGA"/>
        <w:rPr>
          <w:rtl/>
          <w:lang w:eastAsia="zh-TW"/>
        </w:rPr>
      </w:pPr>
      <w:r>
        <w:rPr>
          <w:rtl/>
          <w:lang w:eastAsia="zh-TW"/>
        </w:rPr>
        <w:t>٢٢-</w:t>
      </w:r>
      <w:r>
        <w:rPr>
          <w:rtl/>
          <w:lang w:eastAsia="zh-TW"/>
        </w:rPr>
        <w:tab/>
        <w:t>وفي حالة عدد قليل من طلبات الإجراءات العاجلة، لم يرسل مقدّمو الطلبات تعليقاتهم على ملاحظات الدولة الطرف. وهذا يحدّ من قدرة اللجنة على المضي قدما</w:t>
      </w:r>
      <w:r w:rsidR="00FD3D78">
        <w:rPr>
          <w:rFonts w:hint="cs"/>
          <w:rtl/>
          <w:lang w:eastAsia="zh-TW"/>
        </w:rPr>
        <w:t>ً</w:t>
      </w:r>
      <w:r>
        <w:rPr>
          <w:rtl/>
          <w:lang w:eastAsia="zh-TW"/>
        </w:rPr>
        <w:t xml:space="preserve"> في هذه الإجراءات العاجلة. غير أنه وفقا</w:t>
      </w:r>
      <w:r>
        <w:rPr>
          <w:rFonts w:hint="cs"/>
          <w:rtl/>
          <w:lang w:eastAsia="zh-TW"/>
        </w:rPr>
        <w:t>ً</w:t>
      </w:r>
      <w:r>
        <w:rPr>
          <w:rtl/>
          <w:lang w:eastAsia="zh-TW"/>
        </w:rPr>
        <w:t xml:space="preserve"> للمادة ٣٠(٤) من الاتفاقية، تظل هذه الإجراءات العاجلة مفتوحة.</w:t>
      </w:r>
      <w:r>
        <w:rPr>
          <w:rFonts w:hint="cs"/>
          <w:rtl/>
          <w:lang w:eastAsia="zh-TW"/>
        </w:rPr>
        <w:t xml:space="preserve"> </w:t>
      </w:r>
    </w:p>
    <w:p w:rsidR="002F6C52" w:rsidRPr="003D22AB" w:rsidRDefault="002F6C52" w:rsidP="002F6C52">
      <w:pPr>
        <w:pStyle w:val="SingleTxtGA"/>
        <w:rPr>
          <w:rtl/>
          <w:lang w:eastAsia="zh-TW"/>
        </w:rPr>
      </w:pPr>
      <w:r>
        <w:rPr>
          <w:rtl/>
          <w:lang w:eastAsia="zh-TW"/>
        </w:rPr>
        <w:t>٢٣-</w:t>
      </w:r>
      <w:r>
        <w:rPr>
          <w:rtl/>
          <w:lang w:eastAsia="zh-TW"/>
        </w:rPr>
        <w:tab/>
        <w:t>ووفقا</w:t>
      </w:r>
      <w:r>
        <w:rPr>
          <w:rFonts w:hint="cs"/>
          <w:rtl/>
          <w:lang w:eastAsia="zh-TW"/>
        </w:rPr>
        <w:t>ً</w:t>
      </w:r>
      <w:r>
        <w:rPr>
          <w:rtl/>
          <w:lang w:eastAsia="zh-TW"/>
        </w:rPr>
        <w:t xml:space="preserve"> للقرار الذي اتخذته اللجنة في جلستها العامة لدورتها الثانية عشرة، طبّقت اللجنة القاعدة التالية:</w:t>
      </w:r>
    </w:p>
    <w:p w:rsidR="002F6C52" w:rsidRPr="003D22AB" w:rsidRDefault="002F6C52" w:rsidP="002F6C52">
      <w:pPr>
        <w:pStyle w:val="SingleTxtGA"/>
        <w:rPr>
          <w:rtl/>
          <w:lang w:eastAsia="zh-TW"/>
        </w:rPr>
      </w:pPr>
      <w:r>
        <w:rPr>
          <w:lang w:eastAsia="zh-TW"/>
        </w:rPr>
        <w:tab/>
      </w:r>
      <w:r>
        <w:rPr>
          <w:rtl/>
          <w:lang w:eastAsia="zh-TW"/>
        </w:rPr>
        <w:t>(أ)</w:t>
      </w:r>
      <w:r>
        <w:rPr>
          <w:rtl/>
          <w:lang w:eastAsia="zh-TW"/>
        </w:rPr>
        <w:tab/>
        <w:t>توجَّه إلى مقدم الطلب ثلاث رسائل تذكيرية؛</w:t>
      </w:r>
    </w:p>
    <w:p w:rsidR="002F6C52" w:rsidRPr="003D22AB" w:rsidRDefault="002F6C52" w:rsidP="002F6C52">
      <w:pPr>
        <w:pStyle w:val="SingleTxtGA"/>
        <w:rPr>
          <w:rtl/>
          <w:lang w:eastAsia="zh-TW"/>
        </w:rPr>
      </w:pPr>
      <w:r>
        <w:rPr>
          <w:lang w:eastAsia="zh-TW"/>
        </w:rPr>
        <w:tab/>
      </w:r>
      <w:r>
        <w:rPr>
          <w:rtl/>
          <w:lang w:eastAsia="zh-TW"/>
        </w:rPr>
        <w:t>(ب)</w:t>
      </w:r>
      <w:r>
        <w:rPr>
          <w:rtl/>
          <w:lang w:eastAsia="zh-TW"/>
        </w:rPr>
        <w:tab/>
        <w:t xml:space="preserve">في حال عدم رد مقدمي الطلب في غضون </w:t>
      </w:r>
      <w:r w:rsidRPr="005D03F8">
        <w:rPr>
          <w:b/>
          <w:bCs/>
          <w:rtl/>
          <w:lang w:eastAsia="zh-TW"/>
        </w:rPr>
        <w:t>ثلاثة أشهر</w:t>
      </w:r>
      <w:r>
        <w:rPr>
          <w:rtl/>
          <w:lang w:eastAsia="zh-TW"/>
        </w:rPr>
        <w:t xml:space="preserve"> من استلام الرسالة التذكيرية الثالثة، تسعى الأمانة إلى العثور عليهم بوسائل أخرى واستفسارهم عن أسباب عدم ردهم على اللجنة؛</w:t>
      </w:r>
    </w:p>
    <w:p w:rsidR="002F6C52" w:rsidRPr="003D22AB" w:rsidRDefault="002F6C52" w:rsidP="002F6C52">
      <w:pPr>
        <w:pStyle w:val="SingleTxtGA"/>
        <w:rPr>
          <w:rtl/>
          <w:lang w:eastAsia="zh-TW"/>
        </w:rPr>
      </w:pPr>
      <w:r>
        <w:rPr>
          <w:lang w:eastAsia="zh-TW"/>
        </w:rPr>
        <w:lastRenderedPageBreak/>
        <w:tab/>
      </w:r>
      <w:r>
        <w:rPr>
          <w:rtl/>
          <w:lang w:eastAsia="zh-TW"/>
        </w:rPr>
        <w:t>(ج)</w:t>
      </w:r>
      <w:r>
        <w:rPr>
          <w:rtl/>
          <w:lang w:eastAsia="zh-TW"/>
        </w:rPr>
        <w:tab/>
        <w:t>إذا أفاد مقدمو الطلب بأنهم غير قادرين على الرد كتابياً على الرسائل التذكيرية، لكن لديهم معلومات يودون إطلاع اللجنة عليها، تسعى الأمانة إلى الحصول على هذه المعلومات شفهياً (بالهاتف مثلا</w:t>
      </w:r>
      <w:r w:rsidR="00FD3D78">
        <w:rPr>
          <w:rFonts w:hint="cs"/>
          <w:rtl/>
          <w:lang w:eastAsia="zh-TW"/>
        </w:rPr>
        <w:t>ً</w:t>
      </w:r>
      <w:r>
        <w:rPr>
          <w:rtl/>
          <w:lang w:eastAsia="zh-TW"/>
        </w:rPr>
        <w:t>) وتوجِّه إلى الدولة الطرف مذكرة متابعة بالاستناد إلى المعلومات المحصّل عليها؛</w:t>
      </w:r>
    </w:p>
    <w:p w:rsidR="002F6C52" w:rsidRPr="003D22AB" w:rsidRDefault="002F6C52" w:rsidP="002F6C52">
      <w:pPr>
        <w:pStyle w:val="SingleTxtGA"/>
        <w:rPr>
          <w:rtl/>
          <w:lang w:eastAsia="zh-TW"/>
        </w:rPr>
      </w:pPr>
      <w:r>
        <w:rPr>
          <w:rtl/>
          <w:lang w:eastAsia="zh-TW"/>
        </w:rPr>
        <w:tab/>
        <w:t>(د)</w:t>
      </w:r>
      <w:r>
        <w:rPr>
          <w:rtl/>
          <w:lang w:eastAsia="zh-TW"/>
        </w:rPr>
        <w:tab/>
        <w:t xml:space="preserve">إذا تعذّر بعد </w:t>
      </w:r>
      <w:r w:rsidRPr="005F339F">
        <w:rPr>
          <w:b/>
          <w:bCs/>
          <w:rtl/>
          <w:lang w:eastAsia="zh-TW"/>
        </w:rPr>
        <w:t>ستة أشهر</w:t>
      </w:r>
      <w:r>
        <w:rPr>
          <w:rtl/>
          <w:lang w:eastAsia="zh-TW"/>
        </w:rPr>
        <w:t xml:space="preserve"> على توجيه الرسالة التذكيرية الثالثة العثور على مقدم الطلب أو لم تكن لديه أي معلومات يقدمها، توجِّه اللجنة مذكرة إلى الدولة الطرف استناداً إلى المعلومات المتاحة تمنح لها فيها مهلة جديدة لإرسال معلومات محدّثة عن القضية.</w:t>
      </w:r>
    </w:p>
    <w:p w:rsidR="002F6C52" w:rsidRPr="003D22AB" w:rsidRDefault="002F6C52" w:rsidP="002F6C52">
      <w:pPr>
        <w:pStyle w:val="SingleTxtGA"/>
        <w:rPr>
          <w:rtl/>
          <w:lang w:eastAsia="zh-TW"/>
        </w:rPr>
      </w:pPr>
      <w:r>
        <w:rPr>
          <w:rtl/>
          <w:lang w:eastAsia="zh-TW"/>
        </w:rPr>
        <w:t>٢٤-</w:t>
      </w:r>
      <w:r>
        <w:rPr>
          <w:rtl/>
          <w:lang w:eastAsia="zh-TW"/>
        </w:rPr>
        <w:tab/>
        <w:t xml:space="preserve">وتشعر اللجنة بالقلق </w:t>
      </w:r>
      <w:r w:rsidR="00CA4A90">
        <w:rPr>
          <w:rtl/>
          <w:lang w:eastAsia="zh-TW"/>
        </w:rPr>
        <w:t>أيضاً</w:t>
      </w:r>
      <w:r w:rsidR="00CA4A90">
        <w:rPr>
          <w:rFonts w:hint="cs"/>
          <w:rtl/>
          <w:lang w:eastAsia="zh-TW"/>
        </w:rPr>
        <w:t xml:space="preserve"> </w:t>
      </w:r>
      <w:r>
        <w:rPr>
          <w:rtl/>
          <w:lang w:eastAsia="zh-TW"/>
        </w:rPr>
        <w:t>إزاء ادعاءات بتعرض مقدمي طلبات الإجراءات العاجلة للتهديد والضغوطات والأعمال الانتقامية، لا</w:t>
      </w:r>
      <w:r w:rsidR="00FD3D78">
        <w:rPr>
          <w:rFonts w:hint="cs"/>
          <w:rtl/>
          <w:lang w:eastAsia="zh-TW"/>
        </w:rPr>
        <w:t xml:space="preserve"> </w:t>
      </w:r>
      <w:r>
        <w:rPr>
          <w:rtl/>
          <w:lang w:eastAsia="zh-TW"/>
        </w:rPr>
        <w:t xml:space="preserve">سيما فيما يتصل بالأحداث التي وقعت في المكسيك. وفي حالات الإجراءات العاجلة هذه، طلب مقدمو الطلبات إلى اللجنة التدخل وطلب تدابير الحماية المؤقتة، وقد مُنحت لهم. وفي الحالات التي يدّعي فيها مقدّمو الطلبات أن السلطات على صعيد الولاية متورطة في الاختفاء، طلبت اللجنة أن تُنفِّذ السلطات الاتحادية تدابير الحماية المتّخذة. وفي جميع الحالات، يُشدّدُ </w:t>
      </w:r>
      <w:r w:rsidR="00CA4A90">
        <w:rPr>
          <w:rtl/>
          <w:lang w:eastAsia="zh-TW"/>
        </w:rPr>
        <w:t>أيضاً</w:t>
      </w:r>
      <w:r>
        <w:rPr>
          <w:rtl/>
          <w:lang w:eastAsia="zh-TW"/>
        </w:rPr>
        <w:t xml:space="preserve"> على أهمية ضمان تنفيذ تدابير الحماية المؤقتة بالتنسيق مع المستفيدين منها وممثليهم لكسب ثقتهم الكاملة في المسؤولين عن حمايتهم وضمان أن تلبي تلك التدابير كل احتياجاتهم في سياق البحث عن الأشخاص المختفين والتحقيق في اختفائهم. ولهذا الغرض، تطلب اللجنة إلى الدولة الطرف عقد اجتماعات تنسيقية منتظمة بين السلطات المكلّفة بتنفيذ التدابير المؤقتة والمستفيدين منها وممثليهم.</w:t>
      </w:r>
    </w:p>
    <w:p w:rsidR="002F6C52" w:rsidRPr="00813E83" w:rsidRDefault="002F6C52" w:rsidP="002F6C52">
      <w:pPr>
        <w:pStyle w:val="H1GA"/>
        <w:rPr>
          <w:rtl/>
          <w:lang w:eastAsia="zh-TW"/>
        </w:rPr>
      </w:pPr>
      <w:r>
        <w:rPr>
          <w:rtl/>
          <w:lang w:eastAsia="zh-TW"/>
        </w:rPr>
        <w:tab/>
      </w:r>
      <w:r w:rsidRPr="00813E83">
        <w:rPr>
          <w:rtl/>
          <w:lang w:eastAsia="zh-TW"/>
        </w:rPr>
        <w:t>دال-</w:t>
      </w:r>
      <w:r>
        <w:rPr>
          <w:rtl/>
          <w:lang w:eastAsia="zh-TW"/>
        </w:rPr>
        <w:tab/>
        <w:t xml:space="preserve">ملفات </w:t>
      </w:r>
      <w:r w:rsidRPr="00813E83">
        <w:rPr>
          <w:rtl/>
          <w:lang w:eastAsia="zh-TW"/>
        </w:rPr>
        <w:t xml:space="preserve">طلبات الإجراءات العاجلة التي أُوقف النظر فيها أو أُغلقت أو لا تزال مفتوحة لحماية الأشخاص </w:t>
      </w:r>
      <w:r>
        <w:rPr>
          <w:rtl/>
          <w:lang w:eastAsia="zh-TW"/>
        </w:rPr>
        <w:t>المستفيدين من</w:t>
      </w:r>
      <w:r w:rsidRPr="00813E83">
        <w:rPr>
          <w:rtl/>
          <w:lang w:eastAsia="zh-TW"/>
        </w:rPr>
        <w:t xml:space="preserve"> </w:t>
      </w:r>
      <w:r>
        <w:rPr>
          <w:rtl/>
          <w:lang w:eastAsia="zh-TW"/>
        </w:rPr>
        <w:t>ال</w:t>
      </w:r>
      <w:r w:rsidRPr="00813E83">
        <w:rPr>
          <w:rtl/>
          <w:lang w:eastAsia="zh-TW"/>
        </w:rPr>
        <w:t xml:space="preserve">تدابير </w:t>
      </w:r>
      <w:r>
        <w:rPr>
          <w:rtl/>
          <w:lang w:eastAsia="zh-TW"/>
        </w:rPr>
        <w:t>المؤقتة</w:t>
      </w:r>
    </w:p>
    <w:p w:rsidR="002F6C52" w:rsidRPr="003D22AB" w:rsidRDefault="002F6C52" w:rsidP="002F6C52">
      <w:pPr>
        <w:pStyle w:val="SingleTxtGA"/>
        <w:rPr>
          <w:rtl/>
          <w:lang w:eastAsia="zh-TW"/>
        </w:rPr>
      </w:pPr>
      <w:r>
        <w:rPr>
          <w:rtl/>
          <w:lang w:eastAsia="zh-TW"/>
        </w:rPr>
        <w:t>٢٥-</w:t>
      </w:r>
      <w:r>
        <w:rPr>
          <w:rtl/>
          <w:lang w:eastAsia="zh-TW"/>
        </w:rPr>
        <w:tab/>
        <w:t>وفقاً للمعايير التي اعتمدتها اللجنة في جلسة عامة خلال دورتها الثامنة:</w:t>
      </w:r>
    </w:p>
    <w:p w:rsidR="002F6C52" w:rsidRPr="003D22AB" w:rsidRDefault="002F6C52" w:rsidP="002F6C52">
      <w:pPr>
        <w:pStyle w:val="SingleTxtGA"/>
        <w:rPr>
          <w:rtl/>
          <w:lang w:eastAsia="zh-TW"/>
        </w:rPr>
      </w:pPr>
      <w:r>
        <w:rPr>
          <w:lang w:eastAsia="zh-TW"/>
        </w:rPr>
        <w:tab/>
      </w:r>
      <w:r>
        <w:rPr>
          <w:rtl/>
          <w:lang w:eastAsia="zh-TW"/>
        </w:rPr>
        <w:t>(أ)</w:t>
      </w:r>
      <w:r>
        <w:rPr>
          <w:rtl/>
          <w:lang w:eastAsia="zh-TW"/>
        </w:rPr>
        <w:tab/>
        <w:t>يوقَف النظر في طلب الإجراء العاجل متى عُثر على الشخص المختفي لكنه ظلّ قيد الاحتجاز، وذلك نظ</w:t>
      </w:r>
      <w:r w:rsidR="00CA4A90">
        <w:rPr>
          <w:rtl/>
          <w:lang w:eastAsia="zh-TW"/>
        </w:rPr>
        <w:t xml:space="preserve">راً </w:t>
      </w:r>
      <w:r>
        <w:rPr>
          <w:rtl/>
          <w:lang w:eastAsia="zh-TW"/>
        </w:rPr>
        <w:t>لشدّة احتمال تعرضه للاختفاء ووضعه خارج نطاق حماية القانون مرة أخرى؛</w:t>
      </w:r>
    </w:p>
    <w:p w:rsidR="002F6C52" w:rsidRPr="003D22AB" w:rsidRDefault="002F6C52" w:rsidP="00FD3D78">
      <w:pPr>
        <w:pStyle w:val="SingleTxtGA"/>
        <w:spacing w:line="360" w:lineRule="exact"/>
        <w:rPr>
          <w:rtl/>
          <w:lang w:eastAsia="zh-TW"/>
        </w:rPr>
      </w:pPr>
      <w:r>
        <w:rPr>
          <w:rtl/>
          <w:lang w:eastAsia="zh-TW"/>
        </w:rPr>
        <w:tab/>
        <w:t>(ب)</w:t>
      </w:r>
      <w:r>
        <w:rPr>
          <w:rtl/>
          <w:lang w:eastAsia="zh-TW"/>
        </w:rPr>
        <w:tab/>
        <w:t>يُغلَق ملف طلب الإجراء العاجل متى عُثر على الشخص المختفي حُ</w:t>
      </w:r>
      <w:r w:rsidR="00CA4A90">
        <w:rPr>
          <w:rtl/>
          <w:lang w:eastAsia="zh-TW"/>
        </w:rPr>
        <w:t xml:space="preserve">راً </w:t>
      </w:r>
      <w:r>
        <w:rPr>
          <w:rtl/>
          <w:lang w:eastAsia="zh-TW"/>
        </w:rPr>
        <w:t>طليقاً أو عُثر عليه وأُفرج عنه، أو متى عُثر عليه ميتاً، شريطة ألا يعترض الأقارب و/أو مقدمو الطلبات على هذه الوقائع؛</w:t>
      </w:r>
    </w:p>
    <w:p w:rsidR="002F6C52" w:rsidRPr="003D22AB" w:rsidRDefault="002F6C52" w:rsidP="00FD3D78">
      <w:pPr>
        <w:pStyle w:val="SingleTxtGA"/>
        <w:spacing w:line="360" w:lineRule="exact"/>
        <w:rPr>
          <w:rtl/>
          <w:lang w:eastAsia="zh-TW"/>
        </w:rPr>
      </w:pPr>
      <w:r>
        <w:rPr>
          <w:rtl/>
          <w:lang w:eastAsia="zh-TW"/>
        </w:rPr>
        <w:tab/>
        <w:t>(ج)</w:t>
      </w:r>
      <w:r>
        <w:rPr>
          <w:rtl/>
          <w:lang w:eastAsia="zh-TW"/>
        </w:rPr>
        <w:tab/>
        <w:t>يظل ملف طلب الإجراء العاجل مفتوحاً متى عُثر على الشخص المختفي لكن الأشخاص المستفيدين من التدابير المؤقتّة في سياق الإجراء العاجل ظلّوا معرّضين لتهديدات. وفي هذه الحالات، يقتصر تدخّل اللجنة على متابعة تنفيذ التدابير المؤقتة.</w:t>
      </w:r>
    </w:p>
    <w:p w:rsidR="002F6C52" w:rsidRPr="003D22AB" w:rsidRDefault="002F6C52" w:rsidP="002F6C52">
      <w:pPr>
        <w:pStyle w:val="SingleTxtGA"/>
        <w:rPr>
          <w:rtl/>
          <w:lang w:eastAsia="zh-TW"/>
        </w:rPr>
      </w:pPr>
      <w:r>
        <w:rPr>
          <w:rtl/>
          <w:lang w:eastAsia="zh-TW"/>
        </w:rPr>
        <w:t>٢٦-</w:t>
      </w:r>
      <w:r>
        <w:rPr>
          <w:rtl/>
          <w:lang w:eastAsia="zh-TW"/>
        </w:rPr>
        <w:tab/>
        <w:t>وحتى تاريخ إعداد هذا التقرير، أغلقت اللجنة ما مجموعه ٢٨ ملفا</w:t>
      </w:r>
      <w:r w:rsidR="00FD3D78">
        <w:rPr>
          <w:rFonts w:hint="cs"/>
          <w:rtl/>
          <w:lang w:eastAsia="zh-TW"/>
        </w:rPr>
        <w:t>ً</w:t>
      </w:r>
      <w:r>
        <w:rPr>
          <w:rtl/>
          <w:lang w:eastAsia="zh-TW"/>
        </w:rPr>
        <w:t xml:space="preserve"> يتعلق بطلب اتخاذ إجراءات عاجلة، وهي كما يلي: تسع حالات عُثر فيها على الشخص المختفي وأُفرج عنه حيّا</w:t>
      </w:r>
      <w:r w:rsidR="00FD3D78">
        <w:rPr>
          <w:rFonts w:hint="cs"/>
          <w:rtl/>
          <w:lang w:eastAsia="zh-TW"/>
        </w:rPr>
        <w:t>ً</w:t>
      </w:r>
      <w:r>
        <w:rPr>
          <w:rtl/>
          <w:lang w:eastAsia="zh-TW"/>
        </w:rPr>
        <w:t xml:space="preserve">؛ وباقي الحالات البالغ عددها 19 حالة، تأكّدت وفاة الأشخاص المختفين. </w:t>
      </w:r>
    </w:p>
    <w:p w:rsidR="002F6C52" w:rsidRPr="003D22AB" w:rsidRDefault="002F6C52" w:rsidP="00FD3D78">
      <w:pPr>
        <w:pStyle w:val="SingleTxtGA"/>
        <w:spacing w:line="360" w:lineRule="exact"/>
        <w:rPr>
          <w:rtl/>
          <w:lang w:eastAsia="zh-TW"/>
        </w:rPr>
      </w:pPr>
      <w:r>
        <w:rPr>
          <w:rtl/>
          <w:lang w:eastAsia="zh-TW"/>
        </w:rPr>
        <w:t>٢٧-</w:t>
      </w:r>
      <w:r>
        <w:rPr>
          <w:rtl/>
          <w:lang w:eastAsia="zh-TW"/>
        </w:rPr>
        <w:tab/>
        <w:t>وبالإضافة إلى ذلك، أوقفت اللجنة النظر في طلبين للإجراءات العاجلة لأنه عُثر على الشخص المختفي لكنه ما</w:t>
      </w:r>
      <w:r w:rsidR="00FD3D78">
        <w:rPr>
          <w:rFonts w:hint="cs"/>
          <w:rtl/>
          <w:lang w:eastAsia="zh-TW"/>
        </w:rPr>
        <w:t xml:space="preserve"> </w:t>
      </w:r>
      <w:r>
        <w:rPr>
          <w:rtl/>
          <w:lang w:eastAsia="zh-TW"/>
        </w:rPr>
        <w:t>زال محتجزا</w:t>
      </w:r>
      <w:r w:rsidR="00FD3D78">
        <w:rPr>
          <w:rFonts w:hint="cs"/>
          <w:rtl/>
          <w:lang w:eastAsia="zh-TW"/>
        </w:rPr>
        <w:t>ً</w:t>
      </w:r>
      <w:r>
        <w:rPr>
          <w:rtl/>
          <w:lang w:eastAsia="zh-TW"/>
        </w:rPr>
        <w:t>.</w:t>
      </w:r>
      <w:r w:rsidR="00FD3D78">
        <w:rPr>
          <w:rFonts w:hint="cs"/>
          <w:rtl/>
          <w:lang w:eastAsia="zh-TW"/>
        </w:rPr>
        <w:t xml:space="preserve"> </w:t>
      </w:r>
    </w:p>
    <w:p w:rsidR="002F6C52" w:rsidRPr="003D22AB" w:rsidRDefault="002F6C52" w:rsidP="002F6C52">
      <w:pPr>
        <w:pStyle w:val="SingleTxtGA"/>
        <w:rPr>
          <w:rtl/>
          <w:lang w:eastAsia="zh-TW"/>
        </w:rPr>
      </w:pPr>
      <w:r>
        <w:rPr>
          <w:rtl/>
          <w:lang w:eastAsia="zh-TW"/>
        </w:rPr>
        <w:lastRenderedPageBreak/>
        <w:t>٢٨-</w:t>
      </w:r>
      <w:r>
        <w:rPr>
          <w:rtl/>
          <w:lang w:eastAsia="zh-TW"/>
        </w:rPr>
        <w:tab/>
        <w:t>وفي طلبين للإجراءات العاجلة، تبيّن أن الشخص المختفي تُوفّي، لكن الإجراء العاجل ظل مفتوحا</w:t>
      </w:r>
      <w:r w:rsidR="00FA2738">
        <w:rPr>
          <w:rFonts w:hint="cs"/>
          <w:rtl/>
          <w:lang w:eastAsia="zh-TW"/>
        </w:rPr>
        <w:t>ً</w:t>
      </w:r>
      <w:r>
        <w:rPr>
          <w:rtl/>
          <w:lang w:eastAsia="zh-TW"/>
        </w:rPr>
        <w:t xml:space="preserve"> لأن الأشخاص الذين مُنحوا التدابير المؤقتة ما</w:t>
      </w:r>
      <w:r w:rsidR="00FA2738">
        <w:rPr>
          <w:rFonts w:hint="cs"/>
          <w:rtl/>
          <w:lang w:eastAsia="zh-TW"/>
        </w:rPr>
        <w:t xml:space="preserve"> </w:t>
      </w:r>
      <w:r>
        <w:rPr>
          <w:rtl/>
          <w:lang w:eastAsia="zh-TW"/>
        </w:rPr>
        <w:t>زالوا معرضين للتهديد.</w:t>
      </w:r>
    </w:p>
    <w:p w:rsidR="002F6C52" w:rsidRPr="00EA046A" w:rsidRDefault="002F6C52" w:rsidP="002F6C52">
      <w:pPr>
        <w:pStyle w:val="H1GA"/>
        <w:rPr>
          <w:rtl/>
          <w:lang w:eastAsia="zh-TW"/>
        </w:rPr>
      </w:pPr>
      <w:r>
        <w:rPr>
          <w:rtl/>
          <w:lang w:eastAsia="zh-TW"/>
        </w:rPr>
        <w:tab/>
      </w:r>
      <w:r w:rsidRPr="00EA046A">
        <w:rPr>
          <w:rtl/>
          <w:lang w:eastAsia="zh-TW"/>
        </w:rPr>
        <w:t>هاء-</w:t>
      </w:r>
      <w:r>
        <w:rPr>
          <w:rtl/>
          <w:lang w:eastAsia="zh-TW"/>
        </w:rPr>
        <w:tab/>
      </w:r>
      <w:r w:rsidRPr="00EA046A">
        <w:rPr>
          <w:rtl/>
          <w:lang w:eastAsia="zh-TW"/>
        </w:rPr>
        <w:t>قرارات الجلسات العامة</w:t>
      </w:r>
    </w:p>
    <w:p w:rsidR="002F6C52" w:rsidRPr="003D22AB" w:rsidRDefault="002F6C52" w:rsidP="002F6C52">
      <w:pPr>
        <w:pStyle w:val="SingleTxtGA"/>
        <w:rPr>
          <w:rtl/>
          <w:lang w:eastAsia="zh-TW"/>
        </w:rPr>
      </w:pPr>
      <w:r>
        <w:rPr>
          <w:rtl/>
          <w:lang w:eastAsia="zh-TW"/>
        </w:rPr>
        <w:t>٢٩-</w:t>
      </w:r>
      <w:r>
        <w:rPr>
          <w:rtl/>
          <w:lang w:eastAsia="zh-TW"/>
        </w:rPr>
        <w:tab/>
        <w:t>قرّرت اللجنة ردّا</w:t>
      </w:r>
      <w:r w:rsidR="007216E9">
        <w:rPr>
          <w:rFonts w:hint="cs"/>
          <w:rtl/>
          <w:lang w:eastAsia="zh-TW"/>
        </w:rPr>
        <w:t>ً</w:t>
      </w:r>
      <w:r>
        <w:rPr>
          <w:rtl/>
          <w:lang w:eastAsia="zh-TW"/>
        </w:rPr>
        <w:t xml:space="preserve"> على طلب كولومبيا إليها تمديد المهل الزمنية للرد على طلبات الإجراءات العاجلة ومذكرات المتابعة، أن تحدّد المهل الزمنية الجديدة كما يلي:</w:t>
      </w:r>
    </w:p>
    <w:p w:rsidR="002F6C52" w:rsidRPr="003D22AB" w:rsidRDefault="002F6C52" w:rsidP="002F6C52">
      <w:pPr>
        <w:pStyle w:val="SingleTxtGA"/>
        <w:rPr>
          <w:rtl/>
          <w:lang w:eastAsia="zh-TW"/>
        </w:rPr>
      </w:pPr>
      <w:r>
        <w:rPr>
          <w:rtl/>
          <w:lang w:eastAsia="zh-TW"/>
        </w:rPr>
        <w:tab/>
        <w:t>(أ)</w:t>
      </w:r>
      <w:r>
        <w:rPr>
          <w:rtl/>
          <w:lang w:eastAsia="zh-TW"/>
        </w:rPr>
        <w:tab/>
        <w:t>للرد على الطلب الأولي: مهلة ثلاثة أسابيع يتبعها توجيه ثلاث رسائل تذكيرية تنص كل واحدة منها على مهلة زمنية مدتها ثلاثة أسابيع، قبل أن يرسل تذكير أخير؛</w:t>
      </w:r>
    </w:p>
    <w:p w:rsidR="002F6C52" w:rsidRPr="003D22AB" w:rsidRDefault="002F6C52" w:rsidP="002F6C52">
      <w:pPr>
        <w:pStyle w:val="SingleTxtGA"/>
        <w:rPr>
          <w:rtl/>
          <w:lang w:eastAsia="zh-TW"/>
        </w:rPr>
      </w:pPr>
      <w:r>
        <w:rPr>
          <w:rtl/>
          <w:lang w:eastAsia="zh-TW"/>
        </w:rPr>
        <w:tab/>
        <w:t>(ب)</w:t>
      </w:r>
      <w:r>
        <w:rPr>
          <w:rtl/>
          <w:lang w:eastAsia="zh-TW"/>
        </w:rPr>
        <w:tab/>
        <w:t>للرد على مذكرات المتابعة: مهلة شهر واحد يتبعها توجيه ثلاث رسائل تذكيرية تنص كل واحدة منها على مهلة زمنية مدتها ثلاثة أسابيع، قبل أن يرسل تذكير أخير.</w:t>
      </w:r>
    </w:p>
    <w:p w:rsidR="002F6C52" w:rsidRPr="003D22AB" w:rsidRDefault="002F6C52" w:rsidP="002F6C52">
      <w:pPr>
        <w:pStyle w:val="SingleTxtGA"/>
        <w:rPr>
          <w:rtl/>
          <w:lang w:eastAsia="zh-TW"/>
        </w:rPr>
      </w:pPr>
      <w:r>
        <w:rPr>
          <w:rtl/>
          <w:lang w:eastAsia="zh-TW"/>
        </w:rPr>
        <w:t>٣٠-</w:t>
      </w:r>
      <w:r>
        <w:rPr>
          <w:rtl/>
          <w:lang w:eastAsia="zh-TW"/>
        </w:rPr>
        <w:tab/>
        <w:t>وفي ضوء الاتجاهات التي لوحظت خلال الفترة التي يغطيها هذا التقرير والتقارير السابقة للجنة بشأن طلبات الإجراءات العاجلة وفي ضوء التطورات الإجرائية، قررت اللجنة إعداد تجميع لقواعدها للنظر فيها واعتمادها في الجلسة العامة. ويمكن تقديم مشروع التجميع في الدورة القادمة في إطار تقديم التقرير المتعلق بالإجراءات العاجلة.</w:t>
      </w:r>
    </w:p>
    <w:p w:rsidR="002F6C52" w:rsidRPr="003D22AB" w:rsidRDefault="002F6C52" w:rsidP="002F6C52">
      <w:pPr>
        <w:pStyle w:val="SingleTxtGA"/>
        <w:rPr>
          <w:rtl/>
          <w:lang w:eastAsia="zh-TW"/>
        </w:rPr>
      </w:pPr>
      <w:r>
        <w:rPr>
          <w:rtl/>
          <w:lang w:eastAsia="zh-TW"/>
        </w:rPr>
        <w:t>٣١-</w:t>
      </w:r>
      <w:r>
        <w:rPr>
          <w:rtl/>
          <w:lang w:eastAsia="zh-TW"/>
        </w:rPr>
        <w:tab/>
        <w:t>وقرّرت اللجنة أن تتخذ إجراءات ملموسة، بدعم من الأمانة، لنشر المزيد من المعلومات المحددة بشأن الإجراءات العاجلة، ولا</w:t>
      </w:r>
      <w:r w:rsidR="00FA2738">
        <w:rPr>
          <w:rFonts w:hint="cs"/>
          <w:rtl/>
          <w:lang w:eastAsia="zh-TW"/>
        </w:rPr>
        <w:t xml:space="preserve"> </w:t>
      </w:r>
      <w:r>
        <w:rPr>
          <w:rtl/>
          <w:lang w:eastAsia="zh-TW"/>
        </w:rPr>
        <w:t>سيما على منظمات المجتمع المدني ومسؤولي الدولة الطرف. ولذلك، قررت اللجنة إعداد مواد إعلامية واضحة العبارات وتوزيعها.</w:t>
      </w:r>
    </w:p>
    <w:p w:rsidR="002F6C52" w:rsidRPr="003D22AB" w:rsidRDefault="002F6C52" w:rsidP="002F6C52">
      <w:pPr>
        <w:pStyle w:val="SingleTxtGA"/>
        <w:rPr>
          <w:rtl/>
          <w:lang w:eastAsia="zh-TW"/>
        </w:rPr>
      </w:pPr>
      <w:r>
        <w:rPr>
          <w:rtl/>
          <w:lang w:eastAsia="zh-TW"/>
        </w:rPr>
        <w:t>٣٢-</w:t>
      </w:r>
      <w:r>
        <w:rPr>
          <w:rtl/>
          <w:lang w:eastAsia="zh-TW"/>
        </w:rPr>
        <w:tab/>
        <w:t>وفي السياق ذاته، تودّ اللجنة العمل مع السلطات الوطنية لزيادة تبادل المعلومات وتعزيز الفرص التدريبية التي تتناول الإجراءات العاجلة وأهدافها، بالتنسيق مع المكاتب الميدانية التابعة لمفوضية الأمم المتحدة السامية لحقوق الإنسان وبرنامج بناء قدرات هيئات المعاهدات، بغرض إذكاء الوعي بنطاق الإجراءات العاجلة وأهدافها.</w:t>
      </w:r>
    </w:p>
    <w:p w:rsidR="002F6C52" w:rsidRPr="003D22AB" w:rsidRDefault="002F6C52" w:rsidP="002F6C52">
      <w:pPr>
        <w:pStyle w:val="SingleTxtGA"/>
        <w:rPr>
          <w:rtl/>
          <w:lang w:eastAsia="zh-TW"/>
        </w:rPr>
      </w:pPr>
      <w:r>
        <w:rPr>
          <w:rtl/>
          <w:lang w:eastAsia="zh-TW"/>
        </w:rPr>
        <w:t>٣٣-</w:t>
      </w:r>
      <w:r>
        <w:rPr>
          <w:rtl/>
          <w:lang w:eastAsia="zh-TW"/>
        </w:rPr>
        <w:tab/>
        <w:t>وتلاحظ اللجنة أن عدد طلبات الإجراءات العاجلة المسجّلة آخذ في الازدياد، وأنه ثمة، بالنظر إلى هذا الوضع، حاجة ملحة إلى زيادة عدد موظفي أمانة المفوضية المعنيين بتجهيز الإجراءات العاجلة.</w:t>
      </w:r>
    </w:p>
    <w:p w:rsidR="002F6C52" w:rsidRPr="00106A43" w:rsidRDefault="002F6C52" w:rsidP="002F6C52">
      <w:pPr>
        <w:spacing w:before="240"/>
        <w:jc w:val="center"/>
        <w:rPr>
          <w:u w:val="single"/>
        </w:rPr>
      </w:pPr>
      <w:r>
        <w:rPr>
          <w:u w:val="single"/>
        </w:rPr>
        <w:tab/>
      </w:r>
      <w:r>
        <w:rPr>
          <w:u w:val="single"/>
        </w:rPr>
        <w:tab/>
      </w:r>
      <w:r>
        <w:rPr>
          <w:u w:val="single"/>
        </w:rPr>
        <w:tab/>
      </w:r>
    </w:p>
    <w:sectPr w:rsidR="002F6C52" w:rsidRPr="00106A43" w:rsidSect="0047448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998" w:rsidRPr="002901D9" w:rsidRDefault="00805998" w:rsidP="002901D9">
      <w:pPr>
        <w:spacing w:after="60" w:line="240" w:lineRule="auto"/>
        <w:rPr>
          <w:i/>
          <w:iCs/>
        </w:rPr>
      </w:pPr>
      <w:r>
        <w:rPr>
          <w:rFonts w:hint="cs"/>
          <w:i/>
          <w:iCs/>
          <w:rtl/>
        </w:rPr>
        <w:t>الحواشي</w:t>
      </w:r>
    </w:p>
  </w:endnote>
  <w:endnote w:type="continuationSeparator" w:id="0">
    <w:p w:rsidR="00805998" w:rsidRDefault="00805998"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48B" w:rsidRPr="00002021" w:rsidRDefault="00002021" w:rsidP="00002021">
    <w:pPr>
      <w:pStyle w:val="Footer"/>
      <w:tabs>
        <w:tab w:val="right" w:pos="9598"/>
      </w:tabs>
      <w:rPr>
        <w:sz w:val="17"/>
      </w:rPr>
    </w:pPr>
    <w:r>
      <w:rPr>
        <w:sz w:val="17"/>
      </w:rPr>
      <w:t>GE.17-17499</w:t>
    </w:r>
    <w:r>
      <w:rPr>
        <w:sz w:val="17"/>
      </w:rPr>
      <w:tab/>
    </w:r>
    <w:r w:rsidRPr="00002021">
      <w:rPr>
        <w:b/>
        <w:sz w:val="18"/>
      </w:rPr>
      <w:fldChar w:fldCharType="begin"/>
    </w:r>
    <w:r w:rsidRPr="00002021">
      <w:rPr>
        <w:b/>
        <w:sz w:val="18"/>
      </w:rPr>
      <w:instrText xml:space="preserve"> PAGE  \* MERGEFORMAT </w:instrText>
    </w:r>
    <w:r w:rsidRPr="00002021">
      <w:rPr>
        <w:b/>
        <w:sz w:val="18"/>
      </w:rPr>
      <w:fldChar w:fldCharType="separate"/>
    </w:r>
    <w:r w:rsidR="008A5FDE">
      <w:rPr>
        <w:b/>
        <w:noProof/>
        <w:sz w:val="18"/>
      </w:rPr>
      <w:t>2</w:t>
    </w:r>
    <w:r w:rsidRPr="00002021">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002021" w:rsidRDefault="00002021" w:rsidP="006959B0">
    <w:pPr>
      <w:pStyle w:val="Footer"/>
      <w:tabs>
        <w:tab w:val="right" w:pos="9599"/>
      </w:tabs>
      <w:jc w:val="left"/>
      <w:rPr>
        <w:b/>
        <w:sz w:val="18"/>
        <w:lang w:val="en-US"/>
      </w:rPr>
    </w:pPr>
    <w:r w:rsidRPr="00002021">
      <w:rPr>
        <w:b/>
        <w:sz w:val="18"/>
        <w:lang w:val="en-US"/>
      </w:rPr>
      <w:fldChar w:fldCharType="begin"/>
    </w:r>
    <w:r w:rsidRPr="00002021">
      <w:rPr>
        <w:b/>
        <w:sz w:val="18"/>
        <w:lang w:val="en-US"/>
      </w:rPr>
      <w:instrText xml:space="preserve"> PAGE  \* MERGEFORMAT </w:instrText>
    </w:r>
    <w:r w:rsidRPr="00002021">
      <w:rPr>
        <w:b/>
        <w:sz w:val="18"/>
        <w:lang w:val="en-US"/>
      </w:rPr>
      <w:fldChar w:fldCharType="separate"/>
    </w:r>
    <w:r w:rsidR="006C5FFC">
      <w:rPr>
        <w:b/>
        <w:noProof/>
        <w:sz w:val="18"/>
        <w:lang w:val="en-US"/>
      </w:rPr>
      <w:t>9</w:t>
    </w:r>
    <w:r w:rsidRPr="00002021">
      <w:rPr>
        <w:b/>
        <w:sz w:val="18"/>
        <w:lang w:val="en-US"/>
      </w:rPr>
      <w:fldChar w:fldCharType="end"/>
    </w:r>
    <w:r>
      <w:rPr>
        <w:b/>
        <w:sz w:val="18"/>
        <w:lang w:val="en-US"/>
      </w:rPr>
      <w:tab/>
    </w:r>
    <w:r>
      <w:rPr>
        <w:sz w:val="17"/>
        <w:lang w:val="en-US"/>
      </w:rPr>
      <w:t>GE.17-17499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C9" w:rsidRDefault="0047448B" w:rsidP="00F6741C">
    <w:pPr>
      <w:pStyle w:val="Footer"/>
      <w:spacing w:before="360"/>
      <w:jc w:val="right"/>
      <w:rPr>
        <w:sz w:val="20"/>
        <w:szCs w:val="20"/>
      </w:rPr>
    </w:pPr>
    <w:r>
      <w:rPr>
        <w:sz w:val="20"/>
        <w:szCs w:val="20"/>
      </w:rPr>
      <w:t>GE.17-17499</w:t>
    </w:r>
    <w:r w:rsidR="00FD4BC9">
      <w:rPr>
        <w:noProof/>
        <w:lang w:val="en-US" w:eastAsia="zh-CN"/>
      </w:rPr>
      <w:drawing>
        <wp:anchor distT="0" distB="0" distL="114300" distR="114300" simplePos="0" relativeHeight="251666432" behindDoc="1" locked="1" layoutInCell="0" allowOverlap="1" wp14:anchorId="3B4013A3" wp14:editId="243E316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47448B" w:rsidRPr="0047448B" w:rsidRDefault="0047448B" w:rsidP="0047448B">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998" w:rsidRPr="0054762C" w:rsidRDefault="00805998" w:rsidP="000E524A">
      <w:pPr>
        <w:pStyle w:val="Footer"/>
        <w:bidi/>
        <w:spacing w:after="80" w:line="200" w:lineRule="exact"/>
        <w:ind w:left="680"/>
      </w:pPr>
      <w:r>
        <w:rPr>
          <w:rtl/>
        </w:rPr>
        <w:t>__________</w:t>
      </w:r>
    </w:p>
  </w:footnote>
  <w:footnote w:type="continuationSeparator" w:id="0">
    <w:p w:rsidR="00805998" w:rsidRDefault="00805998" w:rsidP="00656392">
      <w:pPr>
        <w:spacing w:line="240" w:lineRule="auto"/>
      </w:pPr>
      <w:r>
        <w:continuationSeparator/>
      </w:r>
    </w:p>
  </w:footnote>
  <w:footnote w:id="1">
    <w:p w:rsidR="00DF46FF" w:rsidRPr="00DF46FF" w:rsidRDefault="00DF46FF" w:rsidP="00DF46FF">
      <w:pPr>
        <w:pStyle w:val="FootnoteText1"/>
        <w:rPr>
          <w:lang w:bidi="ar-DZ"/>
        </w:rPr>
      </w:pPr>
      <w:r>
        <w:rPr>
          <w:rtl/>
          <w:lang w:bidi="ar-DZ"/>
        </w:rPr>
        <w:t>*</w:t>
      </w:r>
      <w:r>
        <w:rPr>
          <w:rtl/>
          <w:lang w:bidi="ar-DZ"/>
        </w:rPr>
        <w:tab/>
      </w:r>
      <w:r>
        <w:rPr>
          <w:rtl/>
          <w:lang w:eastAsia="zh-TW"/>
        </w:rPr>
        <w:t>اعتمدته اللجنة في دورتها الثالثة عشرة (٤-15 أيلول/سبتمبر ٢٠١٧)</w:t>
      </w:r>
      <w:r>
        <w:rPr>
          <w:rFonts w:hint="cs"/>
          <w:rtl/>
          <w:lang w:eastAsia="zh-TW"/>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48B" w:rsidRPr="00002021" w:rsidRDefault="00002021" w:rsidP="00002021">
    <w:pPr>
      <w:pStyle w:val="Header"/>
      <w:jc w:val="right"/>
    </w:pPr>
    <w:r w:rsidRPr="00002021">
      <w:t>CED/C/13/3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48B" w:rsidRPr="00002021" w:rsidRDefault="00002021" w:rsidP="00002021">
    <w:pPr>
      <w:pStyle w:val="Header"/>
      <w:jc w:val="left"/>
    </w:pPr>
    <w:r w:rsidRPr="00002021">
      <w:t>CED/C/13/3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15:restartNumberingAfterBreak="0">
    <w:nsid w:val="467B2EC0"/>
    <w:multiLevelType w:val="hybridMultilevel"/>
    <w:tmpl w:val="76A03AD6"/>
    <w:lvl w:ilvl="0" w:tplc="C90092E8">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7"/>
  </w:num>
  <w:num w:numId="2">
    <w:abstractNumId w:val="6"/>
  </w:num>
  <w:num w:numId="3">
    <w:abstractNumId w:val="0"/>
  </w:num>
  <w:num w:numId="4">
    <w:abstractNumId w:val="4"/>
  </w:num>
  <w:num w:numId="5">
    <w:abstractNumId w:val="3"/>
  </w:num>
  <w:num w:numId="6">
    <w:abstractNumId w:val="1"/>
  </w:num>
  <w:num w:numId="7">
    <w:abstractNumId w:val="8"/>
  </w:num>
  <w:num w:numId="8">
    <w:abstractNumId w:val="0"/>
  </w:num>
  <w:num w:numId="9">
    <w:abstractNumId w:val="4"/>
  </w:num>
  <w:num w:numId="10">
    <w:abstractNumId w:val="1"/>
  </w:num>
  <w:num w:numId="11">
    <w:abstractNumId w:val="8"/>
  </w:num>
  <w:num w:numId="12">
    <w:abstractNumId w:val="2"/>
    <w:lvlOverride w:ilvl="0">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attachedTemplate r:id="rId1"/>
  <w:defaultTabStop w:val="680"/>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805998"/>
    <w:rsid w:val="00002021"/>
    <w:rsid w:val="000076D5"/>
    <w:rsid w:val="00043663"/>
    <w:rsid w:val="000505CF"/>
    <w:rsid w:val="0005338B"/>
    <w:rsid w:val="000D701C"/>
    <w:rsid w:val="000E2A71"/>
    <w:rsid w:val="000E524A"/>
    <w:rsid w:val="00160263"/>
    <w:rsid w:val="00160ACD"/>
    <w:rsid w:val="001619E2"/>
    <w:rsid w:val="001773DB"/>
    <w:rsid w:val="00181F96"/>
    <w:rsid w:val="001A1371"/>
    <w:rsid w:val="001B346A"/>
    <w:rsid w:val="001E1CAD"/>
    <w:rsid w:val="001E290D"/>
    <w:rsid w:val="002144FA"/>
    <w:rsid w:val="0023469A"/>
    <w:rsid w:val="00243C8A"/>
    <w:rsid w:val="00267A0E"/>
    <w:rsid w:val="002901D9"/>
    <w:rsid w:val="002976C2"/>
    <w:rsid w:val="002F6C52"/>
    <w:rsid w:val="00325CC1"/>
    <w:rsid w:val="003260FF"/>
    <w:rsid w:val="00343D95"/>
    <w:rsid w:val="00374341"/>
    <w:rsid w:val="003B3178"/>
    <w:rsid w:val="003D1062"/>
    <w:rsid w:val="003E159A"/>
    <w:rsid w:val="004205C7"/>
    <w:rsid w:val="00420D7B"/>
    <w:rsid w:val="00450B21"/>
    <w:rsid w:val="00453B63"/>
    <w:rsid w:val="00455780"/>
    <w:rsid w:val="0047448B"/>
    <w:rsid w:val="004B0A1C"/>
    <w:rsid w:val="004D0546"/>
    <w:rsid w:val="004D298E"/>
    <w:rsid w:val="004E32F4"/>
    <w:rsid w:val="00517BC9"/>
    <w:rsid w:val="005212F8"/>
    <w:rsid w:val="00527E4C"/>
    <w:rsid w:val="0054472E"/>
    <w:rsid w:val="0054762C"/>
    <w:rsid w:val="005662A9"/>
    <w:rsid w:val="005817D9"/>
    <w:rsid w:val="005827D4"/>
    <w:rsid w:val="0059622A"/>
    <w:rsid w:val="005A1256"/>
    <w:rsid w:val="005C5878"/>
    <w:rsid w:val="005C7CEA"/>
    <w:rsid w:val="005D3C0B"/>
    <w:rsid w:val="005E5217"/>
    <w:rsid w:val="005F0FA4"/>
    <w:rsid w:val="005F30EE"/>
    <w:rsid w:val="00604513"/>
    <w:rsid w:val="0060473A"/>
    <w:rsid w:val="00606EDF"/>
    <w:rsid w:val="006345DE"/>
    <w:rsid w:val="00656392"/>
    <w:rsid w:val="0068781D"/>
    <w:rsid w:val="006959B0"/>
    <w:rsid w:val="006B3E27"/>
    <w:rsid w:val="006B6507"/>
    <w:rsid w:val="006C104C"/>
    <w:rsid w:val="006C5FFC"/>
    <w:rsid w:val="007216E9"/>
    <w:rsid w:val="0072652E"/>
    <w:rsid w:val="00733704"/>
    <w:rsid w:val="00740188"/>
    <w:rsid w:val="0078071A"/>
    <w:rsid w:val="007A70BB"/>
    <w:rsid w:val="00805998"/>
    <w:rsid w:val="00840307"/>
    <w:rsid w:val="00852A9A"/>
    <w:rsid w:val="00871544"/>
    <w:rsid w:val="008930DB"/>
    <w:rsid w:val="00895D16"/>
    <w:rsid w:val="008A5FDE"/>
    <w:rsid w:val="008D0807"/>
    <w:rsid w:val="008F49E1"/>
    <w:rsid w:val="0090370F"/>
    <w:rsid w:val="009269D2"/>
    <w:rsid w:val="00942135"/>
    <w:rsid w:val="009521B0"/>
    <w:rsid w:val="009A226E"/>
    <w:rsid w:val="009A7E9F"/>
    <w:rsid w:val="009E5018"/>
    <w:rsid w:val="00A1222B"/>
    <w:rsid w:val="00A12B37"/>
    <w:rsid w:val="00A50EC0"/>
    <w:rsid w:val="00A74331"/>
    <w:rsid w:val="00AB6758"/>
    <w:rsid w:val="00B13763"/>
    <w:rsid w:val="00B477A4"/>
    <w:rsid w:val="00B54045"/>
    <w:rsid w:val="00BA5E8B"/>
    <w:rsid w:val="00C022F5"/>
    <w:rsid w:val="00C438D7"/>
    <w:rsid w:val="00C53FE8"/>
    <w:rsid w:val="00C81B50"/>
    <w:rsid w:val="00CA4A90"/>
    <w:rsid w:val="00CA655B"/>
    <w:rsid w:val="00CB3C3C"/>
    <w:rsid w:val="00CD1801"/>
    <w:rsid w:val="00D0573D"/>
    <w:rsid w:val="00D10EF1"/>
    <w:rsid w:val="00D143E7"/>
    <w:rsid w:val="00D42810"/>
    <w:rsid w:val="00D857BB"/>
    <w:rsid w:val="00D914A7"/>
    <w:rsid w:val="00DD13C3"/>
    <w:rsid w:val="00DD596E"/>
    <w:rsid w:val="00DD621E"/>
    <w:rsid w:val="00DF0575"/>
    <w:rsid w:val="00DF46FF"/>
    <w:rsid w:val="00E42B18"/>
    <w:rsid w:val="00E70E04"/>
    <w:rsid w:val="00EC05A7"/>
    <w:rsid w:val="00EC4B6B"/>
    <w:rsid w:val="00ED7442"/>
    <w:rsid w:val="00EE0B18"/>
    <w:rsid w:val="00EF1EE5"/>
    <w:rsid w:val="00F6741C"/>
    <w:rsid w:val="00F763B4"/>
    <w:rsid w:val="00F900C3"/>
    <w:rsid w:val="00FA2738"/>
    <w:rsid w:val="00FC75D1"/>
    <w:rsid w:val="00FD3D78"/>
    <w:rsid w:val="00FD4BC9"/>
    <w:rsid w:val="00FD612F"/>
    <w:rsid w:val="00FE6BF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E3D70FD"/>
  <w15:docId w15:val="{292ABF96-A9B8-4F57-B697-0CC12214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2F6C52"/>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rsid w:val="002F6C52"/>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rsid w:val="002F6C52"/>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SingleTxtG">
    <w:name w:val="_ Single Txt_G"/>
    <w:basedOn w:val="Normal"/>
    <w:link w:val="SingleTxtGChar"/>
    <w:rsid w:val="002F6C52"/>
    <w:pPr>
      <w:suppressAutoHyphens/>
      <w:bidi w:val="0"/>
      <w:spacing w:after="120"/>
      <w:ind w:left="1134" w:right="1134"/>
      <w:jc w:val="both"/>
    </w:pPr>
    <w:rPr>
      <w:rFonts w:eastAsia="SimSun" w:hAnsiTheme="minorHAnsi"/>
      <w:lang w:val="en-GB" w:eastAsia="zh-CN"/>
    </w:rPr>
  </w:style>
  <w:style w:type="paragraph" w:customStyle="1" w:styleId="Bullet1G">
    <w:name w:val="_Bullet 1_G"/>
    <w:basedOn w:val="Normal"/>
    <w:rsid w:val="002F6C52"/>
    <w:pPr>
      <w:numPr>
        <w:numId w:val="12"/>
      </w:numPr>
      <w:suppressAutoHyphens/>
      <w:bidi w:val="0"/>
      <w:spacing w:after="120"/>
      <w:ind w:right="1134"/>
      <w:jc w:val="both"/>
    </w:pPr>
    <w:rPr>
      <w:rFonts w:eastAsia="SimSun" w:hAnsiTheme="minorHAnsi" w:hint="cs"/>
      <w:lang w:val="en-GB"/>
    </w:rPr>
  </w:style>
  <w:style w:type="character" w:customStyle="1" w:styleId="SingleTxtGChar">
    <w:name w:val="_ Single Txt_G Char"/>
    <w:basedOn w:val="DefaultParagraphFont"/>
    <w:link w:val="SingleTxtG"/>
    <w:rsid w:val="002F6C52"/>
    <w:rPr>
      <w:rFonts w:ascii="Times New Roman" w:eastAsia="SimSun" w:cs="Traditional Arabic"/>
      <w:sz w:val="20"/>
      <w:szCs w:val="3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46967-9BFA-477F-8B7A-DD961E10E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9</Pages>
  <Words>2956</Words>
  <Characters>16853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CED/C/13/3</vt:lpstr>
    </vt:vector>
  </TitlesOfParts>
  <Company>DCM</Company>
  <LinksUpToDate>false</LinksUpToDate>
  <CharactersWithSpaces>19770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CED/C/13/3</dc:title>
  <dc:subject>GE.1717499A</dc:subject>
  <dc:creator>IHRZ - MBOU</dc:creator>
  <cp:keywords>ODS No.1729272</cp:keywords>
  <dc:description>Distr.: General_x000d_
29 September 2017_x000d_
Original: Spanish</dc:description>
  <cp:lastModifiedBy>Admin</cp:lastModifiedBy>
  <cp:revision>2</cp:revision>
  <cp:lastPrinted>2017-11-07T15:06:00Z</cp:lastPrinted>
  <dcterms:created xsi:type="dcterms:W3CDTF">2017-11-08T11:06:00Z</dcterms:created>
  <dcterms:modified xsi:type="dcterms:W3CDTF">2017-11-08T11:06:00Z</dcterms:modified>
  <cp:category>Final</cp:category>
</cp:coreProperties>
</file>