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975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97552" w:rsidP="00A97552">
            <w:pPr>
              <w:jc w:val="right"/>
            </w:pPr>
            <w:proofErr w:type="spellStart"/>
            <w:r w:rsidRPr="00A97552">
              <w:rPr>
                <w:sz w:val="40"/>
              </w:rPr>
              <w:t>CED</w:t>
            </w:r>
            <w:proofErr w:type="spellEnd"/>
            <w:r>
              <w:t>/C/13/2</w:t>
            </w:r>
          </w:p>
        </w:tc>
      </w:tr>
      <w:tr w:rsidR="002D5AAC" w:rsidRPr="00A97552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7951C66" wp14:editId="6E6F52B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97552" w:rsidRDefault="00A97552" w:rsidP="00877609">
            <w:pPr>
              <w:spacing w:before="240"/>
              <w:rPr>
                <w:lang w:val="en-US"/>
              </w:rPr>
            </w:pPr>
            <w:r w:rsidRPr="00A97552">
              <w:rPr>
                <w:lang w:val="en-US"/>
              </w:rPr>
              <w:t>Distr.: General</w:t>
            </w:r>
          </w:p>
          <w:p w:rsidR="00A97552" w:rsidRPr="00A97552" w:rsidRDefault="00A97552" w:rsidP="00A97552">
            <w:pPr>
              <w:spacing w:line="240" w:lineRule="exact"/>
              <w:rPr>
                <w:lang w:val="en-US"/>
              </w:rPr>
            </w:pPr>
            <w:r w:rsidRPr="00A97552">
              <w:rPr>
                <w:lang w:val="en-US"/>
              </w:rPr>
              <w:t>29 September 2017</w:t>
            </w:r>
          </w:p>
          <w:p w:rsidR="00A97552" w:rsidRPr="00A97552" w:rsidRDefault="00A97552" w:rsidP="00A97552">
            <w:pPr>
              <w:spacing w:line="240" w:lineRule="exact"/>
              <w:rPr>
                <w:lang w:val="en-US"/>
              </w:rPr>
            </w:pPr>
            <w:r w:rsidRPr="00A97552">
              <w:rPr>
                <w:lang w:val="en-US"/>
              </w:rPr>
              <w:t>Russian</w:t>
            </w:r>
          </w:p>
          <w:p w:rsidR="00A97552" w:rsidRPr="00A97552" w:rsidRDefault="00A97552" w:rsidP="00A97552">
            <w:pPr>
              <w:spacing w:line="240" w:lineRule="exact"/>
              <w:rPr>
                <w:lang w:val="en-US"/>
              </w:rPr>
            </w:pPr>
            <w:r w:rsidRPr="00A97552">
              <w:rPr>
                <w:lang w:val="en-US"/>
              </w:rPr>
              <w:t>Original: Spanish</w:t>
            </w:r>
          </w:p>
        </w:tc>
      </w:tr>
    </w:tbl>
    <w:p w:rsidR="00F04EE3" w:rsidRPr="00F04EE3" w:rsidRDefault="00F04EE3" w:rsidP="00F04EE3">
      <w:pPr>
        <w:spacing w:before="120"/>
        <w:rPr>
          <w:b/>
          <w:bCs/>
          <w:sz w:val="24"/>
          <w:szCs w:val="24"/>
        </w:rPr>
      </w:pPr>
      <w:r w:rsidRPr="00F04EE3">
        <w:rPr>
          <w:b/>
          <w:bCs/>
          <w:sz w:val="24"/>
          <w:szCs w:val="24"/>
        </w:rPr>
        <w:t>Комитет по насильственным исчезновениям</w:t>
      </w:r>
    </w:p>
    <w:p w:rsidR="00F04EE3" w:rsidRPr="00F04EE3" w:rsidRDefault="00F04EE3" w:rsidP="00F04EE3">
      <w:pPr>
        <w:pStyle w:val="HChGR"/>
      </w:pPr>
      <w:r w:rsidRPr="00F04EE3">
        <w:tab/>
      </w:r>
      <w:r w:rsidRPr="00F04EE3">
        <w:tab/>
        <w:t>Доклад о последующих мерах в связи с</w:t>
      </w:r>
      <w:r>
        <w:rPr>
          <w:lang w:val="en-US"/>
        </w:rPr>
        <w:t> </w:t>
      </w:r>
      <w:r w:rsidRPr="00F04EE3">
        <w:t>индивидуальными сообщениями</w:t>
      </w:r>
      <w:r w:rsidRPr="00F04EE3">
        <w:rPr>
          <w:b w:val="0"/>
          <w:bCs/>
          <w:sz w:val="20"/>
        </w:rPr>
        <w:footnoteReference w:customMarkFollows="1" w:id="1"/>
        <w:t>*</w:t>
      </w:r>
    </w:p>
    <w:p w:rsidR="00F04EE3" w:rsidRPr="00F04EE3" w:rsidRDefault="00F04EE3" w:rsidP="00F04EE3">
      <w:pPr>
        <w:pStyle w:val="H1GR"/>
      </w:pPr>
      <w:r>
        <w:rPr>
          <w:lang w:val="en-US"/>
        </w:rPr>
        <w:tab/>
      </w:r>
      <w:r w:rsidRPr="00F04EE3">
        <w:t>A.</w:t>
      </w:r>
      <w:r w:rsidRPr="00F04EE3">
        <w:tab/>
        <w:t>Введение</w:t>
      </w:r>
    </w:p>
    <w:p w:rsidR="00F04EE3" w:rsidRPr="00F04EE3" w:rsidRDefault="00F04EE3" w:rsidP="00F04EE3">
      <w:pPr>
        <w:pStyle w:val="SingleTxtGR"/>
      </w:pPr>
      <w:r w:rsidRPr="00F04EE3">
        <w:t>1.</w:t>
      </w:r>
      <w:r w:rsidRPr="00F04EE3">
        <w:tab/>
        <w:t xml:space="preserve">Настоящий доклад представляется в соответствии с правилом 79 правил процедуры Комитета, которое предусматривает, что </w:t>
      </w:r>
      <w:r w:rsidR="00CE363F" w:rsidRPr="00F04EE3">
        <w:t xml:space="preserve">Специальный </w:t>
      </w:r>
      <w:r w:rsidRPr="00F04EE3">
        <w:t>докладчик или рабочая группа, назначенные с тем, чтобы удостовериться в принятии гос</w:t>
      </w:r>
      <w:r w:rsidRPr="00F04EE3">
        <w:t>у</w:t>
      </w:r>
      <w:r w:rsidRPr="00F04EE3">
        <w:t>дарствами-участниками мер для реализации соображений Комитета, период</w:t>
      </w:r>
      <w:r w:rsidRPr="00F04EE3">
        <w:t>и</w:t>
      </w:r>
      <w:r w:rsidRPr="00F04EE3">
        <w:t>чески информируют Комитет об осуществлении последующих мер.</w:t>
      </w:r>
    </w:p>
    <w:p w:rsidR="00F04EE3" w:rsidRPr="00F04EE3" w:rsidRDefault="00F04EE3" w:rsidP="00F04EE3">
      <w:pPr>
        <w:pStyle w:val="SingleTxtGR"/>
      </w:pPr>
      <w:r w:rsidRPr="00F04EE3">
        <w:t>2.</w:t>
      </w:r>
      <w:r w:rsidRPr="00F04EE3">
        <w:tab/>
        <w:t>В настоящем докладе приводится информация, полученная Комитетом в отношении последующих мер в связи с Соображениями № 1/2013 (</w:t>
      </w:r>
      <w:proofErr w:type="spellStart"/>
      <w:r w:rsidRPr="00906372">
        <w:rPr>
          <w:i/>
          <w:iCs/>
        </w:rPr>
        <w:t>Ируста</w:t>
      </w:r>
      <w:proofErr w:type="spellEnd"/>
      <w:r w:rsidRPr="00906372">
        <w:rPr>
          <w:i/>
          <w:iCs/>
        </w:rPr>
        <w:t xml:space="preserve"> против Аргентины</w:t>
      </w:r>
      <w:r w:rsidRPr="00F04EE3">
        <w:t>), принятыми в ходе его десятой сессии, а также соотве</w:t>
      </w:r>
      <w:r w:rsidRPr="00F04EE3">
        <w:t>т</w:t>
      </w:r>
      <w:r w:rsidRPr="00F04EE3">
        <w:t>ствующими решениями, принятыми на пленарном заседании, при этом для оценки этих мер использовались следующие критерии: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67"/>
        <w:gridCol w:w="6803"/>
      </w:tblGrid>
      <w:tr w:rsidR="00F04EE3" w:rsidRPr="00F04EE3" w:rsidTr="00F04EE3">
        <w:trPr>
          <w:trHeight w:val="240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04EE3" w:rsidRPr="00F04EE3" w:rsidRDefault="00F04EE3" w:rsidP="00F04EE3">
            <w:pPr>
              <w:spacing w:before="80" w:after="80" w:line="200" w:lineRule="exact"/>
              <w:rPr>
                <w:i/>
                <w:sz w:val="16"/>
              </w:rPr>
            </w:pPr>
            <w:r w:rsidRPr="00F04EE3">
              <w:rPr>
                <w:i/>
                <w:sz w:val="16"/>
              </w:rPr>
              <w:t>Критерии оценки</w:t>
            </w:r>
          </w:p>
        </w:tc>
      </w:tr>
      <w:tr w:rsidR="00F04EE3" w:rsidRPr="00F04EE3" w:rsidTr="00F04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top w:val="single" w:sz="12" w:space="0" w:color="auto"/>
            </w:tcBorders>
          </w:tcPr>
          <w:p w:rsidR="00F04EE3" w:rsidRPr="00F04EE3" w:rsidRDefault="00F04EE3" w:rsidP="00F04EE3">
            <w:r w:rsidRPr="00F04EE3">
              <w:t>Удовлетворительные меры</w:t>
            </w:r>
          </w:p>
        </w:tc>
      </w:tr>
      <w:tr w:rsidR="00F04EE3" w:rsidRPr="00F04EE3" w:rsidTr="00F04EE3">
        <w:trPr>
          <w:trHeight w:val="240"/>
        </w:trPr>
        <w:tc>
          <w:tcPr>
            <w:tcW w:w="567" w:type="dxa"/>
          </w:tcPr>
          <w:p w:rsidR="00F04EE3" w:rsidRPr="00F04EE3" w:rsidRDefault="00F04EE3" w:rsidP="00F04EE3">
            <w:r w:rsidRPr="00F04EE3"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</w:tcPr>
          <w:p w:rsidR="00F04EE3" w:rsidRPr="00F04EE3" w:rsidRDefault="00F04EE3" w:rsidP="00F04EE3">
            <w:r w:rsidRPr="00F04EE3">
              <w:t>Приняты в целом удовлетворительные меры</w:t>
            </w:r>
          </w:p>
        </w:tc>
      </w:tr>
      <w:tr w:rsidR="00F04EE3" w:rsidRPr="00F04EE3" w:rsidTr="00F04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F04EE3" w:rsidRPr="00F04EE3" w:rsidRDefault="00F04EE3" w:rsidP="00F04EE3">
            <w:r w:rsidRPr="00F04EE3">
              <w:t>Частично удовлетворительные меры</w:t>
            </w:r>
          </w:p>
        </w:tc>
      </w:tr>
      <w:tr w:rsidR="00F04EE3" w:rsidRPr="00F04EE3" w:rsidTr="00F04EE3">
        <w:trPr>
          <w:trHeight w:val="240"/>
        </w:trPr>
        <w:tc>
          <w:tcPr>
            <w:tcW w:w="567" w:type="dxa"/>
          </w:tcPr>
          <w:p w:rsidR="00F04EE3" w:rsidRPr="00F04EE3" w:rsidRDefault="00F04EE3" w:rsidP="00F04EE3">
            <w:r w:rsidRPr="00F04EE3">
              <w:t>B1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</w:tcPr>
          <w:p w:rsidR="00F04EE3" w:rsidRPr="00F04EE3" w:rsidRDefault="00F04EE3" w:rsidP="00F04EE3">
            <w:r w:rsidRPr="00F04EE3">
              <w:t>Приняты существенные меры, но требуется дополнительная информация</w:t>
            </w:r>
          </w:p>
        </w:tc>
      </w:tr>
      <w:tr w:rsidR="00F04EE3" w:rsidRPr="00F04EE3" w:rsidTr="00F04EE3">
        <w:trPr>
          <w:trHeight w:val="240"/>
        </w:trPr>
        <w:tc>
          <w:tcPr>
            <w:tcW w:w="567" w:type="dxa"/>
          </w:tcPr>
          <w:p w:rsidR="00F04EE3" w:rsidRPr="00F04EE3" w:rsidRDefault="00F04EE3" w:rsidP="00F04EE3">
            <w:r w:rsidRPr="00F04EE3">
              <w:t>B2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</w:tcPr>
          <w:p w:rsidR="00F04EE3" w:rsidRPr="00F04EE3" w:rsidRDefault="00F04EE3" w:rsidP="00F04EE3">
            <w:r w:rsidRPr="00F04EE3">
              <w:t>Приняты первоначальные меры, но требуются дополнительные меры и информация</w:t>
            </w:r>
          </w:p>
        </w:tc>
      </w:tr>
      <w:tr w:rsidR="00F04EE3" w:rsidRPr="00F04EE3" w:rsidTr="00F04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F04EE3" w:rsidRPr="00F04EE3" w:rsidRDefault="00F04EE3" w:rsidP="00F04EE3">
            <w:r w:rsidRPr="00F04EE3">
              <w:t>Неудовлетворительные меры</w:t>
            </w:r>
          </w:p>
        </w:tc>
      </w:tr>
      <w:tr w:rsidR="00F04EE3" w:rsidRPr="00F04EE3" w:rsidTr="00F04EE3">
        <w:trPr>
          <w:trHeight w:val="240"/>
        </w:trPr>
        <w:tc>
          <w:tcPr>
            <w:tcW w:w="567" w:type="dxa"/>
          </w:tcPr>
          <w:p w:rsidR="00F04EE3" w:rsidRPr="00F04EE3" w:rsidRDefault="00F04EE3" w:rsidP="00F04EE3">
            <w:r w:rsidRPr="00F04EE3">
              <w:t>C1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</w:tcPr>
          <w:p w:rsidR="00F04EE3" w:rsidRPr="00F04EE3" w:rsidRDefault="00F04EE3" w:rsidP="00F04EE3">
            <w:r w:rsidRPr="00F04EE3">
              <w:t xml:space="preserve">Ответ получен, но принятые меры не обеспечивают выполнения </w:t>
            </w:r>
            <w:r w:rsidR="00906372" w:rsidRPr="00906372">
              <w:br/>
            </w:r>
            <w:r w:rsidR="00EA3A10" w:rsidRPr="00F04EE3">
              <w:t>Сообр</w:t>
            </w:r>
            <w:r w:rsidR="00EA3A10" w:rsidRPr="00F04EE3">
              <w:t>а</w:t>
            </w:r>
            <w:r w:rsidR="00EA3A10" w:rsidRPr="00F04EE3">
              <w:t>жений</w:t>
            </w:r>
            <w:r w:rsidRPr="00F04EE3">
              <w:t>/рекомендаций</w:t>
            </w:r>
          </w:p>
        </w:tc>
      </w:tr>
      <w:tr w:rsidR="00F04EE3" w:rsidRPr="00F04EE3" w:rsidTr="00F04EE3">
        <w:trPr>
          <w:trHeight w:val="240"/>
        </w:trPr>
        <w:tc>
          <w:tcPr>
            <w:tcW w:w="567" w:type="dxa"/>
          </w:tcPr>
          <w:p w:rsidR="00F04EE3" w:rsidRPr="00F04EE3" w:rsidRDefault="00F04EE3" w:rsidP="00F04EE3">
            <w:r w:rsidRPr="00F04EE3">
              <w:t>C2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</w:tcPr>
          <w:p w:rsidR="00F04EE3" w:rsidRPr="00F04EE3" w:rsidRDefault="00F04EE3" w:rsidP="00F04EE3">
            <w:r w:rsidRPr="00F04EE3">
              <w:t xml:space="preserve">Ответ получен, но не имеет отношения к </w:t>
            </w:r>
            <w:r w:rsidR="00EA3A10" w:rsidRPr="00F04EE3">
              <w:t>Соображениям</w:t>
            </w:r>
            <w:r w:rsidRPr="00F04EE3">
              <w:t>/рекомендациям</w:t>
            </w:r>
          </w:p>
        </w:tc>
      </w:tr>
      <w:tr w:rsidR="00F04EE3" w:rsidRPr="00F04EE3" w:rsidTr="00F04EE3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</w:tcPr>
          <w:p w:rsidR="00F04EE3" w:rsidRPr="00F04EE3" w:rsidRDefault="00F04EE3" w:rsidP="00F04EE3">
            <w:r w:rsidRPr="00F04EE3">
              <w:t>Отсутствие сотрудничества с Комитетом</w:t>
            </w:r>
          </w:p>
        </w:tc>
      </w:tr>
      <w:tr w:rsidR="00F04EE3" w:rsidRPr="00F04EE3" w:rsidTr="00906372">
        <w:trPr>
          <w:trHeight w:val="240"/>
        </w:trPr>
        <w:tc>
          <w:tcPr>
            <w:tcW w:w="567" w:type="dxa"/>
            <w:tcBorders>
              <w:bottom w:val="nil"/>
            </w:tcBorders>
          </w:tcPr>
          <w:p w:rsidR="00F04EE3" w:rsidRPr="00F04EE3" w:rsidRDefault="00F04EE3" w:rsidP="00F04EE3">
            <w:r w:rsidRPr="00F04EE3">
              <w:t>D1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</w:tcPr>
          <w:p w:rsidR="00F04EE3" w:rsidRPr="00F04EE3" w:rsidRDefault="00F04EE3" w:rsidP="00F04EE3">
            <w:r w:rsidRPr="00F04EE3">
              <w:t>Не получено ответа в связи с одной или несколькими рекомендациями или частями рекомендаций</w:t>
            </w:r>
          </w:p>
        </w:tc>
      </w:tr>
      <w:tr w:rsidR="00F04EE3" w:rsidRPr="00F04EE3" w:rsidTr="00906372">
        <w:trPr>
          <w:trHeight w:val="240"/>
        </w:trPr>
        <w:tc>
          <w:tcPr>
            <w:tcW w:w="567" w:type="dxa"/>
            <w:tcBorders>
              <w:top w:val="nil"/>
              <w:bottom w:val="nil"/>
            </w:tcBorders>
          </w:tcPr>
          <w:p w:rsidR="00F04EE3" w:rsidRPr="00F04EE3" w:rsidRDefault="00F04EE3" w:rsidP="00F04EE3">
            <w:r w:rsidRPr="00F04EE3">
              <w:t>D2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  <w:tcBorders>
              <w:top w:val="nil"/>
            </w:tcBorders>
          </w:tcPr>
          <w:p w:rsidR="00F04EE3" w:rsidRPr="00F04EE3" w:rsidRDefault="00F04EE3" w:rsidP="00F04EE3">
            <w:r w:rsidRPr="00F04EE3">
              <w:t>Не получено ответа после напоминания (напоминаний)</w:t>
            </w:r>
          </w:p>
        </w:tc>
      </w:tr>
      <w:tr w:rsidR="00F04EE3" w:rsidRPr="00F04EE3" w:rsidTr="00906372">
        <w:trPr>
          <w:trHeight w:val="24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2"/>
            <w:tcBorders>
              <w:top w:val="nil"/>
            </w:tcBorders>
          </w:tcPr>
          <w:p w:rsidR="00F04EE3" w:rsidRPr="00F04EE3" w:rsidRDefault="00F04EE3" w:rsidP="00906372">
            <w:pPr>
              <w:pageBreakBefore/>
            </w:pPr>
            <w:r w:rsidRPr="00F04EE3">
              <w:lastRenderedPageBreak/>
              <w:t>Принятые меры противоречат рекомендациям Комитета</w:t>
            </w:r>
          </w:p>
        </w:tc>
      </w:tr>
      <w:tr w:rsidR="00F04EE3" w:rsidRPr="00F04EE3" w:rsidTr="00F04EE3">
        <w:trPr>
          <w:trHeight w:val="240"/>
        </w:trPr>
        <w:tc>
          <w:tcPr>
            <w:tcW w:w="567" w:type="dxa"/>
          </w:tcPr>
          <w:p w:rsidR="00F04EE3" w:rsidRPr="00F04EE3" w:rsidRDefault="00F04EE3" w:rsidP="00F04EE3">
            <w:r w:rsidRPr="00F04EE3"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3" w:type="dxa"/>
          </w:tcPr>
          <w:p w:rsidR="00F04EE3" w:rsidRPr="00F04EE3" w:rsidRDefault="00F04EE3" w:rsidP="00F04EE3">
            <w:r w:rsidRPr="00F04EE3">
              <w:t xml:space="preserve">Ответ свидетельствует о том, что принятые меры идут вразрез с </w:t>
            </w:r>
            <w:r w:rsidR="00335BB3" w:rsidRPr="00F04EE3">
              <w:t>Сообр</w:t>
            </w:r>
            <w:r w:rsidR="00335BB3" w:rsidRPr="00F04EE3">
              <w:t>а</w:t>
            </w:r>
            <w:r w:rsidR="00335BB3" w:rsidRPr="00F04EE3">
              <w:t>жениями</w:t>
            </w:r>
            <w:r w:rsidRPr="00F04EE3">
              <w:t>/рекомендациями Комитета</w:t>
            </w:r>
          </w:p>
        </w:tc>
      </w:tr>
    </w:tbl>
    <w:p w:rsidR="00F04EE3" w:rsidRPr="00F04EE3" w:rsidRDefault="00906372" w:rsidP="00906372">
      <w:pPr>
        <w:pStyle w:val="H1GR"/>
        <w:rPr>
          <w:lang w:val="es-ES"/>
        </w:rPr>
      </w:pPr>
      <w:r w:rsidRPr="00335BB3">
        <w:tab/>
      </w:r>
      <w:r w:rsidR="00F04EE3" w:rsidRPr="00F04EE3">
        <w:t>B.</w:t>
      </w:r>
      <w:r w:rsidR="00F04EE3" w:rsidRPr="00F04EE3">
        <w:tab/>
        <w:t xml:space="preserve">Сообщение № 1/2013, </w:t>
      </w:r>
      <w:proofErr w:type="spellStart"/>
      <w:r w:rsidR="00F04EE3" w:rsidRPr="00906372">
        <w:rPr>
          <w:i/>
          <w:iCs/>
        </w:rPr>
        <w:t>Ируста</w:t>
      </w:r>
      <w:proofErr w:type="spellEnd"/>
      <w:r w:rsidR="00F04EE3" w:rsidRPr="00906372">
        <w:rPr>
          <w:i/>
          <w:iCs/>
        </w:rPr>
        <w:t xml:space="preserve"> против Аргентины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977"/>
        <w:gridCol w:w="4393"/>
      </w:tblGrid>
      <w:tr w:rsidR="00F04EE3" w:rsidRPr="00906372" w:rsidTr="00906372">
        <w:tc>
          <w:tcPr>
            <w:tcW w:w="2977" w:type="dxa"/>
          </w:tcPr>
          <w:p w:rsidR="00F04EE3" w:rsidRPr="00906372" w:rsidRDefault="003140F9" w:rsidP="00906372">
            <w:r>
              <w:t xml:space="preserve">Дата принятия </w:t>
            </w:r>
            <w:r w:rsidR="00EA3A10">
              <w:t>С</w:t>
            </w:r>
            <w:r w:rsidR="00EA3A10" w:rsidRPr="00906372">
              <w:t>оображений</w:t>
            </w:r>
            <w:r w:rsidR="00F04EE3" w:rsidRPr="00906372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11 марта 2016 года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>
            <w:r w:rsidRPr="00906372">
              <w:t>Первоначальный предельный срок для представления докл</w:t>
            </w:r>
            <w:r w:rsidRPr="00906372">
              <w:t>а</w:t>
            </w:r>
            <w:r w:rsidRPr="00906372">
              <w:t xml:space="preserve">да о последующих мерах </w:t>
            </w:r>
            <w:r w:rsidR="003140F9">
              <w:br/>
            </w:r>
            <w:r w:rsidRPr="00906372">
              <w:t>гос</w:t>
            </w:r>
            <w:r w:rsidRPr="00906372">
              <w:t>у</w:t>
            </w:r>
            <w:r w:rsidRPr="00906372">
              <w:t>дарством-участником: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21 сентября 2016 года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>
            <w:r w:rsidRPr="00906372">
              <w:t>Ответы государства-участника: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22 сентябр</w:t>
            </w:r>
            <w:r w:rsidR="00906372">
              <w:t>я, 24 октября и 15 декабря 2016</w:t>
            </w:r>
            <w:r w:rsidR="00906372">
              <w:rPr>
                <w:lang w:val="en-US"/>
              </w:rPr>
              <w:t> </w:t>
            </w:r>
            <w:r w:rsidRPr="00906372">
              <w:t>года: просьбы о продлении срока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>
            <w:r w:rsidRPr="00906372">
              <w:t xml:space="preserve">Решение Специального </w:t>
            </w:r>
            <w:r w:rsidR="00906372">
              <w:rPr>
                <w:lang w:val="en-US"/>
              </w:rPr>
              <w:br/>
            </w:r>
            <w:r w:rsidRPr="00906372">
              <w:t>д</w:t>
            </w:r>
            <w:r w:rsidRPr="00906372">
              <w:t>о</w:t>
            </w:r>
            <w:r w:rsidRPr="00906372">
              <w:t xml:space="preserve">кладчика: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Продлить срок представления доклада разр</w:t>
            </w:r>
            <w:r w:rsidRPr="00906372">
              <w:t>е</w:t>
            </w:r>
            <w:r w:rsidRPr="00906372">
              <w:t>шалось дважды. В решении о вторичном пр</w:t>
            </w:r>
            <w:r w:rsidRPr="00906372">
              <w:t>о</w:t>
            </w:r>
            <w:r w:rsidRPr="00906372">
              <w:t>длении срока представления доклада (27 о</w:t>
            </w:r>
            <w:r w:rsidRPr="00906372">
              <w:t>к</w:t>
            </w:r>
            <w:r w:rsidRPr="00906372">
              <w:t>тября 2016 года) государство-участник было проинформировано о том, что</w:t>
            </w:r>
            <w:r w:rsidR="00335BB3">
              <w:t>,</w:t>
            </w:r>
            <w:r w:rsidRPr="00906372">
              <w:t xml:space="preserve"> если доклад о последующих мерах не будет представлен до указанной даты, Комитет приступит к оценке мер, принятых с целью выполнения рекоме</w:t>
            </w:r>
            <w:r w:rsidRPr="00906372">
              <w:t>н</w:t>
            </w:r>
            <w:r w:rsidRPr="00906372">
              <w:t>даций Комитета, исходя из имеющейся у него информации. Это решение было подтверждено в ответе на просьбу о дополнительном продл</w:t>
            </w:r>
            <w:r w:rsidRPr="00906372">
              <w:t>е</w:t>
            </w:r>
            <w:r w:rsidRPr="00906372">
              <w:t>нии срока представления доклада от 15 дека</w:t>
            </w:r>
            <w:r w:rsidRPr="00906372">
              <w:t>б</w:t>
            </w:r>
            <w:r w:rsidRPr="00906372">
              <w:t>ря 2016 года.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>
            <w:r w:rsidRPr="00906372">
              <w:t>Комментарии авторов: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 xml:space="preserve">18 декабря 2016 года: авторы подтвердили, что никаких мер для выполнения </w:t>
            </w:r>
            <w:r w:rsidR="00324E70" w:rsidRPr="00906372">
              <w:t xml:space="preserve">Соображений </w:t>
            </w:r>
            <w:r w:rsidRPr="00906372">
              <w:t>Комитета принято не было, и сообщили о де</w:t>
            </w:r>
            <w:r w:rsidRPr="00906372">
              <w:t>й</w:t>
            </w:r>
            <w:r w:rsidRPr="00906372">
              <w:t>ствиях, предпринятых родственниками жертвы в интересах реализации последующих мер в связи с рекомендациями Комитета и обеспеч</w:t>
            </w:r>
            <w:r w:rsidRPr="00906372">
              <w:t>е</w:t>
            </w:r>
            <w:r w:rsidRPr="00906372">
              <w:t>ния их выполнения.</w:t>
            </w:r>
          </w:p>
        </w:tc>
      </w:tr>
      <w:tr w:rsidR="00F04EE3" w:rsidRPr="00906372" w:rsidTr="003B5477">
        <w:tc>
          <w:tcPr>
            <w:tcW w:w="2977" w:type="dxa"/>
            <w:tcBorders>
              <w:bottom w:val="nil"/>
            </w:tcBorders>
          </w:tcPr>
          <w:p w:rsidR="00F04EE3" w:rsidRPr="00906372" w:rsidRDefault="00F04EE3" w:rsidP="00906372">
            <w:r w:rsidRPr="00906372">
              <w:t>Принятые меры: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25 апреля 2017 года: Специальный докладчик, действуя от имени Комитета, направил гос</w:t>
            </w:r>
            <w:r w:rsidRPr="00906372">
              <w:t>у</w:t>
            </w:r>
            <w:r w:rsidRPr="00906372">
              <w:t xml:space="preserve">дарству-участнику письмо, в котором он напомнил о том, что в пункте 14 </w:t>
            </w:r>
            <w:r w:rsidR="00324E70" w:rsidRPr="00906372">
              <w:t xml:space="preserve">Соображений </w:t>
            </w:r>
            <w:r w:rsidRPr="00906372">
              <w:t>Комитета государству-участнику было пре</w:t>
            </w:r>
            <w:r w:rsidRPr="00906372">
              <w:t>д</w:t>
            </w:r>
            <w:r w:rsidR="00906372">
              <w:t>ложено «</w:t>
            </w:r>
            <w:r w:rsidRPr="00906372">
              <w:t xml:space="preserve">в течение шести месяцев </w:t>
            </w:r>
            <w:proofErr w:type="gramStart"/>
            <w:r w:rsidRPr="00906372">
              <w:t>с даты пр</w:t>
            </w:r>
            <w:r w:rsidRPr="00906372">
              <w:t>е</w:t>
            </w:r>
            <w:r w:rsidRPr="00906372">
              <w:t>провождения</w:t>
            </w:r>
            <w:proofErr w:type="gramEnd"/>
            <w:r w:rsidRPr="00906372">
              <w:t xml:space="preserve"> настоящих </w:t>
            </w:r>
            <w:r w:rsidR="00324E70" w:rsidRPr="00906372">
              <w:t xml:space="preserve">Соображений </w:t>
            </w:r>
            <w:r w:rsidRPr="00906372">
              <w:t>пре</w:t>
            </w:r>
            <w:r w:rsidRPr="00906372">
              <w:t>д</w:t>
            </w:r>
            <w:r w:rsidRPr="00906372">
              <w:t>ставить информацию о мерах, принятых с ц</w:t>
            </w:r>
            <w:r w:rsidRPr="00906372">
              <w:t>е</w:t>
            </w:r>
            <w:r w:rsidRPr="00906372">
              <w:t>лью выполнения вышеизложенных рекоменд</w:t>
            </w:r>
            <w:r w:rsidRPr="00906372">
              <w:t>а</w:t>
            </w:r>
            <w:r w:rsidRPr="00906372">
              <w:t>ций</w:t>
            </w:r>
            <w:r w:rsidR="00906372">
              <w:t>»</w:t>
            </w:r>
            <w:r w:rsidRPr="00906372">
              <w:t>.</w:t>
            </w:r>
          </w:p>
        </w:tc>
      </w:tr>
      <w:tr w:rsidR="00F04EE3" w:rsidRPr="00906372" w:rsidTr="003B5477">
        <w:tc>
          <w:tcPr>
            <w:tcW w:w="2977" w:type="dxa"/>
            <w:tcBorders>
              <w:top w:val="nil"/>
              <w:bottom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</w:tcBorders>
          </w:tcPr>
          <w:p w:rsidR="00F04EE3" w:rsidRPr="00906372" w:rsidRDefault="00F04EE3" w:rsidP="00906372">
            <w:r w:rsidRPr="00906372">
              <w:t xml:space="preserve">Комитет отметил, что: </w:t>
            </w:r>
          </w:p>
          <w:p w:rsidR="00F04EE3" w:rsidRPr="00906372" w:rsidRDefault="00F04EE3" w:rsidP="00FE369D">
            <w:pPr>
              <w:tabs>
                <w:tab w:val="left" w:pos="329"/>
              </w:tabs>
              <w:ind w:left="329" w:hanging="329"/>
            </w:pPr>
            <w:r w:rsidRPr="00906372">
              <w:t>•</w:t>
            </w:r>
            <w:r w:rsidRPr="00906372">
              <w:tab/>
              <w:t xml:space="preserve">после препровождения указанных </w:t>
            </w:r>
            <w:r w:rsidR="00324E70" w:rsidRPr="00906372">
              <w:t>Сообр</w:t>
            </w:r>
            <w:r w:rsidR="00324E70" w:rsidRPr="00906372">
              <w:t>а</w:t>
            </w:r>
            <w:r w:rsidR="00324E70" w:rsidRPr="00906372">
              <w:t xml:space="preserve">жений </w:t>
            </w:r>
            <w:r w:rsidRPr="00906372">
              <w:t>прошло более года, но государство-участник так и не представило соотве</w:t>
            </w:r>
            <w:r w:rsidRPr="00906372">
              <w:t>т</w:t>
            </w:r>
            <w:r w:rsidRPr="00906372">
              <w:t>ствующей информации о последующих мерах;</w:t>
            </w:r>
          </w:p>
        </w:tc>
      </w:tr>
      <w:tr w:rsidR="003B5477" w:rsidRPr="00906372" w:rsidTr="003B5477">
        <w:tc>
          <w:tcPr>
            <w:tcW w:w="2977" w:type="dxa"/>
            <w:tcBorders>
              <w:top w:val="nil"/>
            </w:tcBorders>
          </w:tcPr>
          <w:p w:rsidR="003B5477" w:rsidRPr="00906372" w:rsidRDefault="003B5477" w:rsidP="003B5477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</w:tcBorders>
          </w:tcPr>
          <w:p w:rsidR="003B5477" w:rsidRPr="00906372" w:rsidRDefault="003B5477" w:rsidP="00FE369D">
            <w:pPr>
              <w:tabs>
                <w:tab w:val="left" w:pos="329"/>
              </w:tabs>
              <w:ind w:left="329" w:hanging="329"/>
            </w:pPr>
            <w:r w:rsidRPr="00906372">
              <w:t>•</w:t>
            </w:r>
            <w:r w:rsidR="00324E70">
              <w:tab/>
              <w:t>согласно информации, поступивше</w:t>
            </w:r>
            <w:r w:rsidRPr="00906372">
              <w:t>й в ра</w:t>
            </w:r>
            <w:r w:rsidRPr="00906372">
              <w:t>м</w:t>
            </w:r>
            <w:r w:rsidRPr="00906372">
              <w:t>ках процесса наблюдения за осуществл</w:t>
            </w:r>
            <w:r w:rsidRPr="00906372">
              <w:t>е</w:t>
            </w:r>
            <w:r w:rsidRPr="00906372">
              <w:t xml:space="preserve">нием </w:t>
            </w:r>
            <w:r w:rsidR="00324E70" w:rsidRPr="00906372">
              <w:t>Соображений</w:t>
            </w:r>
            <w:r w:rsidRPr="00906372">
              <w:t xml:space="preserve">, государство-участник, как представляется, не приняло мер для обеспечения выполнения </w:t>
            </w:r>
            <w:r w:rsidR="00324E70" w:rsidRPr="00906372">
              <w:t>Соображений</w:t>
            </w:r>
            <w:r w:rsidRPr="00906372">
              <w:t>, в</w:t>
            </w:r>
            <w:r w:rsidR="00FE369D">
              <w:t> </w:t>
            </w:r>
            <w:r w:rsidRPr="00906372">
              <w:t>результате чего права авторов продолж</w:t>
            </w:r>
            <w:r w:rsidRPr="00906372">
              <w:t>а</w:t>
            </w:r>
            <w:r w:rsidRPr="00906372">
              <w:t>ют нарушаться, прич</w:t>
            </w:r>
            <w:r>
              <w:t>е</w:t>
            </w:r>
            <w:r w:rsidRPr="00906372">
              <w:t>м во вс</w:t>
            </w:r>
            <w:r>
              <w:t>е</w:t>
            </w:r>
            <w:r w:rsidRPr="00906372">
              <w:t xml:space="preserve"> большей степени.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В свете вышеизложенного Комитет проинфо</w:t>
            </w:r>
            <w:r w:rsidRPr="00906372">
              <w:t>р</w:t>
            </w:r>
            <w:r w:rsidRPr="00906372">
              <w:t>мировал государство-участник о принятом им решении констатировать в своем докладе Г</w:t>
            </w:r>
            <w:r w:rsidRPr="00906372">
              <w:t>е</w:t>
            </w:r>
            <w:r w:rsidRPr="00906372">
              <w:t>неральной Ассамблее неудовлетворительное, на текущий момент, осуществление его рек</w:t>
            </w:r>
            <w:r w:rsidRPr="00906372">
              <w:t>о</w:t>
            </w:r>
            <w:r w:rsidRPr="00906372">
              <w:t>мендаций и вновь рассмотреть вопрос о п</w:t>
            </w:r>
            <w:r w:rsidRPr="00906372">
              <w:t>о</w:t>
            </w:r>
            <w:r w:rsidRPr="00906372">
              <w:t xml:space="preserve">следующих мерах в связи с упомянутыми </w:t>
            </w:r>
            <w:r w:rsidR="00324E70" w:rsidRPr="00906372">
              <w:t>С</w:t>
            </w:r>
            <w:r w:rsidR="00324E70" w:rsidRPr="00906372">
              <w:t>о</w:t>
            </w:r>
            <w:r w:rsidR="00324E70" w:rsidRPr="00906372">
              <w:t xml:space="preserve">ображениями </w:t>
            </w:r>
            <w:r w:rsidRPr="00906372">
              <w:t>на своей следующей сессии.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>
            <w:r w:rsidRPr="00906372">
              <w:t>Дополнительные комментарии, представленные авторами: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13 июня 2017 года:</w:t>
            </w:r>
          </w:p>
          <w:p w:rsidR="00F04EE3" w:rsidRPr="00906372" w:rsidRDefault="00F04EE3" w:rsidP="00906372">
            <w:r w:rsidRPr="00906372">
              <w:t xml:space="preserve">Авторы запросили информацию о положении дел с осуществлением последующих мер. Они сообщили, что </w:t>
            </w:r>
            <w:r w:rsidR="00324E70" w:rsidRPr="00906372">
              <w:t xml:space="preserve">Соображения </w:t>
            </w:r>
            <w:r w:rsidRPr="00906372">
              <w:t>Комитета до сих пор не выполнены.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Они сообщили, что после того, как Комитет принял решение, они встретились с предст</w:t>
            </w:r>
            <w:r w:rsidRPr="00906372">
              <w:t>а</w:t>
            </w:r>
            <w:r w:rsidRPr="00906372">
              <w:t>вителями Министерства по правам человека в Буэнос-Айресе (дата не указывается). В ходе встречи власти обязались ускорить процесс выполнения этого решения. В частности, они обязались принять меры в целях достижения прогресса в расследовании и обеспечения п</w:t>
            </w:r>
            <w:r w:rsidRPr="00906372">
              <w:t>е</w:t>
            </w:r>
            <w:r w:rsidRPr="00906372">
              <w:t>редачи дела в федеральный суд, в компете</w:t>
            </w:r>
            <w:r w:rsidRPr="00906372">
              <w:t>н</w:t>
            </w:r>
            <w:r w:rsidRPr="00906372">
              <w:t>цию которого входят вопросы, касающиеся насильственных исчезновений. Они также обязались принять меры с целью предоставл</w:t>
            </w:r>
            <w:r w:rsidRPr="00906372">
              <w:t>е</w:t>
            </w:r>
            <w:r w:rsidRPr="00906372">
              <w:t>ния жертвам возмещения. Однако никаких таких мер принято не было.</w:t>
            </w:r>
          </w:p>
        </w:tc>
      </w:tr>
      <w:tr w:rsidR="00F04EE3" w:rsidRPr="00906372" w:rsidTr="00567BB2">
        <w:tc>
          <w:tcPr>
            <w:tcW w:w="2977" w:type="dxa"/>
            <w:tcBorders>
              <w:bottom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Авторы также сообщили, что поддерживают постоянные контакты с департаментом по ра</w:t>
            </w:r>
            <w:r w:rsidRPr="00906372">
              <w:t>з</w:t>
            </w:r>
            <w:r w:rsidRPr="00906372">
              <w:t>решению международных споров Министе</w:t>
            </w:r>
            <w:r w:rsidRPr="00906372">
              <w:t>р</w:t>
            </w:r>
            <w:r w:rsidRPr="00906372">
              <w:t>ства по правам человека, однако нежелание властей провинции принимать какие-либо меры препятствует достижению прогресса.</w:t>
            </w:r>
          </w:p>
        </w:tc>
      </w:tr>
      <w:tr w:rsidR="00F04EE3" w:rsidRPr="00906372" w:rsidTr="00567BB2">
        <w:tc>
          <w:tcPr>
            <w:tcW w:w="2977" w:type="dxa"/>
            <w:tcBorders>
              <w:top w:val="nil"/>
              <w:bottom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</w:tcBorders>
          </w:tcPr>
          <w:p w:rsidR="00F04EE3" w:rsidRPr="00906372" w:rsidRDefault="00F04EE3" w:rsidP="00906372">
            <w:r w:rsidRPr="00906372">
              <w:t>17 июля 2017 года:</w:t>
            </w:r>
          </w:p>
          <w:p w:rsidR="00F04EE3" w:rsidRPr="00906372" w:rsidRDefault="00F04EE3" w:rsidP="00906372">
            <w:proofErr w:type="gramStart"/>
            <w:r w:rsidRPr="00906372">
              <w:t>Авторы сообщили, что они не получили ник</w:t>
            </w:r>
            <w:r w:rsidRPr="00906372">
              <w:t>а</w:t>
            </w:r>
            <w:r w:rsidRPr="00906372">
              <w:t>кого ответа от государства-участника, при том что оно до сих пор не опубликовало решение, не провело добросовестного и надлежащего расследования имевших место событий и не выполнило рекомендацию Комитета предост</w:t>
            </w:r>
            <w:r w:rsidRPr="00906372">
              <w:t>а</w:t>
            </w:r>
            <w:r w:rsidRPr="00906372">
              <w:t>вить авторам быстрое, справедливое и аде</w:t>
            </w:r>
            <w:r w:rsidRPr="00906372">
              <w:t>к</w:t>
            </w:r>
            <w:r w:rsidRPr="00906372">
              <w:t>ватное возмещение нанесенного ущерба и компенсацию, как это предусмотрено в пун</w:t>
            </w:r>
            <w:r w:rsidRPr="00906372">
              <w:t>к</w:t>
            </w:r>
            <w:r w:rsidRPr="00906372">
              <w:t>тах 4 и 5 статьи 24 Конвенции.</w:t>
            </w:r>
            <w:proofErr w:type="gramEnd"/>
          </w:p>
        </w:tc>
      </w:tr>
      <w:tr w:rsidR="00F04EE3" w:rsidRPr="00906372" w:rsidTr="00567BB2">
        <w:tc>
          <w:tcPr>
            <w:tcW w:w="2977" w:type="dxa"/>
            <w:tcBorders>
              <w:top w:val="nil"/>
            </w:tcBorders>
          </w:tcPr>
          <w:p w:rsidR="00F04EE3" w:rsidRPr="00906372" w:rsidRDefault="00F04EE3" w:rsidP="000A13A1">
            <w:pPr>
              <w:pageBreakBefore/>
            </w:pPr>
            <w:r w:rsidRPr="00906372">
              <w:lastRenderedPageBreak/>
              <w:t>Ответ государства-участника: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</w:tcBorders>
          </w:tcPr>
          <w:p w:rsidR="00F04EE3" w:rsidRPr="00906372" w:rsidRDefault="00F04EE3" w:rsidP="000A13A1">
            <w:pPr>
              <w:pageBreakBefore/>
            </w:pPr>
            <w:r w:rsidRPr="00906372">
              <w:t>8 сентября 2017 года:</w:t>
            </w:r>
          </w:p>
          <w:p w:rsidR="00F04EE3" w:rsidRPr="00906372" w:rsidRDefault="00F04EE3" w:rsidP="004C4058">
            <w:pPr>
              <w:pageBreakBefore/>
            </w:pPr>
            <w:r w:rsidRPr="00906372">
              <w:t xml:space="preserve">Государство-участник представило замечания в отношении мер, принятых в связи с </w:t>
            </w:r>
            <w:r w:rsidR="00EC04DB">
              <w:t>каждой из рекомендаций Комитета</w:t>
            </w:r>
            <w:r w:rsidR="004C4058">
              <w:t>.</w:t>
            </w:r>
          </w:p>
          <w:p w:rsidR="00F04EE3" w:rsidRPr="00906372" w:rsidRDefault="00F04EE3" w:rsidP="000A13A1">
            <w:pPr>
              <w:pageBreakBefore/>
              <w:tabs>
                <w:tab w:val="left" w:pos="229"/>
              </w:tabs>
            </w:pPr>
            <w:r w:rsidRPr="00906372">
              <w:tab/>
              <w:t>a)</w:t>
            </w:r>
            <w:r w:rsidRPr="00906372">
              <w:tab/>
            </w:r>
            <w:r w:rsidR="004C4058" w:rsidRPr="00906372">
              <w:t xml:space="preserve">Признать </w:t>
            </w:r>
            <w:r w:rsidRPr="00906372">
              <w:t xml:space="preserve">авторов сообщения жертвами, с </w:t>
            </w:r>
            <w:proofErr w:type="gramStart"/>
            <w:r w:rsidRPr="00906372">
              <w:t>тем</w:t>
            </w:r>
            <w:proofErr w:type="gramEnd"/>
            <w:r w:rsidRPr="00906372">
              <w:t xml:space="preserve"> чтобы они могли принимать эффекти</w:t>
            </w:r>
            <w:r w:rsidRPr="00906372">
              <w:t>в</w:t>
            </w:r>
            <w:r w:rsidRPr="00906372">
              <w:t>ное участие в расследовании обсто</w:t>
            </w:r>
            <w:r w:rsidRPr="00906372">
              <w:t>я</w:t>
            </w:r>
            <w:r w:rsidRPr="00906372">
              <w:t>тельств смерти и насильственного исчезнов</w:t>
            </w:r>
            <w:r w:rsidRPr="00906372">
              <w:t>е</w:t>
            </w:r>
            <w:r w:rsidRPr="00906372">
              <w:t>ния их брата: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EC04DB" w:rsidP="00906372">
            <w:proofErr w:type="gramStart"/>
            <w:r w:rsidRPr="00906372">
              <w:t>Государство</w:t>
            </w:r>
            <w:r w:rsidR="00F04EE3" w:rsidRPr="00906372">
              <w:t xml:space="preserve">-участник отметило, что сестры </w:t>
            </w:r>
            <w:proofErr w:type="spellStart"/>
            <w:r w:rsidR="00F04EE3" w:rsidRPr="00906372">
              <w:t>Ируста</w:t>
            </w:r>
            <w:proofErr w:type="spellEnd"/>
            <w:r w:rsidR="00F04EE3" w:rsidRPr="00906372">
              <w:t xml:space="preserve"> не</w:t>
            </w:r>
            <w:r w:rsidR="000A13A1">
              <w:t xml:space="preserve"> </w:t>
            </w:r>
            <w:r w:rsidR="00F04EE3" w:rsidRPr="00906372">
              <w:t>обладают процессуальной прав</w:t>
            </w:r>
            <w:r w:rsidR="00F04EE3" w:rsidRPr="00906372">
              <w:t>о</w:t>
            </w:r>
            <w:r w:rsidR="00F04EE3" w:rsidRPr="00906372">
              <w:t>способностью для того, чтобы выступать в качестве истцов в уголовном процессе, в ра</w:t>
            </w:r>
            <w:r w:rsidR="00F04EE3" w:rsidRPr="00906372">
              <w:t>м</w:t>
            </w:r>
            <w:r w:rsidR="00F04EE3" w:rsidRPr="00906372">
              <w:t xml:space="preserve">ках которого расследуются причины смерти Роберто </w:t>
            </w:r>
            <w:proofErr w:type="spellStart"/>
            <w:r w:rsidR="00F04EE3" w:rsidRPr="00906372">
              <w:t>Агустина</w:t>
            </w:r>
            <w:proofErr w:type="spellEnd"/>
            <w:r w:rsidR="00F04EE3" w:rsidRPr="00906372">
              <w:t xml:space="preserve"> </w:t>
            </w:r>
            <w:proofErr w:type="spellStart"/>
            <w:r w:rsidR="00F04EE3" w:rsidRPr="00906372">
              <w:t>Ирусты</w:t>
            </w:r>
            <w:proofErr w:type="spellEnd"/>
            <w:r w:rsidR="00F04EE3" w:rsidRPr="00906372">
              <w:t>,</w:t>
            </w:r>
            <w:r w:rsidR="004C4058">
              <w:t xml:space="preserve"> поскольку</w:t>
            </w:r>
            <w:r w:rsidR="00F04EE3" w:rsidRPr="00906372">
              <w:t xml:space="preserve"> в соо</w:t>
            </w:r>
            <w:r w:rsidR="00F04EE3" w:rsidRPr="00906372">
              <w:t>т</w:t>
            </w:r>
            <w:r w:rsidR="00F04EE3" w:rsidRPr="00906372">
              <w:t>ветствии со статьей 93 Уголовно-</w:t>
            </w:r>
            <w:proofErr w:type="spellStart"/>
            <w:r w:rsidR="00F04EE3" w:rsidRPr="00906372">
              <w:t>процессуаль</w:t>
            </w:r>
            <w:proofErr w:type="spellEnd"/>
            <w:r w:rsidR="000A13A1">
              <w:t>-</w:t>
            </w:r>
            <w:proofErr w:type="spellStart"/>
            <w:r w:rsidR="004C4058">
              <w:t>ного</w:t>
            </w:r>
            <w:proofErr w:type="spellEnd"/>
            <w:r w:rsidR="004C4058">
              <w:t xml:space="preserve"> кодекса провинции Санта-Фе</w:t>
            </w:r>
            <w:r w:rsidR="00F04EE3" w:rsidRPr="00906372">
              <w:t xml:space="preserve"> участв</w:t>
            </w:r>
            <w:r w:rsidR="00F04EE3" w:rsidRPr="00906372">
              <w:t>о</w:t>
            </w:r>
            <w:r w:rsidR="00F04EE3" w:rsidRPr="00906372">
              <w:t>вать в процессе в качестве истца может лишь тот, кто заявляет, что стал жертвой</w:t>
            </w:r>
            <w:r w:rsidR="000A13A1">
              <w:t xml:space="preserve"> </w:t>
            </w:r>
            <w:r w:rsidR="00F04EE3" w:rsidRPr="00906372">
              <w:t>преступн</w:t>
            </w:r>
            <w:r w:rsidR="00F04EE3" w:rsidRPr="00906372">
              <w:t>о</w:t>
            </w:r>
            <w:r w:rsidR="00F04EE3" w:rsidRPr="00906372">
              <w:t>го деяния, влекущего за собой преследование со стороны</w:t>
            </w:r>
            <w:proofErr w:type="gramEnd"/>
            <w:r w:rsidR="00F04EE3" w:rsidRPr="00906372">
              <w:t xml:space="preserve"> государства, или его обязательные наследники. Поэтому 24 июня 2015 года Пал</w:t>
            </w:r>
            <w:r w:rsidR="00F04EE3" w:rsidRPr="00906372">
              <w:t>а</w:t>
            </w:r>
            <w:r w:rsidR="00F04EE3" w:rsidRPr="00906372">
              <w:t>та по уголовным делам Апелляционного суда первого судебного окр</w:t>
            </w:r>
            <w:r w:rsidR="00F04EE3" w:rsidRPr="00906372">
              <w:t>у</w:t>
            </w:r>
            <w:r w:rsidR="00F04EE3" w:rsidRPr="00906372">
              <w:t xml:space="preserve">га Санта-Фе отклонила апелляцию со ссылкой на </w:t>
            </w:r>
            <w:proofErr w:type="spellStart"/>
            <w:r w:rsidR="00F04EE3" w:rsidRPr="00906372">
              <w:t>неконституцио</w:t>
            </w:r>
            <w:r w:rsidR="00F04EE3" w:rsidRPr="00906372">
              <w:t>н</w:t>
            </w:r>
            <w:r w:rsidR="00F04EE3" w:rsidRPr="00906372">
              <w:t>ность</w:t>
            </w:r>
            <w:proofErr w:type="spellEnd"/>
            <w:r w:rsidR="00F04EE3" w:rsidRPr="00906372">
              <w:t xml:space="preserve"> и оставила в силе решение следственн</w:t>
            </w:r>
            <w:r w:rsidR="00F04EE3" w:rsidRPr="00906372">
              <w:t>о</w:t>
            </w:r>
            <w:r w:rsidR="00F04EE3" w:rsidRPr="00906372">
              <w:t xml:space="preserve">го судьи, в котором тот не разрешил сестрам </w:t>
            </w:r>
            <w:proofErr w:type="spellStart"/>
            <w:r w:rsidR="00F04EE3" w:rsidRPr="00906372">
              <w:t>Ируста</w:t>
            </w:r>
            <w:proofErr w:type="spellEnd"/>
            <w:r w:rsidR="00F04EE3" w:rsidRPr="00906372">
              <w:t xml:space="preserve"> выступать в кач</w:t>
            </w:r>
            <w:r w:rsidR="00F04EE3" w:rsidRPr="00906372">
              <w:t>е</w:t>
            </w:r>
            <w:r w:rsidR="00F04EE3" w:rsidRPr="00906372">
              <w:t>стве истцов.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proofErr w:type="gramStart"/>
            <w:r w:rsidRPr="00906372">
              <w:t>Коме</w:t>
            </w:r>
            <w:proofErr w:type="gramEnd"/>
            <w:r w:rsidRPr="00906372">
              <w:t xml:space="preserve"> того, было заявлено, что авторы не обл</w:t>
            </w:r>
            <w:r w:rsidRPr="00906372">
              <w:t>а</w:t>
            </w:r>
            <w:r w:rsidRPr="00906372">
              <w:t>дают процессуальной правоспособностью для того, чтобы выступать в качестве истцов и в федеральном суде.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0A13A1" w:rsidP="00906372">
            <w:r>
              <w:t>Однако</w:t>
            </w:r>
            <w:r w:rsidR="00F04EE3" w:rsidRPr="00906372">
              <w:t xml:space="preserve"> в своем качестве жертв авторы могут участвовать в разбирательствах при соблюд</w:t>
            </w:r>
            <w:r w:rsidR="00F04EE3" w:rsidRPr="00906372">
              <w:t>е</w:t>
            </w:r>
            <w:r w:rsidR="00F04EE3" w:rsidRPr="00906372">
              <w:t>нии условий, оговоренных в статье 80 Уголо</w:t>
            </w:r>
            <w:r w:rsidR="00F04EE3" w:rsidRPr="00906372">
              <w:t>в</w:t>
            </w:r>
            <w:r w:rsidR="00F04EE3" w:rsidRPr="00906372">
              <w:t>но-процессуального кодекса провинции Санта-Фе. Они и делают это через своего представ</w:t>
            </w:r>
            <w:r w:rsidR="00F04EE3" w:rsidRPr="00906372">
              <w:t>и</w:t>
            </w:r>
            <w:r w:rsidR="00F04EE3" w:rsidRPr="00906372">
              <w:t>теля, поскольку некоторые меры по сбору д</w:t>
            </w:r>
            <w:r w:rsidR="00F04EE3" w:rsidRPr="00906372">
              <w:t>о</w:t>
            </w:r>
            <w:r w:rsidR="00F04EE3" w:rsidRPr="00906372">
              <w:t>казательств были осуществлены по просьбе адвоката авторов</w:t>
            </w:r>
            <w:r w:rsidR="004C4058">
              <w:t>.</w:t>
            </w:r>
          </w:p>
        </w:tc>
      </w:tr>
      <w:tr w:rsidR="00F04EE3" w:rsidRPr="00906372" w:rsidTr="000A13A1">
        <w:tc>
          <w:tcPr>
            <w:tcW w:w="2977" w:type="dxa"/>
            <w:tcBorders>
              <w:bottom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0A13A1">
            <w:pPr>
              <w:pageBreakBefore/>
              <w:tabs>
                <w:tab w:val="left" w:pos="229"/>
              </w:tabs>
            </w:pPr>
            <w:r w:rsidRPr="00906372">
              <w:tab/>
              <w:t>b)</w:t>
            </w:r>
            <w:r w:rsidRPr="00906372">
              <w:tab/>
            </w:r>
            <w:r w:rsidR="004C4058" w:rsidRPr="00906372">
              <w:t>Обеспечить</w:t>
            </w:r>
            <w:r w:rsidRPr="00906372">
              <w:t xml:space="preserve">, чтобы расследование по делу г-на </w:t>
            </w:r>
            <w:proofErr w:type="spellStart"/>
            <w:r w:rsidRPr="00906372">
              <w:t>Ируста</w:t>
            </w:r>
            <w:proofErr w:type="spellEnd"/>
            <w:r w:rsidRPr="00906372">
              <w:t xml:space="preserve"> не ограничивалось причин</w:t>
            </w:r>
            <w:r w:rsidRPr="00906372">
              <w:t>а</w:t>
            </w:r>
            <w:r w:rsidRPr="00906372">
              <w:t>ми его смерти, но и предусматривало провед</w:t>
            </w:r>
            <w:r w:rsidRPr="00906372">
              <w:t>е</w:t>
            </w:r>
            <w:r w:rsidRPr="00906372">
              <w:t>ние тщательного и беспристрастного рассл</w:t>
            </w:r>
            <w:r w:rsidRPr="00906372">
              <w:t>е</w:t>
            </w:r>
            <w:r w:rsidRPr="00906372">
              <w:t>дования его исчезновения во время перев</w:t>
            </w:r>
            <w:r w:rsidRPr="00906372">
              <w:t>о</w:t>
            </w:r>
            <w:r w:rsidRPr="00906372">
              <w:t>да из Кордовы в Санта-Фе:</w:t>
            </w:r>
          </w:p>
        </w:tc>
      </w:tr>
      <w:tr w:rsidR="00F04EE3" w:rsidRPr="00906372" w:rsidTr="000A13A1">
        <w:tc>
          <w:tcPr>
            <w:tcW w:w="2977" w:type="dxa"/>
            <w:tcBorders>
              <w:top w:val="nil"/>
              <w:bottom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</w:tcBorders>
          </w:tcPr>
          <w:p w:rsidR="00F04EE3" w:rsidRPr="00906372" w:rsidRDefault="004C4058" w:rsidP="000A13A1">
            <w:r w:rsidRPr="00906372">
              <w:t>Государство</w:t>
            </w:r>
            <w:r w:rsidR="00F04EE3" w:rsidRPr="00906372">
              <w:t xml:space="preserve">-участник сообщило, что в связи с делом г-на </w:t>
            </w:r>
            <w:proofErr w:type="spellStart"/>
            <w:r w:rsidR="00F04EE3" w:rsidRPr="00906372">
              <w:t>Ирусты</w:t>
            </w:r>
            <w:proofErr w:type="spellEnd"/>
            <w:r w:rsidR="00F04EE3" w:rsidRPr="00906372">
              <w:t xml:space="preserve"> ведется два рассл</w:t>
            </w:r>
            <w:r w:rsidR="00F04EE3" w:rsidRPr="00906372">
              <w:t>е</w:t>
            </w:r>
            <w:r w:rsidR="00F04EE3" w:rsidRPr="00906372">
              <w:t>дования: расследование его смерти, за которое отвечает суд общей юрисдикции провинции Санта-Фе, и расследование его насильственного исчезн</w:t>
            </w:r>
            <w:r w:rsidR="00F04EE3" w:rsidRPr="00906372">
              <w:t>о</w:t>
            </w:r>
            <w:r w:rsidR="00F04EE3" w:rsidRPr="00906372">
              <w:t>вения, проводимое федеральными судебными органами после передачи им этого дела по распоряжению Верховного суда Санта-Фе 18</w:t>
            </w:r>
            <w:r w:rsidR="000A13A1">
              <w:t> </w:t>
            </w:r>
            <w:r w:rsidR="000A13A1" w:rsidRPr="00906372">
              <w:t xml:space="preserve">октября </w:t>
            </w:r>
            <w:r w:rsidR="00F04EE3" w:rsidRPr="00906372">
              <w:t xml:space="preserve">2016 года. Государство-участник </w:t>
            </w:r>
            <w:r w:rsidR="00F04EE3" w:rsidRPr="00906372">
              <w:lastRenderedPageBreak/>
              <w:t>оп</w:t>
            </w:r>
            <w:r w:rsidR="00F04EE3" w:rsidRPr="00906372">
              <w:t>и</w:t>
            </w:r>
            <w:r w:rsidR="00F04EE3" w:rsidRPr="00906372">
              <w:t>сало следственные меры, которые были приняты в ходе этого процесса, и указало, что, согласно Верховному суду Санта-Фе, престу</w:t>
            </w:r>
            <w:r w:rsidR="00F04EE3" w:rsidRPr="00906372">
              <w:t>п</w:t>
            </w:r>
            <w:r w:rsidR="00F04EE3" w:rsidRPr="00906372">
              <w:t xml:space="preserve">ление насильственного исчезновения было прекращено до момента смерти г-на </w:t>
            </w:r>
            <w:proofErr w:type="spellStart"/>
            <w:r w:rsidR="00F04EE3" w:rsidRPr="00906372">
              <w:t>Ирусты</w:t>
            </w:r>
            <w:proofErr w:type="spellEnd"/>
            <w:r w:rsidR="00F04EE3" w:rsidRPr="00906372">
              <w:t>, поскольку он уже возобновил контакты с чл</w:t>
            </w:r>
            <w:r w:rsidR="00F04EE3" w:rsidRPr="00906372">
              <w:t>е</w:t>
            </w:r>
            <w:r w:rsidR="00F04EE3" w:rsidRPr="00906372">
              <w:t>нами своей семьи, которым было и</w:t>
            </w:r>
            <w:r w:rsidR="00F04EE3" w:rsidRPr="00906372">
              <w:t>з</w:t>
            </w:r>
            <w:r w:rsidR="00F04EE3" w:rsidRPr="00906372">
              <w:t xml:space="preserve">вестно его местонахождение. Федеральный суд обратился </w:t>
            </w:r>
            <w:proofErr w:type="gramStart"/>
            <w:r w:rsidR="00F04EE3" w:rsidRPr="00906372">
              <w:t>с просьбой о сотрудничестве в Управление Генеральной прокуратуры по делам об инст</w:t>
            </w:r>
            <w:r w:rsidR="00F04EE3" w:rsidRPr="00906372">
              <w:t>и</w:t>
            </w:r>
            <w:r w:rsidR="00F04EE3" w:rsidRPr="00906372">
              <w:t>туциональном насилии</w:t>
            </w:r>
            <w:proofErr w:type="gramEnd"/>
            <w:r w:rsidR="00F04EE3" w:rsidRPr="00906372">
              <w:t>, в компетенцию кот</w:t>
            </w:r>
            <w:r w:rsidR="00F04EE3" w:rsidRPr="00906372">
              <w:t>о</w:t>
            </w:r>
            <w:r w:rsidR="00F04EE3" w:rsidRPr="00906372">
              <w:t xml:space="preserve">рого входит </w:t>
            </w:r>
            <w:r w:rsidR="00906372">
              <w:t>«</w:t>
            </w:r>
            <w:r w:rsidR="00F04EE3" w:rsidRPr="00906372">
              <w:t>возбуждение уголо</w:t>
            </w:r>
            <w:r w:rsidR="00F04EE3" w:rsidRPr="00906372">
              <w:t>в</w:t>
            </w:r>
            <w:r w:rsidR="00F04EE3" w:rsidRPr="00906372">
              <w:t>ных дел, осуществление надзора за расслед</w:t>
            </w:r>
            <w:r w:rsidR="00F04EE3" w:rsidRPr="00906372">
              <w:t>о</w:t>
            </w:r>
            <w:r w:rsidR="00F04EE3" w:rsidRPr="00906372">
              <w:t>ванием правонарушений, связанных с институци</w:t>
            </w:r>
            <w:r w:rsidR="00F04EE3" w:rsidRPr="00906372">
              <w:t>о</w:t>
            </w:r>
            <w:r w:rsidR="00F04EE3" w:rsidRPr="00906372">
              <w:t>нальным насилием, жертвами которого явл</w:t>
            </w:r>
            <w:r w:rsidR="00F04EE3" w:rsidRPr="00906372">
              <w:t>я</w:t>
            </w:r>
            <w:r w:rsidR="00F04EE3" w:rsidRPr="00906372">
              <w:t>ются, главным образом, лица, находящи</w:t>
            </w:r>
            <w:r w:rsidR="00F04EE3" w:rsidRPr="00906372">
              <w:t>е</w:t>
            </w:r>
            <w:r w:rsidR="00F04EE3" w:rsidRPr="00906372">
              <w:t>ся в уязвимом положении, и преследование вино</w:t>
            </w:r>
            <w:r w:rsidR="00F04EE3" w:rsidRPr="00906372">
              <w:t>в</w:t>
            </w:r>
            <w:r w:rsidR="00F04EE3" w:rsidRPr="00906372">
              <w:t>ных в совершении этих правонаруш</w:t>
            </w:r>
            <w:r w:rsidR="00F04EE3" w:rsidRPr="00906372">
              <w:t>е</w:t>
            </w:r>
            <w:r w:rsidR="00F04EE3" w:rsidRPr="00906372">
              <w:t>ний</w:t>
            </w:r>
            <w:r w:rsidR="00906372">
              <w:t>»</w:t>
            </w:r>
            <w:r>
              <w:t>.</w:t>
            </w:r>
          </w:p>
        </w:tc>
      </w:tr>
      <w:tr w:rsidR="00F04EE3" w:rsidRPr="00906372" w:rsidTr="000A13A1">
        <w:tc>
          <w:tcPr>
            <w:tcW w:w="2977" w:type="dxa"/>
            <w:tcBorders>
              <w:top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</w:tcBorders>
          </w:tcPr>
          <w:p w:rsidR="00F04EE3" w:rsidRPr="00906372" w:rsidRDefault="00F04EE3" w:rsidP="000A13A1">
            <w:pPr>
              <w:pageBreakBefore/>
              <w:tabs>
                <w:tab w:val="left" w:pos="229"/>
              </w:tabs>
            </w:pPr>
            <w:r w:rsidRPr="00906372">
              <w:tab/>
              <w:t>c)</w:t>
            </w:r>
            <w:r w:rsidRPr="00906372">
              <w:tab/>
            </w:r>
            <w:r w:rsidR="004C4058" w:rsidRPr="00906372">
              <w:t>Преследовать</w:t>
            </w:r>
            <w:r w:rsidRPr="00906372">
              <w:t>, предать суду и нак</w:t>
            </w:r>
            <w:r w:rsidRPr="00906372">
              <w:t>а</w:t>
            </w:r>
            <w:r w:rsidRPr="00906372">
              <w:t>зать виновных в совершенных нарушениях: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0D6CB7" w:rsidP="00906372">
            <w:r w:rsidRPr="00906372">
              <w:t xml:space="preserve">Соответствующие </w:t>
            </w:r>
            <w:r w:rsidR="00F04EE3" w:rsidRPr="00906372">
              <w:t>уголовные дела находятся в стадии рассмотрения. Кроме того, госуда</w:t>
            </w:r>
            <w:r w:rsidR="00F04EE3" w:rsidRPr="00906372">
              <w:t>р</w:t>
            </w:r>
            <w:r w:rsidR="00F04EE3" w:rsidRPr="00906372">
              <w:t>ство-участ</w:t>
            </w:r>
            <w:r w:rsidR="000A13A1">
              <w:t>ник сообщило, что 18 марта 2014 </w:t>
            </w:r>
            <w:r w:rsidR="00F04EE3" w:rsidRPr="00906372">
              <w:t>года Управление делами Верховного суда Санта-Фе распорядилось о проведении адм</w:t>
            </w:r>
            <w:r w:rsidR="00F04EE3" w:rsidRPr="00906372">
              <w:t>и</w:t>
            </w:r>
            <w:r w:rsidR="00F04EE3" w:rsidRPr="00906372">
              <w:t>нистративного расследования действий перв</w:t>
            </w:r>
            <w:r w:rsidR="00F04EE3" w:rsidRPr="00906372">
              <w:t>о</w:t>
            </w:r>
            <w:r w:rsidR="00F04EE3" w:rsidRPr="00906372">
              <w:t>го судьи и прокурора, осуществлявших ра</w:t>
            </w:r>
            <w:r w:rsidR="00F04EE3" w:rsidRPr="00906372">
              <w:t>с</w:t>
            </w:r>
            <w:r w:rsidR="00F04EE3" w:rsidRPr="00906372">
              <w:t xml:space="preserve">следование обстоятельств смерти г-на </w:t>
            </w:r>
            <w:proofErr w:type="spellStart"/>
            <w:r w:rsidR="00F04EE3" w:rsidRPr="00906372">
              <w:t>Ирусты</w:t>
            </w:r>
            <w:proofErr w:type="spellEnd"/>
            <w:r w:rsidR="00F04EE3" w:rsidRPr="00906372">
              <w:t>. В своем решении от сентября 2016 года Апе</w:t>
            </w:r>
            <w:r w:rsidR="00F04EE3" w:rsidRPr="00906372">
              <w:t>л</w:t>
            </w:r>
            <w:r w:rsidR="00F04EE3" w:rsidRPr="00906372">
              <w:t xml:space="preserve">ляционная палата по уголовным делам Санта-Фе, Палата </w:t>
            </w:r>
            <w:proofErr w:type="spellStart"/>
            <w:r w:rsidR="00F04EE3" w:rsidRPr="00906372">
              <w:t>IV</w:t>
            </w:r>
            <w:proofErr w:type="spellEnd"/>
            <w:r w:rsidR="00F04EE3" w:rsidRPr="00906372">
              <w:t>, заключила, что в ходе расслед</w:t>
            </w:r>
            <w:r w:rsidR="00F04EE3" w:rsidRPr="00906372">
              <w:t>о</w:t>
            </w:r>
            <w:r w:rsidR="00F04EE3" w:rsidRPr="00906372">
              <w:t xml:space="preserve">вания со </w:t>
            </w:r>
            <w:proofErr w:type="gramStart"/>
            <w:r w:rsidR="00F04EE3" w:rsidRPr="00906372">
              <w:t>стороны</w:t>
            </w:r>
            <w:proofErr w:type="gramEnd"/>
            <w:r w:rsidR="00F04EE3" w:rsidRPr="00906372">
              <w:t xml:space="preserve"> как судьи, так и прокурора были допущены нарушения. 16 </w:t>
            </w:r>
            <w:r w:rsidR="000A13A1" w:rsidRPr="00906372">
              <w:t xml:space="preserve">мая </w:t>
            </w:r>
            <w:r w:rsidR="00F04EE3" w:rsidRPr="00906372">
              <w:t>2017 года этим судье и прокурору было предложено опровергнуть, если они сочтут это необход</w:t>
            </w:r>
            <w:r w:rsidR="00F04EE3" w:rsidRPr="00906372">
              <w:t>и</w:t>
            </w:r>
            <w:r w:rsidR="00F04EE3" w:rsidRPr="00906372">
              <w:t>мым, те ошибки, которые вменяются им в в</w:t>
            </w:r>
            <w:r w:rsidR="00F04EE3" w:rsidRPr="00906372">
              <w:t>и</w:t>
            </w:r>
            <w:r w:rsidR="00F04EE3" w:rsidRPr="00906372">
              <w:t>ну. Соответствующее административное ра</w:t>
            </w:r>
            <w:r w:rsidR="00F04EE3" w:rsidRPr="00906372">
              <w:t>с</w:t>
            </w:r>
            <w:r>
              <w:t>следование еще не закончено.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0A13A1">
            <w:pPr>
              <w:pageBreakBefore/>
              <w:tabs>
                <w:tab w:val="left" w:pos="229"/>
              </w:tabs>
            </w:pPr>
            <w:r w:rsidRPr="00906372">
              <w:tab/>
              <w:t>d)</w:t>
            </w:r>
            <w:r w:rsidRPr="00906372">
              <w:tab/>
            </w:r>
            <w:r w:rsidR="000D6CB7" w:rsidRPr="00906372">
              <w:t xml:space="preserve">Предоставить </w:t>
            </w:r>
            <w:r w:rsidRPr="00906372">
              <w:t>авторам сообщения, в соответствии с пунктами 4 и 5 статьи 24 Ко</w:t>
            </w:r>
            <w:r w:rsidRPr="00906372">
              <w:t>н</w:t>
            </w:r>
            <w:r w:rsidRPr="00906372">
              <w:t>венции, быстрое, справедливое и адекватное возмещение нанесенного ущерба и компенс</w:t>
            </w:r>
            <w:r w:rsidRPr="00906372">
              <w:t>а</w:t>
            </w:r>
            <w:r w:rsidRPr="00906372">
              <w:t>цию:</w:t>
            </w:r>
          </w:p>
        </w:tc>
      </w:tr>
      <w:tr w:rsidR="00F04EE3" w:rsidRPr="00906372" w:rsidTr="008F10A4">
        <w:tc>
          <w:tcPr>
            <w:tcW w:w="2977" w:type="dxa"/>
            <w:tcBorders>
              <w:bottom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0D6CB7" w:rsidP="00906372">
            <w:r w:rsidRPr="00906372">
              <w:t xml:space="preserve">С </w:t>
            </w:r>
            <w:r w:rsidR="00F04EE3" w:rsidRPr="00906372">
              <w:t>авторами был начат диалог с целью соглас</w:t>
            </w:r>
            <w:r w:rsidR="00F04EE3" w:rsidRPr="00906372">
              <w:t>о</w:t>
            </w:r>
            <w:r w:rsidR="00F04EE3" w:rsidRPr="00906372">
              <w:t>вания условий предос</w:t>
            </w:r>
            <w:r>
              <w:t>тавления надлежащего возмещения.</w:t>
            </w:r>
          </w:p>
        </w:tc>
      </w:tr>
      <w:tr w:rsidR="00F04EE3" w:rsidRPr="00906372" w:rsidTr="008F10A4">
        <w:tc>
          <w:tcPr>
            <w:tcW w:w="2977" w:type="dxa"/>
            <w:tcBorders>
              <w:top w:val="nil"/>
              <w:bottom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</w:tcBorders>
          </w:tcPr>
          <w:p w:rsidR="00F04EE3" w:rsidRPr="00906372" w:rsidRDefault="00F04EE3" w:rsidP="008F10A4">
            <w:pPr>
              <w:pageBreakBefore/>
              <w:tabs>
                <w:tab w:val="left" w:pos="229"/>
              </w:tabs>
            </w:pPr>
            <w:r w:rsidRPr="00906372">
              <w:tab/>
              <w:t>e)</w:t>
            </w:r>
            <w:r w:rsidRPr="00906372">
              <w:tab/>
            </w:r>
            <w:r w:rsidR="000D6CB7" w:rsidRPr="00906372">
              <w:t xml:space="preserve">Принять </w:t>
            </w:r>
            <w:r w:rsidRPr="00906372">
              <w:t xml:space="preserve">все необходимые меры для обеспечения гарантий </w:t>
            </w:r>
            <w:proofErr w:type="spellStart"/>
            <w:r w:rsidRPr="00906372">
              <w:t>неповторения</w:t>
            </w:r>
            <w:proofErr w:type="spellEnd"/>
            <w:r w:rsidRPr="00906372">
              <w:t>, пред</w:t>
            </w:r>
            <w:r w:rsidRPr="00906372">
              <w:t>у</w:t>
            </w:r>
            <w:r w:rsidRPr="00906372">
              <w:t>смотренных в подпункте d) пункта 5 статьи 24 Конвенции, включая создание и ведение рег</w:t>
            </w:r>
            <w:r w:rsidRPr="00906372">
              <w:t>и</w:t>
            </w:r>
            <w:r w:rsidRPr="00906372">
              <w:t>стров, отвечающих требованиям Конвенции, а</w:t>
            </w:r>
            <w:r w:rsidR="008F10A4">
              <w:t> </w:t>
            </w:r>
            <w:r w:rsidRPr="00906372">
              <w:t>также предоставление доступа к информации любому лицу, которое имеет к ней законный интерес, как это предусмотрено статьями 17 и</w:t>
            </w:r>
            <w:r w:rsidR="008F10A4">
              <w:t> </w:t>
            </w:r>
            <w:r w:rsidRPr="00906372">
              <w:t>18 Конвенции:</w:t>
            </w:r>
          </w:p>
        </w:tc>
      </w:tr>
      <w:tr w:rsidR="00F04EE3" w:rsidRPr="00906372" w:rsidTr="008F10A4">
        <w:tc>
          <w:tcPr>
            <w:tcW w:w="2977" w:type="dxa"/>
            <w:tcBorders>
              <w:top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</w:tcBorders>
          </w:tcPr>
          <w:p w:rsidR="00F04EE3" w:rsidRPr="00906372" w:rsidRDefault="00F04EE3" w:rsidP="00906372">
            <w:r w:rsidRPr="00906372">
              <w:t>государство-участник сообщило, что на фед</w:t>
            </w:r>
            <w:r w:rsidRPr="00906372">
              <w:t>е</w:t>
            </w:r>
            <w:r w:rsidRPr="00906372">
              <w:t>ральном уровне существуют два регистра а</w:t>
            </w:r>
            <w:r w:rsidRPr="00906372">
              <w:t>к</w:t>
            </w:r>
            <w:r w:rsidRPr="00906372">
              <w:t>тов институционального насилия: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3140F9">
            <w:pPr>
              <w:tabs>
                <w:tab w:val="left" w:pos="329"/>
              </w:tabs>
              <w:ind w:left="329" w:hanging="329"/>
            </w:pPr>
            <w:r w:rsidRPr="00906372">
              <w:t>•</w:t>
            </w:r>
            <w:r w:rsidRPr="00906372">
              <w:tab/>
              <w:t>группа по регистрации и систематиз</w:t>
            </w:r>
            <w:r w:rsidRPr="00906372">
              <w:t>а</w:t>
            </w:r>
            <w:r w:rsidRPr="00906372">
              <w:t>ции информации об актах пыток и других фо</w:t>
            </w:r>
            <w:r w:rsidRPr="00906372">
              <w:t>р</w:t>
            </w:r>
            <w:r w:rsidRPr="00906372">
              <w:t>мах институционального насилия и посл</w:t>
            </w:r>
            <w:r w:rsidRPr="00906372">
              <w:t>е</w:t>
            </w:r>
            <w:r w:rsidRPr="00906372">
              <w:t>дующим мерам, действующая под эгидой исполнительной власти страны и подо</w:t>
            </w:r>
            <w:r w:rsidRPr="00906372">
              <w:t>т</w:t>
            </w:r>
            <w:r w:rsidRPr="00906372">
              <w:t>четная Национальному управлению по борьбе с институци</w:t>
            </w:r>
            <w:r w:rsidRPr="00906372">
              <w:t>о</w:t>
            </w:r>
            <w:r w:rsidRPr="00906372">
              <w:t>нальным насилием;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3140F9">
            <w:pPr>
              <w:tabs>
                <w:tab w:val="left" w:pos="329"/>
              </w:tabs>
              <w:ind w:left="329" w:hanging="329"/>
            </w:pPr>
            <w:r w:rsidRPr="00906372">
              <w:t>•</w:t>
            </w:r>
            <w:r w:rsidRPr="00906372">
              <w:tab/>
              <w:t>регистр Программы по борьбе с инстит</w:t>
            </w:r>
            <w:r w:rsidRPr="00906372">
              <w:t>у</w:t>
            </w:r>
            <w:r w:rsidRPr="00906372">
              <w:t>циональным насилием Управления Ген</w:t>
            </w:r>
            <w:r w:rsidRPr="00906372">
              <w:t>е</w:t>
            </w:r>
            <w:r w:rsidRPr="00906372">
              <w:t>рального защитника, независимый орган, обладающий функциональной самосто</w:t>
            </w:r>
            <w:r w:rsidRPr="00906372">
              <w:t>я</w:t>
            </w:r>
            <w:r w:rsidRPr="00906372">
              <w:t>тельн</w:t>
            </w:r>
            <w:r w:rsidRPr="00906372">
              <w:t>о</w:t>
            </w:r>
            <w:r w:rsidRPr="00906372">
              <w:t>стью</w:t>
            </w:r>
            <w:r w:rsidR="000D6CB7">
              <w:t>.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8F10A4">
            <w:pPr>
              <w:pageBreakBefore/>
              <w:tabs>
                <w:tab w:val="left" w:pos="229"/>
              </w:tabs>
            </w:pPr>
            <w:r w:rsidRPr="00906372">
              <w:tab/>
              <w:t>f)</w:t>
            </w:r>
            <w:r w:rsidRPr="00906372">
              <w:tab/>
            </w:r>
            <w:r w:rsidR="000D6CB7" w:rsidRPr="00906372">
              <w:t xml:space="preserve">Опубликовать </w:t>
            </w:r>
            <w:r w:rsidRPr="00906372">
              <w:t>и широко распр</w:t>
            </w:r>
            <w:r w:rsidRPr="00906372">
              <w:t>о</w:t>
            </w:r>
            <w:r w:rsidRPr="00906372">
              <w:t xml:space="preserve">странить настоящие </w:t>
            </w:r>
            <w:r w:rsidR="000D6CB7" w:rsidRPr="00906372">
              <w:t>Соображения</w:t>
            </w:r>
            <w:r w:rsidRPr="00906372">
              <w:t>, в частности, но не исключительно, среди сотрудников сил бе</w:t>
            </w:r>
            <w:r w:rsidRPr="00906372">
              <w:t>з</w:t>
            </w:r>
            <w:r w:rsidRPr="00906372">
              <w:t>опасности</w:t>
            </w:r>
            <w:r w:rsidR="000D6CB7">
              <w:t xml:space="preserve"> и пенитенциарных учреждений, в </w:t>
            </w:r>
            <w:r w:rsidRPr="00906372">
              <w:t>ведении которых находятся лица, лишенные свободы:</w:t>
            </w:r>
          </w:p>
        </w:tc>
      </w:tr>
      <w:tr w:rsidR="00F04EE3" w:rsidRPr="00906372" w:rsidTr="008F10A4">
        <w:tc>
          <w:tcPr>
            <w:tcW w:w="2977" w:type="dxa"/>
            <w:tcBorders>
              <w:bottom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A31F46" w:rsidP="00906372">
            <w:r w:rsidRPr="00906372">
              <w:t>Государство</w:t>
            </w:r>
            <w:r w:rsidR="00F04EE3" w:rsidRPr="00906372">
              <w:t>-участник сообщило, что в наст</w:t>
            </w:r>
            <w:r w:rsidR="00F04EE3" w:rsidRPr="00906372">
              <w:t>о</w:t>
            </w:r>
            <w:r w:rsidR="00F04EE3" w:rsidRPr="00906372">
              <w:t xml:space="preserve">ящее время совместно с властями провинций </w:t>
            </w:r>
            <w:proofErr w:type="gramStart"/>
            <w:r w:rsidR="00F04EE3" w:rsidRPr="00906372">
              <w:t>предпринимаются усилия</w:t>
            </w:r>
            <w:proofErr w:type="gramEnd"/>
            <w:r w:rsidR="00F04EE3" w:rsidRPr="00906372">
              <w:t xml:space="preserve"> с целью осущест</w:t>
            </w:r>
            <w:r w:rsidR="00F04EE3" w:rsidRPr="00906372">
              <w:t>в</w:t>
            </w:r>
            <w:r w:rsidR="00F04EE3" w:rsidRPr="00906372">
              <w:t>ления этой рекомендации.</w:t>
            </w:r>
          </w:p>
        </w:tc>
      </w:tr>
      <w:tr w:rsidR="00F04EE3" w:rsidRPr="00906372" w:rsidTr="008F10A4">
        <w:tc>
          <w:tcPr>
            <w:tcW w:w="2977" w:type="dxa"/>
            <w:tcBorders>
              <w:top w:val="nil"/>
              <w:bottom w:val="nil"/>
            </w:tcBorders>
          </w:tcPr>
          <w:p w:rsidR="00F04EE3" w:rsidRPr="00906372" w:rsidRDefault="00F04EE3" w:rsidP="00906372">
            <w:r w:rsidRPr="00906372">
              <w:t>Комментарии авторов: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</w:tcBorders>
          </w:tcPr>
          <w:p w:rsidR="00F04EE3" w:rsidRPr="00906372" w:rsidRDefault="00F04EE3" w:rsidP="00906372">
            <w:r w:rsidRPr="00906372">
              <w:t xml:space="preserve">17 сентября 2017 года: </w:t>
            </w:r>
          </w:p>
          <w:p w:rsidR="00F04EE3" w:rsidRPr="00906372" w:rsidRDefault="00F04EE3" w:rsidP="008F10A4">
            <w:r w:rsidRPr="00906372">
              <w:t>Авторы заявили, что, по их мнению, толков</w:t>
            </w:r>
            <w:r w:rsidRPr="00906372">
              <w:t>а</w:t>
            </w:r>
            <w:r w:rsidRPr="00906372">
              <w:t>ние статьи 93 Уголовно-процессуального к</w:t>
            </w:r>
            <w:r w:rsidRPr="00906372">
              <w:t>о</w:t>
            </w:r>
            <w:r w:rsidRPr="00906372">
              <w:t>декса Санта-Фе является произвольным и что предоставление возможности участия лишь обязательным наследникам не соответствует согласованному толкованию закона. Термин</w:t>
            </w:r>
            <w:r w:rsidRPr="00906372">
              <w:t>о</w:t>
            </w:r>
            <w:r w:rsidRPr="00906372">
              <w:t xml:space="preserve">логия не играет какой-либо роли, когда речь идет об активном участии родственников жертв в установлении истины. Кроме того, они сообщили, что мать г-на </w:t>
            </w:r>
            <w:proofErr w:type="spellStart"/>
            <w:r w:rsidRPr="00906372">
              <w:t>Ируста</w:t>
            </w:r>
            <w:proofErr w:type="spellEnd"/>
            <w:r w:rsidRPr="00906372">
              <w:t>, единстве</w:t>
            </w:r>
            <w:r w:rsidRPr="00906372">
              <w:t>н</w:t>
            </w:r>
            <w:r w:rsidRPr="00906372">
              <w:t>ный его наследник, находится на попечении его сестер, при этом уже давно у нее проблемы со здоровьем. Эта информация была доведена до сведения властей государства-участника, но не принята во внимание. По их мнению, закон наделяет родственников правом подавать иски. Таким образом, когда обязательные наследн</w:t>
            </w:r>
            <w:r w:rsidRPr="00906372">
              <w:t>и</w:t>
            </w:r>
            <w:r w:rsidRPr="00906372">
              <w:t>ки участвуют в уголовном процессе как истцы, это происходит в силу того, что они являются правообладателями в своем личном качестве, а</w:t>
            </w:r>
            <w:r w:rsidR="008F10A4">
              <w:t> </w:t>
            </w:r>
            <w:r w:rsidRPr="00906372">
              <w:t xml:space="preserve">не правопреемниками жертвы. В данном деле положения о наследовании, которые были применены в качестве основания для отказа авторам </w:t>
            </w:r>
            <w:proofErr w:type="gramStart"/>
            <w:r w:rsidRPr="00906372">
              <w:t>в праве</w:t>
            </w:r>
            <w:proofErr w:type="gramEnd"/>
            <w:r w:rsidRPr="00906372">
              <w:t xml:space="preserve"> быть истцами, устанавливают порядок очередности для передачи прав и об</w:t>
            </w:r>
            <w:r w:rsidRPr="00906372">
              <w:t>я</w:t>
            </w:r>
            <w:r w:rsidRPr="00906372">
              <w:t>занностей применительно к наследству уме</w:t>
            </w:r>
            <w:r w:rsidRPr="00906372">
              <w:t>р</w:t>
            </w:r>
            <w:r w:rsidRPr="00906372">
              <w:t>шего. Предоставляемое в соответствии с Уг</w:t>
            </w:r>
            <w:r w:rsidRPr="00906372">
              <w:t>о</w:t>
            </w:r>
            <w:r w:rsidRPr="00906372">
              <w:t>ловно-процессуальным кодексом право выст</w:t>
            </w:r>
            <w:r w:rsidRPr="00906372">
              <w:t>у</w:t>
            </w:r>
            <w:r w:rsidRPr="00906372">
              <w:t xml:space="preserve">пать истцом в случае преступного деяния, </w:t>
            </w:r>
            <w:r w:rsidRPr="00906372">
              <w:lastRenderedPageBreak/>
              <w:t>влекущего за собой преследование со стороны государства, никак не связано с вопросами наследования. Поэтому, авторы заявили, что, по их мнению, им должны разрешить выст</w:t>
            </w:r>
            <w:r w:rsidRPr="00906372">
              <w:t>у</w:t>
            </w:r>
            <w:r w:rsidRPr="00906372">
              <w:t xml:space="preserve">пать в качестве истцов, с </w:t>
            </w:r>
            <w:proofErr w:type="gramStart"/>
            <w:r w:rsidRPr="00906372">
              <w:t>тем</w:t>
            </w:r>
            <w:proofErr w:type="gramEnd"/>
            <w:r w:rsidRPr="00906372">
              <w:t xml:space="preserve"> чтобы они могли осуществить свое право на установление и</w:t>
            </w:r>
            <w:r w:rsidRPr="00906372">
              <w:t>с</w:t>
            </w:r>
            <w:r w:rsidRPr="00906372">
              <w:t>тины, даже если у них нет прав на</w:t>
            </w:r>
            <w:r w:rsidR="000A13A1">
              <w:t xml:space="preserve"> </w:t>
            </w:r>
            <w:r w:rsidRPr="00906372">
              <w:t>наследство.</w:t>
            </w:r>
          </w:p>
        </w:tc>
      </w:tr>
      <w:tr w:rsidR="00F04EE3" w:rsidRPr="00906372" w:rsidTr="008F10A4">
        <w:tc>
          <w:tcPr>
            <w:tcW w:w="2977" w:type="dxa"/>
            <w:tcBorders>
              <w:top w:val="nil"/>
            </w:tcBorders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  <w:tcBorders>
              <w:top w:val="nil"/>
            </w:tcBorders>
          </w:tcPr>
          <w:p w:rsidR="00F04EE3" w:rsidRPr="00906372" w:rsidRDefault="00F04EE3" w:rsidP="00906372">
            <w:r w:rsidRPr="00906372">
              <w:t>Авторы сообщили, что статус жертвы в рамках системы уголовного судопроизводства Санта-Фе является ограниченным и имеет узкое определение. Жертва не может ни предприн</w:t>
            </w:r>
            <w:r w:rsidRPr="00906372">
              <w:t>и</w:t>
            </w:r>
            <w:r w:rsidRPr="00906372">
              <w:t>мать шаги в целях сбора доказательств, ни выступать инициатором процесса. Они отм</w:t>
            </w:r>
            <w:r w:rsidRPr="00906372">
              <w:t>е</w:t>
            </w:r>
            <w:r w:rsidRPr="00906372">
              <w:t>тили, что ни одна из мер по сбору доказ</w:t>
            </w:r>
            <w:r w:rsidRPr="00906372">
              <w:t>а</w:t>
            </w:r>
            <w:r w:rsidRPr="00906372">
              <w:t>тельств, которые они просили принять, так и не была реализована. Жертвы не имели во</w:t>
            </w:r>
            <w:r w:rsidRPr="00906372">
              <w:t>з</w:t>
            </w:r>
            <w:r w:rsidRPr="00906372">
              <w:t>можн</w:t>
            </w:r>
            <w:bookmarkStart w:id="0" w:name="_GoBack"/>
            <w:bookmarkEnd w:id="0"/>
            <w:r w:rsidRPr="00906372">
              <w:t>ости проверить свидетельские показания, полученные в ходе расследования, поскольку они не располагали информацией о ходе пр</w:t>
            </w:r>
            <w:r w:rsidRPr="00906372">
              <w:t>о</w:t>
            </w:r>
            <w:r w:rsidRPr="00906372">
              <w:t>ведения расследования. В свете вышеизложе</w:t>
            </w:r>
            <w:r w:rsidRPr="00906372">
              <w:t>н</w:t>
            </w:r>
            <w:r w:rsidRPr="00906372">
              <w:t>ного авторы вновь обратились с просьбой ра</w:t>
            </w:r>
            <w:r w:rsidRPr="00906372">
              <w:t>з</w:t>
            </w:r>
            <w:r w:rsidRPr="00906372">
              <w:t>решить им выступать в качестве истцов в ходе проводимого разбирательства по делу их бр</w:t>
            </w:r>
            <w:r w:rsidRPr="00906372">
              <w:t>а</w:t>
            </w:r>
            <w:r w:rsidRPr="00906372">
              <w:t xml:space="preserve">та. 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>
            <w:r w:rsidRPr="00906372">
              <w:t xml:space="preserve">Решение, принятое </w:t>
            </w:r>
            <w:r w:rsidR="003140F9">
              <w:br/>
            </w:r>
            <w:r w:rsidRPr="00906372">
              <w:t>на плена</w:t>
            </w:r>
            <w:r w:rsidRPr="00906372">
              <w:t>р</w:t>
            </w:r>
            <w:r w:rsidRPr="00906372">
              <w:t>ном заседании: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[B2]: Приняты первоначальные меры, но тр</w:t>
            </w:r>
            <w:r w:rsidRPr="00906372">
              <w:t>е</w:t>
            </w:r>
            <w:r w:rsidRPr="00906372">
              <w:t>буются дополнительные меры и информация.</w:t>
            </w:r>
          </w:p>
        </w:tc>
      </w:tr>
      <w:tr w:rsidR="00F04EE3" w:rsidRPr="00906372" w:rsidTr="00906372">
        <w:tc>
          <w:tcPr>
            <w:tcW w:w="2977" w:type="dxa"/>
          </w:tcPr>
          <w:p w:rsidR="00F04EE3" w:rsidRPr="00906372" w:rsidRDefault="00F04EE3" w:rsidP="0090637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3" w:type="dxa"/>
          </w:tcPr>
          <w:p w:rsidR="00F04EE3" w:rsidRPr="00906372" w:rsidRDefault="00F04EE3" w:rsidP="00906372">
            <w:r w:rsidRPr="00906372">
              <w:t>Специальный докладчик, действуя от имени Комитета, направит государству-участнику письмо, в котором он отметит прогресс, д</w:t>
            </w:r>
            <w:r w:rsidRPr="00906372">
              <w:t>о</w:t>
            </w:r>
            <w:r w:rsidRPr="00906372">
              <w:t xml:space="preserve">стигнутый в деле реализации </w:t>
            </w:r>
            <w:r w:rsidR="00A31F46" w:rsidRPr="00906372">
              <w:t xml:space="preserve">Соображений </w:t>
            </w:r>
            <w:r w:rsidRPr="00906372">
              <w:t>Комитета, и обратится с просьбой представить дополнительную информацию о мерах, прин</w:t>
            </w:r>
            <w:r w:rsidRPr="00906372">
              <w:t>я</w:t>
            </w:r>
            <w:r w:rsidRPr="00906372">
              <w:t xml:space="preserve">тых для осуществления этих </w:t>
            </w:r>
            <w:r w:rsidR="00A31F46" w:rsidRPr="00906372">
              <w:t>Соображений</w:t>
            </w:r>
            <w:r w:rsidRPr="00906372">
              <w:t>.</w:t>
            </w:r>
          </w:p>
        </w:tc>
      </w:tr>
    </w:tbl>
    <w:p w:rsidR="00381C24" w:rsidRPr="008F10A4" w:rsidRDefault="008F10A4" w:rsidP="008F10A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F10A4" w:rsidSect="00A9755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A1" w:rsidRPr="00A312BC" w:rsidRDefault="000A13A1" w:rsidP="00A312BC"/>
  </w:endnote>
  <w:endnote w:type="continuationSeparator" w:id="0">
    <w:p w:rsidR="000A13A1" w:rsidRPr="00A312BC" w:rsidRDefault="000A13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A1" w:rsidRPr="00A97552" w:rsidRDefault="000A13A1">
    <w:pPr>
      <w:pStyle w:val="a8"/>
    </w:pPr>
    <w:r w:rsidRPr="00A97552">
      <w:rPr>
        <w:b/>
        <w:sz w:val="18"/>
      </w:rPr>
      <w:fldChar w:fldCharType="begin"/>
    </w:r>
    <w:r w:rsidRPr="00A97552">
      <w:rPr>
        <w:b/>
        <w:sz w:val="18"/>
      </w:rPr>
      <w:instrText xml:space="preserve"> PAGE  \* MERGEFORMAT </w:instrText>
    </w:r>
    <w:r w:rsidRPr="00A97552">
      <w:rPr>
        <w:b/>
        <w:sz w:val="18"/>
      </w:rPr>
      <w:fldChar w:fldCharType="separate"/>
    </w:r>
    <w:r w:rsidR="00734084">
      <w:rPr>
        <w:b/>
        <w:noProof/>
        <w:sz w:val="18"/>
      </w:rPr>
      <w:t>6</w:t>
    </w:r>
    <w:r w:rsidRPr="00A97552">
      <w:rPr>
        <w:b/>
        <w:sz w:val="18"/>
      </w:rPr>
      <w:fldChar w:fldCharType="end"/>
    </w:r>
    <w:r>
      <w:rPr>
        <w:b/>
        <w:sz w:val="18"/>
      </w:rPr>
      <w:tab/>
    </w:r>
    <w:r>
      <w:t>GE.17-17147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A1" w:rsidRPr="00A97552" w:rsidRDefault="000A13A1" w:rsidP="00A97552">
    <w:pPr>
      <w:pStyle w:val="a8"/>
      <w:tabs>
        <w:tab w:val="clear" w:pos="9639"/>
        <w:tab w:val="right" w:pos="9638"/>
      </w:tabs>
      <w:rPr>
        <w:b/>
        <w:sz w:val="18"/>
      </w:rPr>
    </w:pPr>
    <w:r>
      <w:t>GE.17-17147</w:t>
    </w:r>
    <w:r>
      <w:tab/>
    </w:r>
    <w:r w:rsidRPr="00A97552">
      <w:rPr>
        <w:b/>
        <w:sz w:val="18"/>
      </w:rPr>
      <w:fldChar w:fldCharType="begin"/>
    </w:r>
    <w:r w:rsidRPr="00A97552">
      <w:rPr>
        <w:b/>
        <w:sz w:val="18"/>
      </w:rPr>
      <w:instrText xml:space="preserve"> PAGE  \* MERGEFORMAT </w:instrText>
    </w:r>
    <w:r w:rsidRPr="00A97552">
      <w:rPr>
        <w:b/>
        <w:sz w:val="18"/>
      </w:rPr>
      <w:fldChar w:fldCharType="separate"/>
    </w:r>
    <w:r w:rsidR="00734084">
      <w:rPr>
        <w:b/>
        <w:noProof/>
        <w:sz w:val="18"/>
      </w:rPr>
      <w:t>7</w:t>
    </w:r>
    <w:r w:rsidRPr="00A975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A1" w:rsidRPr="00A97552" w:rsidRDefault="000A13A1" w:rsidP="00A97552">
    <w:pPr>
      <w:spacing w:before="120" w:line="240" w:lineRule="auto"/>
    </w:pPr>
    <w:r>
      <w:t>GE.</w:t>
    </w:r>
    <w:r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38693B9B" wp14:editId="38208B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17-17147  (R)</w:t>
    </w:r>
    <w:r>
      <w:rPr>
        <w:lang w:val="en-US"/>
      </w:rPr>
      <w:t xml:space="preserve">  011217  011217</w:t>
    </w:r>
    <w:r>
      <w:br/>
    </w:r>
    <w:r w:rsidRPr="00A97552">
      <w:rPr>
        <w:rFonts w:ascii="C39T30Lfz" w:hAnsi="C39T30Lfz"/>
        <w:spacing w:val="0"/>
        <w:w w:val="100"/>
        <w:sz w:val="56"/>
      </w:rPr>
      <w:t></w:t>
    </w:r>
    <w:r w:rsidRPr="00A97552">
      <w:rPr>
        <w:rFonts w:ascii="C39T30Lfz" w:hAnsi="C39T30Lfz"/>
        <w:spacing w:val="0"/>
        <w:w w:val="100"/>
        <w:sz w:val="56"/>
      </w:rPr>
      <w:t></w:t>
    </w:r>
    <w:r w:rsidRPr="00A97552">
      <w:rPr>
        <w:rFonts w:ascii="C39T30Lfz" w:hAnsi="C39T30Lfz"/>
        <w:spacing w:val="0"/>
        <w:w w:val="100"/>
        <w:sz w:val="56"/>
      </w:rPr>
      <w:t></w:t>
    </w:r>
    <w:r w:rsidRPr="00A97552">
      <w:rPr>
        <w:rFonts w:ascii="C39T30Lfz" w:hAnsi="C39T30Lfz"/>
        <w:spacing w:val="0"/>
        <w:w w:val="100"/>
        <w:sz w:val="56"/>
      </w:rPr>
      <w:t></w:t>
    </w:r>
    <w:r w:rsidRPr="00A97552">
      <w:rPr>
        <w:rFonts w:ascii="C39T30Lfz" w:hAnsi="C39T30Lfz"/>
        <w:spacing w:val="0"/>
        <w:w w:val="100"/>
        <w:sz w:val="56"/>
      </w:rPr>
      <w:t></w:t>
    </w:r>
    <w:r w:rsidRPr="00A97552">
      <w:rPr>
        <w:rFonts w:ascii="C39T30Lfz" w:hAnsi="C39T30Lfz"/>
        <w:spacing w:val="0"/>
        <w:w w:val="100"/>
        <w:sz w:val="56"/>
      </w:rPr>
      <w:t></w:t>
    </w:r>
    <w:r w:rsidRPr="00A97552">
      <w:rPr>
        <w:rFonts w:ascii="C39T30Lfz" w:hAnsi="C39T30Lfz"/>
        <w:spacing w:val="0"/>
        <w:w w:val="100"/>
        <w:sz w:val="56"/>
      </w:rPr>
      <w:t></w:t>
    </w:r>
    <w:r w:rsidRPr="00A97552">
      <w:rPr>
        <w:rFonts w:ascii="C39T30Lfz" w:hAnsi="C39T30Lfz"/>
        <w:spacing w:val="0"/>
        <w:w w:val="100"/>
        <w:sz w:val="56"/>
      </w:rPr>
      <w:t></w:t>
    </w:r>
    <w:r w:rsidRPr="00A9755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5000" cy="635000"/>
          <wp:effectExtent l="0" t="0" r="0" b="0"/>
          <wp:wrapNone/>
          <wp:docPr id="1" name="Рисунок 1" descr="https://undocs.org/m2/QRCode.ashx?DS=CED/C/13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13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A1" w:rsidRPr="001075E9" w:rsidRDefault="000A13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13A1" w:rsidRDefault="000A13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A13A1" w:rsidRPr="00773F56" w:rsidRDefault="000A13A1" w:rsidP="00F04EE3">
      <w:pPr>
        <w:pStyle w:val="ad"/>
        <w:rPr>
          <w:lang w:val="ru-RU"/>
        </w:rPr>
      </w:pPr>
      <w:r>
        <w:rPr>
          <w:lang w:val="ru-RU"/>
        </w:rPr>
        <w:tab/>
      </w:r>
      <w:r w:rsidRPr="00F04EE3">
        <w:rPr>
          <w:sz w:val="20"/>
          <w:lang w:val="ru-RU"/>
        </w:rPr>
        <w:t>*</w:t>
      </w:r>
      <w:r>
        <w:rPr>
          <w:lang w:val="ru-RU"/>
        </w:rPr>
        <w:tab/>
      </w:r>
      <w:proofErr w:type="gramStart"/>
      <w:r>
        <w:rPr>
          <w:lang w:val="ru-RU"/>
        </w:rPr>
        <w:t>Принят</w:t>
      </w:r>
      <w:proofErr w:type="gramEnd"/>
      <w:r>
        <w:rPr>
          <w:lang w:val="ru-RU"/>
        </w:rPr>
        <w:t xml:space="preserve"> Комитетом на его тринадцатой сессии (4–15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A1" w:rsidRPr="00A97552" w:rsidRDefault="000A13A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734084">
      <w:t>CED</w:t>
    </w:r>
    <w:proofErr w:type="spellEnd"/>
    <w:r w:rsidR="00734084">
      <w:t>/C/13/2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A1" w:rsidRPr="00A97552" w:rsidRDefault="000A13A1" w:rsidP="00A9755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734084">
      <w:t>CED</w:t>
    </w:r>
    <w:proofErr w:type="spellEnd"/>
    <w:r w:rsidR="00734084">
      <w:t>/C/13/2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A65DC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0C"/>
    <w:rsid w:val="00033EE1"/>
    <w:rsid w:val="00042B72"/>
    <w:rsid w:val="00046E2F"/>
    <w:rsid w:val="00052360"/>
    <w:rsid w:val="000558BD"/>
    <w:rsid w:val="000A13A1"/>
    <w:rsid w:val="000B57E7"/>
    <w:rsid w:val="000B6373"/>
    <w:rsid w:val="000D6CB7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06F9C"/>
    <w:rsid w:val="00215F21"/>
    <w:rsid w:val="00266C53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40F9"/>
    <w:rsid w:val="00317339"/>
    <w:rsid w:val="00322004"/>
    <w:rsid w:val="00324E70"/>
    <w:rsid w:val="00335BB3"/>
    <w:rsid w:val="003402C2"/>
    <w:rsid w:val="00381C24"/>
    <w:rsid w:val="003958D0"/>
    <w:rsid w:val="003B00E5"/>
    <w:rsid w:val="003B5477"/>
    <w:rsid w:val="00407B78"/>
    <w:rsid w:val="00424203"/>
    <w:rsid w:val="00452493"/>
    <w:rsid w:val="00454E07"/>
    <w:rsid w:val="00472C5C"/>
    <w:rsid w:val="00475A37"/>
    <w:rsid w:val="00476852"/>
    <w:rsid w:val="004C4058"/>
    <w:rsid w:val="004E4CB3"/>
    <w:rsid w:val="004F21B5"/>
    <w:rsid w:val="0050108D"/>
    <w:rsid w:val="00513081"/>
    <w:rsid w:val="00517901"/>
    <w:rsid w:val="00526683"/>
    <w:rsid w:val="00535809"/>
    <w:rsid w:val="00536A7D"/>
    <w:rsid w:val="00567BB2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34084"/>
    <w:rsid w:val="00757357"/>
    <w:rsid w:val="00825F8D"/>
    <w:rsid w:val="00834B71"/>
    <w:rsid w:val="0086445C"/>
    <w:rsid w:val="00877609"/>
    <w:rsid w:val="00894693"/>
    <w:rsid w:val="008A08D7"/>
    <w:rsid w:val="008B6909"/>
    <w:rsid w:val="008F10A4"/>
    <w:rsid w:val="00906372"/>
    <w:rsid w:val="00906890"/>
    <w:rsid w:val="00911BE4"/>
    <w:rsid w:val="00942A43"/>
    <w:rsid w:val="00951972"/>
    <w:rsid w:val="009608F3"/>
    <w:rsid w:val="009A24AC"/>
    <w:rsid w:val="00A14DA8"/>
    <w:rsid w:val="00A312BC"/>
    <w:rsid w:val="00A31F46"/>
    <w:rsid w:val="00A84021"/>
    <w:rsid w:val="00A84D35"/>
    <w:rsid w:val="00A917B3"/>
    <w:rsid w:val="00A97552"/>
    <w:rsid w:val="00AB4B51"/>
    <w:rsid w:val="00B10CC7"/>
    <w:rsid w:val="00B36DF7"/>
    <w:rsid w:val="00B539E7"/>
    <w:rsid w:val="00B54E04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363F"/>
    <w:rsid w:val="00CE5A1A"/>
    <w:rsid w:val="00CF55F6"/>
    <w:rsid w:val="00D32A0C"/>
    <w:rsid w:val="00D33D63"/>
    <w:rsid w:val="00D36B65"/>
    <w:rsid w:val="00D55C9D"/>
    <w:rsid w:val="00D90028"/>
    <w:rsid w:val="00D90138"/>
    <w:rsid w:val="00DB0902"/>
    <w:rsid w:val="00DD78D1"/>
    <w:rsid w:val="00DE32CD"/>
    <w:rsid w:val="00DF71B9"/>
    <w:rsid w:val="00E73F76"/>
    <w:rsid w:val="00EA2C9F"/>
    <w:rsid w:val="00EA3A10"/>
    <w:rsid w:val="00EA420E"/>
    <w:rsid w:val="00EC04DB"/>
    <w:rsid w:val="00ED0BDA"/>
    <w:rsid w:val="00EF1360"/>
    <w:rsid w:val="00EF3220"/>
    <w:rsid w:val="00F04EE3"/>
    <w:rsid w:val="00F43903"/>
    <w:rsid w:val="00F94155"/>
    <w:rsid w:val="00F9777C"/>
    <w:rsid w:val="00F9783F"/>
    <w:rsid w:val="00FB7B74"/>
    <w:rsid w:val="00FD2EF7"/>
    <w:rsid w:val="00FE369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  <w:style w:type="numbering" w:styleId="111111">
    <w:name w:val="Outline List 2"/>
    <w:basedOn w:val="a2"/>
    <w:semiHidden/>
    <w:unhideWhenUsed/>
    <w:rsid w:val="00F04EE3"/>
    <w:pPr>
      <w:numPr>
        <w:numId w:val="19"/>
      </w:numPr>
    </w:pPr>
  </w:style>
  <w:style w:type="paragraph" w:customStyle="1" w:styleId="Bullet2G">
    <w:name w:val="_Bullet 2_G"/>
    <w:basedOn w:val="a"/>
    <w:qFormat/>
    <w:rsid w:val="00F04EE3"/>
    <w:pPr>
      <w:tabs>
        <w:tab w:val="num" w:pos="2268"/>
      </w:tabs>
      <w:spacing w:after="120"/>
      <w:ind w:left="2268" w:right="1134" w:hanging="170"/>
      <w:jc w:val="both"/>
    </w:pPr>
    <w:rPr>
      <w:rFonts w:cs="Times New Roman"/>
      <w:spacing w:val="0"/>
      <w:w w:val="100"/>
      <w:kern w:val="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  <w:style w:type="numbering" w:styleId="111111">
    <w:name w:val="Outline List 2"/>
    <w:basedOn w:val="a2"/>
    <w:semiHidden/>
    <w:unhideWhenUsed/>
    <w:rsid w:val="00F04EE3"/>
    <w:pPr>
      <w:numPr>
        <w:numId w:val="19"/>
      </w:numPr>
    </w:pPr>
  </w:style>
  <w:style w:type="paragraph" w:customStyle="1" w:styleId="Bullet2G">
    <w:name w:val="_Bullet 2_G"/>
    <w:basedOn w:val="a"/>
    <w:qFormat/>
    <w:rsid w:val="00F04EE3"/>
    <w:pPr>
      <w:tabs>
        <w:tab w:val="num" w:pos="2268"/>
      </w:tabs>
      <w:spacing w:after="120"/>
      <w:ind w:left="2268" w:right="1134" w:hanging="170"/>
      <w:jc w:val="both"/>
    </w:pPr>
    <w:rPr>
      <w:rFonts w:cs="Times New Roman"/>
      <w:spacing w:val="0"/>
      <w:w w:val="100"/>
      <w:kern w:val="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1</TotalTime>
  <Pages>7</Pages>
  <Words>1737</Words>
  <Characters>11835</Characters>
  <Application>Microsoft Office Word</Application>
  <DocSecurity>0</DocSecurity>
  <Lines>394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CED/C/13/2</vt:lpstr>
      <vt:lpstr>A/</vt:lpstr>
    </vt:vector>
  </TitlesOfParts>
  <Company>DCM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CED/C/13/2</dc:title>
  <dc:subject/>
  <dc:creator>Ekaterina SALYNSKAYA</dc:creator>
  <cp:keywords/>
  <cp:lastModifiedBy>Ekaterina SALYNSKAYA</cp:lastModifiedBy>
  <cp:revision>3</cp:revision>
  <cp:lastPrinted>2017-12-01T13:30:00Z</cp:lastPrinted>
  <dcterms:created xsi:type="dcterms:W3CDTF">2017-12-01T13:30:00Z</dcterms:created>
  <dcterms:modified xsi:type="dcterms:W3CDTF">2017-12-01T13:31:00Z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