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81736E">
        <w:trPr>
          <w:trHeight w:hRule="exact" w:val="851"/>
        </w:trPr>
        <w:tc>
          <w:tcPr>
            <w:tcW w:w="1274" w:type="dxa"/>
            <w:tcBorders>
              <w:bottom w:val="single" w:sz="4" w:space="0" w:color="auto"/>
            </w:tcBorders>
          </w:tcPr>
          <w:p w:rsidR="006B3E27" w:rsidRPr="003E159A" w:rsidRDefault="006B3E27" w:rsidP="003E159A">
            <w:pPr>
              <w:bidi w:val="0"/>
              <w:jc w:val="right"/>
              <w:rPr>
                <w:szCs w:val="20"/>
                <w:rtl/>
              </w:rPr>
            </w:pPr>
          </w:p>
        </w:tc>
        <w:tc>
          <w:tcPr>
            <w:tcW w:w="4254"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3E159A" w:rsidRDefault="00286236" w:rsidP="0081736E">
            <w:pPr>
              <w:bidi w:val="0"/>
              <w:spacing w:after="20"/>
              <w:jc w:val="left"/>
              <w:rPr>
                <w:rFonts w:hint="cs"/>
                <w:szCs w:val="20"/>
                <w:rtl/>
              </w:rPr>
            </w:pPr>
            <w:r w:rsidRPr="00286236">
              <w:rPr>
                <w:sz w:val="40"/>
                <w:szCs w:val="20"/>
              </w:rPr>
              <w:t>C</w:t>
            </w:r>
            <w:r w:rsidRPr="0081736E">
              <w:rPr>
                <w:sz w:val="40"/>
                <w:szCs w:val="20"/>
              </w:rPr>
              <w:t>RPD</w:t>
            </w:r>
            <w:r>
              <w:rPr>
                <w:szCs w:val="20"/>
              </w:rPr>
              <w:t>/C/15/D/11/2013</w:t>
            </w:r>
            <w:r w:rsidR="00CD7E9A" w:rsidRPr="00CD7E9A">
              <w:rPr>
                <w:rStyle w:val="FootnoteReference"/>
                <w:sz w:val="20"/>
                <w:vertAlign w:val="baseline"/>
                <w:rtl/>
              </w:rPr>
              <w:footnoteReference w:customMarkFollows="1" w:id="1"/>
              <w:t>*</w:t>
            </w:r>
          </w:p>
        </w:tc>
      </w:tr>
      <w:tr w:rsidR="006B3E27" w:rsidRPr="00ED7442" w:rsidTr="0081736E">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11BBE364" wp14:editId="700F2394">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687200" w:rsidRDefault="0081736E" w:rsidP="0081736E">
            <w:pPr>
              <w:spacing w:before="120" w:after="40" w:line="640" w:lineRule="exact"/>
              <w:rPr>
                <w:b/>
                <w:bCs/>
                <w:sz w:val="64"/>
                <w:szCs w:val="64"/>
              </w:rPr>
            </w:pPr>
            <w:r w:rsidRPr="0081736E">
              <w:rPr>
                <w:b/>
                <w:bCs/>
                <w:sz w:val="64"/>
                <w:szCs w:val="64"/>
                <w:rtl/>
              </w:rPr>
              <w:t>اتفاقية حقوق</w:t>
            </w:r>
            <w:r>
              <w:rPr>
                <w:rFonts w:hint="cs"/>
                <w:b/>
                <w:bCs/>
                <w:sz w:val="64"/>
                <w:szCs w:val="64"/>
                <w:rtl/>
              </w:rPr>
              <w:t xml:space="preserve"> </w:t>
            </w:r>
            <w:r w:rsidRPr="0081736E">
              <w:rPr>
                <w:b/>
                <w:bCs/>
                <w:sz w:val="64"/>
                <w:szCs w:val="64"/>
                <w:rtl/>
              </w:rPr>
              <w:t>الأشخاص ذوي الإعاقة</w:t>
            </w:r>
          </w:p>
        </w:tc>
        <w:tc>
          <w:tcPr>
            <w:tcW w:w="4111" w:type="dxa"/>
            <w:tcBorders>
              <w:top w:val="single" w:sz="4" w:space="0" w:color="auto"/>
              <w:bottom w:val="single" w:sz="12" w:space="0" w:color="auto"/>
            </w:tcBorders>
          </w:tcPr>
          <w:p w:rsidR="006B3E27" w:rsidRDefault="0081736E" w:rsidP="0081736E">
            <w:pPr>
              <w:bidi w:val="0"/>
              <w:spacing w:before="240"/>
              <w:jc w:val="left"/>
              <w:rPr>
                <w:szCs w:val="20"/>
              </w:rPr>
            </w:pPr>
            <w:r>
              <w:rPr>
                <w:szCs w:val="20"/>
              </w:rPr>
              <w:t>Distr.: General</w:t>
            </w:r>
          </w:p>
          <w:p w:rsidR="0081736E" w:rsidRDefault="0081736E" w:rsidP="0081736E">
            <w:pPr>
              <w:bidi w:val="0"/>
              <w:jc w:val="left"/>
              <w:rPr>
                <w:szCs w:val="20"/>
              </w:rPr>
            </w:pPr>
            <w:r>
              <w:rPr>
                <w:szCs w:val="20"/>
              </w:rPr>
              <w:t>25 May 2016</w:t>
            </w:r>
          </w:p>
          <w:p w:rsidR="0081736E" w:rsidRDefault="0081736E" w:rsidP="0081736E">
            <w:pPr>
              <w:bidi w:val="0"/>
              <w:jc w:val="left"/>
              <w:rPr>
                <w:szCs w:val="20"/>
              </w:rPr>
            </w:pPr>
            <w:r>
              <w:rPr>
                <w:szCs w:val="20"/>
              </w:rPr>
              <w:t>Arabic</w:t>
            </w:r>
          </w:p>
          <w:p w:rsidR="0081736E" w:rsidRPr="003E159A" w:rsidRDefault="0081736E" w:rsidP="0081736E">
            <w:pPr>
              <w:bidi w:val="0"/>
              <w:jc w:val="left"/>
              <w:rPr>
                <w:szCs w:val="20"/>
              </w:rPr>
            </w:pPr>
            <w:r>
              <w:rPr>
                <w:szCs w:val="20"/>
              </w:rPr>
              <w:t>Original: English</w:t>
            </w:r>
          </w:p>
        </w:tc>
      </w:tr>
    </w:tbl>
    <w:p w:rsidR="0081736E" w:rsidRPr="00F05419" w:rsidRDefault="0081736E" w:rsidP="00E800D7">
      <w:pPr>
        <w:spacing w:before="120" w:line="360" w:lineRule="exact"/>
        <w:textDirection w:val="tbRlV"/>
        <w:rPr>
          <w:b/>
          <w:bCs/>
          <w:sz w:val="28"/>
          <w:szCs w:val="36"/>
          <w:rtl/>
          <w:lang w:eastAsia="zh-TW"/>
        </w:rPr>
      </w:pPr>
      <w:r w:rsidRPr="00F05419">
        <w:rPr>
          <w:b/>
          <w:bCs/>
          <w:sz w:val="24"/>
          <w:szCs w:val="36"/>
          <w:rtl/>
          <w:lang w:eastAsia="zh-TW"/>
        </w:rPr>
        <w:t>اللجنة المعنية بحقوق الأشخاص ذوي الإعاقة</w:t>
      </w:r>
    </w:p>
    <w:p w:rsidR="0081736E" w:rsidRPr="00DE2169" w:rsidRDefault="0081736E" w:rsidP="00CD7E9A">
      <w:pPr>
        <w:pStyle w:val="HChGA"/>
        <w:spacing w:before="300" w:after="200" w:line="400" w:lineRule="exact"/>
        <w:rPr>
          <w:spacing w:val="-2"/>
          <w:rtl/>
          <w:lang w:eastAsia="zh-TW"/>
        </w:rPr>
      </w:pPr>
      <w:r w:rsidRPr="00DE2169">
        <w:rPr>
          <w:rFonts w:hint="cs"/>
          <w:spacing w:val="-2"/>
          <w:rtl/>
          <w:lang w:eastAsia="zh-TW"/>
        </w:rPr>
        <w:tab/>
      </w:r>
      <w:r w:rsidRPr="00DE2169">
        <w:rPr>
          <w:rFonts w:hint="cs"/>
          <w:spacing w:val="-2"/>
          <w:rtl/>
          <w:lang w:eastAsia="zh-TW"/>
        </w:rPr>
        <w:tab/>
      </w:r>
      <w:r w:rsidRPr="00DE2169">
        <w:rPr>
          <w:spacing w:val="-2"/>
          <w:rtl/>
          <w:lang w:eastAsia="zh-TW"/>
        </w:rPr>
        <w:t xml:space="preserve">الآراء التي اعتمدتها اللجنة بموجب المادة 5 من البروتوكول الاختياري، بشأن البلاغ رقم </w:t>
      </w:r>
      <w:r w:rsidR="00CD7E9A">
        <w:rPr>
          <w:rFonts w:hint="cs"/>
          <w:spacing w:val="-2"/>
          <w:rtl/>
          <w:lang w:eastAsia="zh-TW"/>
        </w:rPr>
        <w:t>11/</w:t>
      </w:r>
      <w:r w:rsidR="00CD7E9A" w:rsidRPr="002D75FA">
        <w:rPr>
          <w:rFonts w:hint="cs"/>
          <w:spacing w:val="-2"/>
          <w:sz w:val="38"/>
          <w:rtl/>
          <w:lang w:eastAsia="zh-TW"/>
        </w:rPr>
        <w:t>2013</w:t>
      </w:r>
      <w:r w:rsidR="00CD7E9A" w:rsidRPr="00DD3247">
        <w:rPr>
          <w:rStyle w:val="FootnoteReference"/>
          <w:b/>
          <w:bCs w:val="0"/>
          <w:spacing w:val="-2"/>
          <w:sz w:val="32"/>
          <w:szCs w:val="32"/>
          <w:vertAlign w:val="baseline"/>
          <w:rtl/>
          <w:lang w:eastAsia="zh-TW"/>
        </w:rPr>
        <w:footnoteReference w:customMarkFollows="1" w:id="2"/>
        <w:t>**</w:t>
      </w:r>
      <w:r w:rsidR="00CD7E9A" w:rsidRPr="00DD3247">
        <w:rPr>
          <w:rFonts w:hint="cs"/>
          <w:bCs w:val="0"/>
          <w:spacing w:val="-2"/>
          <w:sz w:val="32"/>
          <w:szCs w:val="32"/>
          <w:rtl/>
          <w:lang w:eastAsia="zh-TW"/>
        </w:rPr>
        <w:t xml:space="preserve"> </w:t>
      </w:r>
      <w:r w:rsidR="00CD7E9A" w:rsidRPr="00DD3247">
        <w:rPr>
          <w:rStyle w:val="FootnoteReference"/>
          <w:bCs w:val="0"/>
          <w:spacing w:val="-2"/>
          <w:sz w:val="32"/>
          <w:szCs w:val="32"/>
          <w:vertAlign w:val="baseline"/>
          <w:rtl/>
          <w:lang w:eastAsia="zh-TW"/>
        </w:rPr>
        <w:footnoteReference w:customMarkFollows="1" w:id="3"/>
        <w:t>***</w:t>
      </w:r>
    </w:p>
    <w:p w:rsidR="0081736E" w:rsidRPr="00B47131" w:rsidRDefault="0081736E" w:rsidP="00DD3247">
      <w:pPr>
        <w:pStyle w:val="SingleTxtGA"/>
        <w:tabs>
          <w:tab w:val="clear" w:pos="2608"/>
          <w:tab w:val="clear" w:pos="3289"/>
          <w:tab w:val="clear" w:pos="3969"/>
          <w:tab w:val="clear" w:pos="4649"/>
        </w:tabs>
        <w:spacing w:after="80" w:line="360" w:lineRule="exact"/>
        <w:ind w:left="4253" w:hanging="2325"/>
        <w:rPr>
          <w:b/>
          <w:sz w:val="22"/>
          <w:rtl/>
          <w:lang w:eastAsia="zh-TW"/>
        </w:rPr>
      </w:pPr>
      <w:r w:rsidRPr="0081736E">
        <w:rPr>
          <w:rFonts w:hint="cs"/>
          <w:i/>
          <w:iCs/>
          <w:rtl/>
          <w:lang w:eastAsia="zh-TW" w:bidi="ar-SY"/>
        </w:rPr>
        <w:t xml:space="preserve">بلاغ </w:t>
      </w:r>
      <w:r w:rsidRPr="0081736E">
        <w:rPr>
          <w:i/>
          <w:iCs/>
          <w:rtl/>
          <w:lang w:eastAsia="zh-TW"/>
        </w:rPr>
        <w:t>مقدم من:</w:t>
      </w:r>
      <w:r>
        <w:rPr>
          <w:rFonts w:hint="cs"/>
          <w:rtl/>
          <w:lang w:eastAsia="zh-TW"/>
        </w:rPr>
        <w:tab/>
      </w:r>
      <w:r w:rsidRPr="00B47131">
        <w:rPr>
          <w:rtl/>
          <w:lang w:eastAsia="zh-TW"/>
        </w:rPr>
        <w:t xml:space="preserve">جيما </w:t>
      </w:r>
      <w:proofErr w:type="spellStart"/>
      <w:r w:rsidRPr="00B47131">
        <w:rPr>
          <w:rtl/>
          <w:lang w:eastAsia="zh-TW"/>
        </w:rPr>
        <w:t>بيسلي</w:t>
      </w:r>
      <w:proofErr w:type="spellEnd"/>
      <w:r w:rsidRPr="00B47131">
        <w:rPr>
          <w:rtl/>
          <w:lang w:eastAsia="zh-TW"/>
        </w:rPr>
        <w:t xml:space="preserve"> (</w:t>
      </w:r>
      <w:dir w:val="rtl">
        <w:r w:rsidRPr="00B47131">
          <w:rPr>
            <w:rFonts w:ascii="Traditional Arabic" w:hAnsi="Traditional Arabic" w:hint="cs"/>
            <w:rtl/>
            <w:lang w:eastAsia="zh-TW"/>
          </w:rPr>
          <w:t>يمثلها</w:t>
        </w:r>
        <w:r w:rsidRPr="00B47131">
          <w:rPr>
            <w:rtl/>
            <w:lang w:eastAsia="zh-TW"/>
          </w:rPr>
          <w:t xml:space="preserve"> </w:t>
        </w:r>
        <w:r w:rsidRPr="00B47131">
          <w:rPr>
            <w:rFonts w:ascii="Traditional Arabic" w:hAnsi="Traditional Arabic" w:hint="cs"/>
            <w:rtl/>
            <w:lang w:eastAsia="zh-TW"/>
          </w:rPr>
          <w:t>المركز</w:t>
        </w:r>
        <w:r w:rsidRPr="00B47131">
          <w:rPr>
            <w:rtl/>
            <w:lang w:eastAsia="zh-TW"/>
          </w:rPr>
          <w:t xml:space="preserve"> </w:t>
        </w:r>
        <w:r w:rsidRPr="00B47131">
          <w:rPr>
            <w:rFonts w:ascii="Traditional Arabic" w:hAnsi="Traditional Arabic" w:hint="cs"/>
            <w:rtl/>
            <w:lang w:eastAsia="zh-TW"/>
          </w:rPr>
          <w:t>الأسترالي</w:t>
        </w:r>
        <w:r w:rsidRPr="00B47131">
          <w:rPr>
            <w:rtl/>
            <w:lang w:eastAsia="zh-TW"/>
          </w:rPr>
          <w:t xml:space="preserve"> </w:t>
        </w:r>
        <w:r w:rsidRPr="00B47131">
          <w:rPr>
            <w:rFonts w:ascii="Traditional Arabic" w:hAnsi="Traditional Arabic" w:hint="cs"/>
            <w:rtl/>
            <w:lang w:eastAsia="zh-TW"/>
          </w:rPr>
          <w:t>لقانون</w:t>
        </w:r>
        <w:r w:rsidRPr="00B47131">
          <w:rPr>
            <w:rtl/>
            <w:lang w:eastAsia="zh-TW"/>
          </w:rPr>
          <w:t xml:space="preserve"> </w:t>
        </w:r>
        <w:r w:rsidRPr="00B47131">
          <w:rPr>
            <w:rFonts w:ascii="Traditional Arabic" w:hAnsi="Traditional Arabic" w:hint="cs"/>
            <w:rtl/>
            <w:lang w:eastAsia="zh-TW"/>
          </w:rPr>
          <w:t>الإعاقة</w:t>
        </w:r>
        <w:r w:rsidRPr="00B47131">
          <w:rPr>
            <w:rtl/>
            <w:lang w:eastAsia="zh-TW"/>
          </w:rPr>
          <w:t>)</w:t>
        </w:r>
        <w:r w:rsidRPr="00B47131">
          <w:rPr>
            <w:rFonts w:cs="Times New Roman" w:hint="cs"/>
            <w:rtl/>
            <w:lang w:eastAsia="zh-TW"/>
          </w:rPr>
          <w:t>‬</w:t>
        </w:r>
        <w:r w:rsidR="0087267B">
          <w:t>‬</w:t>
        </w:r>
        <w:r w:rsidR="000C45CA">
          <w:t>‬</w:t>
        </w:r>
        <w:r w:rsidR="00A168C8">
          <w:t>‬</w:t>
        </w:r>
        <w:r w:rsidR="00821257">
          <w:t>‬</w:t>
        </w:r>
      </w:dir>
    </w:p>
    <w:p w:rsidR="0081736E" w:rsidRPr="00B47131" w:rsidRDefault="0081736E" w:rsidP="00DD3247">
      <w:pPr>
        <w:pStyle w:val="SingleTxtGA"/>
        <w:tabs>
          <w:tab w:val="clear" w:pos="2608"/>
          <w:tab w:val="clear" w:pos="3289"/>
          <w:tab w:val="clear" w:pos="3969"/>
          <w:tab w:val="clear" w:pos="4649"/>
        </w:tabs>
        <w:spacing w:after="80" w:line="360" w:lineRule="exact"/>
        <w:ind w:left="4253" w:hanging="2325"/>
        <w:rPr>
          <w:sz w:val="22"/>
          <w:rtl/>
          <w:lang w:eastAsia="zh-TW"/>
        </w:rPr>
      </w:pPr>
      <w:r w:rsidRPr="0081736E">
        <w:rPr>
          <w:i/>
          <w:iCs/>
          <w:rtl/>
          <w:lang w:eastAsia="zh-TW"/>
        </w:rPr>
        <w:t>الشخص المدعى أنه ضحية:</w:t>
      </w:r>
      <w:r>
        <w:rPr>
          <w:rFonts w:hint="cs"/>
          <w:rtl/>
          <w:lang w:eastAsia="zh-TW"/>
        </w:rPr>
        <w:tab/>
      </w:r>
      <w:r w:rsidRPr="00B47131">
        <w:rPr>
          <w:rtl/>
          <w:lang w:eastAsia="zh-TW"/>
        </w:rPr>
        <w:t>صاحبة البلاغ</w:t>
      </w:r>
      <w:r w:rsidRPr="00B47131">
        <w:rPr>
          <w:rFonts w:cs="Times New Roman" w:hint="cs"/>
          <w:rtl/>
          <w:lang w:eastAsia="zh-TW"/>
        </w:rPr>
        <w:t>‬</w:t>
      </w:r>
    </w:p>
    <w:p w:rsidR="0081736E" w:rsidRPr="00B47131" w:rsidRDefault="0081736E" w:rsidP="00DD3247">
      <w:pPr>
        <w:pStyle w:val="SingleTxtGA"/>
        <w:tabs>
          <w:tab w:val="clear" w:pos="2608"/>
          <w:tab w:val="clear" w:pos="3289"/>
          <w:tab w:val="clear" w:pos="3969"/>
          <w:tab w:val="clear" w:pos="4649"/>
        </w:tabs>
        <w:spacing w:after="80" w:line="360" w:lineRule="exact"/>
        <w:ind w:left="4253" w:hanging="2325"/>
        <w:rPr>
          <w:sz w:val="22"/>
          <w:rtl/>
          <w:lang w:eastAsia="zh-TW"/>
        </w:rPr>
      </w:pPr>
      <w:r w:rsidRPr="0081736E">
        <w:rPr>
          <w:i/>
          <w:iCs/>
          <w:rtl/>
          <w:lang w:eastAsia="zh-TW"/>
        </w:rPr>
        <w:t>الدولة الطرف:</w:t>
      </w:r>
      <w:r>
        <w:rPr>
          <w:rFonts w:hint="cs"/>
          <w:rtl/>
          <w:lang w:eastAsia="zh-TW"/>
        </w:rPr>
        <w:tab/>
      </w:r>
      <w:r w:rsidRPr="00B47131">
        <w:rPr>
          <w:rtl/>
          <w:lang w:eastAsia="zh-TW"/>
        </w:rPr>
        <w:t>أستراليا</w:t>
      </w:r>
    </w:p>
    <w:p w:rsidR="0081736E" w:rsidRPr="00B47131" w:rsidRDefault="0081736E" w:rsidP="00DD3247">
      <w:pPr>
        <w:pStyle w:val="SingleTxtGA"/>
        <w:tabs>
          <w:tab w:val="clear" w:pos="2608"/>
          <w:tab w:val="clear" w:pos="3289"/>
          <w:tab w:val="clear" w:pos="3969"/>
          <w:tab w:val="clear" w:pos="4649"/>
        </w:tabs>
        <w:spacing w:after="80" w:line="360" w:lineRule="exact"/>
        <w:ind w:left="4253" w:hanging="2325"/>
        <w:rPr>
          <w:sz w:val="22"/>
          <w:rtl/>
          <w:lang w:eastAsia="zh-TW"/>
        </w:rPr>
      </w:pPr>
      <w:r w:rsidRPr="0081736E">
        <w:rPr>
          <w:i/>
          <w:iCs/>
          <w:rtl/>
          <w:lang w:eastAsia="zh-TW"/>
        </w:rPr>
        <w:t>تاريخ تقديم البلاغ:</w:t>
      </w:r>
      <w:r>
        <w:rPr>
          <w:rFonts w:hint="cs"/>
          <w:rtl/>
          <w:lang w:eastAsia="zh-TW"/>
        </w:rPr>
        <w:tab/>
      </w:r>
      <w:r w:rsidRPr="00B47131">
        <w:rPr>
          <w:rtl/>
          <w:lang w:eastAsia="zh-TW"/>
        </w:rPr>
        <w:t xml:space="preserve">٢٩ نيسان/أبريل ٢٠١٣ </w:t>
      </w:r>
      <w:dir w:val="rtl">
        <w:r w:rsidRPr="00B47131">
          <w:rPr>
            <w:rtl/>
            <w:lang w:eastAsia="zh-TW"/>
          </w:rPr>
          <w:t>(</w:t>
        </w:r>
        <w:r w:rsidRPr="00B47131">
          <w:rPr>
            <w:rFonts w:ascii="Traditional Arabic" w:hAnsi="Traditional Arabic" w:hint="cs"/>
            <w:rtl/>
            <w:lang w:eastAsia="zh-TW"/>
          </w:rPr>
          <w:t>تاريخ</w:t>
        </w:r>
        <w:r w:rsidRPr="00B47131">
          <w:rPr>
            <w:rtl/>
            <w:lang w:eastAsia="zh-TW"/>
          </w:rPr>
          <w:t xml:space="preserve"> </w:t>
        </w:r>
        <w:r w:rsidRPr="00B47131">
          <w:rPr>
            <w:rFonts w:ascii="Traditional Arabic" w:hAnsi="Traditional Arabic" w:hint="cs"/>
            <w:rtl/>
            <w:lang w:eastAsia="zh-TW"/>
          </w:rPr>
          <w:t>تقديم</w:t>
        </w:r>
        <w:r w:rsidRPr="00B47131">
          <w:rPr>
            <w:rtl/>
            <w:lang w:eastAsia="zh-TW"/>
          </w:rPr>
          <w:t xml:space="preserve"> </w:t>
        </w:r>
        <w:r w:rsidRPr="00B47131">
          <w:rPr>
            <w:rFonts w:ascii="Traditional Arabic" w:hAnsi="Traditional Arabic" w:hint="cs"/>
            <w:rtl/>
            <w:lang w:eastAsia="zh-TW"/>
          </w:rPr>
          <w:t>الرسالة</w:t>
        </w:r>
        <w:r w:rsidRPr="00B47131">
          <w:rPr>
            <w:rtl/>
            <w:lang w:eastAsia="zh-TW"/>
          </w:rPr>
          <w:t xml:space="preserve"> </w:t>
        </w:r>
        <w:r w:rsidRPr="00B47131">
          <w:rPr>
            <w:rFonts w:ascii="Traditional Arabic" w:hAnsi="Traditional Arabic" w:hint="cs"/>
            <w:rtl/>
            <w:lang w:eastAsia="zh-TW"/>
          </w:rPr>
          <w:t>الأولى</w:t>
        </w:r>
        <w:r w:rsidRPr="00B47131">
          <w:rPr>
            <w:rtl/>
            <w:lang w:eastAsia="zh-TW"/>
          </w:rPr>
          <w:t>)</w:t>
        </w:r>
        <w:r w:rsidRPr="00B47131">
          <w:rPr>
            <w:rFonts w:cs="Times New Roman" w:hint="cs"/>
            <w:rtl/>
            <w:lang w:eastAsia="zh-TW"/>
          </w:rPr>
          <w:t>‬</w:t>
        </w:r>
        <w:r w:rsidR="0087267B">
          <w:t>‬</w:t>
        </w:r>
        <w:r w:rsidR="000C45CA">
          <w:t>‬</w:t>
        </w:r>
        <w:r w:rsidR="00A168C8">
          <w:t>‬</w:t>
        </w:r>
        <w:r w:rsidR="00821257">
          <w:t>‬</w:t>
        </w:r>
      </w:dir>
    </w:p>
    <w:p w:rsidR="0081736E" w:rsidRPr="00F05419" w:rsidRDefault="0081736E" w:rsidP="00DD3247">
      <w:pPr>
        <w:pStyle w:val="SingleTxtGA"/>
        <w:tabs>
          <w:tab w:val="clear" w:pos="2608"/>
          <w:tab w:val="clear" w:pos="3289"/>
          <w:tab w:val="clear" w:pos="3969"/>
          <w:tab w:val="clear" w:pos="4649"/>
        </w:tabs>
        <w:spacing w:after="80" w:line="360" w:lineRule="exact"/>
        <w:ind w:left="4253" w:hanging="2325"/>
        <w:rPr>
          <w:spacing w:val="-3"/>
          <w:sz w:val="22"/>
          <w:rtl/>
          <w:lang w:eastAsia="zh-TW"/>
        </w:rPr>
      </w:pPr>
      <w:r w:rsidRPr="00F05419">
        <w:rPr>
          <w:i/>
          <w:iCs/>
          <w:spacing w:val="-3"/>
          <w:rtl/>
          <w:lang w:eastAsia="zh-TW"/>
        </w:rPr>
        <w:t>الوثائق المرجعية:</w:t>
      </w:r>
      <w:r w:rsidRPr="00F05419">
        <w:rPr>
          <w:rFonts w:cs="Times New Roman" w:hint="cs"/>
          <w:i/>
          <w:iCs/>
          <w:spacing w:val="-3"/>
          <w:rtl/>
          <w:lang w:eastAsia="zh-TW"/>
        </w:rPr>
        <w:t>‬</w:t>
      </w:r>
      <w:r w:rsidRPr="00F05419">
        <w:rPr>
          <w:rFonts w:hint="cs"/>
          <w:spacing w:val="-3"/>
          <w:rtl/>
          <w:lang w:eastAsia="zh-TW"/>
        </w:rPr>
        <w:tab/>
      </w:r>
      <w:r w:rsidRPr="00F05419">
        <w:rPr>
          <w:spacing w:val="-3"/>
          <w:rtl/>
          <w:lang w:eastAsia="zh-TW"/>
        </w:rPr>
        <w:t>القرار المتخذ عملاً بالمادة 70 من النظام الداخلي للجنة، والمحال إلى الدولة الطرف في 7 حزيران/يونيه 2014 (لم</w:t>
      </w:r>
      <w:r w:rsidR="00F05419">
        <w:rPr>
          <w:rFonts w:hint="cs"/>
          <w:spacing w:val="-3"/>
          <w:rtl/>
          <w:lang w:eastAsia="zh-TW"/>
        </w:rPr>
        <w:t> </w:t>
      </w:r>
      <w:r w:rsidRPr="00F05419">
        <w:rPr>
          <w:spacing w:val="-3"/>
          <w:rtl/>
          <w:lang w:eastAsia="zh-TW"/>
        </w:rPr>
        <w:t>يصدر في شكل وثيقة)</w:t>
      </w:r>
    </w:p>
    <w:p w:rsidR="0081736E" w:rsidRPr="00B47131" w:rsidRDefault="0081736E" w:rsidP="00DD3247">
      <w:pPr>
        <w:pStyle w:val="SingleTxtGA"/>
        <w:tabs>
          <w:tab w:val="clear" w:pos="2608"/>
          <w:tab w:val="clear" w:pos="3289"/>
          <w:tab w:val="clear" w:pos="3969"/>
          <w:tab w:val="clear" w:pos="4649"/>
        </w:tabs>
        <w:spacing w:after="80" w:line="360" w:lineRule="exact"/>
        <w:ind w:left="4253" w:hanging="2325"/>
        <w:rPr>
          <w:sz w:val="22"/>
          <w:rtl/>
          <w:lang w:eastAsia="zh-TW"/>
        </w:rPr>
      </w:pPr>
      <w:r w:rsidRPr="0081736E">
        <w:rPr>
          <w:i/>
          <w:iCs/>
          <w:rtl/>
          <w:lang w:eastAsia="zh-TW"/>
        </w:rPr>
        <w:t>تاريخ اعتماد الآراء:</w:t>
      </w:r>
      <w:r w:rsidRPr="0081736E">
        <w:rPr>
          <w:rFonts w:cs="Times New Roman" w:hint="cs"/>
          <w:i/>
          <w:iCs/>
          <w:rtl/>
          <w:lang w:eastAsia="zh-TW"/>
        </w:rPr>
        <w:t>‬</w:t>
      </w:r>
      <w:r>
        <w:rPr>
          <w:rFonts w:hint="cs"/>
          <w:rtl/>
          <w:lang w:eastAsia="zh-TW"/>
        </w:rPr>
        <w:tab/>
      </w:r>
      <w:r w:rsidRPr="00B47131">
        <w:rPr>
          <w:rtl/>
          <w:lang w:eastAsia="zh-TW"/>
        </w:rPr>
        <w:t>١ نيسان/أبريل ٢٠١٦</w:t>
      </w:r>
    </w:p>
    <w:p w:rsidR="0081736E" w:rsidRPr="00B47131" w:rsidRDefault="0081736E" w:rsidP="00DD3247">
      <w:pPr>
        <w:pStyle w:val="SingleTxtGA"/>
        <w:tabs>
          <w:tab w:val="clear" w:pos="2608"/>
          <w:tab w:val="clear" w:pos="3289"/>
          <w:tab w:val="clear" w:pos="3969"/>
          <w:tab w:val="clear" w:pos="4649"/>
        </w:tabs>
        <w:spacing w:after="80" w:line="360" w:lineRule="exact"/>
        <w:ind w:left="4253" w:hanging="2325"/>
        <w:rPr>
          <w:rtl/>
          <w:lang w:eastAsia="zh-TW"/>
        </w:rPr>
      </w:pPr>
      <w:r w:rsidRPr="0081736E">
        <w:rPr>
          <w:i/>
          <w:iCs/>
          <w:rtl/>
          <w:lang w:eastAsia="zh-TW"/>
        </w:rPr>
        <w:t>الموضوع:</w:t>
      </w:r>
      <w:r>
        <w:rPr>
          <w:rFonts w:hint="cs"/>
          <w:rtl/>
          <w:lang w:eastAsia="zh-TW"/>
        </w:rPr>
        <w:tab/>
      </w:r>
      <w:r w:rsidRPr="00B47131">
        <w:rPr>
          <w:rtl/>
          <w:lang w:eastAsia="zh-TW"/>
        </w:rPr>
        <w:t>مشاركة الصم في أداء الواجب في هيئة محلفين</w:t>
      </w:r>
    </w:p>
    <w:p w:rsidR="0081736E" w:rsidRPr="00B47131" w:rsidRDefault="0081736E" w:rsidP="00DD3247">
      <w:pPr>
        <w:pStyle w:val="SingleTxtGA"/>
        <w:tabs>
          <w:tab w:val="clear" w:pos="2608"/>
          <w:tab w:val="clear" w:pos="3289"/>
          <w:tab w:val="clear" w:pos="3969"/>
          <w:tab w:val="clear" w:pos="4649"/>
        </w:tabs>
        <w:spacing w:after="80" w:line="360" w:lineRule="exact"/>
        <w:ind w:left="4253" w:hanging="2325"/>
        <w:rPr>
          <w:sz w:val="22"/>
          <w:rtl/>
          <w:lang w:eastAsia="zh-TW"/>
        </w:rPr>
      </w:pPr>
      <w:r w:rsidRPr="0081736E">
        <w:rPr>
          <w:i/>
          <w:iCs/>
          <w:rtl/>
          <w:lang w:eastAsia="zh-TW"/>
        </w:rPr>
        <w:t>المسائل الإجرائية:</w:t>
      </w:r>
      <w:r>
        <w:rPr>
          <w:rFonts w:hint="cs"/>
          <w:rtl/>
          <w:lang w:eastAsia="zh-TW"/>
        </w:rPr>
        <w:tab/>
      </w:r>
      <w:r w:rsidRPr="00B47131">
        <w:rPr>
          <w:rFonts w:ascii="Traditional Arabic" w:hAnsi="Traditional Arabic" w:hint="cs"/>
          <w:rtl/>
          <w:lang w:eastAsia="zh-TW"/>
        </w:rPr>
        <w:t>مقبولية</w:t>
      </w:r>
      <w:r w:rsidRPr="00B47131">
        <w:rPr>
          <w:rtl/>
          <w:lang w:eastAsia="zh-TW"/>
        </w:rPr>
        <w:t xml:space="preserve"> </w:t>
      </w:r>
      <w:r w:rsidRPr="00B47131">
        <w:rPr>
          <w:rFonts w:ascii="Traditional Arabic" w:hAnsi="Traditional Arabic" w:hint="cs"/>
          <w:rtl/>
          <w:lang w:eastAsia="zh-TW"/>
        </w:rPr>
        <w:t>الادعاءا</w:t>
      </w:r>
      <w:r w:rsidRPr="00B47131">
        <w:rPr>
          <w:rtl/>
          <w:lang w:eastAsia="zh-TW"/>
        </w:rPr>
        <w:t>ت</w:t>
      </w:r>
      <w:r w:rsidRPr="00B47131">
        <w:rPr>
          <w:rFonts w:cs="Times New Roman" w:hint="cs"/>
          <w:rtl/>
          <w:lang w:eastAsia="zh-TW"/>
        </w:rPr>
        <w:t>‬</w:t>
      </w:r>
    </w:p>
    <w:p w:rsidR="0081736E" w:rsidRPr="00E800D7" w:rsidRDefault="0081736E" w:rsidP="00DD3247">
      <w:pPr>
        <w:pStyle w:val="SingleTxtGA"/>
        <w:tabs>
          <w:tab w:val="clear" w:pos="2608"/>
          <w:tab w:val="clear" w:pos="3289"/>
          <w:tab w:val="clear" w:pos="3969"/>
          <w:tab w:val="clear" w:pos="4649"/>
        </w:tabs>
        <w:spacing w:after="80" w:line="360" w:lineRule="exact"/>
        <w:ind w:left="4253" w:hanging="2325"/>
        <w:rPr>
          <w:spacing w:val="-6"/>
          <w:rtl/>
          <w:lang w:eastAsia="zh-TW"/>
        </w:rPr>
      </w:pPr>
      <w:r w:rsidRPr="00E800D7">
        <w:rPr>
          <w:i/>
          <w:iCs/>
          <w:spacing w:val="-6"/>
          <w:rtl/>
          <w:lang w:eastAsia="zh-TW"/>
        </w:rPr>
        <w:t>المسائل الموضوعية:</w:t>
      </w:r>
      <w:r w:rsidRPr="00E800D7">
        <w:rPr>
          <w:rFonts w:hint="cs"/>
          <w:i/>
          <w:iCs/>
          <w:spacing w:val="-6"/>
          <w:rtl/>
          <w:lang w:eastAsia="zh-TW"/>
        </w:rPr>
        <w:t>‬</w:t>
      </w:r>
      <w:r w:rsidRPr="00E800D7">
        <w:rPr>
          <w:rFonts w:hint="cs"/>
          <w:i/>
          <w:iCs/>
          <w:spacing w:val="-6"/>
          <w:rtl/>
          <w:lang w:eastAsia="zh-TW"/>
        </w:rPr>
        <w:tab/>
      </w:r>
      <w:dir w:val="rtl">
        <w:r w:rsidRPr="00E800D7">
          <w:rPr>
            <w:rFonts w:hint="cs"/>
            <w:spacing w:val="-9"/>
            <w:rtl/>
            <w:lang w:eastAsia="zh-TW"/>
          </w:rPr>
          <w:t>المساواة</w:t>
        </w:r>
        <w:r w:rsidRPr="00E800D7">
          <w:rPr>
            <w:spacing w:val="-9"/>
            <w:rtl/>
            <w:lang w:eastAsia="zh-TW"/>
          </w:rPr>
          <w:t xml:space="preserve"> </w:t>
        </w:r>
        <w:r w:rsidRPr="00E800D7">
          <w:rPr>
            <w:rFonts w:hint="cs"/>
            <w:spacing w:val="-9"/>
            <w:rtl/>
            <w:lang w:eastAsia="zh-TW"/>
          </w:rPr>
          <w:t>وعدم</w:t>
        </w:r>
        <w:r w:rsidRPr="00E800D7">
          <w:rPr>
            <w:spacing w:val="-9"/>
            <w:rtl/>
            <w:lang w:eastAsia="zh-TW"/>
          </w:rPr>
          <w:t xml:space="preserve"> </w:t>
        </w:r>
        <w:r w:rsidRPr="00E800D7">
          <w:rPr>
            <w:rFonts w:hint="cs"/>
            <w:spacing w:val="-9"/>
            <w:rtl/>
            <w:lang w:eastAsia="zh-TW"/>
          </w:rPr>
          <w:t>التمييز؛</w:t>
        </w:r>
        <w:r w:rsidRPr="00E800D7">
          <w:rPr>
            <w:spacing w:val="-9"/>
            <w:rtl/>
            <w:lang w:eastAsia="zh-TW"/>
          </w:rPr>
          <w:t xml:space="preserve"> </w:t>
        </w:r>
        <w:r w:rsidRPr="00E800D7">
          <w:rPr>
            <w:rFonts w:hint="cs"/>
            <w:spacing w:val="-9"/>
            <w:rtl/>
            <w:lang w:eastAsia="zh-TW"/>
          </w:rPr>
          <w:t>والترتيبات</w:t>
        </w:r>
        <w:r w:rsidRPr="00E800D7">
          <w:rPr>
            <w:spacing w:val="-9"/>
            <w:rtl/>
            <w:lang w:eastAsia="zh-TW"/>
          </w:rPr>
          <w:t xml:space="preserve"> </w:t>
        </w:r>
        <w:proofErr w:type="spellStart"/>
        <w:r w:rsidRPr="00E800D7">
          <w:rPr>
            <w:rFonts w:hint="cs"/>
            <w:spacing w:val="-9"/>
            <w:rtl/>
            <w:lang w:eastAsia="zh-TW"/>
          </w:rPr>
          <w:t>التيسيرية</w:t>
        </w:r>
        <w:proofErr w:type="spellEnd"/>
        <w:r w:rsidRPr="00E800D7">
          <w:rPr>
            <w:spacing w:val="-9"/>
            <w:rtl/>
            <w:lang w:eastAsia="zh-TW"/>
          </w:rPr>
          <w:t xml:space="preserve"> </w:t>
        </w:r>
        <w:r w:rsidRPr="00E800D7">
          <w:rPr>
            <w:rFonts w:hint="cs"/>
            <w:spacing w:val="-9"/>
            <w:rtl/>
            <w:lang w:eastAsia="zh-TW"/>
          </w:rPr>
          <w:t>المعقولة؛</w:t>
        </w:r>
        <w:r w:rsidRPr="00E800D7">
          <w:rPr>
            <w:spacing w:val="-9"/>
            <w:rtl/>
            <w:lang w:eastAsia="zh-TW"/>
          </w:rPr>
          <w:t xml:space="preserve"> </w:t>
        </w:r>
        <w:r w:rsidRPr="00E800D7">
          <w:rPr>
            <w:rFonts w:hint="cs"/>
            <w:spacing w:val="-9"/>
            <w:rtl/>
            <w:lang w:eastAsia="zh-TW"/>
          </w:rPr>
          <w:t>والاعتراف</w:t>
        </w:r>
        <w:r w:rsidRPr="00E800D7">
          <w:rPr>
            <w:spacing w:val="-6"/>
            <w:rtl/>
            <w:lang w:eastAsia="zh-TW"/>
          </w:rPr>
          <w:t xml:space="preserve"> </w:t>
        </w:r>
        <w:r w:rsidRPr="00E800D7">
          <w:rPr>
            <w:rFonts w:hint="cs"/>
            <w:spacing w:val="-6"/>
            <w:rtl/>
            <w:lang w:eastAsia="zh-TW"/>
          </w:rPr>
          <w:t>بالأشخاص</w:t>
        </w:r>
        <w:bookmarkStart w:id="0" w:name="_GoBack"/>
        <w:bookmarkEnd w:id="0"/>
        <w:r w:rsidRPr="00E800D7">
          <w:rPr>
            <w:spacing w:val="-6"/>
            <w:rtl/>
            <w:lang w:eastAsia="zh-TW"/>
          </w:rPr>
          <w:t xml:space="preserve"> </w:t>
        </w:r>
        <w:r w:rsidRPr="00E800D7">
          <w:rPr>
            <w:rFonts w:hint="cs"/>
            <w:spacing w:val="-6"/>
            <w:rtl/>
            <w:lang w:eastAsia="zh-TW"/>
          </w:rPr>
          <w:t>ذوي</w:t>
        </w:r>
        <w:r w:rsidRPr="00E800D7">
          <w:rPr>
            <w:spacing w:val="-6"/>
            <w:rtl/>
            <w:lang w:eastAsia="zh-TW"/>
          </w:rPr>
          <w:t xml:space="preserve"> </w:t>
        </w:r>
        <w:r w:rsidRPr="00E800D7">
          <w:rPr>
            <w:rFonts w:hint="cs"/>
            <w:spacing w:val="-6"/>
            <w:rtl/>
            <w:lang w:eastAsia="zh-TW"/>
          </w:rPr>
          <w:t>الإعاقة</w:t>
        </w:r>
        <w:r w:rsidRPr="00E800D7">
          <w:rPr>
            <w:spacing w:val="-6"/>
            <w:rtl/>
            <w:lang w:eastAsia="zh-TW"/>
          </w:rPr>
          <w:t xml:space="preserve"> </w:t>
        </w:r>
        <w:r w:rsidRPr="00E800D7">
          <w:rPr>
            <w:rFonts w:hint="cs"/>
            <w:spacing w:val="-6"/>
            <w:rtl/>
            <w:lang w:eastAsia="zh-TW"/>
          </w:rPr>
          <w:t>على</w:t>
        </w:r>
        <w:r w:rsidRPr="00E800D7">
          <w:rPr>
            <w:spacing w:val="-6"/>
            <w:rtl/>
            <w:lang w:eastAsia="zh-TW"/>
          </w:rPr>
          <w:t xml:space="preserve"> </w:t>
        </w:r>
        <w:r w:rsidRPr="00E800D7">
          <w:rPr>
            <w:rFonts w:hint="cs"/>
            <w:spacing w:val="-6"/>
            <w:rtl/>
            <w:lang w:eastAsia="zh-TW"/>
          </w:rPr>
          <w:t>قدم</w:t>
        </w:r>
        <w:r w:rsidRPr="00E800D7">
          <w:rPr>
            <w:spacing w:val="-6"/>
            <w:rtl/>
            <w:lang w:eastAsia="zh-TW"/>
          </w:rPr>
          <w:t xml:space="preserve"> </w:t>
        </w:r>
        <w:r w:rsidRPr="00E800D7">
          <w:rPr>
            <w:rFonts w:hint="cs"/>
            <w:spacing w:val="-6"/>
            <w:rtl/>
            <w:lang w:eastAsia="zh-TW"/>
          </w:rPr>
          <w:t>المساواة</w:t>
        </w:r>
        <w:r w:rsidRPr="00E800D7">
          <w:rPr>
            <w:spacing w:val="-6"/>
            <w:rtl/>
            <w:lang w:eastAsia="zh-TW"/>
          </w:rPr>
          <w:t xml:space="preserve"> </w:t>
        </w:r>
        <w:r w:rsidRPr="00E800D7">
          <w:rPr>
            <w:rFonts w:hint="cs"/>
            <w:spacing w:val="-6"/>
            <w:rtl/>
            <w:lang w:eastAsia="zh-TW"/>
          </w:rPr>
          <w:t>مع</w:t>
        </w:r>
        <w:r w:rsidRPr="00E800D7">
          <w:rPr>
            <w:spacing w:val="-6"/>
            <w:rtl/>
            <w:lang w:eastAsia="zh-TW"/>
          </w:rPr>
          <w:t xml:space="preserve"> </w:t>
        </w:r>
        <w:r w:rsidRPr="00E800D7">
          <w:rPr>
            <w:rFonts w:hint="cs"/>
            <w:spacing w:val="-6"/>
            <w:rtl/>
            <w:lang w:eastAsia="zh-TW"/>
          </w:rPr>
          <w:t>الآخرين</w:t>
        </w:r>
        <w:r w:rsidRPr="00E800D7">
          <w:rPr>
            <w:spacing w:val="-6"/>
            <w:rtl/>
            <w:lang w:eastAsia="zh-TW"/>
          </w:rPr>
          <w:t xml:space="preserve"> </w:t>
        </w:r>
        <w:r w:rsidRPr="00E800D7">
          <w:rPr>
            <w:rFonts w:hint="cs"/>
            <w:spacing w:val="-6"/>
            <w:rtl/>
            <w:lang w:eastAsia="zh-TW"/>
          </w:rPr>
          <w:t>أمام</w:t>
        </w:r>
        <w:r w:rsidRPr="00E800D7">
          <w:rPr>
            <w:spacing w:val="-6"/>
            <w:rtl/>
            <w:lang w:eastAsia="zh-TW"/>
          </w:rPr>
          <w:t xml:space="preserve"> </w:t>
        </w:r>
        <w:r w:rsidRPr="00E800D7">
          <w:rPr>
            <w:rFonts w:hint="cs"/>
            <w:spacing w:val="-6"/>
            <w:rtl/>
            <w:lang w:eastAsia="zh-TW"/>
          </w:rPr>
          <w:t>القانون؛</w:t>
        </w:r>
        <w:r w:rsidRPr="00E800D7">
          <w:rPr>
            <w:spacing w:val="-6"/>
            <w:rtl/>
            <w:lang w:eastAsia="zh-TW"/>
          </w:rPr>
          <w:t xml:space="preserve"> </w:t>
        </w:r>
        <w:r w:rsidRPr="00E800D7">
          <w:rPr>
            <w:rFonts w:hint="cs"/>
            <w:spacing w:val="-6"/>
            <w:rtl/>
            <w:lang w:eastAsia="zh-TW"/>
          </w:rPr>
          <w:t>وحرية</w:t>
        </w:r>
        <w:r w:rsidRPr="00E800D7">
          <w:rPr>
            <w:spacing w:val="-6"/>
            <w:rtl/>
            <w:lang w:eastAsia="zh-TW"/>
          </w:rPr>
          <w:t xml:space="preserve"> </w:t>
        </w:r>
        <w:r w:rsidRPr="00E800D7">
          <w:rPr>
            <w:rFonts w:hint="cs"/>
            <w:spacing w:val="-6"/>
            <w:rtl/>
            <w:lang w:eastAsia="zh-TW"/>
          </w:rPr>
          <w:t>التعبير؛</w:t>
        </w:r>
        <w:r w:rsidRPr="00E800D7">
          <w:rPr>
            <w:spacing w:val="-6"/>
            <w:rtl/>
            <w:lang w:eastAsia="zh-TW"/>
          </w:rPr>
          <w:t xml:space="preserve"> </w:t>
        </w:r>
        <w:r w:rsidRPr="00E800D7">
          <w:rPr>
            <w:rFonts w:hint="cs"/>
            <w:spacing w:val="-6"/>
            <w:rtl/>
            <w:lang w:eastAsia="zh-TW"/>
          </w:rPr>
          <w:t>والمشاركة</w:t>
        </w:r>
        <w:r w:rsidRPr="00E800D7">
          <w:rPr>
            <w:spacing w:val="-6"/>
            <w:rtl/>
            <w:lang w:eastAsia="zh-TW"/>
          </w:rPr>
          <w:t xml:space="preserve"> </w:t>
        </w:r>
        <w:r w:rsidRPr="00E800D7">
          <w:rPr>
            <w:rFonts w:hint="cs"/>
            <w:spacing w:val="-6"/>
            <w:rtl/>
            <w:lang w:eastAsia="zh-TW"/>
          </w:rPr>
          <w:t>في</w:t>
        </w:r>
        <w:r w:rsidRPr="00E800D7">
          <w:rPr>
            <w:spacing w:val="-6"/>
            <w:rtl/>
            <w:lang w:eastAsia="zh-TW"/>
          </w:rPr>
          <w:t xml:space="preserve"> </w:t>
        </w:r>
        <w:r w:rsidRPr="00E800D7">
          <w:rPr>
            <w:rFonts w:hint="cs"/>
            <w:spacing w:val="-6"/>
            <w:rtl/>
            <w:lang w:eastAsia="zh-TW"/>
          </w:rPr>
          <w:t>الحياة</w:t>
        </w:r>
        <w:r w:rsidRPr="00E800D7">
          <w:rPr>
            <w:spacing w:val="-6"/>
            <w:rtl/>
            <w:lang w:eastAsia="zh-TW"/>
          </w:rPr>
          <w:t xml:space="preserve"> </w:t>
        </w:r>
        <w:r w:rsidRPr="00E800D7">
          <w:rPr>
            <w:rFonts w:hint="cs"/>
            <w:spacing w:val="-6"/>
            <w:rtl/>
            <w:lang w:eastAsia="zh-TW"/>
          </w:rPr>
          <w:t>العامة</w:t>
        </w:r>
        <w:r w:rsidRPr="00E800D7">
          <w:rPr>
            <w:rFonts w:hint="cs"/>
            <w:spacing w:val="-6"/>
            <w:rtl/>
            <w:lang w:eastAsia="zh-TW"/>
          </w:rPr>
          <w:t>‬</w:t>
        </w:r>
        <w:r w:rsidR="0087267B">
          <w:t>‬</w:t>
        </w:r>
        <w:r w:rsidR="000C45CA">
          <w:t>‬</w:t>
        </w:r>
        <w:r w:rsidR="00A168C8">
          <w:t>‬</w:t>
        </w:r>
        <w:r w:rsidR="00821257">
          <w:t>‬</w:t>
        </w:r>
      </w:dir>
    </w:p>
    <w:p w:rsidR="0081736E" w:rsidRPr="0081736E" w:rsidRDefault="00821257" w:rsidP="00DD3247">
      <w:pPr>
        <w:pStyle w:val="SingleTxtGA"/>
        <w:tabs>
          <w:tab w:val="clear" w:pos="2608"/>
          <w:tab w:val="clear" w:pos="3289"/>
          <w:tab w:val="clear" w:pos="3969"/>
          <w:tab w:val="clear" w:pos="4649"/>
        </w:tabs>
        <w:spacing w:after="80" w:line="360" w:lineRule="exact"/>
        <w:ind w:left="4253" w:hanging="2325"/>
        <w:rPr>
          <w:rtl/>
          <w:lang w:eastAsia="zh-TW"/>
        </w:rPr>
      </w:pPr>
      <w:dir w:val="rtl">
        <w:r w:rsidR="0081736E" w:rsidRPr="0081736E">
          <w:rPr>
            <w:rFonts w:hint="cs"/>
            <w:i/>
            <w:iCs/>
            <w:rtl/>
            <w:lang w:eastAsia="zh-TW"/>
          </w:rPr>
          <w:t>مواد</w:t>
        </w:r>
        <w:r w:rsidR="0081736E" w:rsidRPr="0081736E">
          <w:rPr>
            <w:i/>
            <w:iCs/>
            <w:rtl/>
            <w:lang w:eastAsia="zh-TW"/>
          </w:rPr>
          <w:t xml:space="preserve"> </w:t>
        </w:r>
        <w:r w:rsidR="0081736E" w:rsidRPr="0081736E">
          <w:rPr>
            <w:rFonts w:hint="cs"/>
            <w:i/>
            <w:iCs/>
            <w:rtl/>
            <w:lang w:eastAsia="zh-TW"/>
          </w:rPr>
          <w:t>الاتفاقية</w:t>
        </w:r>
        <w:r w:rsidR="0081736E" w:rsidRPr="0081736E">
          <w:rPr>
            <w:i/>
            <w:iCs/>
            <w:rtl/>
            <w:lang w:eastAsia="zh-TW"/>
          </w:rPr>
          <w:t>:</w:t>
        </w:r>
        <w:r w:rsidR="0081736E" w:rsidRPr="0081736E">
          <w:rPr>
            <w:rFonts w:hint="cs"/>
            <w:i/>
            <w:iCs/>
            <w:rtl/>
            <w:lang w:eastAsia="zh-TW"/>
          </w:rPr>
          <w:t>‬</w:t>
        </w:r>
        <w:r w:rsidR="0081736E" w:rsidRPr="0081736E">
          <w:rPr>
            <w:rFonts w:hint="cs"/>
            <w:i/>
            <w:iCs/>
            <w:rtl/>
            <w:lang w:eastAsia="zh-TW"/>
          </w:rPr>
          <w:tab/>
        </w:r>
        <w:r w:rsidR="0081736E" w:rsidRPr="0081736E">
          <w:rPr>
            <w:rtl/>
            <w:lang w:eastAsia="zh-TW"/>
          </w:rPr>
          <w:t>المواد 2 و4 و5 و9 و12 و13 و21 و29</w:t>
        </w:r>
        <w:r w:rsidR="0087267B">
          <w:t>‬</w:t>
        </w:r>
        <w:r w:rsidR="000C45CA">
          <w:t>‬</w:t>
        </w:r>
        <w:r w:rsidR="00A168C8">
          <w:t>‬</w:t>
        </w:r>
        <w:r>
          <w:t>‬</w:t>
        </w:r>
      </w:dir>
    </w:p>
    <w:p w:rsidR="0081736E" w:rsidRPr="0081736E" w:rsidRDefault="0081736E" w:rsidP="00E800D7">
      <w:pPr>
        <w:pStyle w:val="SingleTxtGA"/>
        <w:tabs>
          <w:tab w:val="clear" w:pos="2608"/>
          <w:tab w:val="clear" w:pos="3289"/>
          <w:tab w:val="clear" w:pos="3969"/>
          <w:tab w:val="clear" w:pos="4649"/>
        </w:tabs>
        <w:spacing w:line="360" w:lineRule="exact"/>
        <w:ind w:left="4253" w:hanging="2325"/>
        <w:rPr>
          <w:rtl/>
          <w:lang w:eastAsia="zh-TW"/>
        </w:rPr>
      </w:pPr>
      <w:r w:rsidRPr="0081736E">
        <w:rPr>
          <w:i/>
          <w:iCs/>
          <w:rtl/>
          <w:lang w:eastAsia="zh-TW"/>
        </w:rPr>
        <w:lastRenderedPageBreak/>
        <w:t>مواد البروتوكول الاختياري:</w:t>
      </w:r>
      <w:r w:rsidRPr="0081736E">
        <w:rPr>
          <w:rFonts w:hint="cs"/>
          <w:i/>
          <w:iCs/>
          <w:rtl/>
          <w:lang w:eastAsia="zh-TW"/>
        </w:rPr>
        <w:t>‬</w:t>
      </w:r>
      <w:r w:rsidRPr="0081736E">
        <w:rPr>
          <w:rFonts w:hint="cs"/>
          <w:i/>
          <w:iCs/>
          <w:rtl/>
          <w:lang w:eastAsia="zh-TW"/>
        </w:rPr>
        <w:tab/>
      </w:r>
      <w:r w:rsidRPr="0081736E">
        <w:rPr>
          <w:rtl/>
          <w:lang w:eastAsia="zh-TW"/>
        </w:rPr>
        <w:t>الفقرتان (د) و(ه) من المادة 2</w:t>
      </w:r>
    </w:p>
    <w:p w:rsidR="0081736E" w:rsidRPr="00B47131" w:rsidRDefault="0081736E" w:rsidP="00F05419">
      <w:pPr>
        <w:pStyle w:val="SingleTxtGA"/>
        <w:rPr>
          <w:rtl/>
          <w:lang w:eastAsia="zh-TW"/>
        </w:rPr>
      </w:pPr>
      <w:r>
        <w:rPr>
          <w:rtl/>
          <w:lang w:eastAsia="zh-TW"/>
        </w:rPr>
        <w:t>١-</w:t>
      </w:r>
      <w:r>
        <w:rPr>
          <w:rFonts w:hint="cs"/>
          <w:rtl/>
          <w:lang w:eastAsia="zh-TW"/>
        </w:rPr>
        <w:tab/>
      </w:r>
      <w:r w:rsidRPr="00B47131">
        <w:rPr>
          <w:rtl/>
          <w:lang w:eastAsia="zh-TW"/>
        </w:rPr>
        <w:t xml:space="preserve">صاحبة البلاغ هي جيما </w:t>
      </w:r>
      <w:proofErr w:type="spellStart"/>
      <w:r w:rsidRPr="00B47131">
        <w:rPr>
          <w:rtl/>
          <w:lang w:eastAsia="zh-TW"/>
        </w:rPr>
        <w:t>بيسلي</w:t>
      </w:r>
      <w:proofErr w:type="spellEnd"/>
      <w:r w:rsidRPr="00B47131">
        <w:rPr>
          <w:rtl/>
          <w:lang w:eastAsia="zh-TW"/>
        </w:rPr>
        <w:t>، وهي مواطنة أسترالية من مواليد</w:t>
      </w:r>
      <w:r w:rsidR="0086606C">
        <w:rPr>
          <w:rtl/>
          <w:lang w:eastAsia="zh-TW"/>
        </w:rPr>
        <w:t xml:space="preserve"> </w:t>
      </w:r>
      <w:r w:rsidRPr="00B47131">
        <w:rPr>
          <w:rtl/>
          <w:lang w:eastAsia="zh-TW"/>
        </w:rPr>
        <w:t>7 آب/</w:t>
      </w:r>
      <w:r w:rsidR="00F05419">
        <w:rPr>
          <w:rFonts w:hint="cs"/>
          <w:rtl/>
          <w:lang w:eastAsia="zh-TW"/>
        </w:rPr>
        <w:t xml:space="preserve"> </w:t>
      </w:r>
      <w:r w:rsidRPr="00B47131">
        <w:rPr>
          <w:rtl/>
          <w:lang w:eastAsia="zh-TW"/>
        </w:rPr>
        <w:t>أغسطس</w:t>
      </w:r>
      <w:r w:rsidR="00F05419">
        <w:rPr>
          <w:rFonts w:hint="cs"/>
          <w:rtl/>
          <w:lang w:eastAsia="zh-TW"/>
        </w:rPr>
        <w:t> </w:t>
      </w:r>
      <w:r w:rsidRPr="00B47131">
        <w:rPr>
          <w:rtl/>
          <w:lang w:eastAsia="zh-TW"/>
        </w:rPr>
        <w:t>1975. وتدعي صاحبة البلاغ أن الدولة الطرف انتهكت حقوقها المكفولة بموجب المواد 4 و5 و9 و12 و13 و21 و29 من اتفاقية حقوق الأشخاص ذوي الإعاقة.</w:t>
      </w:r>
      <w:r w:rsidRPr="00B47131">
        <w:rPr>
          <w:rFonts w:cs="Times New Roman" w:hint="cs"/>
          <w:rtl/>
          <w:lang w:eastAsia="zh-TW"/>
        </w:rPr>
        <w:t>‬</w:t>
      </w:r>
      <w:r w:rsidRPr="00B47131">
        <w:rPr>
          <w:rtl/>
          <w:lang w:eastAsia="zh-TW"/>
        </w:rPr>
        <w:t xml:space="preserve"> </w:t>
      </w:r>
      <w:dir w:val="rtl">
        <w:r w:rsidRPr="00B47131">
          <w:rPr>
            <w:rFonts w:ascii="Traditional Arabic" w:hAnsi="Traditional Arabic" w:hint="cs"/>
            <w:rtl/>
            <w:lang w:eastAsia="zh-TW"/>
          </w:rPr>
          <w:t>ويمثل</w:t>
        </w:r>
        <w:r w:rsidRPr="00B47131">
          <w:rPr>
            <w:rtl/>
            <w:lang w:eastAsia="zh-TW"/>
          </w:rPr>
          <w:t xml:space="preserve"> </w:t>
        </w:r>
        <w:r w:rsidRPr="00B47131">
          <w:rPr>
            <w:rFonts w:ascii="Traditional Arabic" w:hAnsi="Traditional Arabic" w:hint="cs"/>
            <w:rtl/>
            <w:lang w:eastAsia="zh-TW"/>
          </w:rPr>
          <w:t>صاحبة</w:t>
        </w:r>
        <w:r w:rsidRPr="00B47131">
          <w:rPr>
            <w:rtl/>
            <w:lang w:eastAsia="zh-TW"/>
          </w:rPr>
          <w:t xml:space="preserve"> </w:t>
        </w:r>
        <w:r w:rsidRPr="00B47131">
          <w:rPr>
            <w:rFonts w:ascii="Traditional Arabic" w:hAnsi="Traditional Arabic" w:hint="cs"/>
            <w:rtl/>
            <w:lang w:eastAsia="zh-TW"/>
          </w:rPr>
          <w:t>البلاغ</w:t>
        </w:r>
        <w:r w:rsidRPr="00B47131">
          <w:rPr>
            <w:rtl/>
            <w:lang w:eastAsia="zh-TW"/>
          </w:rPr>
          <w:t xml:space="preserve"> </w:t>
        </w:r>
        <w:r w:rsidRPr="00B47131">
          <w:rPr>
            <w:rFonts w:ascii="Traditional Arabic" w:hAnsi="Traditional Arabic" w:hint="cs"/>
            <w:rtl/>
            <w:lang w:eastAsia="zh-TW"/>
          </w:rPr>
          <w:t>المركز</w:t>
        </w:r>
        <w:r w:rsidRPr="00B47131">
          <w:rPr>
            <w:rtl/>
            <w:lang w:eastAsia="zh-TW"/>
          </w:rPr>
          <w:t xml:space="preserve"> </w:t>
        </w:r>
        <w:r w:rsidRPr="00B47131">
          <w:rPr>
            <w:rFonts w:ascii="Traditional Arabic" w:hAnsi="Traditional Arabic" w:hint="cs"/>
            <w:rtl/>
            <w:lang w:eastAsia="zh-TW"/>
          </w:rPr>
          <w:t>الأسترالي</w:t>
        </w:r>
        <w:r w:rsidRPr="00B47131">
          <w:rPr>
            <w:rtl/>
            <w:lang w:eastAsia="zh-TW"/>
          </w:rPr>
          <w:t xml:space="preserve"> </w:t>
        </w:r>
        <w:r w:rsidRPr="00B47131">
          <w:rPr>
            <w:rFonts w:ascii="Traditional Arabic" w:hAnsi="Traditional Arabic" w:hint="cs"/>
            <w:rtl/>
            <w:lang w:eastAsia="zh-TW"/>
          </w:rPr>
          <w:t>لقانون</w:t>
        </w:r>
        <w:r w:rsidRPr="00B47131">
          <w:rPr>
            <w:rtl/>
            <w:lang w:eastAsia="zh-TW"/>
          </w:rPr>
          <w:t xml:space="preserve"> </w:t>
        </w:r>
        <w:r w:rsidRPr="00B47131">
          <w:rPr>
            <w:rFonts w:ascii="Traditional Arabic" w:hAnsi="Traditional Arabic" w:hint="cs"/>
            <w:rtl/>
            <w:lang w:eastAsia="zh-TW"/>
          </w:rPr>
          <w:t>الإعاقة</w:t>
        </w:r>
        <w:r w:rsidRPr="00B47131">
          <w:rPr>
            <w:rtl/>
            <w:lang w:eastAsia="zh-TW"/>
          </w:rPr>
          <w:t>.</w:t>
        </w:r>
        <w:r w:rsidRPr="00B47131">
          <w:rPr>
            <w:rFonts w:cs="Times New Roman" w:hint="cs"/>
            <w:rtl/>
            <w:lang w:eastAsia="zh-TW"/>
          </w:rPr>
          <w:t>‬</w:t>
        </w:r>
        <w:r w:rsidRPr="00B47131">
          <w:rPr>
            <w:rtl/>
            <w:lang w:eastAsia="zh-TW"/>
          </w:rPr>
          <w:t xml:space="preserve"> </w:t>
        </w:r>
        <w:r w:rsidRPr="00B47131">
          <w:rPr>
            <w:rFonts w:ascii="Traditional Arabic" w:hAnsi="Traditional Arabic" w:hint="cs"/>
            <w:rtl/>
            <w:lang w:eastAsia="zh-TW"/>
          </w:rPr>
          <w:t>وقد</w:t>
        </w:r>
        <w:r w:rsidRPr="00B47131">
          <w:rPr>
            <w:rtl/>
            <w:lang w:eastAsia="zh-TW"/>
          </w:rPr>
          <w:t xml:space="preserve"> </w:t>
        </w:r>
        <w:r w:rsidRPr="00B47131">
          <w:rPr>
            <w:rFonts w:ascii="Traditional Arabic" w:hAnsi="Traditional Arabic" w:hint="cs"/>
            <w:rtl/>
            <w:lang w:eastAsia="zh-TW"/>
          </w:rPr>
          <w:t>بدأ</w:t>
        </w:r>
        <w:r w:rsidRPr="00B47131">
          <w:rPr>
            <w:rtl/>
            <w:lang w:eastAsia="zh-TW"/>
          </w:rPr>
          <w:t xml:space="preserve"> </w:t>
        </w:r>
        <w:r w:rsidRPr="00B47131">
          <w:rPr>
            <w:rFonts w:ascii="Traditional Arabic" w:hAnsi="Traditional Arabic" w:hint="cs"/>
            <w:rtl/>
            <w:lang w:eastAsia="zh-TW"/>
          </w:rPr>
          <w:t>نفاذ</w:t>
        </w:r>
        <w:r w:rsidRPr="00B47131">
          <w:rPr>
            <w:rtl/>
            <w:lang w:eastAsia="zh-TW"/>
          </w:rPr>
          <w:t xml:space="preserve"> </w:t>
        </w:r>
        <w:r w:rsidRPr="00B47131">
          <w:rPr>
            <w:rFonts w:ascii="Traditional Arabic" w:hAnsi="Traditional Arabic" w:hint="cs"/>
            <w:rtl/>
            <w:lang w:eastAsia="zh-TW"/>
          </w:rPr>
          <w:t>الاتفاقية</w:t>
        </w:r>
        <w:r w:rsidRPr="00B47131">
          <w:rPr>
            <w:rtl/>
            <w:lang w:eastAsia="zh-TW"/>
          </w:rPr>
          <w:t xml:space="preserve"> </w:t>
        </w:r>
        <w:r w:rsidRPr="00B47131">
          <w:rPr>
            <w:rFonts w:ascii="Traditional Arabic" w:hAnsi="Traditional Arabic" w:hint="cs"/>
            <w:rtl/>
            <w:lang w:eastAsia="zh-TW"/>
          </w:rPr>
          <w:t>في</w:t>
        </w:r>
        <w:r w:rsidRPr="00B47131">
          <w:rPr>
            <w:rtl/>
            <w:lang w:eastAsia="zh-TW"/>
          </w:rPr>
          <w:t xml:space="preserve"> </w:t>
        </w:r>
        <w:r w:rsidRPr="00B47131">
          <w:rPr>
            <w:rFonts w:ascii="Traditional Arabic" w:hAnsi="Traditional Arabic" w:hint="cs"/>
            <w:rtl/>
            <w:lang w:eastAsia="zh-TW"/>
          </w:rPr>
          <w:t>الدولة</w:t>
        </w:r>
        <w:r w:rsidRPr="00B47131">
          <w:rPr>
            <w:rtl/>
            <w:lang w:eastAsia="zh-TW"/>
          </w:rPr>
          <w:t xml:space="preserve"> </w:t>
        </w:r>
        <w:r w:rsidRPr="00B47131">
          <w:rPr>
            <w:rFonts w:ascii="Traditional Arabic" w:hAnsi="Traditional Arabic" w:hint="cs"/>
            <w:rtl/>
            <w:lang w:eastAsia="zh-TW"/>
          </w:rPr>
          <w:t>الطرف</w:t>
        </w:r>
        <w:r w:rsidRPr="00B47131">
          <w:rPr>
            <w:rtl/>
            <w:lang w:eastAsia="zh-TW"/>
          </w:rPr>
          <w:t xml:space="preserve"> </w:t>
        </w:r>
        <w:r w:rsidRPr="00B47131">
          <w:rPr>
            <w:rFonts w:ascii="Traditional Arabic" w:hAnsi="Traditional Arabic" w:hint="cs"/>
            <w:rtl/>
            <w:lang w:eastAsia="zh-TW"/>
          </w:rPr>
          <w:t>في</w:t>
        </w:r>
        <w:r w:rsidRPr="00B47131">
          <w:rPr>
            <w:rtl/>
            <w:lang w:eastAsia="zh-TW"/>
          </w:rPr>
          <w:t xml:space="preserve"> 17 </w:t>
        </w:r>
        <w:r w:rsidRPr="00B47131">
          <w:rPr>
            <w:rFonts w:ascii="Traditional Arabic" w:hAnsi="Traditional Arabic" w:hint="cs"/>
            <w:rtl/>
            <w:lang w:eastAsia="zh-TW"/>
          </w:rPr>
          <w:t>آب</w:t>
        </w:r>
        <w:r w:rsidRPr="00B47131">
          <w:rPr>
            <w:rtl/>
            <w:lang w:eastAsia="zh-TW"/>
          </w:rPr>
          <w:t>/</w:t>
        </w:r>
        <w:r w:rsidRPr="00B47131">
          <w:rPr>
            <w:rFonts w:ascii="Traditional Arabic" w:hAnsi="Traditional Arabic" w:hint="cs"/>
            <w:rtl/>
            <w:lang w:eastAsia="zh-TW"/>
          </w:rPr>
          <w:t>أغسطس</w:t>
        </w:r>
        <w:r w:rsidRPr="00B47131">
          <w:rPr>
            <w:rtl/>
            <w:lang w:eastAsia="zh-TW"/>
          </w:rPr>
          <w:t xml:space="preserve"> 2008</w:t>
        </w:r>
        <w:r w:rsidRPr="00B47131">
          <w:rPr>
            <w:rFonts w:ascii="Traditional Arabic" w:hAnsi="Traditional Arabic" w:hint="cs"/>
            <w:rtl/>
            <w:lang w:eastAsia="zh-TW"/>
          </w:rPr>
          <w:t>،</w:t>
        </w:r>
        <w:r w:rsidRPr="00B47131">
          <w:rPr>
            <w:rtl/>
            <w:lang w:eastAsia="zh-TW"/>
          </w:rPr>
          <w:t xml:space="preserve"> </w:t>
        </w:r>
        <w:r w:rsidRPr="00B47131">
          <w:rPr>
            <w:rFonts w:ascii="Traditional Arabic" w:hAnsi="Traditional Arabic" w:hint="cs"/>
            <w:rtl/>
            <w:lang w:eastAsia="zh-TW"/>
          </w:rPr>
          <w:t>وبدأ</w:t>
        </w:r>
        <w:r w:rsidRPr="00B47131">
          <w:rPr>
            <w:rtl/>
            <w:lang w:eastAsia="zh-TW"/>
          </w:rPr>
          <w:t xml:space="preserve"> </w:t>
        </w:r>
        <w:r w:rsidRPr="00B47131">
          <w:rPr>
            <w:rFonts w:ascii="Traditional Arabic" w:hAnsi="Traditional Arabic" w:hint="cs"/>
            <w:rtl/>
            <w:lang w:eastAsia="zh-TW"/>
          </w:rPr>
          <w:t>نفاذ</w:t>
        </w:r>
        <w:r w:rsidRPr="00B47131">
          <w:rPr>
            <w:rtl/>
            <w:lang w:eastAsia="zh-TW"/>
          </w:rPr>
          <w:t xml:space="preserve"> </w:t>
        </w:r>
        <w:r w:rsidRPr="00B47131">
          <w:rPr>
            <w:rFonts w:ascii="Traditional Arabic" w:hAnsi="Traditional Arabic" w:hint="cs"/>
            <w:rtl/>
            <w:lang w:eastAsia="zh-TW"/>
          </w:rPr>
          <w:t>البروتوكول</w:t>
        </w:r>
        <w:r w:rsidRPr="00B47131">
          <w:rPr>
            <w:rtl/>
            <w:lang w:eastAsia="zh-TW"/>
          </w:rPr>
          <w:t xml:space="preserve"> </w:t>
        </w:r>
        <w:r w:rsidRPr="00B47131">
          <w:rPr>
            <w:rFonts w:ascii="Traditional Arabic" w:hAnsi="Traditional Arabic" w:hint="cs"/>
            <w:rtl/>
            <w:lang w:eastAsia="zh-TW"/>
          </w:rPr>
          <w:t>الاختياري</w:t>
        </w:r>
        <w:r w:rsidRPr="00B47131">
          <w:rPr>
            <w:rtl/>
            <w:lang w:eastAsia="zh-TW"/>
          </w:rPr>
          <w:t xml:space="preserve"> </w:t>
        </w:r>
        <w:r w:rsidRPr="00B47131">
          <w:rPr>
            <w:rFonts w:ascii="Traditional Arabic" w:hAnsi="Traditional Arabic" w:hint="cs"/>
            <w:rtl/>
            <w:lang w:eastAsia="zh-TW"/>
          </w:rPr>
          <w:t>فيها</w:t>
        </w:r>
        <w:r w:rsidRPr="00B47131">
          <w:rPr>
            <w:rtl/>
            <w:lang w:eastAsia="zh-TW"/>
          </w:rPr>
          <w:t xml:space="preserve"> </w:t>
        </w:r>
        <w:r w:rsidRPr="00B47131">
          <w:rPr>
            <w:rFonts w:ascii="Traditional Arabic" w:hAnsi="Traditional Arabic" w:hint="cs"/>
            <w:rtl/>
            <w:lang w:eastAsia="zh-TW"/>
          </w:rPr>
          <w:t>في</w:t>
        </w:r>
        <w:r w:rsidRPr="00B47131">
          <w:rPr>
            <w:rtl/>
            <w:lang w:eastAsia="zh-TW"/>
          </w:rPr>
          <w:t xml:space="preserve"> 19 </w:t>
        </w:r>
        <w:r w:rsidRPr="00B47131">
          <w:rPr>
            <w:rFonts w:ascii="Traditional Arabic" w:hAnsi="Traditional Arabic" w:hint="cs"/>
            <w:rtl/>
            <w:lang w:eastAsia="zh-TW"/>
          </w:rPr>
          <w:t>أيلول</w:t>
        </w:r>
        <w:r w:rsidRPr="00B47131">
          <w:rPr>
            <w:rtl/>
            <w:lang w:eastAsia="zh-TW"/>
          </w:rPr>
          <w:t>/</w:t>
        </w:r>
        <w:r w:rsidRPr="00B47131">
          <w:rPr>
            <w:rFonts w:ascii="Traditional Arabic" w:hAnsi="Traditional Arabic" w:hint="cs"/>
            <w:rtl/>
            <w:lang w:eastAsia="zh-TW"/>
          </w:rPr>
          <w:t>سبتمبر</w:t>
        </w:r>
        <w:r w:rsidRPr="00B47131">
          <w:rPr>
            <w:rtl/>
            <w:lang w:eastAsia="zh-TW"/>
          </w:rPr>
          <w:t xml:space="preserve"> 2009.</w:t>
        </w:r>
        <w:r w:rsidRPr="00B47131">
          <w:rPr>
            <w:rFonts w:cs="Times New Roman" w:hint="cs"/>
            <w:rtl/>
            <w:lang w:eastAsia="zh-TW"/>
          </w:rPr>
          <w:t>‬</w:t>
        </w:r>
        <w:r w:rsidR="0087267B">
          <w:t>‬</w:t>
        </w:r>
        <w:r w:rsidR="000C45CA">
          <w:t>‬</w:t>
        </w:r>
        <w:r w:rsidR="00A168C8">
          <w:t>‬</w:t>
        </w:r>
        <w:r w:rsidR="00821257">
          <w:t>‬</w:t>
        </w:r>
      </w:dir>
    </w:p>
    <w:p w:rsidR="0081736E" w:rsidRPr="003E473A" w:rsidRDefault="0081736E" w:rsidP="0081736E">
      <w:pPr>
        <w:pStyle w:val="H1GA"/>
        <w:rPr>
          <w:rtl/>
          <w:lang w:eastAsia="zh-TW"/>
        </w:rPr>
      </w:pPr>
      <w:r w:rsidRPr="003E473A">
        <w:rPr>
          <w:rFonts w:hint="cs"/>
          <w:rtl/>
          <w:lang w:eastAsia="zh-TW"/>
        </w:rPr>
        <w:tab/>
      </w:r>
      <w:r w:rsidRPr="003E473A">
        <w:rPr>
          <w:rFonts w:ascii="Traditional Arabic" w:hAnsi="Traditional Arabic" w:hint="cs"/>
          <w:rtl/>
          <w:lang w:eastAsia="zh-TW"/>
        </w:rPr>
        <w:t>ألف</w:t>
      </w:r>
      <w:r w:rsidRPr="003E473A">
        <w:rPr>
          <w:rtl/>
          <w:lang w:eastAsia="zh-TW"/>
        </w:rPr>
        <w:t>-</w:t>
      </w:r>
      <w:r w:rsidRPr="003E473A">
        <w:rPr>
          <w:rFonts w:cs="Times New Roman" w:hint="cs"/>
          <w:rtl/>
          <w:lang w:eastAsia="zh-TW"/>
        </w:rPr>
        <w:t>‬</w:t>
      </w:r>
      <w:r>
        <w:rPr>
          <w:rFonts w:hint="cs"/>
          <w:rtl/>
          <w:lang w:eastAsia="zh-TW"/>
        </w:rPr>
        <w:tab/>
      </w:r>
      <w:r w:rsidRPr="003E473A">
        <w:rPr>
          <w:rFonts w:ascii="Traditional Arabic" w:hAnsi="Traditional Arabic" w:hint="cs"/>
          <w:rtl/>
          <w:lang w:eastAsia="zh-TW"/>
        </w:rPr>
        <w:t>موجز</w:t>
      </w:r>
      <w:r w:rsidRPr="003E473A">
        <w:rPr>
          <w:rtl/>
          <w:lang w:eastAsia="zh-TW"/>
        </w:rPr>
        <w:t xml:space="preserve"> </w:t>
      </w:r>
      <w:r w:rsidRPr="003E473A">
        <w:rPr>
          <w:rFonts w:ascii="Traditional Arabic" w:hAnsi="Traditional Arabic" w:hint="cs"/>
          <w:rtl/>
          <w:lang w:eastAsia="zh-TW"/>
        </w:rPr>
        <w:t>المعلومات</w:t>
      </w:r>
      <w:r w:rsidRPr="003E473A">
        <w:rPr>
          <w:rtl/>
          <w:lang w:eastAsia="zh-TW"/>
        </w:rPr>
        <w:t xml:space="preserve"> </w:t>
      </w:r>
      <w:r w:rsidRPr="003E473A">
        <w:rPr>
          <w:rFonts w:ascii="Traditional Arabic" w:hAnsi="Traditional Arabic" w:hint="cs"/>
          <w:rtl/>
          <w:lang w:eastAsia="zh-TW"/>
        </w:rPr>
        <w:t>والحجج</w:t>
      </w:r>
      <w:r w:rsidRPr="003E473A">
        <w:rPr>
          <w:rtl/>
          <w:lang w:eastAsia="zh-TW"/>
        </w:rPr>
        <w:t xml:space="preserve"> </w:t>
      </w:r>
      <w:r w:rsidRPr="003E473A">
        <w:rPr>
          <w:rFonts w:ascii="Traditional Arabic" w:hAnsi="Traditional Arabic" w:hint="cs"/>
          <w:rtl/>
          <w:lang w:eastAsia="zh-TW"/>
        </w:rPr>
        <w:t>التي</w:t>
      </w:r>
      <w:r w:rsidRPr="003E473A">
        <w:rPr>
          <w:rtl/>
          <w:lang w:eastAsia="zh-TW"/>
        </w:rPr>
        <w:t xml:space="preserve"> </w:t>
      </w:r>
      <w:r w:rsidRPr="003E473A">
        <w:rPr>
          <w:rFonts w:ascii="Traditional Arabic" w:hAnsi="Traditional Arabic" w:hint="cs"/>
          <w:rtl/>
          <w:lang w:eastAsia="zh-TW"/>
        </w:rPr>
        <w:t>قدمها</w:t>
      </w:r>
      <w:r w:rsidRPr="003E473A">
        <w:rPr>
          <w:rtl/>
          <w:lang w:eastAsia="zh-TW"/>
        </w:rPr>
        <w:t xml:space="preserve"> </w:t>
      </w:r>
      <w:r w:rsidRPr="003E473A">
        <w:rPr>
          <w:rFonts w:ascii="Traditional Arabic" w:hAnsi="Traditional Arabic" w:hint="cs"/>
          <w:rtl/>
          <w:lang w:eastAsia="zh-TW"/>
        </w:rPr>
        <w:t>الطرفان</w:t>
      </w:r>
      <w:r w:rsidRPr="003E473A">
        <w:rPr>
          <w:rFonts w:cs="Times New Roman" w:hint="cs"/>
          <w:rtl/>
          <w:lang w:eastAsia="zh-TW"/>
        </w:rPr>
        <w:t>‬</w:t>
      </w:r>
    </w:p>
    <w:p w:rsidR="0081736E" w:rsidRPr="003E473A" w:rsidRDefault="0081736E" w:rsidP="0081736E">
      <w:pPr>
        <w:pStyle w:val="H23GA"/>
        <w:rPr>
          <w:rtl/>
        </w:rPr>
      </w:pPr>
      <w:r w:rsidRPr="003E473A">
        <w:rPr>
          <w:rtl/>
        </w:rPr>
        <w:tab/>
      </w:r>
      <w:r w:rsidRPr="003E473A">
        <w:rPr>
          <w:rtl/>
        </w:rPr>
        <w:tab/>
      </w:r>
      <w:r w:rsidRPr="003E473A">
        <w:rPr>
          <w:rFonts w:ascii="Traditional Arabic" w:hAnsi="Traditional Arabic" w:hint="cs"/>
          <w:rtl/>
        </w:rPr>
        <w:t>الوقائع</w:t>
      </w:r>
      <w:r w:rsidRPr="003E473A">
        <w:rPr>
          <w:rtl/>
        </w:rPr>
        <w:t xml:space="preserve"> </w:t>
      </w:r>
      <w:r w:rsidRPr="003E473A">
        <w:rPr>
          <w:rFonts w:ascii="Traditional Arabic" w:hAnsi="Traditional Arabic" w:hint="cs"/>
          <w:rtl/>
        </w:rPr>
        <w:t>كما</w:t>
      </w:r>
      <w:r w:rsidRPr="003E473A">
        <w:rPr>
          <w:rtl/>
        </w:rPr>
        <w:t xml:space="preserve"> عرضتها صاحبة البلاغ</w:t>
      </w:r>
      <w:r w:rsidRPr="003E473A">
        <w:rPr>
          <w:rFonts w:cs="Times New Roman" w:hint="cs"/>
          <w:rtl/>
        </w:rPr>
        <w:t>‬</w:t>
      </w:r>
    </w:p>
    <w:p w:rsidR="0081736E" w:rsidRPr="00B47131" w:rsidRDefault="0081736E" w:rsidP="0081736E">
      <w:pPr>
        <w:pStyle w:val="SingleTxtGA"/>
        <w:rPr>
          <w:rtl/>
          <w:lang w:eastAsia="zh-TW"/>
        </w:rPr>
      </w:pPr>
      <w:r>
        <w:rPr>
          <w:rtl/>
          <w:lang w:eastAsia="zh-TW"/>
        </w:rPr>
        <w:t>٢-١</w:t>
      </w:r>
      <w:r>
        <w:rPr>
          <w:rFonts w:hint="cs"/>
          <w:rtl/>
          <w:lang w:eastAsia="zh-TW"/>
        </w:rPr>
        <w:tab/>
      </w:r>
      <w:r w:rsidRPr="00B47131">
        <w:rPr>
          <w:rtl/>
          <w:lang w:eastAsia="zh-TW"/>
        </w:rPr>
        <w:t xml:space="preserve">صاحبة البلاغ صماء، وهي تحتاج إلى ترجمة </w:t>
      </w:r>
      <w:proofErr w:type="spellStart"/>
      <w:r w:rsidRPr="00B47131">
        <w:rPr>
          <w:rtl/>
          <w:lang w:eastAsia="zh-TW"/>
        </w:rPr>
        <w:t>التواصلات</w:t>
      </w:r>
      <w:proofErr w:type="spellEnd"/>
      <w:r w:rsidRPr="00B47131">
        <w:rPr>
          <w:rtl/>
          <w:lang w:eastAsia="zh-TW"/>
        </w:rPr>
        <w:t xml:space="preserve"> الرسمية بلغة الإشارة الأسترالية من أجل التواصل مع الآخرين.</w:t>
      </w:r>
      <w:r w:rsidRPr="00B47131">
        <w:rPr>
          <w:rFonts w:cs="Times New Roman" w:hint="cs"/>
          <w:rtl/>
          <w:lang w:eastAsia="zh-TW"/>
        </w:rPr>
        <w:t>‬</w:t>
      </w:r>
      <w:r w:rsidRPr="00B47131">
        <w:rPr>
          <w:rtl/>
          <w:lang w:eastAsia="zh-TW"/>
        </w:rPr>
        <w:t xml:space="preserve"> </w:t>
      </w:r>
      <w:r w:rsidRPr="00B47131">
        <w:rPr>
          <w:rFonts w:ascii="Traditional Arabic" w:hAnsi="Traditional Arabic" w:hint="cs"/>
          <w:rtl/>
          <w:lang w:eastAsia="zh-TW"/>
        </w:rPr>
        <w:t>وفي</w:t>
      </w:r>
      <w:r w:rsidRPr="00B47131">
        <w:rPr>
          <w:rtl/>
          <w:lang w:eastAsia="zh-TW"/>
        </w:rPr>
        <w:t xml:space="preserve"> 30 </w:t>
      </w:r>
      <w:r w:rsidRPr="00B47131">
        <w:rPr>
          <w:rFonts w:ascii="Traditional Arabic" w:hAnsi="Traditional Arabic" w:hint="cs"/>
          <w:rtl/>
          <w:lang w:eastAsia="zh-TW"/>
        </w:rPr>
        <w:t>تشرين</w:t>
      </w:r>
      <w:r w:rsidRPr="00B47131">
        <w:rPr>
          <w:rtl/>
          <w:lang w:eastAsia="zh-TW"/>
        </w:rPr>
        <w:t xml:space="preserve"> </w:t>
      </w:r>
      <w:r w:rsidRPr="00B47131">
        <w:rPr>
          <w:rFonts w:ascii="Traditional Arabic" w:hAnsi="Traditional Arabic" w:hint="cs"/>
          <w:rtl/>
          <w:lang w:eastAsia="zh-TW"/>
        </w:rPr>
        <w:t>الأول</w:t>
      </w:r>
      <w:r w:rsidRPr="00B47131">
        <w:rPr>
          <w:rtl/>
          <w:lang w:eastAsia="zh-TW"/>
        </w:rPr>
        <w:t>/</w:t>
      </w:r>
      <w:r w:rsidRPr="00B47131">
        <w:rPr>
          <w:rFonts w:ascii="Traditional Arabic" w:hAnsi="Traditional Arabic" w:hint="cs"/>
          <w:rtl/>
          <w:lang w:eastAsia="zh-TW"/>
        </w:rPr>
        <w:t>أكتوبر</w:t>
      </w:r>
      <w:r w:rsidRPr="00B47131">
        <w:rPr>
          <w:rtl/>
          <w:lang w:eastAsia="zh-TW"/>
        </w:rPr>
        <w:t xml:space="preserve"> 2012</w:t>
      </w:r>
      <w:r w:rsidRPr="00B47131">
        <w:rPr>
          <w:rFonts w:ascii="Traditional Arabic" w:hAnsi="Traditional Arabic" w:hint="cs"/>
          <w:rtl/>
          <w:lang w:eastAsia="zh-TW"/>
        </w:rPr>
        <w:t>،</w:t>
      </w:r>
      <w:r w:rsidRPr="00B47131">
        <w:rPr>
          <w:rtl/>
          <w:lang w:eastAsia="zh-TW"/>
        </w:rPr>
        <w:t xml:space="preserve"> </w:t>
      </w:r>
      <w:r w:rsidRPr="00B47131">
        <w:rPr>
          <w:rFonts w:ascii="Traditional Arabic" w:hAnsi="Traditional Arabic" w:hint="cs"/>
          <w:rtl/>
          <w:lang w:eastAsia="zh-TW"/>
        </w:rPr>
        <w:t>استدعت</w:t>
      </w:r>
      <w:r w:rsidRPr="00B47131">
        <w:rPr>
          <w:rtl/>
          <w:lang w:eastAsia="zh-TW"/>
        </w:rPr>
        <w:t xml:space="preserve"> </w:t>
      </w:r>
      <w:proofErr w:type="spellStart"/>
      <w:r w:rsidRPr="00B47131">
        <w:rPr>
          <w:rFonts w:ascii="Traditional Arabic" w:hAnsi="Traditional Arabic" w:hint="cs"/>
          <w:rtl/>
          <w:lang w:eastAsia="zh-TW"/>
        </w:rPr>
        <w:t>والية</w:t>
      </w:r>
      <w:proofErr w:type="spellEnd"/>
      <w:r w:rsidRPr="00B47131">
        <w:rPr>
          <w:rtl/>
          <w:lang w:eastAsia="zh-TW"/>
        </w:rPr>
        <w:t xml:space="preserve"> </w:t>
      </w:r>
      <w:r w:rsidRPr="00B47131">
        <w:rPr>
          <w:rFonts w:ascii="Traditional Arabic" w:hAnsi="Traditional Arabic" w:hint="cs"/>
          <w:rtl/>
          <w:lang w:eastAsia="zh-TW"/>
        </w:rPr>
        <w:t>قضاء</w:t>
      </w:r>
      <w:r w:rsidRPr="00B47131">
        <w:rPr>
          <w:rtl/>
          <w:lang w:eastAsia="zh-TW"/>
        </w:rPr>
        <w:t xml:space="preserve"> </w:t>
      </w:r>
      <w:r w:rsidRPr="00B47131">
        <w:rPr>
          <w:rFonts w:ascii="Traditional Arabic" w:hAnsi="Traditional Arabic" w:hint="cs"/>
          <w:rtl/>
          <w:lang w:eastAsia="zh-TW"/>
        </w:rPr>
        <w:t>ولاية</w:t>
      </w:r>
      <w:r w:rsidRPr="00B47131">
        <w:rPr>
          <w:rtl/>
          <w:lang w:eastAsia="zh-TW"/>
        </w:rPr>
        <w:t xml:space="preserve"> </w:t>
      </w:r>
      <w:r w:rsidRPr="00B47131">
        <w:rPr>
          <w:rFonts w:ascii="Traditional Arabic" w:hAnsi="Traditional Arabic" w:hint="cs"/>
          <w:rtl/>
          <w:lang w:eastAsia="zh-TW"/>
        </w:rPr>
        <w:t>نيو</w:t>
      </w:r>
      <w:r w:rsidRPr="00B47131">
        <w:rPr>
          <w:rtl/>
          <w:lang w:eastAsia="zh-TW"/>
        </w:rPr>
        <w:t xml:space="preserve"> </w:t>
      </w:r>
      <w:r w:rsidRPr="00B47131">
        <w:rPr>
          <w:rFonts w:ascii="Traditional Arabic" w:hAnsi="Traditional Arabic" w:hint="cs"/>
          <w:rtl/>
          <w:lang w:eastAsia="zh-TW"/>
        </w:rPr>
        <w:t>ساوث</w:t>
      </w:r>
      <w:r w:rsidRPr="00B47131">
        <w:rPr>
          <w:rtl/>
          <w:lang w:eastAsia="zh-TW"/>
        </w:rPr>
        <w:t xml:space="preserve"> </w:t>
      </w:r>
      <w:r w:rsidRPr="00B47131">
        <w:rPr>
          <w:rFonts w:ascii="Traditional Arabic" w:hAnsi="Traditional Arabic" w:hint="cs"/>
          <w:rtl/>
          <w:lang w:eastAsia="zh-TW"/>
        </w:rPr>
        <w:t>ويلز</w:t>
      </w:r>
      <w:r w:rsidRPr="00B47131">
        <w:rPr>
          <w:rtl/>
          <w:lang w:eastAsia="zh-TW"/>
        </w:rPr>
        <w:t xml:space="preserve"> </w:t>
      </w:r>
      <w:r w:rsidRPr="00B47131">
        <w:rPr>
          <w:rFonts w:ascii="Traditional Arabic" w:hAnsi="Traditional Arabic" w:hint="cs"/>
          <w:rtl/>
          <w:lang w:eastAsia="zh-TW"/>
        </w:rPr>
        <w:t>صاحبة</w:t>
      </w:r>
      <w:r w:rsidRPr="00B47131">
        <w:rPr>
          <w:rtl/>
          <w:lang w:eastAsia="zh-TW"/>
        </w:rPr>
        <w:t xml:space="preserve"> </w:t>
      </w:r>
      <w:r w:rsidRPr="00B47131">
        <w:rPr>
          <w:rFonts w:ascii="Traditional Arabic" w:hAnsi="Traditional Arabic" w:hint="cs"/>
          <w:rtl/>
          <w:lang w:eastAsia="zh-TW"/>
        </w:rPr>
        <w:t>البلاغ</w:t>
      </w:r>
      <w:r w:rsidRPr="00B47131">
        <w:rPr>
          <w:rtl/>
          <w:lang w:eastAsia="zh-TW"/>
        </w:rPr>
        <w:t xml:space="preserve"> </w:t>
      </w:r>
      <w:r w:rsidRPr="00B47131">
        <w:rPr>
          <w:rFonts w:ascii="Traditional Arabic" w:hAnsi="Traditional Arabic" w:hint="cs"/>
          <w:rtl/>
          <w:lang w:eastAsia="zh-TW"/>
        </w:rPr>
        <w:t>لأداء</w:t>
      </w:r>
      <w:r w:rsidRPr="00B47131">
        <w:rPr>
          <w:rtl/>
          <w:lang w:eastAsia="zh-TW"/>
        </w:rPr>
        <w:t xml:space="preserve"> </w:t>
      </w:r>
      <w:r w:rsidRPr="00B47131">
        <w:rPr>
          <w:rFonts w:ascii="Traditional Arabic" w:hAnsi="Traditional Arabic" w:hint="cs"/>
          <w:rtl/>
          <w:lang w:eastAsia="zh-TW"/>
        </w:rPr>
        <w:t>واجبها</w:t>
      </w:r>
      <w:r w:rsidRPr="00B47131">
        <w:rPr>
          <w:rtl/>
          <w:lang w:eastAsia="zh-TW"/>
        </w:rPr>
        <w:t xml:space="preserve"> </w:t>
      </w:r>
      <w:r w:rsidRPr="00B47131">
        <w:rPr>
          <w:rFonts w:ascii="Traditional Arabic" w:hAnsi="Traditional Arabic" w:hint="cs"/>
          <w:rtl/>
          <w:lang w:eastAsia="zh-TW"/>
        </w:rPr>
        <w:t>كمحلفة</w:t>
      </w:r>
      <w:r w:rsidRPr="00B47131">
        <w:rPr>
          <w:rtl/>
          <w:lang w:eastAsia="zh-TW"/>
        </w:rPr>
        <w:t xml:space="preserve"> </w:t>
      </w:r>
      <w:r w:rsidRPr="00B47131">
        <w:rPr>
          <w:rFonts w:ascii="Traditional Arabic" w:hAnsi="Traditional Arabic" w:hint="cs"/>
          <w:rtl/>
          <w:lang w:eastAsia="zh-TW"/>
        </w:rPr>
        <w:t>في</w:t>
      </w:r>
      <w:r w:rsidRPr="00B47131">
        <w:rPr>
          <w:rtl/>
          <w:lang w:eastAsia="zh-TW"/>
        </w:rPr>
        <w:t xml:space="preserve"> </w:t>
      </w:r>
      <w:r w:rsidRPr="00B47131">
        <w:rPr>
          <w:rFonts w:ascii="Traditional Arabic" w:hAnsi="Traditional Arabic" w:hint="cs"/>
          <w:rtl/>
          <w:lang w:eastAsia="zh-TW"/>
        </w:rPr>
        <w:t>الولاية</w:t>
      </w:r>
      <w:r w:rsidRPr="00B47131">
        <w:rPr>
          <w:rtl/>
          <w:lang w:eastAsia="zh-TW"/>
        </w:rPr>
        <w:t xml:space="preserve"> </w:t>
      </w:r>
      <w:r w:rsidRPr="00B47131">
        <w:rPr>
          <w:rFonts w:ascii="Traditional Arabic" w:hAnsi="Traditional Arabic" w:hint="cs"/>
          <w:rtl/>
          <w:lang w:eastAsia="zh-TW"/>
        </w:rPr>
        <w:t>القضائي</w:t>
      </w:r>
      <w:r w:rsidRPr="00B47131">
        <w:rPr>
          <w:rtl/>
          <w:lang w:eastAsia="zh-TW"/>
        </w:rPr>
        <w:t xml:space="preserve">ة الجنائية التابعة للمقاطعة أو بالمحاكم العليا في نيو ساوث ويلز بالمحاكم الابتدائية في غرب سيدني </w:t>
      </w:r>
      <w:r>
        <w:rPr>
          <w:rFonts w:hint="cs"/>
          <w:rtl/>
          <w:lang w:eastAsia="zh-TW"/>
        </w:rPr>
        <w:t xml:space="preserve">في </w:t>
      </w:r>
      <w:proofErr w:type="spellStart"/>
      <w:r>
        <w:rPr>
          <w:rFonts w:hint="cs"/>
          <w:rtl/>
          <w:lang w:eastAsia="zh-TW"/>
        </w:rPr>
        <w:t>باراماتا</w:t>
      </w:r>
      <w:proofErr w:type="spellEnd"/>
      <w:r>
        <w:rPr>
          <w:rFonts w:hint="cs"/>
          <w:rtl/>
          <w:lang w:eastAsia="zh-TW"/>
        </w:rPr>
        <w:t xml:space="preserve"> </w:t>
      </w:r>
      <w:r w:rsidRPr="00B47131">
        <w:rPr>
          <w:rtl/>
          <w:lang w:eastAsia="zh-TW"/>
        </w:rPr>
        <w:t>لفترة مدتها ثلاثة أسابيع تبدأ في 28 تشرين الثاني/نوفمبر 2012</w:t>
      </w:r>
      <w:r w:rsidRPr="0086606C">
        <w:rPr>
          <w:vertAlign w:val="superscript"/>
          <w:rtl/>
          <w:lang w:eastAsia="zh-TW"/>
        </w:rPr>
        <w:t>(</w:t>
      </w:r>
      <w:r w:rsidRPr="0086606C">
        <w:rPr>
          <w:rStyle w:val="FootnoteReference"/>
          <w:sz w:val="20"/>
          <w:szCs w:val="30"/>
          <w:rtl/>
          <w:lang w:eastAsia="zh-TW"/>
        </w:rPr>
        <w:footnoteReference w:id="4"/>
      </w:r>
      <w:r w:rsidRPr="0086606C">
        <w:rPr>
          <w:vertAlign w:val="superscript"/>
          <w:rtl/>
          <w:lang w:eastAsia="zh-TW"/>
        </w:rPr>
        <w:t>)</w:t>
      </w:r>
      <w:r w:rsidRPr="00B47131">
        <w:rPr>
          <w:rtl/>
          <w:lang w:eastAsia="zh-TW"/>
        </w:rPr>
        <w:t>. وفي 6 تشرين الثاني/</w:t>
      </w:r>
      <w:r w:rsidR="00F05419">
        <w:rPr>
          <w:rFonts w:hint="cs"/>
          <w:rtl/>
          <w:lang w:eastAsia="zh-TW"/>
        </w:rPr>
        <w:t xml:space="preserve"> </w:t>
      </w:r>
      <w:r w:rsidRPr="00B47131">
        <w:rPr>
          <w:rtl/>
          <w:lang w:eastAsia="zh-TW"/>
        </w:rPr>
        <w:t xml:space="preserve">نوفمبر 2012، اتصلت السيدة </w:t>
      </w:r>
      <w:proofErr w:type="spellStart"/>
      <w:r w:rsidRPr="00B47131">
        <w:rPr>
          <w:rtl/>
          <w:lang w:eastAsia="zh-TW"/>
        </w:rPr>
        <w:t>بيسلي</w:t>
      </w:r>
      <w:proofErr w:type="spellEnd"/>
      <w:r w:rsidRPr="00B47131">
        <w:rPr>
          <w:rtl/>
          <w:lang w:eastAsia="zh-TW"/>
        </w:rPr>
        <w:t xml:space="preserve"> بمكتب </w:t>
      </w:r>
      <w:proofErr w:type="spellStart"/>
      <w:r w:rsidRPr="00B47131">
        <w:rPr>
          <w:rtl/>
          <w:lang w:eastAsia="zh-TW"/>
        </w:rPr>
        <w:t>والية</w:t>
      </w:r>
      <w:proofErr w:type="spellEnd"/>
      <w:r w:rsidRPr="00B47131">
        <w:rPr>
          <w:rtl/>
          <w:lang w:eastAsia="zh-TW"/>
        </w:rPr>
        <w:t xml:space="preserve"> القضاء وشرحت لمحادِثها أنها صماء وأنها تحتاج إلى مترجم بلغة الإشارة الأسترالية لكي تتمكن من المشاركة في عملية اختيار المحلفين ومن أداء واجبها في هيئة المحلفين. غير أن ضابط مكتب </w:t>
      </w:r>
      <w:proofErr w:type="spellStart"/>
      <w:r w:rsidRPr="00B47131">
        <w:rPr>
          <w:rtl/>
          <w:lang w:eastAsia="zh-TW"/>
        </w:rPr>
        <w:t>والية</w:t>
      </w:r>
      <w:proofErr w:type="spellEnd"/>
      <w:r w:rsidRPr="00B47131">
        <w:rPr>
          <w:rtl/>
          <w:lang w:eastAsia="zh-TW"/>
        </w:rPr>
        <w:t xml:space="preserve"> القضاء أخبرها بأنه لا يمكن توفير خدمات دعم من هذا القبيل. فاحتجت صاحبة البلاغ على قوله لأن ذلك يشكل تمييزاً ضدها على أساس إعاقتها. ثم أخبرها الضابط بأن تتصل مرة أخرى لمناقشة هذه المسألة مناقشة مستفيضة مع أحد مديري شؤون المحلفين. </w:t>
      </w:r>
    </w:p>
    <w:p w:rsidR="0081736E" w:rsidRPr="00B47131" w:rsidRDefault="0081736E" w:rsidP="005E3DFA">
      <w:pPr>
        <w:pStyle w:val="SingleTxtGA"/>
        <w:rPr>
          <w:rtl/>
          <w:lang w:eastAsia="zh-TW"/>
        </w:rPr>
      </w:pPr>
      <w:r>
        <w:rPr>
          <w:rtl/>
          <w:lang w:eastAsia="zh-TW"/>
        </w:rPr>
        <w:t>٢-٢</w:t>
      </w:r>
      <w:r>
        <w:rPr>
          <w:rFonts w:hint="cs"/>
          <w:rtl/>
          <w:lang w:eastAsia="zh-TW"/>
        </w:rPr>
        <w:tab/>
      </w:r>
      <w:r w:rsidRPr="00B47131">
        <w:rPr>
          <w:rtl/>
          <w:lang w:eastAsia="zh-TW"/>
        </w:rPr>
        <w:t xml:space="preserve">وفي 7 تشرين الثاني/نوفمبر 2012، اتصلت صاحبة البلاغ بمديرة شؤون المحلفين التي أخبرتها بأن </w:t>
      </w:r>
      <w:r w:rsidR="0086606C">
        <w:rPr>
          <w:rtl/>
          <w:lang w:eastAsia="zh-TW"/>
        </w:rPr>
        <w:t>"</w:t>
      </w:r>
      <w:r w:rsidRPr="00B47131">
        <w:rPr>
          <w:rtl/>
          <w:lang w:eastAsia="zh-TW"/>
        </w:rPr>
        <w:t>التشريعات السارية، لا تخول [</w:t>
      </w:r>
      <w:proofErr w:type="spellStart"/>
      <w:r w:rsidRPr="00B47131">
        <w:rPr>
          <w:rtl/>
          <w:lang w:eastAsia="zh-TW"/>
        </w:rPr>
        <w:t>والي</w:t>
      </w:r>
      <w:r>
        <w:rPr>
          <w:rFonts w:hint="cs"/>
          <w:rtl/>
          <w:lang w:eastAsia="zh-TW"/>
        </w:rPr>
        <w:t>ة</w:t>
      </w:r>
      <w:proofErr w:type="spellEnd"/>
      <w:r w:rsidRPr="00B47131">
        <w:rPr>
          <w:rtl/>
          <w:lang w:eastAsia="zh-TW"/>
        </w:rPr>
        <w:t xml:space="preserve"> القضاء] إمكانية تقديم المساعدة بتوفير خدمة الترجمة بلغة الإشارة الأسترالية في</w:t>
      </w:r>
      <w:r w:rsidR="0086606C">
        <w:rPr>
          <w:rFonts w:hint="cs"/>
          <w:rtl/>
          <w:lang w:eastAsia="zh-TW"/>
        </w:rPr>
        <w:t xml:space="preserve"> </w:t>
      </w:r>
      <w:r>
        <w:rPr>
          <w:rFonts w:hint="cs"/>
          <w:rtl/>
          <w:lang w:eastAsia="zh-TW"/>
        </w:rPr>
        <w:t xml:space="preserve">سياق </w:t>
      </w:r>
      <w:r w:rsidRPr="00B47131">
        <w:rPr>
          <w:rtl/>
          <w:lang w:eastAsia="zh-TW"/>
        </w:rPr>
        <w:t>مداولات هيئة المحلفين</w:t>
      </w:r>
      <w:r w:rsidR="0086606C">
        <w:rPr>
          <w:rtl/>
          <w:lang w:eastAsia="zh-TW"/>
        </w:rPr>
        <w:t>"</w:t>
      </w:r>
      <w:r w:rsidRPr="00B47131">
        <w:rPr>
          <w:rtl/>
          <w:lang w:eastAsia="zh-TW"/>
        </w:rPr>
        <w:t>، وأن خدمة التدوين الحرفي بالاختزال الآني غير متاحة كذلك. فسألتها صاحبة البلاغ عن الخيارات الأخرى التي يمكن إتاحتها لتمكينها من المشاركة في عملية اختيار</w:t>
      </w:r>
      <w:r w:rsidR="0086606C">
        <w:rPr>
          <w:rtl/>
          <w:lang w:eastAsia="zh-TW"/>
        </w:rPr>
        <w:t xml:space="preserve"> </w:t>
      </w:r>
      <w:r w:rsidRPr="00B47131">
        <w:rPr>
          <w:rtl/>
          <w:lang w:eastAsia="zh-TW"/>
        </w:rPr>
        <w:t xml:space="preserve">المحلفين. وأجابتها مديرة شؤون المحلفين قائلة إنها غير ملمة بخدمة التدوين الحرفي بالاختزال الآني، وأضافت أن </w:t>
      </w:r>
      <w:r w:rsidR="0086606C">
        <w:rPr>
          <w:rtl/>
          <w:lang w:eastAsia="zh-TW"/>
        </w:rPr>
        <w:t>"</w:t>
      </w:r>
      <w:r w:rsidRPr="00B47131">
        <w:rPr>
          <w:rtl/>
          <w:lang w:eastAsia="zh-TW"/>
        </w:rPr>
        <w:t>هناك مسألتان ينبغي مراعاتهما بموجب التشريعات السارية</w:t>
      </w:r>
      <w:r w:rsidR="005E3DFA">
        <w:rPr>
          <w:rFonts w:hint="cs"/>
          <w:rtl/>
          <w:lang w:eastAsia="zh-TW"/>
        </w:rPr>
        <w:t xml:space="preserve"> </w:t>
      </w:r>
      <w:r w:rsidRPr="00B47131">
        <w:rPr>
          <w:rtl/>
          <w:lang w:eastAsia="zh-TW"/>
        </w:rPr>
        <w:t>... أولاهما، انتهاك [سرية مداولات هيئة المحلفين</w:t>
      </w:r>
      <w:r w:rsidR="005E3DFA">
        <w:rPr>
          <w:rtl/>
          <w:lang w:eastAsia="zh-TW"/>
        </w:rPr>
        <w:t>]</w:t>
      </w:r>
      <w:r w:rsidRPr="00B47131">
        <w:rPr>
          <w:rtl/>
          <w:lang w:eastAsia="zh-TW"/>
        </w:rPr>
        <w:t>، وثانيهما أنه لا</w:t>
      </w:r>
      <w:r w:rsidR="00F05419">
        <w:rPr>
          <w:rFonts w:hint="cs"/>
          <w:rtl/>
          <w:lang w:eastAsia="zh-TW"/>
        </w:rPr>
        <w:t> </w:t>
      </w:r>
      <w:r w:rsidRPr="00B47131">
        <w:rPr>
          <w:rtl/>
          <w:lang w:eastAsia="zh-TW"/>
        </w:rPr>
        <w:t>يجوز النطق بالحكم إلا بحضور 12 شخصا</w:t>
      </w:r>
      <w:r w:rsidR="005E3DFA">
        <w:rPr>
          <w:rFonts w:hint="cs"/>
          <w:rtl/>
          <w:lang w:eastAsia="zh-TW"/>
        </w:rPr>
        <w:t>ً</w:t>
      </w:r>
      <w:r w:rsidRPr="00B47131">
        <w:rPr>
          <w:rtl/>
          <w:lang w:eastAsia="zh-TW"/>
        </w:rPr>
        <w:t xml:space="preserve"> في قاعة </w:t>
      </w:r>
      <w:r w:rsidR="005E3DFA">
        <w:rPr>
          <w:rtl/>
          <w:lang w:eastAsia="zh-TW"/>
        </w:rPr>
        <w:t>[</w:t>
      </w:r>
      <w:r w:rsidRPr="00B47131">
        <w:rPr>
          <w:rtl/>
          <w:lang w:eastAsia="zh-TW"/>
        </w:rPr>
        <w:t>المحلفين</w:t>
      </w:r>
      <w:r w:rsidR="005E3DFA">
        <w:rPr>
          <w:rtl/>
          <w:lang w:eastAsia="zh-TW"/>
        </w:rPr>
        <w:t>]</w:t>
      </w:r>
      <w:r w:rsidR="005E3DFA">
        <w:rPr>
          <w:rFonts w:hint="cs"/>
          <w:rtl/>
          <w:lang w:eastAsia="zh-TW"/>
        </w:rPr>
        <w:t xml:space="preserve"> </w:t>
      </w:r>
      <w:r w:rsidRPr="00B47131">
        <w:rPr>
          <w:rtl/>
          <w:lang w:eastAsia="zh-TW"/>
        </w:rPr>
        <w:t xml:space="preserve">... ومن ثم، فإن التشريعات السارية لا تتيح إمكانية الاستعانة بمترجم بلغة الإشارة الأسترالية أو بمدون حرفي بالاختزال </w:t>
      </w:r>
      <w:r w:rsidRPr="00B47131">
        <w:rPr>
          <w:rtl/>
          <w:lang w:eastAsia="zh-TW"/>
        </w:rPr>
        <w:lastRenderedPageBreak/>
        <w:t>الآني</w:t>
      </w:r>
      <w:r w:rsidR="0086606C">
        <w:rPr>
          <w:rtl/>
          <w:lang w:eastAsia="zh-TW"/>
        </w:rPr>
        <w:t>"</w:t>
      </w:r>
      <w:r w:rsidRPr="00B47131">
        <w:rPr>
          <w:rtl/>
          <w:lang w:eastAsia="zh-TW"/>
        </w:rPr>
        <w:t>. وتوضح صاحبة البلاغ أن</w:t>
      </w:r>
      <w:r w:rsidR="0086606C">
        <w:rPr>
          <w:rtl/>
          <w:lang w:eastAsia="zh-TW"/>
        </w:rPr>
        <w:t xml:space="preserve"> </w:t>
      </w:r>
      <w:r w:rsidRPr="00B47131">
        <w:rPr>
          <w:rtl/>
          <w:lang w:eastAsia="zh-TW"/>
        </w:rPr>
        <w:t>قانون المحلفين لعام 1977 في نيو ساوث ويلز، بصيغته المعدلة بموجب قانون المحلفين المعدل لعام 2010، ينظم إجراءات اختيار الأشخاص الأكفاء والمؤهلين لأداء الواجب في هيئات المحلفين. وعمل</w:t>
      </w:r>
      <w:r w:rsidR="005E3DFA">
        <w:rPr>
          <w:rtl/>
          <w:lang w:eastAsia="zh-TW"/>
        </w:rPr>
        <w:t xml:space="preserve">اً </w:t>
      </w:r>
      <w:r w:rsidRPr="00B47131">
        <w:rPr>
          <w:rtl/>
          <w:lang w:eastAsia="zh-TW"/>
        </w:rPr>
        <w:t>بالمادتين 6</w:t>
      </w:r>
      <w:r w:rsidR="00F05419">
        <w:rPr>
          <w:rtl/>
          <w:lang w:eastAsia="zh-TW"/>
        </w:rPr>
        <w:t xml:space="preserve"> و</w:t>
      </w:r>
      <w:r w:rsidRPr="00B47131">
        <w:rPr>
          <w:rtl/>
          <w:lang w:eastAsia="zh-TW"/>
        </w:rPr>
        <w:t>7 من القانون، ت</w:t>
      </w:r>
      <w:r>
        <w:rPr>
          <w:rFonts w:hint="cs"/>
          <w:rtl/>
          <w:lang w:eastAsia="zh-TW"/>
        </w:rPr>
        <w:t>ُ</w:t>
      </w:r>
      <w:r w:rsidRPr="00B47131">
        <w:rPr>
          <w:rtl/>
          <w:lang w:eastAsia="zh-TW"/>
        </w:rPr>
        <w:t xml:space="preserve">ستبعد فئات معينة من الأشخاص من أداء مهمة المحلفين، بينما يمكن إعفاء فئات أخرى من أداء هذه المهمة بناء على طلبها. ولا تؤثر هاتان المادتان في مؤهلات الصم ولا في مسؤولياتهم عن أداء مهمة المحلفين؛ ولا تسقط عنهم مسؤولية أداء هذه المهام ما لم يكونوا مندرجين ضمن أي فئة من الفئات المستبعدة أو المعفاة. </w:t>
      </w:r>
      <w:dir w:val="rtl">
        <w:r w:rsidRPr="00B47131">
          <w:rPr>
            <w:rFonts w:ascii="Traditional Arabic" w:hAnsi="Traditional Arabic" w:hint="cs"/>
            <w:rtl/>
            <w:lang w:eastAsia="zh-TW"/>
          </w:rPr>
          <w:t>ويجوز</w:t>
        </w:r>
        <w:r w:rsidRPr="00B47131">
          <w:rPr>
            <w:rtl/>
            <w:lang w:eastAsia="zh-TW"/>
          </w:rPr>
          <w:t xml:space="preserve"> </w:t>
        </w:r>
        <w:r w:rsidRPr="00B47131">
          <w:rPr>
            <w:rFonts w:ascii="Traditional Arabic" w:hAnsi="Traditional Arabic" w:hint="cs"/>
            <w:rtl/>
            <w:lang w:eastAsia="zh-TW"/>
          </w:rPr>
          <w:t>لوالي</w:t>
        </w:r>
        <w:r w:rsidRPr="00B47131">
          <w:rPr>
            <w:rtl/>
            <w:lang w:eastAsia="zh-TW"/>
          </w:rPr>
          <w:t xml:space="preserve"> </w:t>
        </w:r>
        <w:r w:rsidRPr="00B47131">
          <w:rPr>
            <w:rFonts w:ascii="Traditional Arabic" w:hAnsi="Traditional Arabic" w:hint="cs"/>
            <w:rtl/>
            <w:lang w:eastAsia="zh-TW"/>
          </w:rPr>
          <w:t>القضاء</w:t>
        </w:r>
        <w:r w:rsidRPr="00B47131">
          <w:rPr>
            <w:rtl/>
            <w:lang w:eastAsia="zh-TW"/>
          </w:rPr>
          <w:t xml:space="preserve"> </w:t>
        </w:r>
        <w:r w:rsidRPr="00B47131">
          <w:rPr>
            <w:rFonts w:ascii="Traditional Arabic" w:hAnsi="Traditional Arabic" w:hint="cs"/>
            <w:rtl/>
            <w:lang w:eastAsia="zh-TW"/>
          </w:rPr>
          <w:t>أيضاً</w:t>
        </w:r>
        <w:r w:rsidRPr="00B47131">
          <w:rPr>
            <w:rtl/>
            <w:lang w:eastAsia="zh-TW"/>
          </w:rPr>
          <w:t xml:space="preserve"> </w:t>
        </w:r>
        <w:r w:rsidRPr="00B47131">
          <w:rPr>
            <w:rFonts w:ascii="Traditional Arabic" w:hAnsi="Traditional Arabic" w:hint="cs"/>
            <w:rtl/>
            <w:lang w:eastAsia="zh-TW"/>
          </w:rPr>
          <w:t>أن</w:t>
        </w:r>
        <w:r w:rsidRPr="00B47131">
          <w:rPr>
            <w:rtl/>
            <w:lang w:eastAsia="zh-TW"/>
          </w:rPr>
          <w:t xml:space="preserve"> </w:t>
        </w:r>
        <w:r w:rsidRPr="00B47131">
          <w:rPr>
            <w:rFonts w:ascii="Traditional Arabic" w:hAnsi="Traditional Arabic" w:hint="cs"/>
            <w:rtl/>
            <w:lang w:eastAsia="zh-TW"/>
          </w:rPr>
          <w:t>يعفي</w:t>
        </w:r>
        <w:r w:rsidRPr="00B47131">
          <w:rPr>
            <w:rtl/>
            <w:lang w:eastAsia="zh-TW"/>
          </w:rPr>
          <w:t xml:space="preserve"> </w:t>
        </w:r>
        <w:r w:rsidRPr="00B47131">
          <w:rPr>
            <w:rFonts w:ascii="Traditional Arabic" w:hAnsi="Traditional Arabic" w:hint="cs"/>
            <w:rtl/>
            <w:lang w:eastAsia="zh-TW"/>
          </w:rPr>
          <w:t>شخصاً</w:t>
        </w:r>
        <w:r w:rsidRPr="00B47131">
          <w:rPr>
            <w:rtl/>
            <w:lang w:eastAsia="zh-TW"/>
          </w:rPr>
          <w:t xml:space="preserve"> </w:t>
        </w:r>
        <w:r w:rsidRPr="00B47131">
          <w:rPr>
            <w:rFonts w:ascii="Traditional Arabic" w:hAnsi="Traditional Arabic" w:hint="cs"/>
            <w:rtl/>
            <w:lang w:eastAsia="zh-TW"/>
          </w:rPr>
          <w:t>من</w:t>
        </w:r>
        <w:r w:rsidRPr="00B47131">
          <w:rPr>
            <w:rtl/>
            <w:lang w:eastAsia="zh-TW"/>
          </w:rPr>
          <w:t xml:space="preserve"> </w:t>
        </w:r>
        <w:r w:rsidRPr="00B47131">
          <w:rPr>
            <w:rFonts w:ascii="Traditional Arabic" w:hAnsi="Traditional Arabic" w:hint="cs"/>
            <w:rtl/>
            <w:lang w:eastAsia="zh-TW"/>
          </w:rPr>
          <w:t>أداء</w:t>
        </w:r>
        <w:r w:rsidRPr="00B47131">
          <w:rPr>
            <w:rtl/>
            <w:lang w:eastAsia="zh-TW"/>
          </w:rPr>
          <w:t xml:space="preserve"> </w:t>
        </w:r>
        <w:r w:rsidRPr="00B47131">
          <w:rPr>
            <w:rFonts w:ascii="Traditional Arabic" w:hAnsi="Traditional Arabic" w:hint="cs"/>
            <w:rtl/>
            <w:lang w:eastAsia="zh-TW"/>
          </w:rPr>
          <w:t>واجب</w:t>
        </w:r>
        <w:r w:rsidRPr="00B47131">
          <w:rPr>
            <w:rtl/>
            <w:lang w:eastAsia="zh-TW"/>
          </w:rPr>
          <w:t xml:space="preserve"> </w:t>
        </w:r>
        <w:r w:rsidRPr="00B47131">
          <w:rPr>
            <w:rFonts w:ascii="Traditional Arabic" w:hAnsi="Traditional Arabic" w:hint="cs"/>
            <w:rtl/>
            <w:lang w:eastAsia="zh-TW"/>
          </w:rPr>
          <w:t>المحلف</w:t>
        </w:r>
        <w:r w:rsidRPr="00B47131">
          <w:rPr>
            <w:rtl/>
            <w:lang w:eastAsia="zh-TW"/>
          </w:rPr>
          <w:t xml:space="preserve"> </w:t>
        </w:r>
        <w:r w:rsidRPr="00B47131">
          <w:rPr>
            <w:rFonts w:ascii="Traditional Arabic" w:hAnsi="Traditional Arabic" w:hint="cs"/>
            <w:rtl/>
            <w:lang w:eastAsia="zh-TW"/>
          </w:rPr>
          <w:t>إذا</w:t>
        </w:r>
        <w:r w:rsidRPr="00B47131">
          <w:rPr>
            <w:rtl/>
            <w:lang w:eastAsia="zh-TW"/>
          </w:rPr>
          <w:t xml:space="preserve"> </w:t>
        </w:r>
        <w:r w:rsidRPr="00B47131">
          <w:rPr>
            <w:rFonts w:ascii="Traditional Arabic" w:hAnsi="Traditional Arabic" w:hint="cs"/>
            <w:rtl/>
            <w:lang w:eastAsia="zh-TW"/>
          </w:rPr>
          <w:t>ا</w:t>
        </w:r>
        <w:r w:rsidRPr="00B47131">
          <w:rPr>
            <w:rtl/>
            <w:lang w:eastAsia="zh-TW"/>
          </w:rPr>
          <w:t xml:space="preserve">عتبر أن ثمة سبباً وجيهاً لإعفاء ذلك الشخص من أداء هذه المهام، بما في ذلك إذا </w:t>
        </w:r>
        <w:r w:rsidR="0086606C">
          <w:rPr>
            <w:rtl/>
            <w:lang w:eastAsia="zh-TW"/>
          </w:rPr>
          <w:t>"</w:t>
        </w:r>
        <w:r w:rsidRPr="00B47131">
          <w:rPr>
            <w:rtl/>
            <w:lang w:eastAsia="zh-TW"/>
          </w:rPr>
          <w:t xml:space="preserve">كان ذلك الشخص مصاباً بإعاقة تجعله غير لائق لأداء مهام المحلف بفعالية أو غير قادر على ذلك مالم توفر له ترتيبات </w:t>
        </w:r>
        <w:proofErr w:type="spellStart"/>
        <w:r w:rsidRPr="00B47131">
          <w:rPr>
            <w:rtl/>
            <w:lang w:eastAsia="zh-TW"/>
          </w:rPr>
          <w:t>تيسيرية</w:t>
        </w:r>
        <w:proofErr w:type="spellEnd"/>
        <w:r w:rsidRPr="00B47131">
          <w:rPr>
            <w:rtl/>
            <w:lang w:eastAsia="zh-TW"/>
          </w:rPr>
          <w:t xml:space="preserve"> معقولة</w:t>
        </w:r>
        <w:r w:rsidR="0086606C">
          <w:rPr>
            <w:rtl/>
            <w:lang w:eastAsia="zh-TW"/>
          </w:rPr>
          <w:t>"</w:t>
        </w:r>
        <w:r w:rsidRPr="0086606C">
          <w:rPr>
            <w:vertAlign w:val="superscript"/>
            <w:rtl/>
            <w:lang w:eastAsia="zh-TW"/>
          </w:rPr>
          <w:t>(</w:t>
        </w:r>
        <w:r w:rsidRPr="0086606C">
          <w:rPr>
            <w:rStyle w:val="FootnoteReference"/>
            <w:sz w:val="20"/>
            <w:szCs w:val="30"/>
            <w:rtl/>
            <w:lang w:eastAsia="zh-TW"/>
          </w:rPr>
          <w:footnoteReference w:id="5"/>
        </w:r>
        <w:r w:rsidRPr="0086606C">
          <w:rPr>
            <w:vertAlign w:val="superscript"/>
            <w:rtl/>
            <w:lang w:eastAsia="zh-TW"/>
          </w:rPr>
          <w:t>)</w:t>
        </w:r>
        <w:r w:rsidRPr="00B47131">
          <w:rPr>
            <w:rtl/>
            <w:lang w:eastAsia="zh-TW"/>
          </w:rPr>
          <w:t>.</w:t>
        </w:r>
        <w:r w:rsidRPr="00B47131">
          <w:rPr>
            <w:rFonts w:cs="Times New Roman" w:hint="cs"/>
            <w:rtl/>
            <w:lang w:eastAsia="zh-TW"/>
          </w:rPr>
          <w:t>‬</w:t>
        </w:r>
        <w:r w:rsidRPr="00B47131">
          <w:rPr>
            <w:rtl/>
            <w:lang w:eastAsia="zh-TW"/>
          </w:rPr>
          <w:t xml:space="preserve"> </w:t>
        </w:r>
        <w:r w:rsidRPr="00B47131">
          <w:rPr>
            <w:rFonts w:ascii="Traditional Arabic" w:hAnsi="Traditional Arabic" w:hint="cs"/>
            <w:rtl/>
            <w:lang w:eastAsia="zh-TW"/>
          </w:rPr>
          <w:t>وتشير</w:t>
        </w:r>
        <w:r w:rsidRPr="00B47131">
          <w:rPr>
            <w:rtl/>
            <w:lang w:eastAsia="zh-TW"/>
          </w:rPr>
          <w:t xml:space="preserve"> </w:t>
        </w:r>
        <w:r w:rsidRPr="00B47131">
          <w:rPr>
            <w:rFonts w:ascii="Traditional Arabic" w:hAnsi="Traditional Arabic" w:hint="cs"/>
            <w:rtl/>
            <w:lang w:eastAsia="zh-TW"/>
          </w:rPr>
          <w:t>صاحبة</w:t>
        </w:r>
        <w:r w:rsidRPr="00B47131">
          <w:rPr>
            <w:rtl/>
            <w:lang w:eastAsia="zh-TW"/>
          </w:rPr>
          <w:t xml:space="preserve"> </w:t>
        </w:r>
        <w:r w:rsidRPr="00B47131">
          <w:rPr>
            <w:rFonts w:ascii="Traditional Arabic" w:hAnsi="Traditional Arabic" w:hint="cs"/>
            <w:rtl/>
            <w:lang w:eastAsia="zh-TW"/>
          </w:rPr>
          <w:t>البلاغ</w:t>
        </w:r>
        <w:r w:rsidRPr="00B47131">
          <w:rPr>
            <w:rtl/>
            <w:lang w:eastAsia="zh-TW"/>
          </w:rPr>
          <w:t xml:space="preserve"> </w:t>
        </w:r>
        <w:r w:rsidRPr="00B47131">
          <w:rPr>
            <w:rFonts w:ascii="Traditional Arabic" w:hAnsi="Traditional Arabic" w:hint="cs"/>
            <w:rtl/>
            <w:lang w:eastAsia="zh-TW"/>
          </w:rPr>
          <w:t>إلى</w:t>
        </w:r>
        <w:r w:rsidRPr="00B47131">
          <w:rPr>
            <w:rtl/>
            <w:lang w:eastAsia="zh-TW"/>
          </w:rPr>
          <w:t xml:space="preserve"> </w:t>
        </w:r>
        <w:r w:rsidRPr="00B47131">
          <w:rPr>
            <w:rFonts w:ascii="Traditional Arabic" w:hAnsi="Traditional Arabic" w:hint="cs"/>
            <w:rtl/>
            <w:lang w:eastAsia="zh-TW"/>
          </w:rPr>
          <w:t>أن</w:t>
        </w:r>
        <w:r w:rsidRPr="00B47131">
          <w:rPr>
            <w:rtl/>
            <w:lang w:eastAsia="zh-TW"/>
          </w:rPr>
          <w:t xml:space="preserve"> </w:t>
        </w:r>
        <w:proofErr w:type="spellStart"/>
        <w:r w:rsidRPr="00B47131">
          <w:rPr>
            <w:rFonts w:ascii="Traditional Arabic" w:hAnsi="Traditional Arabic" w:hint="cs"/>
            <w:rtl/>
            <w:lang w:eastAsia="zh-TW"/>
          </w:rPr>
          <w:t>والي</w:t>
        </w:r>
        <w:r>
          <w:rPr>
            <w:rFonts w:hint="cs"/>
            <w:rtl/>
            <w:lang w:eastAsia="zh-TW"/>
          </w:rPr>
          <w:t>ة</w:t>
        </w:r>
        <w:proofErr w:type="spellEnd"/>
        <w:r w:rsidRPr="00B47131">
          <w:rPr>
            <w:rtl/>
            <w:lang w:eastAsia="zh-TW"/>
          </w:rPr>
          <w:t xml:space="preserve"> القضاء</w:t>
        </w:r>
        <w:r w:rsidR="0086606C">
          <w:rPr>
            <w:rtl/>
            <w:lang w:eastAsia="zh-TW"/>
          </w:rPr>
          <w:t xml:space="preserve"> </w:t>
        </w:r>
        <w:r>
          <w:rPr>
            <w:rFonts w:hint="cs"/>
            <w:rtl/>
            <w:lang w:eastAsia="zh-TW"/>
          </w:rPr>
          <w:t xml:space="preserve">حالت دون تمكنها من أداء مهمة </w:t>
        </w:r>
        <w:r w:rsidRPr="00B47131">
          <w:rPr>
            <w:rtl/>
            <w:lang w:eastAsia="zh-TW"/>
          </w:rPr>
          <w:t>محلفة بموجب أحكام تلك المادة. وتدفع صاحبة البلاغ أيض</w:t>
        </w:r>
        <w:r w:rsidR="005E3DFA">
          <w:rPr>
            <w:rtl/>
            <w:lang w:eastAsia="zh-TW"/>
          </w:rPr>
          <w:t xml:space="preserve">اً </w:t>
        </w:r>
        <w:r w:rsidRPr="00B47131">
          <w:rPr>
            <w:rtl/>
            <w:lang w:eastAsia="zh-TW"/>
          </w:rPr>
          <w:t xml:space="preserve">بأن مديرة شؤون المحلفين نصحتها، عندما أصرت على المشاركة في عملية اختيار المحلفين، بالحضور إلى المحكمة في 28 تشرين الثاني/نوفمبر وبتقديم طلب شخصي إلى القاضي للمشاركة في المداولات بمساعدة مترجم بلغة الإشارة الأسترالية. </w:t>
        </w:r>
        <w:r w:rsidR="0087267B">
          <w:t>‬</w:t>
        </w:r>
        <w:r w:rsidR="000C45CA">
          <w:t>‬</w:t>
        </w:r>
        <w:r w:rsidR="00A168C8">
          <w:t>‬</w:t>
        </w:r>
        <w:r w:rsidR="00821257">
          <w:t>‬</w:t>
        </w:r>
      </w:dir>
    </w:p>
    <w:p w:rsidR="0081736E" w:rsidRPr="00F05419" w:rsidRDefault="0081736E" w:rsidP="00F05419">
      <w:pPr>
        <w:pStyle w:val="SingleTxtGA"/>
        <w:rPr>
          <w:rtl/>
        </w:rPr>
      </w:pPr>
      <w:r w:rsidRPr="00F05419">
        <w:rPr>
          <w:rtl/>
        </w:rPr>
        <w:t>٢-٣</w:t>
      </w:r>
      <w:r w:rsidRPr="00F05419">
        <w:rPr>
          <w:rFonts w:hint="cs"/>
          <w:rtl/>
        </w:rPr>
        <w:tab/>
      </w:r>
      <w:r w:rsidRPr="00F05419">
        <w:rPr>
          <w:rtl/>
        </w:rPr>
        <w:t xml:space="preserve">وفي 27 تشرين الثاني/نوفمبر 2012، أرسلت صاحبة البلاغ رسالة بالبريد </w:t>
      </w:r>
      <w:r w:rsidR="003D0BF9" w:rsidRPr="00F05419">
        <w:rPr>
          <w:rFonts w:hint="cs"/>
          <w:rtl/>
        </w:rPr>
        <w:t>الإلكتروني</w:t>
      </w:r>
      <w:r w:rsidRPr="00F05419">
        <w:rPr>
          <w:rtl/>
        </w:rPr>
        <w:t xml:space="preserve"> إلى مديرة شؤون المحلفين لتؤكد أنها ستحضر جلسات المحكمة الابتدائية في غرب سيدني استجابةً لاستدعائها لأداء الواجب في هيئة المحلفين. وفي 28 تشرين الثاني/نوفمبر 2012، حضرت صاحبة البلاغ إلى المحكمة بنية تقديم طلب شخصي إلى القاضي للحصول على مساعدة مترجم بلغة الإشارة الأسترالية. وعندما وصلت صاحبة البلاغ إلى المحكمة، أخبرتها مديرة شؤون المحلفين كتابياً بأنها لن تحصل على دعم لتيسير تواصلها مع القاضي. وكانت صاحبة البلاغ تعتزم استخدام جهاز </w:t>
      </w:r>
      <w:r w:rsidR="00F05419">
        <w:t>iPad</w:t>
      </w:r>
      <w:r w:rsidR="00F05419">
        <w:rPr>
          <w:rFonts w:hint="cs"/>
          <w:rtl/>
        </w:rPr>
        <w:t xml:space="preserve"> </w:t>
      </w:r>
      <w:r w:rsidRPr="00F05419">
        <w:rPr>
          <w:rtl/>
        </w:rPr>
        <w:t xml:space="preserve">الخاص بها لعرض طلبها، ولكن بطارية الجهاز توقفت قبل أن تسنح لها فرصة مقابلة القاضي. ولم توفر لصاحبة البلاغ مساعدة، فاضطرت إلى مغادرة المحكمة وهي تشعر </w:t>
      </w:r>
      <w:r w:rsidR="0086606C" w:rsidRPr="00F05419">
        <w:rPr>
          <w:rtl/>
        </w:rPr>
        <w:t>"</w:t>
      </w:r>
      <w:r w:rsidRPr="00F05419">
        <w:rPr>
          <w:rtl/>
        </w:rPr>
        <w:t>بالإهانة</w:t>
      </w:r>
      <w:r w:rsidR="0086606C" w:rsidRPr="00F05419">
        <w:rPr>
          <w:rtl/>
        </w:rPr>
        <w:t>"</w:t>
      </w:r>
      <w:r w:rsidRPr="00F05419">
        <w:rPr>
          <w:rtl/>
        </w:rPr>
        <w:t xml:space="preserve"> وبدون أن تتمكن من التواصل مع القاضي. </w:t>
      </w:r>
    </w:p>
    <w:p w:rsidR="0081736E" w:rsidRPr="00B47131" w:rsidRDefault="0081736E" w:rsidP="00F05419">
      <w:pPr>
        <w:pStyle w:val="SingleTxtGA"/>
        <w:rPr>
          <w:rtl/>
          <w:lang w:eastAsia="zh-TW"/>
        </w:rPr>
      </w:pPr>
      <w:r>
        <w:rPr>
          <w:rtl/>
          <w:lang w:eastAsia="zh-TW"/>
        </w:rPr>
        <w:t>٢-٤</w:t>
      </w:r>
      <w:r>
        <w:rPr>
          <w:rFonts w:hint="cs"/>
          <w:rtl/>
          <w:lang w:eastAsia="zh-TW"/>
        </w:rPr>
        <w:tab/>
      </w:r>
      <w:dir w:val="rtl">
        <w:r w:rsidRPr="00B47131">
          <w:rPr>
            <w:rFonts w:ascii="Traditional Arabic" w:hAnsi="Traditional Arabic" w:hint="cs"/>
            <w:rtl/>
            <w:lang w:eastAsia="zh-TW"/>
          </w:rPr>
          <w:t>وتنص</w:t>
        </w:r>
        <w:r w:rsidRPr="00B47131">
          <w:rPr>
            <w:rtl/>
            <w:lang w:eastAsia="zh-TW"/>
          </w:rPr>
          <w:t xml:space="preserve"> </w:t>
        </w:r>
        <w:r w:rsidRPr="00B47131">
          <w:rPr>
            <w:rFonts w:ascii="Traditional Arabic" w:hAnsi="Traditional Arabic" w:hint="cs"/>
            <w:rtl/>
            <w:lang w:eastAsia="zh-TW"/>
          </w:rPr>
          <w:t>الفقرة</w:t>
        </w:r>
        <w:r w:rsidRPr="00B47131">
          <w:rPr>
            <w:rtl/>
            <w:lang w:eastAsia="zh-TW"/>
          </w:rPr>
          <w:t xml:space="preserve"> (</w:t>
        </w:r>
        <w:r w:rsidRPr="00B47131">
          <w:rPr>
            <w:rFonts w:ascii="Traditional Arabic" w:hAnsi="Traditional Arabic" w:hint="cs"/>
            <w:rtl/>
            <w:lang w:eastAsia="zh-TW"/>
          </w:rPr>
          <w:t>ب</w:t>
        </w:r>
        <w:r w:rsidRPr="00B47131">
          <w:rPr>
            <w:rtl/>
            <w:lang w:eastAsia="zh-TW"/>
          </w:rPr>
          <w:t xml:space="preserve">) </w:t>
        </w:r>
        <w:r w:rsidRPr="00B47131">
          <w:rPr>
            <w:rFonts w:ascii="Traditional Arabic" w:hAnsi="Traditional Arabic" w:hint="cs"/>
            <w:rtl/>
            <w:lang w:eastAsia="zh-TW"/>
          </w:rPr>
          <w:t>من</w:t>
        </w:r>
        <w:r w:rsidRPr="00B47131">
          <w:rPr>
            <w:rtl/>
            <w:lang w:eastAsia="zh-TW"/>
          </w:rPr>
          <w:t xml:space="preserve"> </w:t>
        </w:r>
        <w:r w:rsidRPr="00B47131">
          <w:rPr>
            <w:rFonts w:ascii="Traditional Arabic" w:hAnsi="Traditional Arabic" w:hint="cs"/>
            <w:rtl/>
            <w:lang w:eastAsia="zh-TW"/>
          </w:rPr>
          <w:t>المادة</w:t>
        </w:r>
        <w:r w:rsidR="0086606C">
          <w:rPr>
            <w:rtl/>
            <w:lang w:eastAsia="zh-TW"/>
          </w:rPr>
          <w:t xml:space="preserve"> </w:t>
        </w:r>
        <w:r w:rsidRPr="00B47131">
          <w:rPr>
            <w:rtl/>
            <w:lang w:eastAsia="zh-TW"/>
          </w:rPr>
          <w:t>14</w:t>
        </w:r>
        <w:r w:rsidRPr="00B47131">
          <w:rPr>
            <w:rFonts w:ascii="Traditional Arabic" w:hAnsi="Traditional Arabic" w:hint="cs"/>
            <w:rtl/>
            <w:lang w:eastAsia="zh-TW"/>
          </w:rPr>
          <w:t>ألف</w:t>
        </w:r>
        <w:r w:rsidRPr="00B47131">
          <w:rPr>
            <w:rtl/>
            <w:lang w:eastAsia="zh-TW"/>
          </w:rPr>
          <w:t xml:space="preserve"> </w:t>
        </w:r>
        <w:r w:rsidRPr="00B47131">
          <w:rPr>
            <w:rFonts w:ascii="Traditional Arabic" w:hAnsi="Traditional Arabic" w:hint="cs"/>
            <w:rtl/>
            <w:lang w:eastAsia="zh-TW"/>
          </w:rPr>
          <w:t>من</w:t>
        </w:r>
        <w:r w:rsidRPr="00B47131">
          <w:rPr>
            <w:rtl/>
            <w:lang w:eastAsia="zh-TW"/>
          </w:rPr>
          <w:t xml:space="preserve"> </w:t>
        </w:r>
        <w:r w:rsidRPr="00B47131">
          <w:rPr>
            <w:rFonts w:ascii="Traditional Arabic" w:hAnsi="Traditional Arabic" w:hint="cs"/>
            <w:rtl/>
            <w:lang w:eastAsia="zh-TW"/>
          </w:rPr>
          <w:t>قانون</w:t>
        </w:r>
        <w:r w:rsidRPr="00B47131">
          <w:rPr>
            <w:rtl/>
            <w:lang w:eastAsia="zh-TW"/>
          </w:rPr>
          <w:t xml:space="preserve"> </w:t>
        </w:r>
        <w:r w:rsidRPr="00B47131">
          <w:rPr>
            <w:rFonts w:ascii="Traditional Arabic" w:hAnsi="Traditional Arabic" w:hint="cs"/>
            <w:rtl/>
            <w:lang w:eastAsia="zh-TW"/>
          </w:rPr>
          <w:t>المحلفين</w:t>
        </w:r>
        <w:r w:rsidRPr="00B47131">
          <w:rPr>
            <w:rtl/>
            <w:lang w:eastAsia="zh-TW"/>
          </w:rPr>
          <w:t xml:space="preserve"> </w:t>
        </w:r>
        <w:r w:rsidRPr="00B47131">
          <w:rPr>
            <w:rFonts w:ascii="Traditional Arabic" w:hAnsi="Traditional Arabic" w:hint="cs"/>
            <w:rtl/>
            <w:lang w:eastAsia="zh-TW"/>
          </w:rPr>
          <w:t>المعدّل</w:t>
        </w:r>
        <w:r w:rsidRPr="00B47131">
          <w:rPr>
            <w:rtl/>
            <w:lang w:eastAsia="zh-TW"/>
          </w:rPr>
          <w:t xml:space="preserve"> </w:t>
        </w:r>
        <w:r w:rsidRPr="00B47131">
          <w:rPr>
            <w:rFonts w:ascii="Traditional Arabic" w:hAnsi="Traditional Arabic" w:hint="cs"/>
            <w:rtl/>
            <w:lang w:eastAsia="zh-TW"/>
          </w:rPr>
          <w:t>لعام</w:t>
        </w:r>
        <w:r w:rsidRPr="00B47131">
          <w:rPr>
            <w:rtl/>
            <w:lang w:eastAsia="zh-TW"/>
          </w:rPr>
          <w:t xml:space="preserve"> 2010</w:t>
        </w:r>
        <w:r w:rsidRPr="00B47131">
          <w:rPr>
            <w:rFonts w:ascii="Traditional Arabic" w:hAnsi="Traditional Arabic" w:hint="cs"/>
            <w:rtl/>
            <w:lang w:eastAsia="zh-TW"/>
          </w:rPr>
          <w:t>،</w:t>
        </w:r>
        <w:r w:rsidRPr="00B47131">
          <w:rPr>
            <w:rtl/>
            <w:lang w:eastAsia="zh-TW"/>
          </w:rPr>
          <w:t xml:space="preserve"> </w:t>
        </w:r>
        <w:r w:rsidRPr="00B47131">
          <w:rPr>
            <w:rFonts w:ascii="Traditional Arabic" w:hAnsi="Traditional Arabic" w:hint="cs"/>
            <w:rtl/>
            <w:lang w:eastAsia="zh-TW"/>
          </w:rPr>
          <w:t>على</w:t>
        </w:r>
        <w:r w:rsidRPr="00B47131">
          <w:rPr>
            <w:rtl/>
            <w:lang w:eastAsia="zh-TW"/>
          </w:rPr>
          <w:t xml:space="preserve"> </w:t>
        </w:r>
        <w:r w:rsidRPr="00B47131">
          <w:rPr>
            <w:rFonts w:ascii="Traditional Arabic" w:hAnsi="Traditional Arabic" w:hint="cs"/>
            <w:rtl/>
            <w:lang w:eastAsia="zh-TW"/>
          </w:rPr>
          <w:t>أنه</w:t>
        </w:r>
        <w:r w:rsidRPr="00B47131">
          <w:rPr>
            <w:rtl/>
            <w:lang w:eastAsia="zh-TW"/>
          </w:rPr>
          <w:t xml:space="preserve"> </w:t>
        </w:r>
        <w:r w:rsidR="0086606C">
          <w:rPr>
            <w:rFonts w:ascii="Traditional Arabic" w:hAnsi="Traditional Arabic"/>
            <w:rtl/>
            <w:lang w:eastAsia="zh-TW"/>
          </w:rPr>
          <w:t>"</w:t>
        </w:r>
        <w:r w:rsidRPr="00B47131">
          <w:rPr>
            <w:rFonts w:ascii="Traditional Arabic" w:hAnsi="Traditional Arabic" w:hint="cs"/>
            <w:rtl/>
            <w:lang w:eastAsia="zh-TW"/>
          </w:rPr>
          <w:t>يوجد</w:t>
        </w:r>
        <w:r w:rsidRPr="00B47131">
          <w:rPr>
            <w:rtl/>
            <w:lang w:eastAsia="zh-TW"/>
          </w:rPr>
          <w:t xml:space="preserve"> </w:t>
        </w:r>
        <w:r w:rsidRPr="00B47131">
          <w:rPr>
            <w:rFonts w:ascii="Traditional Arabic" w:hAnsi="Traditional Arabic" w:hint="cs"/>
            <w:rtl/>
            <w:lang w:eastAsia="zh-TW"/>
          </w:rPr>
          <w:t>سبب</w:t>
        </w:r>
        <w:r w:rsidRPr="00B47131">
          <w:rPr>
            <w:rtl/>
            <w:lang w:eastAsia="zh-TW"/>
          </w:rPr>
          <w:t xml:space="preserve"> </w:t>
        </w:r>
        <w:r w:rsidRPr="00B47131">
          <w:rPr>
            <w:rFonts w:ascii="Traditional Arabic" w:hAnsi="Traditional Arabic" w:hint="cs"/>
            <w:rtl/>
            <w:lang w:eastAsia="zh-TW"/>
          </w:rPr>
          <w:t>وجيه</w:t>
        </w:r>
        <w:r w:rsidRPr="00B47131">
          <w:rPr>
            <w:rtl/>
            <w:lang w:eastAsia="zh-TW"/>
          </w:rPr>
          <w:t xml:space="preserve"> </w:t>
        </w:r>
        <w:r w:rsidRPr="00B47131">
          <w:rPr>
            <w:rFonts w:ascii="Traditional Arabic" w:hAnsi="Traditional Arabic" w:hint="cs"/>
            <w:rtl/>
            <w:lang w:eastAsia="zh-TW"/>
          </w:rPr>
          <w:t>لإعفاء</w:t>
        </w:r>
        <w:r w:rsidRPr="00B47131">
          <w:rPr>
            <w:rtl/>
            <w:lang w:eastAsia="zh-TW"/>
          </w:rPr>
          <w:t xml:space="preserve"> </w:t>
        </w:r>
        <w:r w:rsidRPr="00B47131">
          <w:rPr>
            <w:rFonts w:ascii="Traditional Arabic" w:hAnsi="Traditional Arabic" w:hint="cs"/>
            <w:rtl/>
            <w:lang w:eastAsia="zh-TW"/>
          </w:rPr>
          <w:t>الشخص</w:t>
        </w:r>
        <w:r w:rsidRPr="00B47131">
          <w:rPr>
            <w:rtl/>
            <w:lang w:eastAsia="zh-TW"/>
          </w:rPr>
          <w:t xml:space="preserve"> </w:t>
        </w:r>
        <w:r w:rsidRPr="00B47131">
          <w:rPr>
            <w:rFonts w:ascii="Traditional Arabic" w:hAnsi="Traditional Arabic" w:hint="cs"/>
            <w:rtl/>
            <w:lang w:eastAsia="zh-TW"/>
          </w:rPr>
          <w:t>من</w:t>
        </w:r>
        <w:r w:rsidRPr="00B47131">
          <w:rPr>
            <w:rtl/>
            <w:lang w:eastAsia="zh-TW"/>
          </w:rPr>
          <w:t xml:space="preserve"> </w:t>
        </w:r>
        <w:r w:rsidRPr="00B47131">
          <w:rPr>
            <w:rFonts w:ascii="Traditional Arabic" w:hAnsi="Traditional Arabic" w:hint="cs"/>
            <w:rtl/>
            <w:lang w:eastAsia="zh-TW"/>
          </w:rPr>
          <w:t>أداء</w:t>
        </w:r>
        <w:r w:rsidRPr="00B47131">
          <w:rPr>
            <w:rtl/>
            <w:lang w:eastAsia="zh-TW"/>
          </w:rPr>
          <w:t xml:space="preserve"> </w:t>
        </w:r>
        <w:r w:rsidRPr="00B47131">
          <w:rPr>
            <w:rFonts w:ascii="Traditional Arabic" w:hAnsi="Traditional Arabic" w:hint="cs"/>
            <w:rtl/>
            <w:lang w:eastAsia="zh-TW"/>
          </w:rPr>
          <w:t>مهام</w:t>
        </w:r>
        <w:r w:rsidRPr="00B47131">
          <w:rPr>
            <w:rtl/>
            <w:lang w:eastAsia="zh-TW"/>
          </w:rPr>
          <w:t xml:space="preserve"> </w:t>
        </w:r>
        <w:r w:rsidRPr="00B47131">
          <w:rPr>
            <w:rFonts w:ascii="Traditional Arabic" w:hAnsi="Traditional Arabic" w:hint="cs"/>
            <w:rtl/>
            <w:lang w:eastAsia="zh-TW"/>
          </w:rPr>
          <w:t>المحلف</w:t>
        </w:r>
        <w:r w:rsidRPr="00B47131">
          <w:rPr>
            <w:rtl/>
            <w:lang w:eastAsia="zh-TW"/>
          </w:rPr>
          <w:t xml:space="preserve"> </w:t>
        </w:r>
        <w:r w:rsidRPr="00B47131">
          <w:rPr>
            <w:rFonts w:ascii="Traditional Arabic" w:hAnsi="Traditional Arabic" w:hint="cs"/>
            <w:rtl/>
            <w:lang w:eastAsia="zh-TW"/>
          </w:rPr>
          <w:t>إذا</w:t>
        </w:r>
        <w:r w:rsidRPr="00B47131">
          <w:rPr>
            <w:rtl/>
            <w:lang w:eastAsia="zh-TW"/>
          </w:rPr>
          <w:t xml:space="preserve"> </w:t>
        </w:r>
        <w:r w:rsidRPr="00B47131">
          <w:rPr>
            <w:rFonts w:ascii="Traditional Arabic" w:hAnsi="Traditional Arabic" w:hint="cs"/>
            <w:rtl/>
            <w:lang w:eastAsia="zh-TW"/>
          </w:rPr>
          <w:t>كان</w:t>
        </w:r>
        <w:r w:rsidRPr="00B47131">
          <w:rPr>
            <w:rtl/>
            <w:lang w:eastAsia="zh-TW"/>
          </w:rPr>
          <w:t xml:space="preserve"> </w:t>
        </w:r>
        <w:r w:rsidRPr="00B47131">
          <w:rPr>
            <w:rFonts w:ascii="Traditional Arabic" w:hAnsi="Traditional Arabic" w:hint="cs"/>
            <w:rtl/>
            <w:lang w:eastAsia="zh-TW"/>
          </w:rPr>
          <w:t>مصاباً</w:t>
        </w:r>
        <w:r w:rsidRPr="00B47131">
          <w:rPr>
            <w:rtl/>
            <w:lang w:eastAsia="zh-TW"/>
          </w:rPr>
          <w:t xml:space="preserve"> </w:t>
        </w:r>
        <w:r w:rsidRPr="00B47131">
          <w:rPr>
            <w:rFonts w:ascii="Traditional Arabic" w:hAnsi="Traditional Arabic" w:hint="cs"/>
            <w:rtl/>
            <w:lang w:eastAsia="zh-TW"/>
          </w:rPr>
          <w:t>بإعاقة</w:t>
        </w:r>
        <w:r w:rsidRPr="00B47131">
          <w:rPr>
            <w:rtl/>
            <w:lang w:eastAsia="zh-TW"/>
          </w:rPr>
          <w:t xml:space="preserve"> </w:t>
        </w:r>
        <w:r w:rsidRPr="00B47131">
          <w:rPr>
            <w:rFonts w:ascii="Traditional Arabic" w:hAnsi="Traditional Arabic" w:hint="cs"/>
            <w:rtl/>
            <w:lang w:eastAsia="zh-TW"/>
          </w:rPr>
          <w:t>ما</w:t>
        </w:r>
        <w:r w:rsidRPr="00B47131">
          <w:rPr>
            <w:rtl/>
            <w:lang w:eastAsia="zh-TW"/>
          </w:rPr>
          <w:t xml:space="preserve"> </w:t>
        </w:r>
        <w:r w:rsidRPr="00B47131">
          <w:rPr>
            <w:rFonts w:ascii="Traditional Arabic" w:hAnsi="Traditional Arabic" w:hint="cs"/>
            <w:rtl/>
            <w:lang w:eastAsia="zh-TW"/>
          </w:rPr>
          <w:t>تجعله</w:t>
        </w:r>
        <w:r w:rsidRPr="00B47131">
          <w:rPr>
            <w:rtl/>
            <w:lang w:eastAsia="zh-TW"/>
          </w:rPr>
          <w:t xml:space="preserve"> </w:t>
        </w:r>
        <w:r w:rsidRPr="00B47131">
          <w:rPr>
            <w:rFonts w:ascii="Traditional Arabic" w:hAnsi="Traditional Arabic" w:hint="cs"/>
            <w:rtl/>
            <w:lang w:eastAsia="zh-TW"/>
          </w:rPr>
          <w:t>غير</w:t>
        </w:r>
        <w:r w:rsidRPr="00B47131">
          <w:rPr>
            <w:rtl/>
            <w:lang w:eastAsia="zh-TW"/>
          </w:rPr>
          <w:t xml:space="preserve"> </w:t>
        </w:r>
        <w:r w:rsidRPr="00B47131">
          <w:rPr>
            <w:rFonts w:ascii="Traditional Arabic" w:hAnsi="Traditional Arabic" w:hint="cs"/>
            <w:rtl/>
            <w:lang w:eastAsia="zh-TW"/>
          </w:rPr>
          <w:t>لائق</w:t>
        </w:r>
        <w:r w:rsidRPr="00B47131">
          <w:rPr>
            <w:rtl/>
            <w:lang w:eastAsia="zh-TW"/>
          </w:rPr>
          <w:t xml:space="preserve"> </w:t>
        </w:r>
        <w:r w:rsidRPr="00B47131">
          <w:rPr>
            <w:rFonts w:ascii="Traditional Arabic" w:hAnsi="Traditional Arabic" w:hint="cs"/>
            <w:rtl/>
            <w:lang w:eastAsia="zh-TW"/>
          </w:rPr>
          <w:t>لأداء</w:t>
        </w:r>
        <w:r w:rsidRPr="00B47131">
          <w:rPr>
            <w:rtl/>
            <w:lang w:eastAsia="zh-TW"/>
          </w:rPr>
          <w:t xml:space="preserve"> </w:t>
        </w:r>
        <w:r w:rsidRPr="00B47131">
          <w:rPr>
            <w:rFonts w:ascii="Traditional Arabic" w:hAnsi="Traditional Arabic" w:hint="cs"/>
            <w:rtl/>
            <w:lang w:eastAsia="zh-TW"/>
          </w:rPr>
          <w:t>مهام</w:t>
        </w:r>
        <w:r w:rsidRPr="00B47131">
          <w:rPr>
            <w:rtl/>
            <w:lang w:eastAsia="zh-TW"/>
          </w:rPr>
          <w:t xml:space="preserve"> </w:t>
        </w:r>
        <w:r w:rsidRPr="00B47131">
          <w:rPr>
            <w:rFonts w:ascii="Traditional Arabic" w:hAnsi="Traditional Arabic" w:hint="cs"/>
            <w:rtl/>
            <w:lang w:eastAsia="zh-TW"/>
          </w:rPr>
          <w:t>المحلف</w:t>
        </w:r>
        <w:r w:rsidRPr="00B47131">
          <w:rPr>
            <w:rtl/>
            <w:lang w:eastAsia="zh-TW"/>
          </w:rPr>
          <w:t xml:space="preserve"> </w:t>
        </w:r>
        <w:r w:rsidRPr="00B47131">
          <w:rPr>
            <w:rFonts w:ascii="Traditional Arabic" w:hAnsi="Traditional Arabic" w:hint="cs"/>
            <w:rtl/>
            <w:lang w:eastAsia="zh-TW"/>
          </w:rPr>
          <w:t>بفعالية</w:t>
        </w:r>
        <w:r w:rsidRPr="00B47131">
          <w:rPr>
            <w:rtl/>
            <w:lang w:eastAsia="zh-TW"/>
          </w:rPr>
          <w:t xml:space="preserve"> </w:t>
        </w:r>
        <w:r w:rsidRPr="00B47131">
          <w:rPr>
            <w:rFonts w:ascii="Traditional Arabic" w:hAnsi="Traditional Arabic" w:hint="cs"/>
            <w:rtl/>
            <w:lang w:eastAsia="zh-TW"/>
          </w:rPr>
          <w:t>أو</w:t>
        </w:r>
        <w:r w:rsidRPr="00B47131">
          <w:rPr>
            <w:rtl/>
            <w:lang w:eastAsia="zh-TW"/>
          </w:rPr>
          <w:t xml:space="preserve"> </w:t>
        </w:r>
        <w:r w:rsidRPr="00B47131">
          <w:rPr>
            <w:rFonts w:ascii="Traditional Arabic" w:hAnsi="Traditional Arabic" w:hint="cs"/>
            <w:rtl/>
            <w:lang w:eastAsia="zh-TW"/>
          </w:rPr>
          <w:t>غير</w:t>
        </w:r>
        <w:r w:rsidRPr="00B47131">
          <w:rPr>
            <w:rtl/>
            <w:lang w:eastAsia="zh-TW"/>
          </w:rPr>
          <w:t xml:space="preserve"> </w:t>
        </w:r>
        <w:r w:rsidRPr="00B47131">
          <w:rPr>
            <w:rFonts w:ascii="Traditional Arabic" w:hAnsi="Traditional Arabic" w:hint="cs"/>
            <w:rtl/>
            <w:lang w:eastAsia="zh-TW"/>
          </w:rPr>
          <w:t>قادر</w:t>
        </w:r>
        <w:r w:rsidRPr="00B47131">
          <w:rPr>
            <w:rtl/>
            <w:lang w:eastAsia="zh-TW"/>
          </w:rPr>
          <w:t xml:space="preserve"> </w:t>
        </w:r>
        <w:r w:rsidRPr="00B47131">
          <w:rPr>
            <w:rFonts w:ascii="Traditional Arabic" w:hAnsi="Traditional Arabic" w:hint="cs"/>
            <w:rtl/>
            <w:lang w:eastAsia="zh-TW"/>
          </w:rPr>
          <w:t>على</w:t>
        </w:r>
        <w:r w:rsidRPr="00B47131">
          <w:rPr>
            <w:rtl/>
            <w:lang w:eastAsia="zh-TW"/>
          </w:rPr>
          <w:t xml:space="preserve"> </w:t>
        </w:r>
        <w:r w:rsidRPr="00B47131">
          <w:rPr>
            <w:rFonts w:ascii="Traditional Arabic" w:hAnsi="Traditional Arabic" w:hint="cs"/>
            <w:rtl/>
            <w:lang w:eastAsia="zh-TW"/>
          </w:rPr>
          <w:t>ذلك</w:t>
        </w:r>
        <w:r w:rsidRPr="00B47131">
          <w:rPr>
            <w:rtl/>
            <w:lang w:eastAsia="zh-TW"/>
          </w:rPr>
          <w:t xml:space="preserve"> </w:t>
        </w:r>
        <w:r w:rsidRPr="00B47131">
          <w:rPr>
            <w:rFonts w:ascii="Traditional Arabic" w:hAnsi="Traditional Arabic" w:hint="cs"/>
            <w:rtl/>
            <w:lang w:eastAsia="zh-TW"/>
          </w:rPr>
          <w:t>ما</w:t>
        </w:r>
        <w:r w:rsidRPr="00B47131">
          <w:rPr>
            <w:rtl/>
            <w:lang w:eastAsia="zh-TW"/>
          </w:rPr>
          <w:t xml:space="preserve"> </w:t>
        </w:r>
        <w:r w:rsidRPr="00B47131">
          <w:rPr>
            <w:rFonts w:ascii="Traditional Arabic" w:hAnsi="Traditional Arabic" w:hint="cs"/>
            <w:rtl/>
            <w:lang w:eastAsia="zh-TW"/>
          </w:rPr>
          <w:t>لم</w:t>
        </w:r>
        <w:r w:rsidRPr="00B47131">
          <w:rPr>
            <w:rtl/>
            <w:lang w:eastAsia="zh-TW"/>
          </w:rPr>
          <w:t xml:space="preserve"> </w:t>
        </w:r>
        <w:r w:rsidRPr="00B47131">
          <w:rPr>
            <w:rFonts w:ascii="Traditional Arabic" w:hAnsi="Traditional Arabic" w:hint="cs"/>
            <w:rtl/>
            <w:lang w:eastAsia="zh-TW"/>
          </w:rPr>
          <w:t>توفر</w:t>
        </w:r>
        <w:r w:rsidRPr="00B47131">
          <w:rPr>
            <w:rtl/>
            <w:lang w:eastAsia="zh-TW"/>
          </w:rPr>
          <w:t xml:space="preserve"> </w:t>
        </w:r>
        <w:r w:rsidRPr="00B47131">
          <w:rPr>
            <w:rFonts w:ascii="Traditional Arabic" w:hAnsi="Traditional Arabic" w:hint="cs"/>
            <w:rtl/>
            <w:lang w:eastAsia="zh-TW"/>
          </w:rPr>
          <w:t>له</w:t>
        </w:r>
        <w:r w:rsidRPr="00B47131">
          <w:rPr>
            <w:rtl/>
            <w:lang w:eastAsia="zh-TW"/>
          </w:rPr>
          <w:t xml:space="preserve"> </w:t>
        </w:r>
        <w:r w:rsidRPr="00B47131">
          <w:rPr>
            <w:rFonts w:ascii="Traditional Arabic" w:hAnsi="Traditional Arabic" w:hint="cs"/>
            <w:rtl/>
            <w:lang w:eastAsia="zh-TW"/>
          </w:rPr>
          <w:t>ترتيبات</w:t>
        </w:r>
        <w:r w:rsidRPr="00B47131">
          <w:rPr>
            <w:rtl/>
            <w:lang w:eastAsia="zh-TW"/>
          </w:rPr>
          <w:t xml:space="preserve"> </w:t>
        </w:r>
        <w:proofErr w:type="spellStart"/>
        <w:r w:rsidRPr="00B47131">
          <w:rPr>
            <w:rFonts w:ascii="Traditional Arabic" w:hAnsi="Traditional Arabic" w:hint="cs"/>
            <w:rtl/>
            <w:lang w:eastAsia="zh-TW"/>
          </w:rPr>
          <w:t>تيسيرية</w:t>
        </w:r>
        <w:proofErr w:type="spellEnd"/>
        <w:r w:rsidRPr="00B47131">
          <w:rPr>
            <w:rtl/>
            <w:lang w:eastAsia="zh-TW"/>
          </w:rPr>
          <w:t xml:space="preserve"> </w:t>
        </w:r>
        <w:r w:rsidRPr="00B47131">
          <w:rPr>
            <w:rFonts w:ascii="Traditional Arabic" w:hAnsi="Traditional Arabic" w:hint="cs"/>
            <w:rtl/>
            <w:lang w:eastAsia="zh-TW"/>
          </w:rPr>
          <w:t>معقولة</w:t>
        </w:r>
        <w:r w:rsidR="0086606C">
          <w:rPr>
            <w:rtl/>
            <w:lang w:eastAsia="zh-TW"/>
          </w:rPr>
          <w:t>"</w:t>
        </w:r>
        <w:r w:rsidRPr="00B47131">
          <w:rPr>
            <w:rtl/>
            <w:lang w:eastAsia="zh-TW"/>
          </w:rPr>
          <w:t>.</w:t>
        </w:r>
        <w:r w:rsidRPr="00B47131">
          <w:rPr>
            <w:rFonts w:cs="Times New Roman" w:hint="cs"/>
            <w:rtl/>
            <w:lang w:eastAsia="zh-TW"/>
          </w:rPr>
          <w:t>‬</w:t>
        </w:r>
        <w:r w:rsidRPr="00B47131">
          <w:rPr>
            <w:rtl/>
            <w:lang w:eastAsia="zh-TW"/>
          </w:rPr>
          <w:t xml:space="preserve"> </w:t>
        </w:r>
        <w:r w:rsidRPr="00B47131">
          <w:rPr>
            <w:rFonts w:ascii="Traditional Arabic" w:hAnsi="Traditional Arabic" w:hint="cs"/>
            <w:rtl/>
            <w:lang w:eastAsia="zh-TW"/>
          </w:rPr>
          <w:t>وتنص</w:t>
        </w:r>
        <w:r w:rsidRPr="00B47131">
          <w:rPr>
            <w:rtl/>
            <w:lang w:eastAsia="zh-TW"/>
          </w:rPr>
          <w:t xml:space="preserve"> </w:t>
        </w:r>
        <w:r w:rsidRPr="00B47131">
          <w:rPr>
            <w:rFonts w:ascii="Traditional Arabic" w:hAnsi="Traditional Arabic" w:hint="cs"/>
            <w:rtl/>
            <w:lang w:eastAsia="zh-TW"/>
          </w:rPr>
          <w:t>المادة</w:t>
        </w:r>
        <w:r w:rsidRPr="00B47131">
          <w:rPr>
            <w:rtl/>
            <w:lang w:eastAsia="zh-TW"/>
          </w:rPr>
          <w:t xml:space="preserve"> 14(</w:t>
        </w:r>
        <w:r w:rsidRPr="00B47131">
          <w:rPr>
            <w:rFonts w:ascii="Traditional Arabic" w:hAnsi="Traditional Arabic" w:hint="cs"/>
            <w:rtl/>
            <w:lang w:eastAsia="zh-TW"/>
          </w:rPr>
          <w:t>دال</w:t>
        </w:r>
        <w:r w:rsidRPr="00B47131">
          <w:rPr>
            <w:rtl/>
            <w:lang w:eastAsia="zh-TW"/>
          </w:rPr>
          <w:t xml:space="preserve">) </w:t>
        </w:r>
        <w:r w:rsidRPr="00B47131">
          <w:rPr>
            <w:rFonts w:ascii="Traditional Arabic" w:hAnsi="Traditional Arabic" w:hint="cs"/>
            <w:rtl/>
            <w:lang w:eastAsia="zh-TW"/>
          </w:rPr>
          <w:t>من</w:t>
        </w:r>
        <w:r w:rsidRPr="00B47131">
          <w:rPr>
            <w:rtl/>
            <w:lang w:eastAsia="zh-TW"/>
          </w:rPr>
          <w:t xml:space="preserve"> </w:t>
        </w:r>
        <w:r w:rsidRPr="00B47131">
          <w:rPr>
            <w:rFonts w:ascii="Traditional Arabic" w:hAnsi="Traditional Arabic" w:hint="cs"/>
            <w:rtl/>
            <w:lang w:eastAsia="zh-TW"/>
          </w:rPr>
          <w:t>ذلك</w:t>
        </w:r>
        <w:r w:rsidRPr="00B47131">
          <w:rPr>
            <w:rtl/>
            <w:lang w:eastAsia="zh-TW"/>
          </w:rPr>
          <w:t xml:space="preserve"> </w:t>
        </w:r>
        <w:r w:rsidRPr="00B47131">
          <w:rPr>
            <w:rFonts w:ascii="Traditional Arabic" w:hAnsi="Traditional Arabic" w:hint="cs"/>
            <w:rtl/>
            <w:lang w:eastAsia="zh-TW"/>
          </w:rPr>
          <w:t>القانون</w:t>
        </w:r>
        <w:r w:rsidRPr="00B47131">
          <w:rPr>
            <w:rtl/>
            <w:lang w:eastAsia="zh-TW"/>
          </w:rPr>
          <w:t xml:space="preserve"> </w:t>
        </w:r>
        <w:r w:rsidRPr="00B47131">
          <w:rPr>
            <w:rFonts w:ascii="Traditional Arabic" w:hAnsi="Traditional Arabic" w:hint="cs"/>
            <w:rtl/>
            <w:lang w:eastAsia="zh-TW"/>
          </w:rPr>
          <w:t>على</w:t>
        </w:r>
        <w:r w:rsidRPr="00B47131">
          <w:rPr>
            <w:rtl/>
            <w:lang w:eastAsia="zh-TW"/>
          </w:rPr>
          <w:t xml:space="preserve"> </w:t>
        </w:r>
        <w:r w:rsidRPr="00B47131">
          <w:rPr>
            <w:rFonts w:ascii="Traditional Arabic" w:hAnsi="Traditional Arabic" w:hint="cs"/>
            <w:rtl/>
            <w:lang w:eastAsia="zh-TW"/>
          </w:rPr>
          <w:t>أن</w:t>
        </w:r>
        <w:r w:rsidRPr="00B47131">
          <w:rPr>
            <w:rtl/>
            <w:lang w:eastAsia="zh-TW"/>
          </w:rPr>
          <w:t xml:space="preserve"> </w:t>
        </w:r>
        <w:r w:rsidR="0086606C">
          <w:rPr>
            <w:rFonts w:ascii="Traditional Arabic" w:hAnsi="Traditional Arabic"/>
            <w:rtl/>
            <w:lang w:eastAsia="zh-TW"/>
          </w:rPr>
          <w:t>"</w:t>
        </w:r>
        <w:r w:rsidRPr="00B47131">
          <w:rPr>
            <w:rFonts w:ascii="Traditional Arabic" w:hAnsi="Traditional Arabic" w:hint="cs"/>
            <w:rtl/>
            <w:lang w:eastAsia="zh-TW"/>
          </w:rPr>
          <w:t>يعدِّل</w:t>
        </w:r>
        <w:r w:rsidRPr="00B47131">
          <w:rPr>
            <w:rtl/>
            <w:lang w:eastAsia="zh-TW"/>
          </w:rPr>
          <w:t xml:space="preserve"> </w:t>
        </w:r>
        <w:r w:rsidRPr="00B47131">
          <w:rPr>
            <w:rFonts w:ascii="Traditional Arabic" w:hAnsi="Traditional Arabic" w:hint="cs"/>
            <w:rtl/>
            <w:lang w:eastAsia="zh-TW"/>
          </w:rPr>
          <w:t>والي</w:t>
        </w:r>
        <w:r w:rsidRPr="00B47131">
          <w:rPr>
            <w:rtl/>
            <w:lang w:eastAsia="zh-TW"/>
          </w:rPr>
          <w:t xml:space="preserve"> </w:t>
        </w:r>
        <w:r w:rsidRPr="00B47131">
          <w:rPr>
            <w:rFonts w:ascii="Traditional Arabic" w:hAnsi="Traditional Arabic" w:hint="cs"/>
            <w:rtl/>
            <w:lang w:eastAsia="zh-TW"/>
          </w:rPr>
          <w:t>القضاء</w:t>
        </w:r>
        <w:r w:rsidRPr="00B47131">
          <w:rPr>
            <w:rtl/>
            <w:lang w:eastAsia="zh-TW"/>
          </w:rPr>
          <w:t xml:space="preserve"> </w:t>
        </w:r>
        <w:r w:rsidRPr="00B47131">
          <w:rPr>
            <w:rFonts w:ascii="Traditional Arabic" w:hAnsi="Traditional Arabic" w:hint="cs"/>
            <w:rtl/>
            <w:lang w:eastAsia="zh-TW"/>
          </w:rPr>
          <w:t>القائمة</w:t>
        </w:r>
        <w:r w:rsidRPr="00B47131">
          <w:rPr>
            <w:rtl/>
            <w:lang w:eastAsia="zh-TW"/>
          </w:rPr>
          <w:t xml:space="preserve"> </w:t>
        </w:r>
        <w:r w:rsidRPr="00B47131">
          <w:rPr>
            <w:rFonts w:ascii="Traditional Arabic" w:hAnsi="Traditional Arabic" w:hint="cs"/>
            <w:rtl/>
            <w:lang w:eastAsia="zh-TW"/>
          </w:rPr>
          <w:t>التكميلية</w:t>
        </w:r>
        <w:r w:rsidRPr="00B47131">
          <w:rPr>
            <w:rtl/>
            <w:lang w:eastAsia="zh-TW"/>
          </w:rPr>
          <w:t xml:space="preserve"> </w:t>
        </w:r>
        <w:r w:rsidRPr="00B47131">
          <w:rPr>
            <w:rFonts w:ascii="Traditional Arabic" w:hAnsi="Traditional Arabic" w:hint="cs"/>
            <w:rtl/>
            <w:lang w:eastAsia="zh-TW"/>
          </w:rPr>
          <w:t>أو</w:t>
        </w:r>
        <w:r w:rsidRPr="00B47131">
          <w:rPr>
            <w:rtl/>
            <w:lang w:eastAsia="zh-TW"/>
          </w:rPr>
          <w:t xml:space="preserve"> </w:t>
        </w:r>
        <w:r w:rsidRPr="00B47131">
          <w:rPr>
            <w:rFonts w:ascii="Traditional Arabic" w:hAnsi="Traditional Arabic" w:hint="cs"/>
            <w:rtl/>
            <w:lang w:eastAsia="zh-TW"/>
          </w:rPr>
          <w:t>قائمة</w:t>
        </w:r>
        <w:r w:rsidRPr="00B47131">
          <w:rPr>
            <w:rtl/>
            <w:lang w:eastAsia="zh-TW"/>
          </w:rPr>
          <w:t xml:space="preserve"> </w:t>
        </w:r>
        <w:r w:rsidRPr="00B47131">
          <w:rPr>
            <w:rFonts w:ascii="Traditional Arabic" w:hAnsi="Traditional Arabic" w:hint="cs"/>
            <w:rtl/>
            <w:lang w:eastAsia="zh-TW"/>
          </w:rPr>
          <w:t>المحلفين،</w:t>
        </w:r>
        <w:r w:rsidRPr="00B47131">
          <w:rPr>
            <w:rtl/>
            <w:lang w:eastAsia="zh-TW"/>
          </w:rPr>
          <w:t xml:space="preserve"> </w:t>
        </w:r>
        <w:r w:rsidRPr="00B47131">
          <w:rPr>
            <w:rFonts w:ascii="Traditional Arabic" w:hAnsi="Traditional Arabic" w:hint="cs"/>
            <w:rtl/>
            <w:lang w:eastAsia="zh-TW"/>
          </w:rPr>
          <w:t>بحذف</w:t>
        </w:r>
        <w:r w:rsidRPr="00B47131">
          <w:rPr>
            <w:rtl/>
            <w:lang w:eastAsia="zh-TW"/>
          </w:rPr>
          <w:t xml:space="preserve"> </w:t>
        </w:r>
        <w:r w:rsidRPr="00B47131">
          <w:rPr>
            <w:rFonts w:ascii="Traditional Arabic" w:hAnsi="Traditional Arabic" w:hint="cs"/>
            <w:rtl/>
            <w:lang w:eastAsia="zh-TW"/>
          </w:rPr>
          <w:t>اسم</w:t>
        </w:r>
        <w:r w:rsidRPr="00B47131">
          <w:rPr>
            <w:rtl/>
            <w:lang w:eastAsia="zh-TW"/>
          </w:rPr>
          <w:t xml:space="preserve"> </w:t>
        </w:r>
        <w:r w:rsidRPr="00B47131">
          <w:rPr>
            <w:rFonts w:ascii="Traditional Arabic" w:hAnsi="Traditional Arabic" w:hint="cs"/>
            <w:rtl/>
            <w:lang w:eastAsia="zh-TW"/>
          </w:rPr>
          <w:t>الشخص</w:t>
        </w:r>
        <w:r w:rsidRPr="00B47131">
          <w:rPr>
            <w:rtl/>
            <w:lang w:eastAsia="zh-TW"/>
          </w:rPr>
          <w:t xml:space="preserve"> </w:t>
        </w:r>
        <w:r w:rsidRPr="00B47131">
          <w:rPr>
            <w:rFonts w:ascii="Traditional Arabic" w:hAnsi="Traditional Arabic" w:hint="cs"/>
            <w:rtl/>
            <w:lang w:eastAsia="zh-TW"/>
          </w:rPr>
          <w:t>وبياناته</w:t>
        </w:r>
        <w:r w:rsidRPr="00B47131">
          <w:rPr>
            <w:rtl/>
            <w:lang w:eastAsia="zh-TW"/>
          </w:rPr>
          <w:t xml:space="preserve"> </w:t>
        </w:r>
        <w:r w:rsidRPr="00B47131">
          <w:rPr>
            <w:rFonts w:ascii="Traditional Arabic" w:hAnsi="Traditional Arabic" w:hint="cs"/>
            <w:rtl/>
            <w:lang w:eastAsia="zh-TW"/>
          </w:rPr>
          <w:t>الشخصية</w:t>
        </w:r>
        <w:r w:rsidRPr="00B47131">
          <w:rPr>
            <w:rtl/>
            <w:lang w:eastAsia="zh-TW"/>
          </w:rPr>
          <w:t xml:space="preserve"> </w:t>
        </w:r>
        <w:r w:rsidRPr="00B47131">
          <w:rPr>
            <w:rFonts w:ascii="Traditional Arabic" w:hAnsi="Traditional Arabic" w:hint="cs"/>
            <w:rtl/>
            <w:lang w:eastAsia="zh-TW"/>
          </w:rPr>
          <w:t>إذا</w:t>
        </w:r>
        <w:r w:rsidRPr="00B47131">
          <w:rPr>
            <w:rtl/>
            <w:lang w:eastAsia="zh-TW"/>
          </w:rPr>
          <w:t xml:space="preserve"> </w:t>
        </w:r>
        <w:r w:rsidRPr="00B47131">
          <w:rPr>
            <w:rFonts w:ascii="Traditional Arabic" w:hAnsi="Traditional Arabic" w:hint="cs"/>
            <w:rtl/>
            <w:lang w:eastAsia="zh-TW"/>
          </w:rPr>
          <w:t>…</w:t>
        </w:r>
        <w:r w:rsidRPr="00B47131">
          <w:rPr>
            <w:rtl/>
            <w:lang w:eastAsia="zh-TW"/>
          </w:rPr>
          <w:t xml:space="preserve"> </w:t>
        </w:r>
        <w:r w:rsidRPr="00B47131">
          <w:rPr>
            <w:rFonts w:ascii="Traditional Arabic" w:hAnsi="Traditional Arabic" w:hint="cs"/>
            <w:rtl/>
            <w:lang w:eastAsia="zh-TW"/>
          </w:rPr>
          <w:t>طلب</w:t>
        </w:r>
        <w:r w:rsidRPr="00B47131">
          <w:rPr>
            <w:rtl/>
            <w:lang w:eastAsia="zh-TW"/>
          </w:rPr>
          <w:t xml:space="preserve"> </w:t>
        </w:r>
        <w:r w:rsidRPr="00B47131">
          <w:rPr>
            <w:rFonts w:ascii="Traditional Arabic" w:hAnsi="Traditional Arabic" w:hint="cs"/>
            <w:rtl/>
            <w:lang w:eastAsia="zh-TW"/>
          </w:rPr>
          <w:t>الشخص</w:t>
        </w:r>
        <w:r w:rsidRPr="00B47131">
          <w:rPr>
            <w:rtl/>
            <w:lang w:eastAsia="zh-TW"/>
          </w:rPr>
          <w:t xml:space="preserve"> </w:t>
        </w:r>
        <w:r w:rsidRPr="00B47131">
          <w:rPr>
            <w:rFonts w:ascii="Traditional Arabic" w:hAnsi="Traditional Arabic" w:hint="cs"/>
            <w:rtl/>
            <w:lang w:eastAsia="zh-TW"/>
          </w:rPr>
          <w:t>بنفسه</w:t>
        </w:r>
        <w:r w:rsidRPr="00B47131">
          <w:rPr>
            <w:rtl/>
            <w:lang w:eastAsia="zh-TW"/>
          </w:rPr>
          <w:t xml:space="preserve"> </w:t>
        </w:r>
        <w:r w:rsidRPr="00B47131">
          <w:rPr>
            <w:rFonts w:ascii="Traditional Arabic" w:hAnsi="Traditional Arabic" w:hint="cs"/>
            <w:rtl/>
            <w:lang w:eastAsia="zh-TW"/>
          </w:rPr>
          <w:t>إعفاءه</w:t>
        </w:r>
        <w:r w:rsidRPr="00B47131">
          <w:rPr>
            <w:rtl/>
            <w:lang w:eastAsia="zh-TW"/>
          </w:rPr>
          <w:t xml:space="preserve"> </w:t>
        </w:r>
        <w:r w:rsidRPr="00B47131">
          <w:rPr>
            <w:rFonts w:ascii="Traditional Arabic" w:hAnsi="Traditional Arabic" w:hint="cs"/>
            <w:rtl/>
            <w:lang w:eastAsia="zh-TW"/>
          </w:rPr>
          <w:t>بموجب</w:t>
        </w:r>
        <w:r w:rsidRPr="00B47131">
          <w:rPr>
            <w:rtl/>
            <w:lang w:eastAsia="zh-TW"/>
          </w:rPr>
          <w:t xml:space="preserve"> </w:t>
        </w:r>
        <w:r w:rsidRPr="00B47131">
          <w:rPr>
            <w:rFonts w:ascii="Traditional Arabic" w:hAnsi="Traditional Arabic" w:hint="cs"/>
            <w:rtl/>
            <w:lang w:eastAsia="zh-TW"/>
          </w:rPr>
          <w:t>هذا</w:t>
        </w:r>
        <w:r w:rsidRPr="00B47131">
          <w:rPr>
            <w:rtl/>
            <w:lang w:eastAsia="zh-TW"/>
          </w:rPr>
          <w:t xml:space="preserve"> </w:t>
        </w:r>
        <w:r w:rsidRPr="00B47131">
          <w:rPr>
            <w:rFonts w:ascii="Traditional Arabic" w:hAnsi="Traditional Arabic" w:hint="cs"/>
            <w:rtl/>
            <w:lang w:eastAsia="zh-TW"/>
          </w:rPr>
          <w:t>القانون</w:t>
        </w:r>
        <w:r w:rsidRPr="00B47131">
          <w:rPr>
            <w:rtl/>
            <w:lang w:eastAsia="zh-TW"/>
          </w:rPr>
          <w:t xml:space="preserve"> </w:t>
        </w:r>
        <w:r w:rsidRPr="00B47131">
          <w:rPr>
            <w:rFonts w:ascii="Traditional Arabic" w:hAnsi="Traditional Arabic" w:hint="cs"/>
            <w:rtl/>
            <w:lang w:eastAsia="zh-TW"/>
          </w:rPr>
          <w:t>وأُعفي</w:t>
        </w:r>
        <w:r w:rsidRPr="00B47131">
          <w:rPr>
            <w:rtl/>
            <w:lang w:eastAsia="zh-TW"/>
          </w:rPr>
          <w:t xml:space="preserve"> </w:t>
        </w:r>
        <w:r w:rsidRPr="00B47131">
          <w:rPr>
            <w:rFonts w:ascii="Traditional Arabic" w:hAnsi="Traditional Arabic" w:hint="cs"/>
            <w:rtl/>
            <w:lang w:eastAsia="zh-TW"/>
          </w:rPr>
          <w:t>من</w:t>
        </w:r>
        <w:r w:rsidRPr="00B47131">
          <w:rPr>
            <w:rtl/>
            <w:lang w:eastAsia="zh-TW"/>
          </w:rPr>
          <w:t xml:space="preserve"> </w:t>
        </w:r>
        <w:r w:rsidRPr="00B47131">
          <w:rPr>
            <w:rFonts w:ascii="Traditional Arabic" w:hAnsi="Traditional Arabic" w:hint="cs"/>
            <w:rtl/>
            <w:lang w:eastAsia="zh-TW"/>
          </w:rPr>
          <w:t>أداء</w:t>
        </w:r>
        <w:r w:rsidRPr="00B47131">
          <w:rPr>
            <w:rtl/>
            <w:lang w:eastAsia="zh-TW"/>
          </w:rPr>
          <w:t xml:space="preserve"> </w:t>
        </w:r>
        <w:r w:rsidRPr="00B47131">
          <w:rPr>
            <w:rFonts w:ascii="Traditional Arabic" w:hAnsi="Traditional Arabic" w:hint="cs"/>
            <w:rtl/>
            <w:lang w:eastAsia="zh-TW"/>
          </w:rPr>
          <w:t>مهمة</w:t>
        </w:r>
        <w:r w:rsidRPr="00B47131">
          <w:rPr>
            <w:rtl/>
            <w:lang w:eastAsia="zh-TW"/>
          </w:rPr>
          <w:t xml:space="preserve"> </w:t>
        </w:r>
        <w:r w:rsidRPr="00B47131">
          <w:rPr>
            <w:rFonts w:ascii="Traditional Arabic" w:hAnsi="Traditional Arabic" w:hint="cs"/>
            <w:rtl/>
            <w:lang w:eastAsia="zh-TW"/>
          </w:rPr>
          <w:t>المحلف</w:t>
        </w:r>
        <w:r w:rsidR="0086606C">
          <w:rPr>
            <w:rFonts w:ascii="Traditional Arabic" w:hAnsi="Traditional Arabic"/>
            <w:rtl/>
            <w:lang w:eastAsia="zh-TW"/>
          </w:rPr>
          <w:t>"</w:t>
        </w:r>
        <w:r w:rsidRPr="0086606C">
          <w:rPr>
            <w:rFonts w:hint="cs"/>
            <w:vertAlign w:val="superscript"/>
            <w:rtl/>
            <w:lang w:eastAsia="zh-TW"/>
          </w:rPr>
          <w:t>(</w:t>
        </w:r>
        <w:r w:rsidRPr="0086606C">
          <w:rPr>
            <w:rStyle w:val="FootnoteReference"/>
            <w:sz w:val="20"/>
            <w:szCs w:val="30"/>
            <w:rtl/>
            <w:lang w:eastAsia="zh-TW"/>
          </w:rPr>
          <w:footnoteReference w:id="6"/>
        </w:r>
        <w:r w:rsidRPr="0086606C">
          <w:rPr>
            <w:rFonts w:hint="cs"/>
            <w:vertAlign w:val="superscript"/>
            <w:rtl/>
            <w:lang w:eastAsia="zh-TW"/>
          </w:rPr>
          <w:t>)</w:t>
        </w:r>
        <w:r w:rsidRPr="00B47131">
          <w:rPr>
            <w:rtl/>
            <w:lang w:eastAsia="zh-TW"/>
          </w:rPr>
          <w:t>.</w:t>
        </w:r>
        <w:r w:rsidRPr="00B47131">
          <w:rPr>
            <w:rFonts w:cs="Times New Roman" w:hint="cs"/>
            <w:rtl/>
            <w:lang w:eastAsia="zh-TW"/>
          </w:rPr>
          <w:t>‬</w:t>
        </w:r>
        <w:r w:rsidRPr="00B47131">
          <w:rPr>
            <w:rtl/>
            <w:lang w:eastAsia="zh-TW"/>
          </w:rPr>
          <w:t xml:space="preserve"> </w:t>
        </w:r>
        <w:r w:rsidRPr="00B47131">
          <w:rPr>
            <w:rFonts w:ascii="Traditional Arabic" w:hAnsi="Traditional Arabic" w:hint="cs"/>
            <w:rtl/>
            <w:lang w:eastAsia="zh-TW"/>
          </w:rPr>
          <w:t>ووفق</w:t>
        </w:r>
        <w:r w:rsidR="005E3DFA">
          <w:rPr>
            <w:rFonts w:ascii="Traditional Arabic" w:hAnsi="Traditional Arabic" w:hint="cs"/>
            <w:rtl/>
            <w:lang w:eastAsia="zh-TW"/>
          </w:rPr>
          <w:t xml:space="preserve">اً </w:t>
        </w:r>
        <w:r w:rsidRPr="00B47131">
          <w:rPr>
            <w:rFonts w:ascii="Traditional Arabic" w:hAnsi="Traditional Arabic" w:hint="cs"/>
            <w:rtl/>
            <w:lang w:eastAsia="zh-TW"/>
          </w:rPr>
          <w:t>لما</w:t>
        </w:r>
        <w:r w:rsidRPr="00B47131">
          <w:rPr>
            <w:rtl/>
            <w:lang w:eastAsia="zh-TW"/>
          </w:rPr>
          <w:t xml:space="preserve"> </w:t>
        </w:r>
        <w:r w:rsidRPr="00B47131">
          <w:rPr>
            <w:rFonts w:ascii="Traditional Arabic" w:hAnsi="Traditional Arabic" w:hint="cs"/>
            <w:rtl/>
            <w:lang w:eastAsia="zh-TW"/>
          </w:rPr>
          <w:t>ذكرته</w:t>
        </w:r>
        <w:r w:rsidRPr="00B47131">
          <w:rPr>
            <w:rtl/>
            <w:lang w:eastAsia="zh-TW"/>
          </w:rPr>
          <w:t xml:space="preserve"> </w:t>
        </w:r>
        <w:r w:rsidRPr="00B47131">
          <w:rPr>
            <w:rFonts w:ascii="Traditional Arabic" w:hAnsi="Traditional Arabic" w:hint="cs"/>
            <w:rtl/>
            <w:lang w:eastAsia="zh-TW"/>
          </w:rPr>
          <w:t>صاحبة</w:t>
        </w:r>
        <w:r w:rsidRPr="00B47131">
          <w:rPr>
            <w:rtl/>
            <w:lang w:eastAsia="zh-TW"/>
          </w:rPr>
          <w:t xml:space="preserve"> </w:t>
        </w:r>
        <w:r w:rsidRPr="00B47131">
          <w:rPr>
            <w:rFonts w:ascii="Traditional Arabic" w:hAnsi="Traditional Arabic" w:hint="cs"/>
            <w:rtl/>
            <w:lang w:eastAsia="zh-TW"/>
          </w:rPr>
          <w:t>البلاغ،</w:t>
        </w:r>
        <w:r w:rsidRPr="00B47131">
          <w:rPr>
            <w:rtl/>
            <w:lang w:eastAsia="zh-TW"/>
          </w:rPr>
          <w:t xml:space="preserve"> </w:t>
        </w:r>
        <w:r w:rsidRPr="00B47131">
          <w:rPr>
            <w:rFonts w:ascii="Traditional Arabic" w:hAnsi="Traditional Arabic" w:hint="cs"/>
            <w:rtl/>
            <w:lang w:eastAsia="zh-TW"/>
          </w:rPr>
          <w:t>يبدو</w:t>
        </w:r>
        <w:r w:rsidRPr="00B47131">
          <w:rPr>
            <w:rtl/>
            <w:lang w:eastAsia="zh-TW"/>
          </w:rPr>
          <w:t xml:space="preserve"> </w:t>
        </w:r>
        <w:r w:rsidRPr="00B47131">
          <w:rPr>
            <w:rFonts w:ascii="Traditional Arabic" w:hAnsi="Traditional Arabic" w:hint="cs"/>
            <w:rtl/>
            <w:lang w:eastAsia="zh-TW"/>
          </w:rPr>
          <w:lastRenderedPageBreak/>
          <w:t>أن</w:t>
        </w:r>
        <w:r w:rsidR="00F05419">
          <w:rPr>
            <w:rFonts w:hint="cs"/>
            <w:rtl/>
            <w:lang w:eastAsia="zh-TW"/>
          </w:rPr>
          <w:t> </w:t>
        </w:r>
        <w:proofErr w:type="spellStart"/>
        <w:r w:rsidRPr="00B47131">
          <w:rPr>
            <w:rFonts w:ascii="Traditional Arabic" w:hAnsi="Traditional Arabic" w:hint="cs"/>
            <w:rtl/>
            <w:lang w:eastAsia="zh-TW"/>
          </w:rPr>
          <w:t>وال</w:t>
        </w:r>
        <w:r>
          <w:rPr>
            <w:rFonts w:hint="cs"/>
            <w:rtl/>
            <w:lang w:eastAsia="zh-TW"/>
          </w:rPr>
          <w:t>ية</w:t>
        </w:r>
        <w:proofErr w:type="spellEnd"/>
        <w:r w:rsidRPr="00B47131">
          <w:rPr>
            <w:rtl/>
            <w:lang w:eastAsia="zh-TW"/>
          </w:rPr>
          <w:t xml:space="preserve"> القضاء قرر</w:t>
        </w:r>
        <w:r>
          <w:rPr>
            <w:rFonts w:hint="cs"/>
            <w:rtl/>
            <w:lang w:eastAsia="zh-TW"/>
          </w:rPr>
          <w:t>ت</w:t>
        </w:r>
        <w:r w:rsidRPr="00B47131">
          <w:rPr>
            <w:rtl/>
            <w:lang w:eastAsia="zh-TW"/>
          </w:rPr>
          <w:t xml:space="preserve"> أن الصم غير مؤهلين أو غير قادرين على أداء مهام المحلفين بفعالية، كما</w:t>
        </w:r>
        <w:r w:rsidR="00F05419">
          <w:rPr>
            <w:rFonts w:hint="cs"/>
            <w:rtl/>
            <w:lang w:eastAsia="zh-TW"/>
          </w:rPr>
          <w:t> </w:t>
        </w:r>
        <w:r w:rsidRPr="00B47131">
          <w:rPr>
            <w:rtl/>
            <w:lang w:eastAsia="zh-TW"/>
          </w:rPr>
          <w:t xml:space="preserve">يبدو أن توفير خدمات الترجمة بلغة الإشارة الأسترالية للمحلفين الصُم لا يندرج ضمن الترتيبات </w:t>
        </w:r>
        <w:proofErr w:type="spellStart"/>
        <w:r w:rsidRPr="00B47131">
          <w:rPr>
            <w:rtl/>
            <w:lang w:eastAsia="zh-TW"/>
          </w:rPr>
          <w:t>التيسيرية</w:t>
        </w:r>
        <w:proofErr w:type="spellEnd"/>
        <w:r w:rsidRPr="00B47131">
          <w:rPr>
            <w:rtl/>
            <w:lang w:eastAsia="zh-TW"/>
          </w:rPr>
          <w:t xml:space="preserve"> المعقولة للأسباب التالية: (أ) أن الصم الذين يستخدمون لغة الإشارة الأسترالية غير قادرين على فهم التواصل بين الحاضرين في قاعة المحكمة ولا مداولات المحلفين، مما يعرض للخطر حقوق المتهم في محاكمة عادلة؛ (ب) أن حضور مترجم بلغة الإشارة الأسترالية أثناء مداولات هيئة المحلفين يعني وجود </w:t>
        </w:r>
        <w:r w:rsidR="0086606C">
          <w:rPr>
            <w:rtl/>
            <w:lang w:eastAsia="zh-TW"/>
          </w:rPr>
          <w:t>"</w:t>
        </w:r>
        <w:r w:rsidRPr="00B47131">
          <w:rPr>
            <w:rtl/>
            <w:lang w:eastAsia="zh-TW"/>
          </w:rPr>
          <w:t>ثلاثة عشر شخصاً</w:t>
        </w:r>
        <w:r w:rsidR="0086606C">
          <w:rPr>
            <w:rtl/>
            <w:lang w:eastAsia="zh-TW"/>
          </w:rPr>
          <w:t>"</w:t>
        </w:r>
        <w:r w:rsidRPr="00B47131">
          <w:rPr>
            <w:rtl/>
            <w:lang w:eastAsia="zh-TW"/>
          </w:rPr>
          <w:t xml:space="preserve"> في غرفة المحلفين، و</w:t>
        </w:r>
        <w:r>
          <w:rPr>
            <w:rFonts w:hint="cs"/>
            <w:rtl/>
            <w:lang w:eastAsia="zh-TW"/>
          </w:rPr>
          <w:t>هو ما</w:t>
        </w:r>
        <w:r w:rsidR="00F05419">
          <w:rPr>
            <w:rFonts w:hint="eastAsia"/>
            <w:rtl/>
            <w:lang w:eastAsia="zh-TW"/>
          </w:rPr>
          <w:t> </w:t>
        </w:r>
        <w:r w:rsidRPr="00B47131">
          <w:rPr>
            <w:rtl/>
            <w:lang w:eastAsia="zh-TW"/>
          </w:rPr>
          <w:t>يشكل، بالتالي، انتهاك</w:t>
        </w:r>
        <w:r w:rsidR="0086606C">
          <w:rPr>
            <w:rFonts w:hint="cs"/>
            <w:rtl/>
            <w:lang w:eastAsia="zh-TW"/>
          </w:rPr>
          <w:t xml:space="preserve"> </w:t>
        </w:r>
        <w:r w:rsidRPr="00B47131">
          <w:rPr>
            <w:rtl/>
            <w:lang w:eastAsia="zh-TW"/>
          </w:rPr>
          <w:t xml:space="preserve">لقاعدة القانون العام (المزعومة) التي تقضي بسرية مداولات هيئة المحلفين واقتصارها على أعضاء الهيئة؛ (ج) أن توفير مترجمين بلغة الإشارة الأسترالية للمحلفين الصُم وسير وقائع الجلسة بمساعدة مترجم بلغة الإشارة الأسترالية سيعرقل إلى حد غير معقول مهمة إقامة العدالة بفعالية وكفاءة. </w:t>
        </w:r>
        <w:r w:rsidR="0087267B">
          <w:t>‬</w:t>
        </w:r>
        <w:r w:rsidR="000C45CA">
          <w:t>‬</w:t>
        </w:r>
        <w:r w:rsidR="00A168C8">
          <w:t>‬</w:t>
        </w:r>
        <w:r w:rsidR="00821257">
          <w:t>‬</w:t>
        </w:r>
      </w:dir>
    </w:p>
    <w:p w:rsidR="0081736E" w:rsidRPr="00B47131" w:rsidRDefault="0081736E" w:rsidP="0086606C">
      <w:pPr>
        <w:pStyle w:val="SingleTxtGA"/>
        <w:rPr>
          <w:rtl/>
          <w:lang w:eastAsia="zh-TW"/>
        </w:rPr>
      </w:pPr>
      <w:r>
        <w:rPr>
          <w:rtl/>
          <w:lang w:eastAsia="zh-TW"/>
        </w:rPr>
        <w:t>٢-٥</w:t>
      </w:r>
      <w:r>
        <w:rPr>
          <w:rFonts w:hint="cs"/>
          <w:rtl/>
          <w:lang w:eastAsia="zh-TW"/>
        </w:rPr>
        <w:tab/>
      </w:r>
      <w:r w:rsidRPr="00B47131">
        <w:rPr>
          <w:rtl/>
          <w:lang w:eastAsia="zh-TW"/>
        </w:rPr>
        <w:t>وتدعي صاحبة البلاغ أنه لا يوجد سبيل انتصاف محلي قضائي أو إداري فعال متاح لها. وتدفع صاحبة البلاغ بأن تقديم شكوى إلى اللجنة الأسترالية لحقوق الإنسان لن يجدي نفعاً، لأن اللجنة لا تتمتع بسلطة البت في الشكاوى وإنما يمكنها فقط أن تحاول التوفيق بين الطرفين المتنازعين. وفي هذا الصدد، تدفع صاحبة البلاغ بأنه سبق لمحاميها تمثيل عدد من الصُم في شكاوى قُدمت إلى اللجنة الأسترالية لحقوق الإنسان في إطار قانون مناهضة التمييز على أساس الإعاقة لعام 1992 فيما يتصل باستبعادهم من أداء مهام المحلفين، مشيرة إلى أن اللجنة لم تتمكن من البت في تلك الشكاوى</w:t>
      </w:r>
      <w:r w:rsidR="0086606C" w:rsidRPr="0086606C">
        <w:rPr>
          <w:rFonts w:hint="cs"/>
          <w:vertAlign w:val="superscript"/>
          <w:rtl/>
          <w:lang w:eastAsia="zh-TW"/>
        </w:rPr>
        <w:t>(</w:t>
      </w:r>
      <w:r w:rsidRPr="0086606C">
        <w:rPr>
          <w:rStyle w:val="FootnoteReference"/>
          <w:sz w:val="20"/>
          <w:szCs w:val="30"/>
          <w:rtl/>
          <w:lang w:eastAsia="zh-TW"/>
        </w:rPr>
        <w:footnoteReference w:id="7"/>
      </w:r>
      <w:r w:rsidR="0086606C" w:rsidRPr="0086606C">
        <w:rPr>
          <w:rFonts w:hint="cs"/>
          <w:vertAlign w:val="superscript"/>
          <w:rtl/>
          <w:lang w:eastAsia="zh-TW"/>
        </w:rPr>
        <w:t>)</w:t>
      </w:r>
      <w:r w:rsidR="0086606C">
        <w:rPr>
          <w:rFonts w:hint="cs"/>
          <w:rtl/>
          <w:lang w:eastAsia="zh-TW"/>
        </w:rPr>
        <w:t>.</w:t>
      </w:r>
      <w:r w:rsidRPr="00B47131">
        <w:rPr>
          <w:rtl/>
          <w:lang w:eastAsia="zh-TW"/>
        </w:rPr>
        <w:t xml:space="preserve"> وبناء على ذلك، قيل لصاحبة البلاغ إنه لا جدوى من تقديم شكوى من هذا القبيل فيما يتصل بسلوك </w:t>
      </w:r>
      <w:r w:rsidR="002D75FA" w:rsidRPr="00B47131">
        <w:rPr>
          <w:rFonts w:hint="cs"/>
          <w:rtl/>
          <w:lang w:eastAsia="zh-TW"/>
        </w:rPr>
        <w:t>وألي</w:t>
      </w:r>
      <w:r w:rsidR="002D75FA">
        <w:rPr>
          <w:rFonts w:hint="cs"/>
          <w:rtl/>
          <w:lang w:eastAsia="zh-TW"/>
        </w:rPr>
        <w:t>ة</w:t>
      </w:r>
      <w:r w:rsidRPr="00B47131">
        <w:rPr>
          <w:rtl/>
          <w:lang w:eastAsia="zh-TW"/>
        </w:rPr>
        <w:t xml:space="preserve"> القضاء.</w:t>
      </w:r>
    </w:p>
    <w:p w:rsidR="0081736E" w:rsidRPr="00B47131" w:rsidRDefault="0081736E" w:rsidP="00F05419">
      <w:pPr>
        <w:pStyle w:val="SingleTxtGA"/>
        <w:rPr>
          <w:rtl/>
          <w:lang w:eastAsia="zh-TW"/>
        </w:rPr>
      </w:pPr>
      <w:r>
        <w:rPr>
          <w:rtl/>
          <w:lang w:eastAsia="zh-TW"/>
        </w:rPr>
        <w:t>٢-٦</w:t>
      </w:r>
      <w:r>
        <w:rPr>
          <w:rFonts w:hint="cs"/>
          <w:rtl/>
          <w:lang w:eastAsia="zh-TW"/>
        </w:rPr>
        <w:tab/>
      </w:r>
      <w:r w:rsidRPr="00A16801">
        <w:rPr>
          <w:rtl/>
          <w:lang w:eastAsia="zh-TW"/>
        </w:rPr>
        <w:t>وتدفع صاحبة البلاغ كذلك بأن المدعي العام لولاية نيو ساوث ويلز أحال</w:t>
      </w:r>
      <w:r>
        <w:rPr>
          <w:rFonts w:hint="cs"/>
          <w:rtl/>
          <w:lang w:eastAsia="zh-TW"/>
        </w:rPr>
        <w:t xml:space="preserve">، </w:t>
      </w:r>
      <w:r w:rsidRPr="00CC075C">
        <w:rPr>
          <w:rtl/>
          <w:lang w:eastAsia="zh-TW"/>
        </w:rPr>
        <w:t>في عام</w:t>
      </w:r>
      <w:r w:rsidR="00F05419">
        <w:rPr>
          <w:rFonts w:hint="cs"/>
          <w:rtl/>
          <w:lang w:eastAsia="zh-TW"/>
        </w:rPr>
        <w:t> </w:t>
      </w:r>
      <w:r w:rsidRPr="00CC075C">
        <w:rPr>
          <w:rtl/>
          <w:lang w:eastAsia="zh-TW"/>
        </w:rPr>
        <w:t>2002</w:t>
      </w:r>
      <w:r>
        <w:rPr>
          <w:rFonts w:hint="cs"/>
          <w:rtl/>
          <w:lang w:eastAsia="zh-TW"/>
        </w:rPr>
        <w:t>،</w:t>
      </w:r>
      <w:r w:rsidRPr="00A16801">
        <w:rPr>
          <w:rtl/>
          <w:lang w:eastAsia="zh-TW"/>
        </w:rPr>
        <w:t xml:space="preserve"> مسألة </w:t>
      </w:r>
      <w:r>
        <w:rPr>
          <w:rFonts w:hint="cs"/>
          <w:rtl/>
          <w:lang w:eastAsia="zh-TW"/>
        </w:rPr>
        <w:t xml:space="preserve">معرفة </w:t>
      </w:r>
      <w:r w:rsidRPr="00A16801">
        <w:rPr>
          <w:rtl/>
          <w:lang w:eastAsia="zh-TW"/>
        </w:rPr>
        <w:t>ما إذا كان</w:t>
      </w:r>
      <w:r w:rsidRPr="00CC075C">
        <w:rPr>
          <w:rtl/>
          <w:lang w:eastAsia="zh-TW"/>
        </w:rPr>
        <w:t xml:space="preserve"> يمكن للصم أو المكفوفين أداء مهام المحلفين إلى لجنة إصلاح القوانين في نيو ساوث ويلز </w:t>
      </w:r>
      <w:r>
        <w:rPr>
          <w:rFonts w:hint="cs"/>
          <w:rtl/>
          <w:lang w:eastAsia="zh-TW"/>
        </w:rPr>
        <w:t>لتبيّن أمرها</w:t>
      </w:r>
      <w:r w:rsidR="0086606C">
        <w:rPr>
          <w:rFonts w:hint="cs"/>
          <w:rtl/>
          <w:lang w:eastAsia="zh-TW"/>
        </w:rPr>
        <w:t>.</w:t>
      </w:r>
      <w:r w:rsidRPr="00B47131">
        <w:rPr>
          <w:rtl/>
          <w:lang w:eastAsia="zh-TW"/>
        </w:rPr>
        <w:t xml:space="preserve"> وفي أيلول/سبتمبر 2006، أصدرت تلك اللجنة تقريراً قدمت فيه أربع توصيات، منها أن تُدخل حكومة نيو ساوث ويلز تعديلات على قانون المحلفين لعام 1977 (قانون ولاية نيو ساوث ويلز) لتمكين المكفوفين والصم من</w:t>
      </w:r>
      <w:r w:rsidR="0086606C">
        <w:rPr>
          <w:rtl/>
          <w:lang w:eastAsia="zh-TW"/>
        </w:rPr>
        <w:t xml:space="preserve"> </w:t>
      </w:r>
      <w:r>
        <w:rPr>
          <w:rFonts w:hint="cs"/>
          <w:rtl/>
          <w:lang w:eastAsia="zh-TW"/>
        </w:rPr>
        <w:t>أداء مهمة ال</w:t>
      </w:r>
      <w:r w:rsidRPr="00B47131">
        <w:rPr>
          <w:rtl/>
          <w:lang w:eastAsia="zh-TW"/>
        </w:rPr>
        <w:t>محلف</w:t>
      </w:r>
      <w:r w:rsidRPr="0086606C">
        <w:rPr>
          <w:vertAlign w:val="superscript"/>
          <w:rtl/>
          <w:lang w:eastAsia="zh-TW"/>
        </w:rPr>
        <w:t>(</w:t>
      </w:r>
      <w:r w:rsidRPr="0086606C">
        <w:rPr>
          <w:rStyle w:val="FootnoteReference"/>
          <w:sz w:val="20"/>
          <w:szCs w:val="30"/>
          <w:rtl/>
          <w:lang w:eastAsia="zh-TW"/>
        </w:rPr>
        <w:footnoteReference w:id="8"/>
      </w:r>
      <w:r w:rsidRPr="0086606C">
        <w:rPr>
          <w:vertAlign w:val="superscript"/>
          <w:rtl/>
          <w:lang w:eastAsia="zh-TW"/>
        </w:rPr>
        <w:t>)</w:t>
      </w:r>
      <w:r w:rsidRPr="00B47131">
        <w:rPr>
          <w:rtl/>
          <w:lang w:eastAsia="zh-TW"/>
        </w:rPr>
        <w:t>. وفي حزيران/يونيه 2010، ردت حكومة نيو ساوث ويلز قائلة إنها ترفض المكونات الرئيسية لتوصيات اللجنة، بما فيها تمكين الصم من أداء مهمة المحلف</w:t>
      </w:r>
      <w:r w:rsidR="0086606C">
        <w:rPr>
          <w:rFonts w:hint="cs"/>
          <w:rtl/>
          <w:lang w:eastAsia="zh-TW"/>
        </w:rPr>
        <w:t xml:space="preserve"> </w:t>
      </w:r>
      <w:r w:rsidRPr="00B47131">
        <w:rPr>
          <w:rtl/>
          <w:lang w:eastAsia="zh-TW"/>
        </w:rPr>
        <w:t>بمساعدة مترجمين بلغة الإشارة الأسترالية أو مدوّنين حرفيين بالاختزال</w:t>
      </w:r>
      <w:r w:rsidRPr="0086606C">
        <w:rPr>
          <w:vertAlign w:val="superscript"/>
          <w:rtl/>
          <w:lang w:eastAsia="zh-TW"/>
        </w:rPr>
        <w:t>(</w:t>
      </w:r>
      <w:r w:rsidRPr="0086606C">
        <w:rPr>
          <w:rStyle w:val="FootnoteReference"/>
          <w:sz w:val="20"/>
          <w:szCs w:val="30"/>
          <w:rtl/>
          <w:lang w:eastAsia="zh-TW"/>
        </w:rPr>
        <w:footnoteReference w:id="9"/>
      </w:r>
      <w:r w:rsidRPr="0086606C">
        <w:rPr>
          <w:vertAlign w:val="superscript"/>
          <w:rtl/>
          <w:lang w:eastAsia="zh-TW"/>
        </w:rPr>
        <w:t>)</w:t>
      </w:r>
      <w:r w:rsidRPr="00B47131">
        <w:rPr>
          <w:rtl/>
          <w:lang w:eastAsia="zh-TW"/>
        </w:rPr>
        <w:t xml:space="preserve">. وفي نيو ساوث ويلز، ينظم </w:t>
      </w:r>
      <w:r w:rsidRPr="00B47131">
        <w:rPr>
          <w:rtl/>
          <w:lang w:eastAsia="zh-TW"/>
        </w:rPr>
        <w:lastRenderedPageBreak/>
        <w:t>قانون المحلفين لعام 1977، بصيغته المعدلة بموجب قانون المحلفين المعدل لعام 2010، إجراءات اختيار الأشخاص الأكفاء والمؤهلين لأداء مهمة المحلف</w:t>
      </w:r>
      <w:r w:rsidR="0086606C">
        <w:rPr>
          <w:rFonts w:hint="cs"/>
          <w:rtl/>
          <w:lang w:eastAsia="zh-TW"/>
        </w:rPr>
        <w:t>.</w:t>
      </w:r>
      <w:r w:rsidRPr="00B47131">
        <w:rPr>
          <w:rtl/>
          <w:lang w:eastAsia="zh-TW"/>
        </w:rPr>
        <w:t xml:space="preserve"> وتشير صاحبة البلاغ إلى أن </w:t>
      </w:r>
      <w:proofErr w:type="spellStart"/>
      <w:r w:rsidRPr="00B47131">
        <w:rPr>
          <w:rtl/>
          <w:lang w:eastAsia="zh-TW"/>
        </w:rPr>
        <w:t>والي</w:t>
      </w:r>
      <w:r>
        <w:rPr>
          <w:rFonts w:hint="cs"/>
          <w:rtl/>
          <w:lang w:eastAsia="zh-TW"/>
        </w:rPr>
        <w:t>ة</w:t>
      </w:r>
      <w:proofErr w:type="spellEnd"/>
      <w:r w:rsidRPr="00B47131">
        <w:rPr>
          <w:rtl/>
          <w:lang w:eastAsia="zh-TW"/>
        </w:rPr>
        <w:t xml:space="preserve"> القضاء منع</w:t>
      </w:r>
      <w:r>
        <w:rPr>
          <w:rFonts w:hint="cs"/>
          <w:rtl/>
          <w:lang w:eastAsia="zh-TW"/>
        </w:rPr>
        <w:t>ت</w:t>
      </w:r>
      <w:r w:rsidRPr="00B47131">
        <w:rPr>
          <w:rtl/>
          <w:lang w:eastAsia="zh-TW"/>
        </w:rPr>
        <w:t>ها من</w:t>
      </w:r>
      <w:r w:rsidR="0086606C">
        <w:rPr>
          <w:rtl/>
          <w:lang w:eastAsia="zh-TW"/>
        </w:rPr>
        <w:t xml:space="preserve"> </w:t>
      </w:r>
      <w:r>
        <w:rPr>
          <w:rFonts w:hint="cs"/>
          <w:rtl/>
          <w:lang w:eastAsia="zh-TW"/>
        </w:rPr>
        <w:t>أداء واجبها</w:t>
      </w:r>
      <w:r w:rsidRPr="00B47131">
        <w:rPr>
          <w:rtl/>
          <w:lang w:eastAsia="zh-TW"/>
        </w:rPr>
        <w:t xml:space="preserve"> كمحلفة بموجب أحكام الفقرة 4 من المادة 14 من قانون المحلفين لعام 1977. </w:t>
      </w:r>
    </w:p>
    <w:p w:rsidR="0081736E" w:rsidRPr="00B47131" w:rsidRDefault="0081736E" w:rsidP="002D75FA">
      <w:pPr>
        <w:pStyle w:val="SingleTxtGA"/>
        <w:rPr>
          <w:rtl/>
          <w:lang w:eastAsia="zh-TW"/>
        </w:rPr>
      </w:pPr>
      <w:r>
        <w:rPr>
          <w:rtl/>
          <w:lang w:eastAsia="zh-TW"/>
        </w:rPr>
        <w:t>٢-٧</w:t>
      </w:r>
      <w:r>
        <w:rPr>
          <w:rFonts w:hint="cs"/>
          <w:rtl/>
          <w:lang w:eastAsia="zh-TW"/>
        </w:rPr>
        <w:tab/>
      </w:r>
      <w:r w:rsidRPr="00B47131">
        <w:rPr>
          <w:rtl/>
          <w:lang w:eastAsia="zh-TW"/>
        </w:rPr>
        <w:t>وتوضح صاحبة البلاغ أيض</w:t>
      </w:r>
      <w:r w:rsidR="005E3DFA">
        <w:rPr>
          <w:rtl/>
          <w:lang w:eastAsia="zh-TW"/>
        </w:rPr>
        <w:t xml:space="preserve">اً </w:t>
      </w:r>
      <w:r w:rsidRPr="00B47131">
        <w:rPr>
          <w:rtl/>
          <w:lang w:eastAsia="zh-TW"/>
        </w:rPr>
        <w:t xml:space="preserve">أن قانون مناهضة التمييز لعام </w:t>
      </w:r>
      <w:r w:rsidR="002D75FA">
        <w:rPr>
          <w:rFonts w:hint="cs"/>
          <w:rtl/>
          <w:lang w:eastAsia="zh-TW"/>
        </w:rPr>
        <w:t>1977</w:t>
      </w:r>
      <w:r w:rsidRPr="0086606C">
        <w:rPr>
          <w:vertAlign w:val="superscript"/>
          <w:rtl/>
          <w:lang w:eastAsia="zh-TW"/>
        </w:rPr>
        <w:t>(</w:t>
      </w:r>
      <w:r w:rsidRPr="0086606C">
        <w:rPr>
          <w:rStyle w:val="FootnoteReference"/>
          <w:sz w:val="20"/>
          <w:szCs w:val="30"/>
          <w:rtl/>
          <w:lang w:eastAsia="zh-TW"/>
        </w:rPr>
        <w:footnoteReference w:id="10"/>
      </w:r>
      <w:r w:rsidRPr="0086606C">
        <w:rPr>
          <w:vertAlign w:val="superscript"/>
          <w:rtl/>
          <w:lang w:eastAsia="zh-TW"/>
        </w:rPr>
        <w:t>)</w:t>
      </w:r>
      <w:r w:rsidRPr="00B47131">
        <w:rPr>
          <w:rtl/>
          <w:lang w:eastAsia="zh-TW"/>
        </w:rPr>
        <w:t xml:space="preserve"> وقانون مناهضة التمييز </w:t>
      </w:r>
      <w:r>
        <w:rPr>
          <w:rFonts w:hint="cs"/>
          <w:rtl/>
          <w:lang w:eastAsia="zh-TW"/>
        </w:rPr>
        <w:t>على أساس</w:t>
      </w:r>
      <w:r w:rsidRPr="00B47131">
        <w:rPr>
          <w:rtl/>
          <w:lang w:eastAsia="zh-TW"/>
        </w:rPr>
        <w:t xml:space="preserve"> الإعاقة لا يحظران التمييز في جميع مناحي الحياة العامة ولا التمييز </w:t>
      </w:r>
      <w:r>
        <w:rPr>
          <w:rFonts w:hint="cs"/>
          <w:rtl/>
          <w:lang w:eastAsia="zh-TW"/>
        </w:rPr>
        <w:t>على أساس</w:t>
      </w:r>
      <w:r w:rsidRPr="00B47131">
        <w:rPr>
          <w:rtl/>
          <w:lang w:eastAsia="zh-TW"/>
        </w:rPr>
        <w:t xml:space="preserve"> الإعاقة في أداء الواجبات المدنية، بما فيها واجب المحلف. ولا توجد سبل انتصاف متاحة فيما يتعلق باستبعادها من أداء واجب مدني. وإذا سعت صاحبة البلاغ إلى إقامة دعوى لتعرضها للتمييز على أساس الإعاقة، </w:t>
      </w:r>
      <w:r>
        <w:rPr>
          <w:rFonts w:hint="cs"/>
          <w:rtl/>
          <w:lang w:eastAsia="zh-TW"/>
        </w:rPr>
        <w:t xml:space="preserve">ستحتج </w:t>
      </w:r>
      <w:proofErr w:type="spellStart"/>
      <w:r>
        <w:rPr>
          <w:rFonts w:hint="cs"/>
          <w:rtl/>
          <w:lang w:eastAsia="zh-TW"/>
        </w:rPr>
        <w:t>وال</w:t>
      </w:r>
      <w:r w:rsidRPr="00B47131">
        <w:rPr>
          <w:rtl/>
          <w:lang w:eastAsia="zh-TW"/>
        </w:rPr>
        <w:t>ي</w:t>
      </w:r>
      <w:r>
        <w:rPr>
          <w:rFonts w:hint="cs"/>
          <w:rtl/>
          <w:lang w:eastAsia="zh-TW"/>
        </w:rPr>
        <w:t>ة</w:t>
      </w:r>
      <w:proofErr w:type="spellEnd"/>
      <w:r w:rsidRPr="00B47131">
        <w:rPr>
          <w:rtl/>
          <w:lang w:eastAsia="zh-TW"/>
        </w:rPr>
        <w:t xml:space="preserve"> القضاء بأن مهامها كمحلفة تنطوي على ممارسة صلاحيات وواجبات قانونية، وهي مهام لا تشمل توفير الخدمات ولا تندرج، من ثم، في نطاق قانون مناهضة التمييز على أساس الإعاقة وقانون مناهضة التمييز. وتحتج صاحبة البلاغ بأنه سيكون مطلوب</w:t>
      </w:r>
      <w:r w:rsidR="005E3DFA">
        <w:rPr>
          <w:rtl/>
          <w:lang w:eastAsia="zh-TW"/>
        </w:rPr>
        <w:t xml:space="preserve">اً </w:t>
      </w:r>
      <w:r w:rsidRPr="00B47131">
        <w:rPr>
          <w:rtl/>
          <w:lang w:eastAsia="zh-TW"/>
        </w:rPr>
        <w:t>منها، بموجب السوابق القضائية الأسترالية، أن تحدد الخدمات التي رفض</w:t>
      </w:r>
      <w:r>
        <w:rPr>
          <w:rFonts w:hint="cs"/>
          <w:rtl/>
          <w:lang w:eastAsia="zh-TW"/>
        </w:rPr>
        <w:t>ت</w:t>
      </w:r>
      <w:r w:rsidRPr="00B47131">
        <w:rPr>
          <w:rtl/>
          <w:lang w:eastAsia="zh-TW"/>
        </w:rPr>
        <w:t xml:space="preserve"> </w:t>
      </w:r>
      <w:proofErr w:type="spellStart"/>
      <w:r w:rsidRPr="00B47131">
        <w:rPr>
          <w:rtl/>
          <w:lang w:eastAsia="zh-TW"/>
        </w:rPr>
        <w:t>والي</w:t>
      </w:r>
      <w:r>
        <w:rPr>
          <w:rFonts w:hint="cs"/>
          <w:rtl/>
          <w:lang w:eastAsia="zh-TW"/>
        </w:rPr>
        <w:t>ة</w:t>
      </w:r>
      <w:proofErr w:type="spellEnd"/>
      <w:r w:rsidRPr="00B47131">
        <w:rPr>
          <w:rtl/>
          <w:lang w:eastAsia="zh-TW"/>
        </w:rPr>
        <w:t xml:space="preserve"> القضاء توفيرها لها، في حين أن جوهر شكواها يكمن في رفض </w:t>
      </w:r>
      <w:proofErr w:type="spellStart"/>
      <w:r w:rsidRPr="00B47131">
        <w:rPr>
          <w:rtl/>
          <w:lang w:eastAsia="zh-TW"/>
        </w:rPr>
        <w:t>والي</w:t>
      </w:r>
      <w:r>
        <w:rPr>
          <w:rFonts w:hint="cs"/>
          <w:rtl/>
          <w:lang w:eastAsia="zh-TW"/>
        </w:rPr>
        <w:t>ة</w:t>
      </w:r>
      <w:proofErr w:type="spellEnd"/>
      <w:r w:rsidRPr="00B47131">
        <w:rPr>
          <w:rtl/>
          <w:lang w:eastAsia="zh-TW"/>
        </w:rPr>
        <w:t xml:space="preserve"> القضاء توفير الترتيب </w:t>
      </w:r>
      <w:proofErr w:type="spellStart"/>
      <w:r w:rsidRPr="00B47131">
        <w:rPr>
          <w:rtl/>
          <w:lang w:eastAsia="zh-TW"/>
        </w:rPr>
        <w:t>التيسيري</w:t>
      </w:r>
      <w:proofErr w:type="spellEnd"/>
      <w:r w:rsidRPr="00B47131">
        <w:rPr>
          <w:rtl/>
          <w:lang w:eastAsia="zh-TW"/>
        </w:rPr>
        <w:t xml:space="preserve"> المعقول </w:t>
      </w:r>
      <w:r w:rsidR="0086606C">
        <w:rPr>
          <w:rtl/>
          <w:lang w:eastAsia="zh-TW"/>
        </w:rPr>
        <w:t>الذي تحتاجه لأداء واجبها كمحلفة</w:t>
      </w:r>
      <w:r w:rsidRPr="0086606C">
        <w:rPr>
          <w:vertAlign w:val="superscript"/>
          <w:rtl/>
          <w:lang w:eastAsia="zh-TW"/>
        </w:rPr>
        <w:t>(</w:t>
      </w:r>
      <w:r w:rsidRPr="0086606C">
        <w:rPr>
          <w:rStyle w:val="FootnoteReference"/>
          <w:sz w:val="20"/>
          <w:szCs w:val="30"/>
          <w:rtl/>
          <w:lang w:eastAsia="zh-TW"/>
        </w:rPr>
        <w:footnoteReference w:id="11"/>
      </w:r>
      <w:r w:rsidRPr="0086606C">
        <w:rPr>
          <w:vertAlign w:val="superscript"/>
          <w:rtl/>
          <w:lang w:eastAsia="zh-TW"/>
        </w:rPr>
        <w:t>)</w:t>
      </w:r>
      <w:r w:rsidRPr="00B47131">
        <w:rPr>
          <w:rtl/>
          <w:lang w:eastAsia="zh-TW"/>
        </w:rPr>
        <w:t xml:space="preserve">. وتشير صاحبة البلاغ إلى أن القوانين الوطنية المستمدة من السوابق القضائية تنص على أن الترتيبات </w:t>
      </w:r>
      <w:proofErr w:type="spellStart"/>
      <w:r w:rsidRPr="00B47131">
        <w:rPr>
          <w:rtl/>
          <w:lang w:eastAsia="zh-TW"/>
        </w:rPr>
        <w:t>التيسيرية</w:t>
      </w:r>
      <w:proofErr w:type="spellEnd"/>
      <w:r w:rsidRPr="00B47131">
        <w:rPr>
          <w:rtl/>
          <w:lang w:eastAsia="zh-TW"/>
        </w:rPr>
        <w:t xml:space="preserve"> المعقولة لا</w:t>
      </w:r>
      <w:r w:rsidR="00F05419">
        <w:rPr>
          <w:rFonts w:hint="cs"/>
          <w:rtl/>
          <w:lang w:eastAsia="zh-TW"/>
        </w:rPr>
        <w:t> </w:t>
      </w:r>
      <w:r w:rsidRPr="00B47131">
        <w:rPr>
          <w:rtl/>
          <w:lang w:eastAsia="zh-TW"/>
        </w:rPr>
        <w:t xml:space="preserve">تعتبر بمثابة </w:t>
      </w:r>
      <w:r w:rsidR="0086606C">
        <w:rPr>
          <w:rtl/>
          <w:lang w:eastAsia="zh-TW"/>
        </w:rPr>
        <w:t>"</w:t>
      </w:r>
      <w:r w:rsidRPr="00B47131">
        <w:rPr>
          <w:rtl/>
          <w:lang w:eastAsia="zh-TW"/>
        </w:rPr>
        <w:t>خدمات</w:t>
      </w:r>
      <w:r w:rsidR="0086606C">
        <w:rPr>
          <w:rtl/>
          <w:lang w:eastAsia="zh-TW"/>
        </w:rPr>
        <w:t>"</w:t>
      </w:r>
      <w:r w:rsidRPr="00B47131">
        <w:rPr>
          <w:rtl/>
          <w:lang w:eastAsia="zh-TW"/>
        </w:rPr>
        <w:t xml:space="preserve">، ومن ثم، فإن احتمال نجاح محاولة إثبات أن </w:t>
      </w:r>
      <w:proofErr w:type="spellStart"/>
      <w:r w:rsidRPr="00B47131">
        <w:rPr>
          <w:rtl/>
          <w:lang w:eastAsia="zh-TW"/>
        </w:rPr>
        <w:t>والي</w:t>
      </w:r>
      <w:r>
        <w:rPr>
          <w:rFonts w:hint="cs"/>
          <w:rtl/>
          <w:lang w:eastAsia="zh-TW"/>
        </w:rPr>
        <w:t>ة</w:t>
      </w:r>
      <w:proofErr w:type="spellEnd"/>
      <w:r>
        <w:rPr>
          <w:rtl/>
          <w:lang w:eastAsia="zh-TW"/>
        </w:rPr>
        <w:t xml:space="preserve"> القضاء </w:t>
      </w:r>
      <w:r>
        <w:rPr>
          <w:rFonts w:hint="cs"/>
          <w:rtl/>
          <w:lang w:eastAsia="zh-TW"/>
        </w:rPr>
        <w:t>تو</w:t>
      </w:r>
      <w:r w:rsidRPr="00B47131">
        <w:rPr>
          <w:rtl/>
          <w:lang w:eastAsia="zh-TW"/>
        </w:rPr>
        <w:t xml:space="preserve">فر </w:t>
      </w:r>
      <w:r w:rsidR="0086606C">
        <w:rPr>
          <w:rtl/>
          <w:lang w:eastAsia="zh-TW"/>
        </w:rPr>
        <w:t>"</w:t>
      </w:r>
      <w:r w:rsidRPr="00B47131">
        <w:rPr>
          <w:rtl/>
          <w:lang w:eastAsia="zh-TW"/>
        </w:rPr>
        <w:t>خدمات</w:t>
      </w:r>
      <w:r w:rsidR="0086606C">
        <w:rPr>
          <w:rtl/>
          <w:lang w:eastAsia="zh-TW"/>
        </w:rPr>
        <w:t>"</w:t>
      </w:r>
      <w:r w:rsidRPr="00B47131">
        <w:rPr>
          <w:rtl/>
          <w:lang w:eastAsia="zh-TW"/>
        </w:rPr>
        <w:t xml:space="preserve"> لجميع المحلفين هو احتمال ضعيف. وتحيل صاحبة البلاغ إلى سوابق قضائية وطنية أخرى تحدد بموجبها صحة ادعاءات التعرض للتمييز بسبب الإعاقة، المقدمة في إطار قانون مناهضة التمييز بسبب الإعاقة، في سياق معياري تنظر في إطاره المحكمة في الالتزامات والمسؤوليات الأوسع نطاقاً للشخص المدعى قيامه بالتمييز</w:t>
      </w:r>
      <w:r w:rsidRPr="0086606C">
        <w:rPr>
          <w:vertAlign w:val="superscript"/>
          <w:rtl/>
          <w:lang w:eastAsia="zh-TW"/>
        </w:rPr>
        <w:t>(</w:t>
      </w:r>
      <w:r w:rsidRPr="0086606C">
        <w:rPr>
          <w:rStyle w:val="FootnoteReference"/>
          <w:sz w:val="20"/>
          <w:szCs w:val="30"/>
          <w:rtl/>
          <w:lang w:eastAsia="zh-TW"/>
        </w:rPr>
        <w:footnoteReference w:id="12"/>
      </w:r>
      <w:r w:rsidRPr="0086606C">
        <w:rPr>
          <w:vertAlign w:val="superscript"/>
          <w:rtl/>
          <w:lang w:eastAsia="zh-TW"/>
        </w:rPr>
        <w:t>)</w:t>
      </w:r>
      <w:r w:rsidRPr="00B47131">
        <w:rPr>
          <w:rtl/>
          <w:lang w:eastAsia="zh-TW"/>
        </w:rPr>
        <w:t xml:space="preserve">. وعلاوة على ذلك، فإن </w:t>
      </w:r>
      <w:proofErr w:type="spellStart"/>
      <w:r w:rsidRPr="00B47131">
        <w:rPr>
          <w:rtl/>
          <w:lang w:eastAsia="zh-TW"/>
        </w:rPr>
        <w:t>والية</w:t>
      </w:r>
      <w:proofErr w:type="spellEnd"/>
      <w:r w:rsidRPr="00B47131">
        <w:rPr>
          <w:rtl/>
          <w:lang w:eastAsia="zh-TW"/>
        </w:rPr>
        <w:t xml:space="preserve"> القضاء تؤكد على أنها مضطرة إلى استبعاد صاحبة البلاغ من أداء وظيفة محلفة بسبب القاعدة التي تستوجب سرية مداولات هيئة المحلفين. ووفق</w:t>
      </w:r>
      <w:r w:rsidR="005E3DFA">
        <w:rPr>
          <w:rtl/>
          <w:lang w:eastAsia="zh-TW"/>
        </w:rPr>
        <w:t xml:space="preserve">اً </w:t>
      </w:r>
      <w:r w:rsidRPr="00B47131">
        <w:rPr>
          <w:rtl/>
          <w:lang w:eastAsia="zh-TW"/>
        </w:rPr>
        <w:t xml:space="preserve">للاجتهاد القضائي، فإن تلك القاعدة تنص على بطلان الحكم إذا حضر </w:t>
      </w:r>
      <w:r w:rsidR="0086606C">
        <w:rPr>
          <w:rtl/>
          <w:lang w:eastAsia="zh-TW"/>
        </w:rPr>
        <w:t>"</w:t>
      </w:r>
      <w:r w:rsidRPr="00B47131">
        <w:rPr>
          <w:rtl/>
          <w:lang w:eastAsia="zh-TW"/>
        </w:rPr>
        <w:t>شخص غريب</w:t>
      </w:r>
      <w:r w:rsidR="0086606C">
        <w:rPr>
          <w:rtl/>
          <w:lang w:eastAsia="zh-TW"/>
        </w:rPr>
        <w:t>"</w:t>
      </w:r>
      <w:r w:rsidRPr="00B47131">
        <w:rPr>
          <w:rtl/>
          <w:lang w:eastAsia="zh-TW"/>
        </w:rPr>
        <w:t xml:space="preserve"> وقتاً طويلاً من مداولات هيئة المحلفين. وفي ضوء ذلك الاجتهاد القضائي، ستخلص المحكمة على الأرجح إلى أن الأساس الحقيقي لسلوك </w:t>
      </w:r>
      <w:proofErr w:type="spellStart"/>
      <w:r w:rsidRPr="00B47131">
        <w:rPr>
          <w:rtl/>
          <w:lang w:eastAsia="zh-TW"/>
        </w:rPr>
        <w:t>والية</w:t>
      </w:r>
      <w:proofErr w:type="spellEnd"/>
      <w:r w:rsidRPr="00B47131">
        <w:rPr>
          <w:rtl/>
          <w:lang w:eastAsia="zh-TW"/>
        </w:rPr>
        <w:t xml:space="preserve"> القضاء لم يكن التمييز </w:t>
      </w:r>
      <w:r>
        <w:rPr>
          <w:rFonts w:hint="cs"/>
          <w:rtl/>
          <w:lang w:eastAsia="zh-TW"/>
        </w:rPr>
        <w:t>على أساس</w:t>
      </w:r>
      <w:r w:rsidRPr="00B47131">
        <w:rPr>
          <w:rtl/>
          <w:lang w:eastAsia="zh-TW"/>
        </w:rPr>
        <w:t xml:space="preserve"> الإعاقة وإنما الالتزام بحماية نزاهة مداولات هيئة المحلفين، </w:t>
      </w:r>
      <w:r w:rsidRPr="00B47131">
        <w:rPr>
          <w:rtl/>
          <w:lang w:eastAsia="zh-TW"/>
        </w:rPr>
        <w:lastRenderedPageBreak/>
        <w:t xml:space="preserve">حتى إذا اعتبرت أن </w:t>
      </w:r>
      <w:proofErr w:type="spellStart"/>
      <w:r w:rsidRPr="00B47131">
        <w:rPr>
          <w:rtl/>
          <w:lang w:eastAsia="zh-TW"/>
        </w:rPr>
        <w:t>والية</w:t>
      </w:r>
      <w:proofErr w:type="spellEnd"/>
      <w:r w:rsidRPr="00B47131">
        <w:rPr>
          <w:rtl/>
          <w:lang w:eastAsia="zh-TW"/>
        </w:rPr>
        <w:t xml:space="preserve"> القضاء قدمت </w:t>
      </w:r>
      <w:r w:rsidR="0086606C">
        <w:rPr>
          <w:rtl/>
          <w:lang w:eastAsia="zh-TW"/>
        </w:rPr>
        <w:t>"</w:t>
      </w:r>
      <w:r w:rsidRPr="00B47131">
        <w:rPr>
          <w:rtl/>
          <w:lang w:eastAsia="zh-TW"/>
        </w:rPr>
        <w:t>خدمات</w:t>
      </w:r>
      <w:r w:rsidR="0086606C">
        <w:rPr>
          <w:rtl/>
          <w:lang w:eastAsia="zh-TW"/>
        </w:rPr>
        <w:t>"</w:t>
      </w:r>
      <w:r w:rsidRPr="00B47131">
        <w:rPr>
          <w:rtl/>
          <w:lang w:eastAsia="zh-TW"/>
        </w:rPr>
        <w:t xml:space="preserve"> إلى المحلفين. وعلاوة على ذلك، فإن تعريف التمييز بسبب الإعاقة، بموجب المادة 49 باء من قانون </w:t>
      </w:r>
      <w:r>
        <w:rPr>
          <w:rFonts w:hint="cs"/>
          <w:rtl/>
          <w:lang w:eastAsia="zh-TW"/>
        </w:rPr>
        <w:t>مناهضة</w:t>
      </w:r>
      <w:r w:rsidRPr="00B47131">
        <w:rPr>
          <w:rtl/>
          <w:lang w:eastAsia="zh-TW"/>
        </w:rPr>
        <w:t xml:space="preserve"> التمييز، لا يشمل الحرمان من الترتيبات </w:t>
      </w:r>
      <w:proofErr w:type="spellStart"/>
      <w:r w:rsidRPr="00B47131">
        <w:rPr>
          <w:rtl/>
          <w:lang w:eastAsia="zh-TW"/>
        </w:rPr>
        <w:t>التيسيرية</w:t>
      </w:r>
      <w:proofErr w:type="spellEnd"/>
      <w:r w:rsidRPr="00B47131">
        <w:rPr>
          <w:rtl/>
          <w:lang w:eastAsia="zh-TW"/>
        </w:rPr>
        <w:t xml:space="preserve"> المعقولة. ولهذا السبب، حتى إذا ثبت أن </w:t>
      </w:r>
      <w:proofErr w:type="spellStart"/>
      <w:r w:rsidRPr="00B47131">
        <w:rPr>
          <w:rtl/>
          <w:lang w:eastAsia="zh-TW"/>
        </w:rPr>
        <w:t>والية</w:t>
      </w:r>
      <w:proofErr w:type="spellEnd"/>
      <w:r w:rsidRPr="00B47131">
        <w:rPr>
          <w:rtl/>
          <w:lang w:eastAsia="zh-TW"/>
        </w:rPr>
        <w:t xml:space="preserve"> القضاء توفر </w:t>
      </w:r>
      <w:r w:rsidR="0086606C">
        <w:rPr>
          <w:rtl/>
          <w:lang w:eastAsia="zh-TW"/>
        </w:rPr>
        <w:t>"</w:t>
      </w:r>
      <w:r w:rsidRPr="00B47131">
        <w:rPr>
          <w:rtl/>
          <w:lang w:eastAsia="zh-TW"/>
        </w:rPr>
        <w:t>خدمات</w:t>
      </w:r>
      <w:r w:rsidR="0086606C">
        <w:rPr>
          <w:rtl/>
          <w:lang w:eastAsia="zh-TW"/>
        </w:rPr>
        <w:t>"</w:t>
      </w:r>
      <w:r w:rsidRPr="00B47131">
        <w:rPr>
          <w:rtl/>
          <w:lang w:eastAsia="zh-TW"/>
        </w:rPr>
        <w:t xml:space="preserve"> للمحلفين، فإنه سيظل من الصعب إثبات أنها كانت ملزمة بأن توفر لصاحبة البلاغ خدمات الترجمة بلغة الإشارة الأسترالية أو الاختزال النصي باعتبار ذلك ترتيباً </w:t>
      </w:r>
      <w:proofErr w:type="spellStart"/>
      <w:r w:rsidRPr="00B47131">
        <w:rPr>
          <w:rtl/>
          <w:lang w:eastAsia="zh-TW"/>
        </w:rPr>
        <w:t>تيسيرياً</w:t>
      </w:r>
      <w:proofErr w:type="spellEnd"/>
      <w:r w:rsidRPr="00B47131">
        <w:rPr>
          <w:rtl/>
          <w:lang w:eastAsia="zh-TW"/>
        </w:rPr>
        <w:t xml:space="preserve"> معقولاً. وتدفع صاحبة البلاغ بأن</w:t>
      </w:r>
      <w:r w:rsidR="0086606C">
        <w:rPr>
          <w:rtl/>
          <w:lang w:eastAsia="zh-TW"/>
        </w:rPr>
        <w:t xml:space="preserve"> </w:t>
      </w:r>
      <w:r w:rsidRPr="00B47131">
        <w:rPr>
          <w:rtl/>
          <w:lang w:eastAsia="zh-TW"/>
        </w:rPr>
        <w:t xml:space="preserve">رفع دعاوى في إطار قانون مناهضة التمييز </w:t>
      </w:r>
      <w:r>
        <w:rPr>
          <w:rFonts w:hint="cs"/>
          <w:rtl/>
          <w:lang w:eastAsia="zh-TW"/>
        </w:rPr>
        <w:t>على أساس</w:t>
      </w:r>
      <w:r w:rsidRPr="00B47131">
        <w:rPr>
          <w:rtl/>
          <w:lang w:eastAsia="zh-TW"/>
        </w:rPr>
        <w:t xml:space="preserve"> الإعاقة وقانون مناهضة التمييز</w:t>
      </w:r>
      <w:r>
        <w:rPr>
          <w:rFonts w:hint="cs"/>
          <w:rtl/>
          <w:lang w:eastAsia="zh-TW"/>
        </w:rPr>
        <w:t xml:space="preserve"> تكتنفها صعوبة ليست خافية</w:t>
      </w:r>
      <w:r w:rsidRPr="00B47131">
        <w:rPr>
          <w:rtl/>
          <w:lang w:eastAsia="zh-TW"/>
        </w:rPr>
        <w:t xml:space="preserve"> وكثير</w:t>
      </w:r>
      <w:r w:rsidR="005E3DFA">
        <w:rPr>
          <w:rtl/>
          <w:lang w:eastAsia="zh-TW"/>
        </w:rPr>
        <w:t xml:space="preserve">اً </w:t>
      </w:r>
      <w:r w:rsidRPr="00B47131">
        <w:rPr>
          <w:rtl/>
          <w:lang w:eastAsia="zh-TW"/>
        </w:rPr>
        <w:t>ما تفضي تلك الدعاوى إلى إجراءات مطولة ومعقدة للغاية. وأخيرا</w:t>
      </w:r>
      <w:r w:rsidR="005E3DFA">
        <w:rPr>
          <w:rFonts w:hint="cs"/>
          <w:rtl/>
          <w:lang w:eastAsia="zh-TW"/>
        </w:rPr>
        <w:t>ً</w:t>
      </w:r>
      <w:r w:rsidRPr="00B47131">
        <w:rPr>
          <w:rtl/>
          <w:lang w:eastAsia="zh-TW"/>
        </w:rPr>
        <w:t xml:space="preserve">، إذا رفعت صاحبة البلاغ </w:t>
      </w:r>
      <w:r>
        <w:rPr>
          <w:rFonts w:hint="cs"/>
          <w:rtl/>
          <w:lang w:eastAsia="zh-TW"/>
        </w:rPr>
        <w:t xml:space="preserve">دعوى ثم </w:t>
      </w:r>
      <w:r w:rsidRPr="00B47131">
        <w:rPr>
          <w:rtl/>
          <w:lang w:eastAsia="zh-TW"/>
        </w:rPr>
        <w:t>خسرت</w:t>
      </w:r>
      <w:r>
        <w:rPr>
          <w:rFonts w:hint="cs"/>
          <w:rtl/>
          <w:lang w:eastAsia="zh-TW"/>
        </w:rPr>
        <w:t>ها</w:t>
      </w:r>
      <w:r w:rsidRPr="00B47131">
        <w:rPr>
          <w:rtl/>
          <w:lang w:eastAsia="zh-TW"/>
        </w:rPr>
        <w:t>، فإنها ستكون</w:t>
      </w:r>
      <w:r w:rsidR="0086606C">
        <w:rPr>
          <w:rtl/>
          <w:lang w:eastAsia="zh-TW"/>
        </w:rPr>
        <w:t xml:space="preserve"> </w:t>
      </w:r>
      <w:r>
        <w:rPr>
          <w:rFonts w:hint="cs"/>
          <w:rtl/>
          <w:lang w:eastAsia="zh-TW"/>
        </w:rPr>
        <w:t>ملزمة</w:t>
      </w:r>
      <w:r w:rsidR="00F05419">
        <w:rPr>
          <w:rFonts w:hint="cs"/>
          <w:rtl/>
          <w:lang w:eastAsia="zh-TW"/>
        </w:rPr>
        <w:t> </w:t>
      </w:r>
      <w:r>
        <w:rPr>
          <w:rFonts w:hint="cs"/>
          <w:rtl/>
          <w:lang w:eastAsia="zh-TW"/>
        </w:rPr>
        <w:t>ب</w:t>
      </w:r>
      <w:r w:rsidRPr="00B47131">
        <w:rPr>
          <w:rtl/>
          <w:lang w:eastAsia="zh-TW"/>
        </w:rPr>
        <w:t xml:space="preserve">دفع تكاليف الإجراءات القانونية </w:t>
      </w:r>
      <w:r>
        <w:rPr>
          <w:rFonts w:hint="cs"/>
          <w:rtl/>
          <w:lang w:eastAsia="zh-TW"/>
        </w:rPr>
        <w:t>تلزمها هي</w:t>
      </w:r>
      <w:r w:rsidR="0086606C">
        <w:rPr>
          <w:rFonts w:hint="cs"/>
          <w:rtl/>
          <w:lang w:eastAsia="zh-TW"/>
        </w:rPr>
        <w:t xml:space="preserve"> </w:t>
      </w:r>
      <w:r w:rsidRPr="00B47131">
        <w:rPr>
          <w:rtl/>
          <w:lang w:eastAsia="zh-TW"/>
        </w:rPr>
        <w:t>وتلك التي</w:t>
      </w:r>
      <w:r w:rsidR="0086606C">
        <w:rPr>
          <w:rtl/>
          <w:lang w:eastAsia="zh-TW"/>
        </w:rPr>
        <w:t xml:space="preserve"> </w:t>
      </w:r>
      <w:r>
        <w:rPr>
          <w:rFonts w:hint="cs"/>
          <w:rtl/>
          <w:lang w:eastAsia="zh-TW"/>
        </w:rPr>
        <w:t>تلزم</w:t>
      </w:r>
      <w:r w:rsidRPr="00B47131">
        <w:rPr>
          <w:rtl/>
          <w:lang w:eastAsia="zh-TW"/>
        </w:rPr>
        <w:t xml:space="preserve"> ولاية نيو ساوث ويلز، أي</w:t>
      </w:r>
      <w:r w:rsidR="00F05419">
        <w:rPr>
          <w:rFonts w:hint="cs"/>
          <w:rtl/>
          <w:lang w:eastAsia="zh-TW"/>
        </w:rPr>
        <w:t> </w:t>
      </w:r>
      <w:r w:rsidRPr="00B47131">
        <w:rPr>
          <w:rtl/>
          <w:lang w:eastAsia="zh-TW"/>
        </w:rPr>
        <w:t>ما بين 000 50 دولار أسترالي</w:t>
      </w:r>
      <w:r w:rsidR="00F05419">
        <w:rPr>
          <w:rtl/>
          <w:lang w:eastAsia="zh-TW"/>
        </w:rPr>
        <w:t xml:space="preserve"> و</w:t>
      </w:r>
      <w:r w:rsidRPr="00B47131">
        <w:rPr>
          <w:rtl/>
          <w:lang w:eastAsia="zh-TW"/>
        </w:rPr>
        <w:t xml:space="preserve">000 100 دولار </w:t>
      </w:r>
      <w:r w:rsidR="00F05419">
        <w:rPr>
          <w:rtl/>
          <w:lang w:eastAsia="zh-TW"/>
        </w:rPr>
        <w:t>أسترالي</w:t>
      </w:r>
      <w:r w:rsidRPr="0086606C">
        <w:rPr>
          <w:vertAlign w:val="superscript"/>
          <w:rtl/>
          <w:lang w:eastAsia="zh-TW"/>
        </w:rPr>
        <w:t>(</w:t>
      </w:r>
      <w:r w:rsidRPr="0086606C">
        <w:rPr>
          <w:rStyle w:val="FootnoteReference"/>
          <w:sz w:val="20"/>
          <w:szCs w:val="30"/>
          <w:rtl/>
          <w:lang w:eastAsia="zh-TW"/>
        </w:rPr>
        <w:footnoteReference w:id="13"/>
      </w:r>
      <w:r w:rsidRPr="0086606C">
        <w:rPr>
          <w:vertAlign w:val="superscript"/>
          <w:rtl/>
          <w:lang w:eastAsia="zh-TW"/>
        </w:rPr>
        <w:t>)</w:t>
      </w:r>
      <w:r w:rsidRPr="00B47131">
        <w:rPr>
          <w:rtl/>
          <w:lang w:eastAsia="zh-TW"/>
        </w:rPr>
        <w:t>، الأمر الذي يجعل سبل الانتصاف المحلية غير متاحة لها في حدود المعقول.</w:t>
      </w:r>
    </w:p>
    <w:p w:rsidR="0081736E" w:rsidRPr="006F16B0" w:rsidRDefault="0081736E" w:rsidP="0081736E">
      <w:pPr>
        <w:pStyle w:val="H23GA"/>
        <w:rPr>
          <w:rtl/>
        </w:rPr>
      </w:pPr>
      <w:r w:rsidRPr="006F16B0">
        <w:rPr>
          <w:rtl/>
        </w:rPr>
        <w:tab/>
      </w:r>
      <w:r w:rsidRPr="006F16B0">
        <w:rPr>
          <w:rtl/>
        </w:rPr>
        <w:tab/>
        <w:t>الشكوى</w:t>
      </w:r>
    </w:p>
    <w:p w:rsidR="0081736E" w:rsidRPr="00B47131" w:rsidRDefault="0081736E" w:rsidP="00F05419">
      <w:pPr>
        <w:pStyle w:val="SingleTxtGA"/>
        <w:rPr>
          <w:rtl/>
          <w:lang w:eastAsia="zh-TW"/>
        </w:rPr>
      </w:pPr>
      <w:r w:rsidRPr="00B47131">
        <w:rPr>
          <w:rtl/>
          <w:lang w:eastAsia="zh-TW"/>
        </w:rPr>
        <w:t>٣-</w:t>
      </w:r>
      <w:r>
        <w:rPr>
          <w:rtl/>
          <w:lang w:eastAsia="zh-TW"/>
        </w:rPr>
        <w:t>١</w:t>
      </w:r>
      <w:r>
        <w:rPr>
          <w:rFonts w:hint="cs"/>
          <w:rtl/>
          <w:lang w:eastAsia="zh-TW"/>
        </w:rPr>
        <w:tab/>
      </w:r>
      <w:r w:rsidRPr="00B47131">
        <w:rPr>
          <w:rtl/>
          <w:lang w:eastAsia="zh-TW"/>
        </w:rPr>
        <w:t xml:space="preserve">تدعي صاحبة البلاغ أن تصرفات </w:t>
      </w:r>
      <w:proofErr w:type="spellStart"/>
      <w:r w:rsidRPr="00B47131">
        <w:rPr>
          <w:rtl/>
          <w:lang w:eastAsia="zh-TW"/>
        </w:rPr>
        <w:t>والية</w:t>
      </w:r>
      <w:proofErr w:type="spellEnd"/>
      <w:r w:rsidRPr="00B47131">
        <w:rPr>
          <w:rtl/>
          <w:lang w:eastAsia="zh-TW"/>
        </w:rPr>
        <w:t xml:space="preserve"> القضاء تشكل انتهاك</w:t>
      </w:r>
      <w:r w:rsidR="005E3DFA">
        <w:rPr>
          <w:rtl/>
          <w:lang w:eastAsia="zh-TW"/>
        </w:rPr>
        <w:t xml:space="preserve">اً </w:t>
      </w:r>
      <w:r w:rsidRPr="00B47131">
        <w:rPr>
          <w:rtl/>
          <w:lang w:eastAsia="zh-TW"/>
        </w:rPr>
        <w:t>لحقها في الاعتراف بأهليتها القانونية على قدم المساواة مع الآخرين المكفول بموجب المادة 12 من الاتفاقية. وتحتج صاحبة البلاغ بأن إلزام المواطنين الراشدين بأداء الواجب في هيئة محلفين هو أحد الجوانب الأساسية من أهليتهم القانونية، وهو التزام ينشأ من مبدأي المعاملة بالمثل ونطاق التمثيل اللذين يقوم عليهما النظامان القانونيان لأستراليا ولولاية نيو ساوث ويلز. وترى صاحبة البلاغ كذلك</w:t>
      </w:r>
      <w:r w:rsidR="0086606C">
        <w:rPr>
          <w:rtl/>
          <w:lang w:eastAsia="zh-TW"/>
        </w:rPr>
        <w:t xml:space="preserve"> </w:t>
      </w:r>
      <w:r w:rsidRPr="00B47131">
        <w:rPr>
          <w:rtl/>
          <w:lang w:eastAsia="zh-TW"/>
        </w:rPr>
        <w:t xml:space="preserve">أن رد مكتب </w:t>
      </w:r>
      <w:proofErr w:type="spellStart"/>
      <w:r w:rsidRPr="00B47131">
        <w:rPr>
          <w:rtl/>
          <w:lang w:eastAsia="zh-TW"/>
        </w:rPr>
        <w:t>والية</w:t>
      </w:r>
      <w:proofErr w:type="spellEnd"/>
      <w:r w:rsidRPr="00B47131">
        <w:rPr>
          <w:rtl/>
          <w:lang w:eastAsia="zh-TW"/>
        </w:rPr>
        <w:t xml:space="preserve"> القضاء عليها بأن </w:t>
      </w:r>
      <w:r w:rsidR="0086606C">
        <w:rPr>
          <w:rtl/>
          <w:lang w:eastAsia="zh-TW"/>
        </w:rPr>
        <w:t>"</w:t>
      </w:r>
      <w:r w:rsidRPr="00B47131">
        <w:rPr>
          <w:rtl/>
          <w:lang w:eastAsia="zh-TW"/>
        </w:rPr>
        <w:t>التشريع الحالي</w:t>
      </w:r>
      <w:r w:rsidR="0086606C">
        <w:rPr>
          <w:rtl/>
          <w:lang w:eastAsia="zh-TW"/>
        </w:rPr>
        <w:t>"</w:t>
      </w:r>
      <w:r w:rsidRPr="00B47131">
        <w:rPr>
          <w:rtl/>
          <w:lang w:eastAsia="zh-TW"/>
        </w:rPr>
        <w:t xml:space="preserve"> لا يجيز لها الحصول على خدمات ترجمة بلغة الإشارة الأسترالية، مما يمنعها من المشاركة في هيئة المحلفين، يعني أن الصم عاجزون بطبيعتهم عن فهم العملية القانونية وأن مشاركتهم ستضر بالحق في محاكمة عادلة. </w:t>
      </w:r>
      <w:dir w:val="rtl">
        <w:r w:rsidRPr="00B47131">
          <w:rPr>
            <w:rFonts w:ascii="Traditional Arabic" w:hAnsi="Traditional Arabic" w:hint="cs"/>
            <w:rtl/>
            <w:lang w:eastAsia="zh-TW"/>
          </w:rPr>
          <w:t>وترى</w:t>
        </w:r>
        <w:r w:rsidRPr="00B47131">
          <w:rPr>
            <w:rtl/>
            <w:lang w:eastAsia="zh-TW"/>
          </w:rPr>
          <w:t xml:space="preserve"> </w:t>
        </w:r>
        <w:r w:rsidRPr="00B47131">
          <w:rPr>
            <w:rFonts w:ascii="Traditional Arabic" w:hAnsi="Traditional Arabic" w:hint="cs"/>
            <w:rtl/>
            <w:lang w:eastAsia="zh-TW"/>
          </w:rPr>
          <w:t>صاحبة</w:t>
        </w:r>
        <w:r w:rsidRPr="00B47131">
          <w:rPr>
            <w:rtl/>
            <w:lang w:eastAsia="zh-TW"/>
          </w:rPr>
          <w:t xml:space="preserve"> </w:t>
        </w:r>
        <w:r w:rsidRPr="00B47131">
          <w:rPr>
            <w:rFonts w:ascii="Traditional Arabic" w:hAnsi="Traditional Arabic" w:hint="cs"/>
            <w:rtl/>
            <w:lang w:eastAsia="zh-TW"/>
          </w:rPr>
          <w:t>البلاغ</w:t>
        </w:r>
        <w:r w:rsidRPr="00B47131">
          <w:rPr>
            <w:rtl/>
            <w:lang w:eastAsia="zh-TW"/>
          </w:rPr>
          <w:t xml:space="preserve"> </w:t>
        </w:r>
        <w:r w:rsidRPr="00B47131">
          <w:rPr>
            <w:rFonts w:ascii="Traditional Arabic" w:hAnsi="Traditional Arabic" w:hint="cs"/>
            <w:rtl/>
            <w:lang w:eastAsia="zh-TW"/>
          </w:rPr>
          <w:t>أن</w:t>
        </w:r>
        <w:r w:rsidRPr="00B47131">
          <w:rPr>
            <w:rtl/>
            <w:lang w:eastAsia="zh-TW"/>
          </w:rPr>
          <w:t xml:space="preserve"> </w:t>
        </w:r>
        <w:r w:rsidRPr="00B47131">
          <w:rPr>
            <w:rFonts w:ascii="Traditional Arabic" w:hAnsi="Traditional Arabic" w:hint="cs"/>
            <w:rtl/>
            <w:lang w:eastAsia="zh-TW"/>
          </w:rPr>
          <w:t>هذا</w:t>
        </w:r>
        <w:r w:rsidRPr="00B47131">
          <w:rPr>
            <w:rtl/>
            <w:lang w:eastAsia="zh-TW"/>
          </w:rPr>
          <w:t xml:space="preserve"> </w:t>
        </w:r>
        <w:r w:rsidRPr="00B47131">
          <w:rPr>
            <w:rFonts w:ascii="Traditional Arabic" w:hAnsi="Traditional Arabic" w:hint="cs"/>
            <w:rtl/>
            <w:lang w:eastAsia="zh-TW"/>
          </w:rPr>
          <w:t>الموقف</w:t>
        </w:r>
        <w:r w:rsidR="0086606C">
          <w:rPr>
            <w:rtl/>
            <w:lang w:eastAsia="zh-TW"/>
          </w:rPr>
          <w:t xml:space="preserve"> </w:t>
        </w:r>
        <w:r>
          <w:rPr>
            <w:rFonts w:hint="cs"/>
            <w:rtl/>
            <w:lang w:eastAsia="zh-TW"/>
          </w:rPr>
          <w:t>يرقى إلى</w:t>
        </w:r>
        <w:r w:rsidRPr="00B47131">
          <w:rPr>
            <w:rtl/>
            <w:lang w:eastAsia="zh-TW"/>
          </w:rPr>
          <w:t xml:space="preserve"> انتهاك حقها في التمتع بالأهلية القانونية على قدم المساواة مع الآخرين.</w:t>
        </w:r>
        <w:r w:rsidRPr="00B47131">
          <w:rPr>
            <w:rFonts w:cs="Times New Roman" w:hint="cs"/>
            <w:rtl/>
            <w:lang w:eastAsia="zh-TW"/>
          </w:rPr>
          <w:t>‬</w:t>
        </w:r>
        <w:r w:rsidRPr="00B47131">
          <w:rPr>
            <w:rtl/>
            <w:lang w:eastAsia="zh-TW"/>
          </w:rPr>
          <w:t xml:space="preserve"> </w:t>
        </w:r>
        <w:r w:rsidRPr="00B47131">
          <w:rPr>
            <w:rFonts w:ascii="Traditional Arabic" w:hAnsi="Traditional Arabic" w:hint="cs"/>
            <w:rtl/>
            <w:lang w:eastAsia="zh-TW"/>
          </w:rPr>
          <w:t>وتدعي</w:t>
        </w:r>
        <w:r w:rsidRPr="00B47131">
          <w:rPr>
            <w:rtl/>
            <w:lang w:eastAsia="zh-TW"/>
          </w:rPr>
          <w:t xml:space="preserve"> </w:t>
        </w:r>
        <w:r w:rsidRPr="00B47131">
          <w:rPr>
            <w:rFonts w:ascii="Traditional Arabic" w:hAnsi="Traditional Arabic" w:hint="cs"/>
            <w:rtl/>
            <w:lang w:eastAsia="zh-TW"/>
          </w:rPr>
          <w:t>صاحبة</w:t>
        </w:r>
        <w:r w:rsidRPr="00B47131">
          <w:rPr>
            <w:rtl/>
            <w:lang w:eastAsia="zh-TW"/>
          </w:rPr>
          <w:t xml:space="preserve"> </w:t>
        </w:r>
        <w:r w:rsidRPr="00B47131">
          <w:rPr>
            <w:rFonts w:ascii="Traditional Arabic" w:hAnsi="Traditional Arabic" w:hint="cs"/>
            <w:rtl/>
            <w:lang w:eastAsia="zh-TW"/>
          </w:rPr>
          <w:t>البلاغ</w:t>
        </w:r>
        <w:r w:rsidRPr="00B47131">
          <w:rPr>
            <w:rtl/>
            <w:lang w:eastAsia="zh-TW"/>
          </w:rPr>
          <w:t xml:space="preserve"> </w:t>
        </w:r>
        <w:r w:rsidRPr="00B47131">
          <w:rPr>
            <w:rFonts w:ascii="Traditional Arabic" w:hAnsi="Traditional Arabic" w:hint="cs"/>
            <w:rtl/>
            <w:lang w:eastAsia="zh-TW"/>
          </w:rPr>
          <w:t>أيضاً</w:t>
        </w:r>
        <w:r w:rsidRPr="00B47131">
          <w:rPr>
            <w:rtl/>
            <w:lang w:eastAsia="zh-TW"/>
          </w:rPr>
          <w:t xml:space="preserve"> </w:t>
        </w:r>
        <w:r w:rsidRPr="00B47131">
          <w:rPr>
            <w:rFonts w:ascii="Traditional Arabic" w:hAnsi="Traditional Arabic" w:hint="cs"/>
            <w:rtl/>
            <w:lang w:eastAsia="zh-TW"/>
          </w:rPr>
          <w:t>أن</w:t>
        </w:r>
        <w:r w:rsidRPr="00B47131">
          <w:rPr>
            <w:rtl/>
            <w:lang w:eastAsia="zh-TW"/>
          </w:rPr>
          <w:t xml:space="preserve"> </w:t>
        </w:r>
        <w:r w:rsidRPr="00B47131">
          <w:rPr>
            <w:rFonts w:ascii="Traditional Arabic" w:hAnsi="Traditional Arabic" w:hint="cs"/>
            <w:rtl/>
            <w:lang w:eastAsia="zh-TW"/>
          </w:rPr>
          <w:t>رفض</w:t>
        </w:r>
        <w:r w:rsidRPr="00B47131">
          <w:rPr>
            <w:rtl/>
            <w:lang w:eastAsia="zh-TW"/>
          </w:rPr>
          <w:t xml:space="preserve"> </w:t>
        </w:r>
        <w:r w:rsidRPr="00B47131">
          <w:rPr>
            <w:rFonts w:ascii="Traditional Arabic" w:hAnsi="Traditional Arabic" w:hint="cs"/>
            <w:rtl/>
            <w:lang w:eastAsia="zh-TW"/>
          </w:rPr>
          <w:t>السماح</w:t>
        </w:r>
        <w:r w:rsidRPr="00B47131">
          <w:rPr>
            <w:rtl/>
            <w:lang w:eastAsia="zh-TW"/>
          </w:rPr>
          <w:t xml:space="preserve"> </w:t>
        </w:r>
        <w:r w:rsidRPr="00B47131">
          <w:rPr>
            <w:rFonts w:ascii="Traditional Arabic" w:hAnsi="Traditional Arabic" w:hint="cs"/>
            <w:rtl/>
            <w:lang w:eastAsia="zh-TW"/>
          </w:rPr>
          <w:t>لها</w:t>
        </w:r>
        <w:r w:rsidRPr="00B47131">
          <w:rPr>
            <w:rtl/>
            <w:lang w:eastAsia="zh-TW"/>
          </w:rPr>
          <w:t xml:space="preserve"> </w:t>
        </w:r>
        <w:r w:rsidRPr="00B47131">
          <w:rPr>
            <w:rFonts w:ascii="Traditional Arabic" w:hAnsi="Traditional Arabic" w:hint="cs"/>
            <w:rtl/>
            <w:lang w:eastAsia="zh-TW"/>
          </w:rPr>
          <w:t>بالاستعانة</w:t>
        </w:r>
        <w:r w:rsidRPr="00B47131">
          <w:rPr>
            <w:rtl/>
            <w:lang w:eastAsia="zh-TW"/>
          </w:rPr>
          <w:t xml:space="preserve"> </w:t>
        </w:r>
        <w:r w:rsidRPr="00B47131">
          <w:rPr>
            <w:rFonts w:ascii="Traditional Arabic" w:hAnsi="Traditional Arabic" w:hint="cs"/>
            <w:rtl/>
            <w:lang w:eastAsia="zh-TW"/>
          </w:rPr>
          <w:t>بمترجم</w:t>
        </w:r>
        <w:r w:rsidRPr="00B47131">
          <w:rPr>
            <w:rtl/>
            <w:lang w:eastAsia="zh-TW"/>
          </w:rPr>
          <w:t xml:space="preserve"> </w:t>
        </w:r>
        <w:r w:rsidRPr="00B47131">
          <w:rPr>
            <w:rFonts w:ascii="Traditional Arabic" w:hAnsi="Traditional Arabic" w:hint="cs"/>
            <w:rtl/>
            <w:lang w:eastAsia="zh-TW"/>
          </w:rPr>
          <w:t>بلغة</w:t>
        </w:r>
        <w:r w:rsidR="0086606C">
          <w:rPr>
            <w:rtl/>
            <w:lang w:eastAsia="zh-TW"/>
          </w:rPr>
          <w:t xml:space="preserve"> </w:t>
        </w:r>
        <w:r w:rsidRPr="00B47131">
          <w:rPr>
            <w:rFonts w:ascii="Traditional Arabic" w:hAnsi="Traditional Arabic" w:hint="cs"/>
            <w:rtl/>
            <w:lang w:eastAsia="zh-TW"/>
          </w:rPr>
          <w:t>الإشارة</w:t>
        </w:r>
        <w:r w:rsidRPr="00B47131">
          <w:rPr>
            <w:rtl/>
            <w:lang w:eastAsia="zh-TW"/>
          </w:rPr>
          <w:t xml:space="preserve"> </w:t>
        </w:r>
        <w:r w:rsidRPr="00B47131">
          <w:rPr>
            <w:rFonts w:ascii="Traditional Arabic" w:hAnsi="Traditional Arabic" w:hint="cs"/>
            <w:rtl/>
            <w:lang w:eastAsia="zh-TW"/>
          </w:rPr>
          <w:t>الأسترالية</w:t>
        </w:r>
        <w:r w:rsidRPr="00B47131">
          <w:rPr>
            <w:rtl/>
            <w:lang w:eastAsia="zh-TW"/>
          </w:rPr>
          <w:t xml:space="preserve"> </w:t>
        </w:r>
        <w:r w:rsidRPr="00B47131">
          <w:rPr>
            <w:rFonts w:ascii="Traditional Arabic" w:hAnsi="Traditional Arabic" w:hint="cs"/>
            <w:rtl/>
            <w:lang w:eastAsia="zh-TW"/>
          </w:rPr>
          <w:t>يشكل</w:t>
        </w:r>
        <w:r w:rsidRPr="00B47131">
          <w:rPr>
            <w:rtl/>
            <w:lang w:eastAsia="zh-TW"/>
          </w:rPr>
          <w:t xml:space="preserve"> </w:t>
        </w:r>
        <w:r w:rsidRPr="00B47131">
          <w:rPr>
            <w:rFonts w:ascii="Traditional Arabic" w:hAnsi="Traditional Arabic" w:hint="cs"/>
            <w:rtl/>
            <w:lang w:eastAsia="zh-TW"/>
          </w:rPr>
          <w:t>انتهاك</w:t>
        </w:r>
        <w:r w:rsidR="005E3DFA">
          <w:rPr>
            <w:rFonts w:ascii="Traditional Arabic" w:hAnsi="Traditional Arabic" w:hint="cs"/>
            <w:rtl/>
            <w:lang w:eastAsia="zh-TW"/>
          </w:rPr>
          <w:t xml:space="preserve">اً </w:t>
        </w:r>
        <w:r w:rsidRPr="00B47131">
          <w:rPr>
            <w:rFonts w:ascii="Traditional Arabic" w:hAnsi="Traditional Arabic" w:hint="cs"/>
            <w:rtl/>
            <w:lang w:eastAsia="zh-TW"/>
          </w:rPr>
          <w:t>لما</w:t>
        </w:r>
        <w:r w:rsidRPr="00B47131">
          <w:rPr>
            <w:rtl/>
            <w:lang w:eastAsia="zh-TW"/>
          </w:rPr>
          <w:t xml:space="preserve"> </w:t>
        </w:r>
        <w:r w:rsidRPr="00B47131">
          <w:rPr>
            <w:rFonts w:ascii="Traditional Arabic" w:hAnsi="Traditional Arabic" w:hint="cs"/>
            <w:rtl/>
            <w:lang w:eastAsia="zh-TW"/>
          </w:rPr>
          <w:t>يلي</w:t>
        </w:r>
        <w:r w:rsidRPr="00B47131">
          <w:rPr>
            <w:rtl/>
            <w:lang w:eastAsia="zh-TW"/>
          </w:rPr>
          <w:t>: (</w:t>
        </w:r>
        <w:r w:rsidRPr="00B47131">
          <w:rPr>
            <w:rFonts w:ascii="Traditional Arabic" w:hAnsi="Traditional Arabic" w:hint="cs"/>
            <w:rtl/>
            <w:lang w:eastAsia="zh-TW"/>
          </w:rPr>
          <w:t>أ</w:t>
        </w:r>
        <w:r w:rsidRPr="00B47131">
          <w:rPr>
            <w:rtl/>
            <w:lang w:eastAsia="zh-TW"/>
          </w:rPr>
          <w:t xml:space="preserve">) </w:t>
        </w:r>
        <w:r w:rsidRPr="00B47131">
          <w:rPr>
            <w:rFonts w:ascii="Traditional Arabic" w:hAnsi="Traditional Arabic" w:hint="cs"/>
            <w:rtl/>
            <w:lang w:eastAsia="zh-TW"/>
          </w:rPr>
          <w:t>حقها</w:t>
        </w:r>
        <w:r w:rsidRPr="00B47131">
          <w:rPr>
            <w:rtl/>
            <w:lang w:eastAsia="zh-TW"/>
          </w:rPr>
          <w:t xml:space="preserve"> </w:t>
        </w:r>
        <w:r w:rsidRPr="00B47131">
          <w:rPr>
            <w:rFonts w:ascii="Traditional Arabic" w:hAnsi="Traditional Arabic" w:hint="cs"/>
            <w:rtl/>
            <w:lang w:eastAsia="zh-TW"/>
          </w:rPr>
          <w:t>في</w:t>
        </w:r>
        <w:r w:rsidRPr="00B47131">
          <w:rPr>
            <w:rtl/>
            <w:lang w:eastAsia="zh-TW"/>
          </w:rPr>
          <w:t xml:space="preserve"> </w:t>
        </w:r>
        <w:r w:rsidRPr="00B47131">
          <w:rPr>
            <w:rFonts w:ascii="Traditional Arabic" w:hAnsi="Traditional Arabic" w:hint="cs"/>
            <w:rtl/>
            <w:lang w:eastAsia="zh-TW"/>
          </w:rPr>
          <w:t>الحصول</w:t>
        </w:r>
        <w:r w:rsidRPr="00B47131">
          <w:rPr>
            <w:rtl/>
            <w:lang w:eastAsia="zh-TW"/>
          </w:rPr>
          <w:t xml:space="preserve"> </w:t>
        </w:r>
        <w:r w:rsidRPr="00B47131">
          <w:rPr>
            <w:rFonts w:ascii="Traditional Arabic" w:hAnsi="Traditional Arabic" w:hint="cs"/>
            <w:rtl/>
            <w:lang w:eastAsia="zh-TW"/>
          </w:rPr>
          <w:t>على</w:t>
        </w:r>
        <w:r w:rsidRPr="00B47131">
          <w:rPr>
            <w:rtl/>
            <w:lang w:eastAsia="zh-TW"/>
          </w:rPr>
          <w:t xml:space="preserve"> </w:t>
        </w:r>
        <w:r w:rsidRPr="00B47131">
          <w:rPr>
            <w:rFonts w:ascii="Traditional Arabic" w:hAnsi="Traditional Arabic" w:hint="cs"/>
            <w:rtl/>
            <w:lang w:eastAsia="zh-TW"/>
          </w:rPr>
          <w:t>ما</w:t>
        </w:r>
        <w:r w:rsidRPr="00B47131">
          <w:rPr>
            <w:rtl/>
            <w:lang w:eastAsia="zh-TW"/>
          </w:rPr>
          <w:t xml:space="preserve"> </w:t>
        </w:r>
        <w:r w:rsidRPr="00B47131">
          <w:rPr>
            <w:rFonts w:ascii="Traditional Arabic" w:hAnsi="Traditional Arabic" w:hint="cs"/>
            <w:rtl/>
            <w:lang w:eastAsia="zh-TW"/>
          </w:rPr>
          <w:t>تحتاجه</w:t>
        </w:r>
        <w:r w:rsidRPr="00B47131">
          <w:rPr>
            <w:rtl/>
            <w:lang w:eastAsia="zh-TW"/>
          </w:rPr>
          <w:t xml:space="preserve"> </w:t>
        </w:r>
        <w:r w:rsidRPr="00B47131">
          <w:rPr>
            <w:rFonts w:ascii="Traditional Arabic" w:hAnsi="Traditional Arabic" w:hint="cs"/>
            <w:rtl/>
            <w:lang w:eastAsia="zh-TW"/>
          </w:rPr>
          <w:t>من</w:t>
        </w:r>
        <w:r w:rsidRPr="00B47131">
          <w:rPr>
            <w:rtl/>
            <w:lang w:eastAsia="zh-TW"/>
          </w:rPr>
          <w:t xml:space="preserve"> </w:t>
        </w:r>
        <w:r w:rsidRPr="00B47131">
          <w:rPr>
            <w:rFonts w:ascii="Traditional Arabic" w:hAnsi="Traditional Arabic" w:hint="cs"/>
            <w:rtl/>
            <w:lang w:eastAsia="zh-TW"/>
          </w:rPr>
          <w:t>دعم</w:t>
        </w:r>
        <w:r w:rsidRPr="00B47131">
          <w:rPr>
            <w:rtl/>
            <w:lang w:eastAsia="zh-TW"/>
          </w:rPr>
          <w:t xml:space="preserve"> </w:t>
        </w:r>
        <w:r w:rsidRPr="00B47131">
          <w:rPr>
            <w:rFonts w:ascii="Traditional Arabic" w:hAnsi="Traditional Arabic" w:hint="cs"/>
            <w:rtl/>
            <w:lang w:eastAsia="zh-TW"/>
          </w:rPr>
          <w:t>لممارسة</w:t>
        </w:r>
        <w:r w:rsidRPr="00B47131">
          <w:rPr>
            <w:rtl/>
            <w:lang w:eastAsia="zh-TW"/>
          </w:rPr>
          <w:t xml:space="preserve"> </w:t>
        </w:r>
        <w:r w:rsidRPr="00B47131">
          <w:rPr>
            <w:rFonts w:ascii="Traditional Arabic" w:hAnsi="Traditional Arabic" w:hint="cs"/>
            <w:rtl/>
            <w:lang w:eastAsia="zh-TW"/>
          </w:rPr>
          <w:t>أهليتها</w:t>
        </w:r>
        <w:r w:rsidRPr="00B47131">
          <w:rPr>
            <w:rtl/>
            <w:lang w:eastAsia="zh-TW"/>
          </w:rPr>
          <w:t xml:space="preserve"> </w:t>
        </w:r>
        <w:r w:rsidRPr="00B47131">
          <w:rPr>
            <w:rFonts w:ascii="Traditional Arabic" w:hAnsi="Traditional Arabic" w:hint="cs"/>
            <w:rtl/>
            <w:lang w:eastAsia="zh-TW"/>
          </w:rPr>
          <w:t>القانونية</w:t>
        </w:r>
        <w:r w:rsidRPr="00B47131">
          <w:rPr>
            <w:rtl/>
            <w:lang w:eastAsia="zh-TW"/>
          </w:rPr>
          <w:t xml:space="preserve"> </w:t>
        </w:r>
        <w:r w:rsidRPr="00B47131">
          <w:rPr>
            <w:rFonts w:ascii="Traditional Arabic" w:hAnsi="Traditional Arabic" w:hint="cs"/>
            <w:rtl/>
            <w:lang w:eastAsia="zh-TW"/>
          </w:rPr>
          <w:t>لأداء</w:t>
        </w:r>
        <w:r w:rsidRPr="00B47131">
          <w:rPr>
            <w:rtl/>
            <w:lang w:eastAsia="zh-TW"/>
          </w:rPr>
          <w:t xml:space="preserve"> </w:t>
        </w:r>
        <w:r w:rsidRPr="00B47131">
          <w:rPr>
            <w:rFonts w:ascii="Traditional Arabic" w:hAnsi="Traditional Arabic" w:hint="cs"/>
            <w:rtl/>
            <w:lang w:eastAsia="zh-TW"/>
          </w:rPr>
          <w:t>واجبها</w:t>
        </w:r>
        <w:r w:rsidRPr="00B47131">
          <w:rPr>
            <w:rtl/>
            <w:lang w:eastAsia="zh-TW"/>
          </w:rPr>
          <w:t xml:space="preserve"> </w:t>
        </w:r>
        <w:r w:rsidRPr="00B47131">
          <w:rPr>
            <w:rFonts w:ascii="Traditional Arabic" w:hAnsi="Traditional Arabic" w:hint="cs"/>
            <w:rtl/>
            <w:lang w:eastAsia="zh-TW"/>
          </w:rPr>
          <w:t>في</w:t>
        </w:r>
        <w:r w:rsidRPr="00B47131">
          <w:rPr>
            <w:rtl/>
            <w:lang w:eastAsia="zh-TW"/>
          </w:rPr>
          <w:t xml:space="preserve"> </w:t>
        </w:r>
        <w:r w:rsidRPr="00B47131">
          <w:rPr>
            <w:rFonts w:ascii="Traditional Arabic" w:hAnsi="Traditional Arabic" w:hint="cs"/>
            <w:rtl/>
            <w:lang w:eastAsia="zh-TW"/>
          </w:rPr>
          <w:t>هيئة</w:t>
        </w:r>
        <w:r w:rsidRPr="00B47131">
          <w:rPr>
            <w:rtl/>
            <w:lang w:eastAsia="zh-TW"/>
          </w:rPr>
          <w:t xml:space="preserve"> </w:t>
        </w:r>
        <w:r w:rsidRPr="00B47131">
          <w:rPr>
            <w:rFonts w:ascii="Traditional Arabic" w:hAnsi="Traditional Arabic" w:hint="cs"/>
            <w:rtl/>
            <w:lang w:eastAsia="zh-TW"/>
          </w:rPr>
          <w:t>محلفين</w:t>
        </w:r>
        <w:r w:rsidRPr="00B47131">
          <w:rPr>
            <w:rtl/>
            <w:lang w:eastAsia="zh-TW"/>
          </w:rPr>
          <w:t xml:space="preserve"> </w:t>
        </w:r>
        <w:r w:rsidRPr="00B47131">
          <w:rPr>
            <w:rFonts w:ascii="Traditional Arabic" w:hAnsi="Traditional Arabic" w:hint="cs"/>
            <w:rtl/>
            <w:lang w:eastAsia="zh-TW"/>
          </w:rPr>
          <w:t>عمل</w:t>
        </w:r>
        <w:r w:rsidR="005E3DFA">
          <w:rPr>
            <w:rFonts w:ascii="Traditional Arabic" w:hAnsi="Traditional Arabic" w:hint="cs"/>
            <w:rtl/>
            <w:lang w:eastAsia="zh-TW"/>
          </w:rPr>
          <w:t xml:space="preserve">اً </w:t>
        </w:r>
        <w:r w:rsidRPr="00B47131">
          <w:rPr>
            <w:rFonts w:ascii="Traditional Arabic" w:hAnsi="Traditional Arabic" w:hint="cs"/>
            <w:rtl/>
            <w:lang w:eastAsia="zh-TW"/>
          </w:rPr>
          <w:t>بأحكام</w:t>
        </w:r>
        <w:r w:rsidRPr="00B47131">
          <w:rPr>
            <w:rtl/>
            <w:lang w:eastAsia="zh-TW"/>
          </w:rPr>
          <w:t xml:space="preserve"> </w:t>
        </w:r>
        <w:r w:rsidRPr="00B47131">
          <w:rPr>
            <w:rFonts w:ascii="Traditional Arabic" w:hAnsi="Traditional Arabic" w:hint="cs"/>
            <w:rtl/>
            <w:lang w:eastAsia="zh-TW"/>
          </w:rPr>
          <w:t>الفقر</w:t>
        </w:r>
        <w:r w:rsidRPr="00B47131">
          <w:rPr>
            <w:rtl/>
            <w:lang w:eastAsia="zh-TW"/>
          </w:rPr>
          <w:t>ة 3 من المادة 12 من الاتفاقية؛ (ب) حقها في عدم التعرض للتمييز بموجب المادتين 5 و12 من الاتفاقية؛ (ج)</w:t>
        </w:r>
        <w:r w:rsidR="00F05419">
          <w:rPr>
            <w:rFonts w:hint="cs"/>
            <w:rtl/>
            <w:lang w:eastAsia="zh-TW"/>
          </w:rPr>
          <w:t> </w:t>
        </w:r>
        <w:r w:rsidRPr="00B47131">
          <w:rPr>
            <w:rtl/>
            <w:lang w:eastAsia="zh-TW"/>
          </w:rPr>
          <w:t xml:space="preserve">حريتها في التماس المعلومات والأفكار وتلقيها ونقلها على قدم المساواة مع الآخرين عن طريق وسائل الاتصال التي تختارها بنفسها، عملاً بأحكام المادة 21 من الاتفاقية. </w:t>
        </w:r>
        <w:r w:rsidR="0087267B">
          <w:t>‬</w:t>
        </w:r>
        <w:r w:rsidR="000C45CA">
          <w:t>‬</w:t>
        </w:r>
        <w:r w:rsidR="00A168C8">
          <w:t>‬</w:t>
        </w:r>
        <w:r w:rsidR="00821257">
          <w:t>‬</w:t>
        </w:r>
      </w:dir>
    </w:p>
    <w:p w:rsidR="0081736E" w:rsidRPr="00B47131" w:rsidRDefault="0081736E" w:rsidP="005E3DFA">
      <w:pPr>
        <w:pStyle w:val="SingleTxtGA"/>
        <w:rPr>
          <w:rtl/>
          <w:lang w:eastAsia="zh-TW"/>
        </w:rPr>
      </w:pPr>
      <w:r>
        <w:rPr>
          <w:rtl/>
          <w:lang w:eastAsia="zh-TW"/>
        </w:rPr>
        <w:t>٣-٢</w:t>
      </w:r>
      <w:r>
        <w:rPr>
          <w:rFonts w:hint="cs"/>
          <w:rtl/>
          <w:lang w:eastAsia="zh-TW"/>
        </w:rPr>
        <w:tab/>
      </w:r>
      <w:r w:rsidRPr="00B47131">
        <w:rPr>
          <w:rtl/>
          <w:lang w:eastAsia="zh-TW"/>
        </w:rPr>
        <w:t xml:space="preserve">وتدفع صاحبة البلاغ بأن </w:t>
      </w:r>
      <w:proofErr w:type="spellStart"/>
      <w:r w:rsidRPr="00B47131">
        <w:rPr>
          <w:rtl/>
          <w:lang w:eastAsia="zh-TW"/>
        </w:rPr>
        <w:t>والية</w:t>
      </w:r>
      <w:proofErr w:type="spellEnd"/>
      <w:r w:rsidRPr="00B47131">
        <w:rPr>
          <w:rtl/>
          <w:lang w:eastAsia="zh-TW"/>
        </w:rPr>
        <w:t xml:space="preserve"> القضاء رفضت السماح لها بأداء واجبها كعضو في هيئة المحلفين لأنها فاقدة للأهلية القانونية اللازمة للقيام بذلك، على نحو ما يتبين، فيما يبدو، من رد حكومة نيو ساوث ويلز على توصيات لجنة إصلاح القوانين وإفادتها بما يلي: </w:t>
      </w:r>
      <w:r w:rsidR="0086606C">
        <w:rPr>
          <w:rtl/>
          <w:lang w:eastAsia="zh-TW"/>
        </w:rPr>
        <w:t>"</w:t>
      </w:r>
      <w:r w:rsidRPr="00B47131">
        <w:rPr>
          <w:rtl/>
          <w:lang w:eastAsia="zh-TW"/>
        </w:rPr>
        <w:t xml:space="preserve">أعرب </w:t>
      </w:r>
      <w:r w:rsidRPr="00B47131">
        <w:rPr>
          <w:rtl/>
          <w:lang w:eastAsia="zh-TW"/>
        </w:rPr>
        <w:lastRenderedPageBreak/>
        <w:t>أصحاب المصلحة عن عدد من الشواغل بشأ</w:t>
      </w:r>
      <w:r>
        <w:rPr>
          <w:rFonts w:hint="cs"/>
          <w:rtl/>
          <w:lang w:eastAsia="zh-TW"/>
        </w:rPr>
        <w:t>ن</w:t>
      </w:r>
      <w:r w:rsidRPr="00B47131">
        <w:rPr>
          <w:rtl/>
          <w:lang w:eastAsia="zh-TW"/>
        </w:rPr>
        <w:t xml:space="preserve"> طبيعة الأدلة المعروضة في محاكمات معينة، التي تجعل من الصعب على المكفوفين أو المصابين بإعاقة سمعية شديدة أداء وظائف المحلفين وواجباتهم الحيوية على نحو سليم. وتشمل هذه الشواغل قدرة المترجمين الشفويين على ترجمة الأدلة بموضوعية للمحلف، مثل سلوك الشهود غير اللفظي ووصف الصور الواردة في الأدلة، كالصور الفوتوغرافية والخرائط والأدلة المسجلة في أشرطة فيديو</w:t>
      </w:r>
      <w:r w:rsidR="00F05419">
        <w:rPr>
          <w:rFonts w:hint="cs"/>
          <w:rtl/>
          <w:lang w:eastAsia="zh-TW"/>
        </w:rPr>
        <w:t xml:space="preserve"> </w:t>
      </w:r>
      <w:r w:rsidRPr="00B47131">
        <w:rPr>
          <w:rtl/>
          <w:lang w:eastAsia="zh-TW"/>
        </w:rPr>
        <w:t>... وأعرب أصحاب المصلحة أيضاً عن شواغل تتعلق بوجود مترجمين فوريين في غرفة المحلفين أثناء المداولات، وتساءلوا عما</w:t>
      </w:r>
      <w:r w:rsidR="005E3DFA">
        <w:rPr>
          <w:rFonts w:hint="cs"/>
          <w:rtl/>
          <w:lang w:eastAsia="zh-TW"/>
        </w:rPr>
        <w:t> </w:t>
      </w:r>
      <w:r w:rsidRPr="00B47131">
        <w:rPr>
          <w:rtl/>
          <w:lang w:eastAsia="zh-TW"/>
        </w:rPr>
        <w:t>إذا كان بالإمكان توفير ضمانات فعالة لكفالة أن تكون المعلومات المنقولة إلى المحلفين الصم أو</w:t>
      </w:r>
      <w:r w:rsidR="00F05419">
        <w:rPr>
          <w:rFonts w:hint="cs"/>
          <w:rtl/>
          <w:lang w:eastAsia="zh-TW"/>
        </w:rPr>
        <w:t> </w:t>
      </w:r>
      <w:r w:rsidRPr="00B47131">
        <w:rPr>
          <w:rtl/>
          <w:lang w:eastAsia="zh-TW"/>
        </w:rPr>
        <w:t>المكفوفين مطابقة تماماً للأدلة المقدمة</w:t>
      </w:r>
      <w:r>
        <w:rPr>
          <w:rFonts w:hint="cs"/>
          <w:rtl/>
          <w:lang w:eastAsia="zh-TW"/>
        </w:rPr>
        <w:t xml:space="preserve"> </w:t>
      </w:r>
      <w:r w:rsidR="00F05419">
        <w:rPr>
          <w:rtl/>
          <w:lang w:eastAsia="zh-TW"/>
        </w:rPr>
        <w:t>إلى المحكمة أو المعروضة عليها</w:t>
      </w:r>
      <w:r w:rsidR="0086606C">
        <w:rPr>
          <w:rtl/>
          <w:lang w:eastAsia="zh-TW"/>
        </w:rPr>
        <w:t>"</w:t>
      </w:r>
      <w:r w:rsidRPr="0086606C">
        <w:rPr>
          <w:vertAlign w:val="superscript"/>
          <w:rtl/>
          <w:lang w:eastAsia="zh-TW"/>
        </w:rPr>
        <w:t>(</w:t>
      </w:r>
      <w:r w:rsidRPr="0086606C">
        <w:rPr>
          <w:rStyle w:val="FootnoteReference"/>
          <w:sz w:val="20"/>
          <w:szCs w:val="30"/>
          <w:rtl/>
          <w:lang w:eastAsia="zh-TW"/>
        </w:rPr>
        <w:footnoteReference w:id="14"/>
      </w:r>
      <w:r w:rsidRPr="0086606C">
        <w:rPr>
          <w:vertAlign w:val="superscript"/>
          <w:rtl/>
          <w:lang w:eastAsia="zh-TW"/>
        </w:rPr>
        <w:t>)</w:t>
      </w:r>
      <w:r w:rsidRPr="00B47131">
        <w:rPr>
          <w:rtl/>
          <w:lang w:eastAsia="zh-TW"/>
        </w:rPr>
        <w:t>. وترى صاحبة البلاغ أن هذا البيان يعني بالضرورة أن الصم عاجزون أصلاً عن فهم العملية القانونية فهماً كافياً، مما سيضر بحق المتهم في محاكمة عادلة، كما ترى أن هذا التفسير يشكل انتهاك</w:t>
      </w:r>
      <w:r w:rsidR="005E3DFA">
        <w:rPr>
          <w:rtl/>
          <w:lang w:eastAsia="zh-TW"/>
        </w:rPr>
        <w:t xml:space="preserve">اً </w:t>
      </w:r>
      <w:r w:rsidRPr="00B47131">
        <w:rPr>
          <w:rtl/>
          <w:lang w:eastAsia="zh-TW"/>
        </w:rPr>
        <w:t xml:space="preserve">لحقها في التمتع بالأهلية القانونية على قدم المساواة مع الآخرين في جميع مناحي الحياة. </w:t>
      </w:r>
    </w:p>
    <w:p w:rsidR="0081736E" w:rsidRPr="00B47131" w:rsidRDefault="0081736E" w:rsidP="00F05419">
      <w:pPr>
        <w:pStyle w:val="SingleTxtGA"/>
        <w:rPr>
          <w:rtl/>
          <w:lang w:eastAsia="zh-TW"/>
        </w:rPr>
      </w:pPr>
      <w:r>
        <w:rPr>
          <w:rtl/>
          <w:lang w:eastAsia="zh-TW"/>
        </w:rPr>
        <w:t>٣</w:t>
      </w:r>
      <w:r>
        <w:rPr>
          <w:rFonts w:hint="cs"/>
          <w:rtl/>
          <w:lang w:eastAsia="zh-TW"/>
        </w:rPr>
        <w:t>-</w:t>
      </w:r>
      <w:r>
        <w:rPr>
          <w:rtl/>
          <w:lang w:eastAsia="zh-TW"/>
        </w:rPr>
        <w:t>٣</w:t>
      </w:r>
      <w:r>
        <w:rPr>
          <w:rFonts w:hint="cs"/>
          <w:rtl/>
          <w:lang w:eastAsia="zh-TW"/>
        </w:rPr>
        <w:tab/>
      </w:r>
      <w:r w:rsidRPr="00B47131">
        <w:rPr>
          <w:rtl/>
          <w:lang w:eastAsia="zh-TW"/>
        </w:rPr>
        <w:t>وفيما يتعلق بالانتهاك المزعوم لأحكام المادة 13 من الاتفاقية، تدعي صاحبة البلاغ أن رفض السماح لها بالاستعانة بمترجم بلغة الإشارة الأسترالية يشكل انتهاك</w:t>
      </w:r>
      <w:r w:rsidR="005E3DFA">
        <w:rPr>
          <w:rtl/>
          <w:lang w:eastAsia="zh-TW"/>
        </w:rPr>
        <w:t xml:space="preserve">اً </w:t>
      </w:r>
      <w:r w:rsidRPr="00B47131">
        <w:rPr>
          <w:rtl/>
          <w:lang w:eastAsia="zh-TW"/>
        </w:rPr>
        <w:t xml:space="preserve">لحقوقها </w:t>
      </w:r>
      <w:r w:rsidR="00F05419">
        <w:rPr>
          <w:rtl/>
          <w:lang w:eastAsia="zh-TW"/>
        </w:rPr>
        <w:t>فيما</w:t>
      </w:r>
      <w:r w:rsidRPr="00B47131">
        <w:rPr>
          <w:rtl/>
          <w:lang w:eastAsia="zh-TW"/>
        </w:rPr>
        <w:t xml:space="preserve"> يلي: (أ) السبل الفعالة للجوء إلى القضاء، بما في ذلك فيما يتصل بتوفير </w:t>
      </w:r>
      <w:proofErr w:type="spellStart"/>
      <w:r w:rsidRPr="00B47131">
        <w:rPr>
          <w:rtl/>
          <w:lang w:eastAsia="zh-TW"/>
        </w:rPr>
        <w:t>التيسيرات</w:t>
      </w:r>
      <w:proofErr w:type="spellEnd"/>
      <w:r w:rsidRPr="00B47131">
        <w:rPr>
          <w:rtl/>
          <w:lang w:eastAsia="zh-TW"/>
        </w:rPr>
        <w:t xml:space="preserve"> الإجرائية؛ (ب)</w:t>
      </w:r>
      <w:r w:rsidR="00F05419">
        <w:rPr>
          <w:rFonts w:hint="cs"/>
          <w:rtl/>
          <w:lang w:eastAsia="zh-TW"/>
        </w:rPr>
        <w:t> </w:t>
      </w:r>
      <w:r w:rsidRPr="00B47131">
        <w:rPr>
          <w:rtl/>
          <w:lang w:eastAsia="zh-TW"/>
        </w:rPr>
        <w:t>وعدم التعرض للتمييز، مما يخالف أحكام المادتين 5 و13 من الاتفاقية؛ (ج) الحق في</w:t>
      </w:r>
      <w:r w:rsidR="0086606C">
        <w:rPr>
          <w:rtl/>
          <w:lang w:eastAsia="zh-TW"/>
        </w:rPr>
        <w:t xml:space="preserve"> </w:t>
      </w:r>
      <w:r>
        <w:rPr>
          <w:rFonts w:hint="cs"/>
          <w:rtl/>
          <w:lang w:eastAsia="zh-TW"/>
        </w:rPr>
        <w:t>التماس</w:t>
      </w:r>
      <w:r w:rsidRPr="00B47131">
        <w:rPr>
          <w:rtl/>
          <w:lang w:eastAsia="zh-TW"/>
        </w:rPr>
        <w:t xml:space="preserve"> معلومات وأفكار وتلقيها</w:t>
      </w:r>
      <w:r w:rsidR="00F05419">
        <w:rPr>
          <w:rtl/>
          <w:lang w:eastAsia="zh-TW"/>
        </w:rPr>
        <w:t xml:space="preserve"> و</w:t>
      </w:r>
      <w:r>
        <w:rPr>
          <w:rFonts w:hint="cs"/>
          <w:rtl/>
          <w:lang w:eastAsia="zh-TW"/>
        </w:rPr>
        <w:t>نقلها</w:t>
      </w:r>
      <w:r w:rsidRPr="00B47131">
        <w:rPr>
          <w:rtl/>
          <w:lang w:eastAsia="zh-TW"/>
        </w:rPr>
        <w:t>، على قدم المساواة مع الآخرين، وعن طريق وسيلة الاتصال التي تختارها، مما يخالف أحكام المادتين 13</w:t>
      </w:r>
      <w:r w:rsidR="00F05419">
        <w:rPr>
          <w:rtl/>
          <w:lang w:eastAsia="zh-TW"/>
        </w:rPr>
        <w:t xml:space="preserve"> و</w:t>
      </w:r>
      <w:r w:rsidRPr="00B47131">
        <w:rPr>
          <w:rtl/>
          <w:lang w:eastAsia="zh-TW"/>
        </w:rPr>
        <w:t xml:space="preserve">21 من الاتفاقية. </w:t>
      </w:r>
    </w:p>
    <w:p w:rsidR="0081736E" w:rsidRPr="00B47131" w:rsidRDefault="0081736E" w:rsidP="0081736E">
      <w:pPr>
        <w:pStyle w:val="SingleTxtGA"/>
        <w:rPr>
          <w:rtl/>
          <w:lang w:eastAsia="zh-TW"/>
        </w:rPr>
      </w:pPr>
      <w:r>
        <w:rPr>
          <w:rtl/>
          <w:lang w:eastAsia="zh-TW"/>
        </w:rPr>
        <w:t>٣-٤</w:t>
      </w:r>
      <w:r>
        <w:rPr>
          <w:rFonts w:hint="cs"/>
          <w:rtl/>
          <w:lang w:eastAsia="zh-TW"/>
        </w:rPr>
        <w:tab/>
      </w:r>
      <w:r w:rsidRPr="00B47131">
        <w:rPr>
          <w:rtl/>
          <w:lang w:eastAsia="zh-TW"/>
        </w:rPr>
        <w:t xml:space="preserve">وترى صاحبة البلاغ أنه ينبغي اعتبار الترجمة إلى لغة الإشارة الأسترالية وسيلة من وسائل </w:t>
      </w:r>
      <w:r w:rsidR="0086606C">
        <w:rPr>
          <w:rtl/>
          <w:lang w:eastAsia="zh-TW"/>
        </w:rPr>
        <w:t>"</w:t>
      </w:r>
      <w:r w:rsidRPr="00B47131">
        <w:rPr>
          <w:rtl/>
          <w:lang w:eastAsia="zh-TW"/>
        </w:rPr>
        <w:t>الاتصال</w:t>
      </w:r>
      <w:r w:rsidR="0086606C">
        <w:rPr>
          <w:rtl/>
          <w:lang w:eastAsia="zh-TW"/>
        </w:rPr>
        <w:t>"</w:t>
      </w:r>
      <w:r w:rsidRPr="00B47131">
        <w:rPr>
          <w:rtl/>
          <w:lang w:eastAsia="zh-TW"/>
        </w:rPr>
        <w:t xml:space="preserve"> التي اختارتها في </w:t>
      </w:r>
      <w:r w:rsidR="0086606C">
        <w:rPr>
          <w:rtl/>
          <w:lang w:eastAsia="zh-TW"/>
        </w:rPr>
        <w:t>"</w:t>
      </w:r>
      <w:r w:rsidRPr="00B47131">
        <w:rPr>
          <w:rtl/>
          <w:lang w:eastAsia="zh-TW"/>
        </w:rPr>
        <w:t>معاملاتها الرسمية</w:t>
      </w:r>
      <w:r w:rsidR="0086606C">
        <w:rPr>
          <w:rtl/>
          <w:lang w:eastAsia="zh-TW"/>
        </w:rPr>
        <w:t>"</w:t>
      </w:r>
      <w:r w:rsidRPr="00B47131">
        <w:rPr>
          <w:rtl/>
          <w:lang w:eastAsia="zh-TW"/>
        </w:rPr>
        <w:t xml:space="preserve"> بالمعنى المقصود في المادة 21 من الاتفاقية، ومن ثم، فإن رفض </w:t>
      </w:r>
      <w:proofErr w:type="spellStart"/>
      <w:r w:rsidRPr="00B47131">
        <w:rPr>
          <w:rtl/>
          <w:lang w:eastAsia="zh-TW"/>
        </w:rPr>
        <w:t>والية</w:t>
      </w:r>
      <w:proofErr w:type="spellEnd"/>
      <w:r w:rsidRPr="00B47131">
        <w:rPr>
          <w:rtl/>
          <w:lang w:eastAsia="zh-TW"/>
        </w:rPr>
        <w:t xml:space="preserve"> القضاء توفير تلك الخدمة لها يشكل انتهاك</w:t>
      </w:r>
      <w:r w:rsidR="005E3DFA">
        <w:rPr>
          <w:rtl/>
          <w:lang w:eastAsia="zh-TW"/>
        </w:rPr>
        <w:t xml:space="preserve">اً </w:t>
      </w:r>
      <w:r w:rsidRPr="00B47131">
        <w:rPr>
          <w:rtl/>
          <w:lang w:eastAsia="zh-TW"/>
        </w:rPr>
        <w:t xml:space="preserve">لحقها في حرية التعبير وعدم التعرض للتمييز، وفي ذلك انتهاك للمادتين 5 و21 من الاتفاقية. </w:t>
      </w:r>
    </w:p>
    <w:p w:rsidR="0081736E" w:rsidRPr="00B47131" w:rsidRDefault="0081736E" w:rsidP="00F05419">
      <w:pPr>
        <w:pStyle w:val="SingleTxtGA"/>
        <w:rPr>
          <w:rtl/>
          <w:lang w:eastAsia="zh-TW"/>
        </w:rPr>
      </w:pPr>
      <w:r>
        <w:rPr>
          <w:rtl/>
          <w:lang w:eastAsia="zh-TW"/>
        </w:rPr>
        <w:t>٣-٥</w:t>
      </w:r>
      <w:r>
        <w:rPr>
          <w:rFonts w:hint="cs"/>
          <w:rtl/>
          <w:lang w:eastAsia="zh-TW"/>
        </w:rPr>
        <w:tab/>
      </w:r>
      <w:r w:rsidRPr="00B47131">
        <w:rPr>
          <w:rtl/>
          <w:lang w:eastAsia="zh-TW"/>
        </w:rPr>
        <w:t xml:space="preserve">وتؤكد صاحبة البلاغ، فيما يخص ادعاءها المقدم في إطار المادة 29 من الاتفاقية، أن مشاركتها في عضوية هيئة المحلفين هو </w:t>
      </w:r>
      <w:r w:rsidR="0086606C">
        <w:rPr>
          <w:rtl/>
          <w:lang w:eastAsia="zh-TW"/>
        </w:rPr>
        <w:t>"</w:t>
      </w:r>
      <w:r w:rsidRPr="00B47131">
        <w:rPr>
          <w:rtl/>
          <w:lang w:eastAsia="zh-TW"/>
        </w:rPr>
        <w:t>حق سياسي</w:t>
      </w:r>
      <w:r w:rsidR="0086606C">
        <w:rPr>
          <w:rtl/>
          <w:lang w:eastAsia="zh-TW"/>
        </w:rPr>
        <w:t>"</w:t>
      </w:r>
      <w:r w:rsidRPr="00B47131">
        <w:rPr>
          <w:rtl/>
          <w:lang w:eastAsia="zh-TW"/>
        </w:rPr>
        <w:t>، وأن هيئة المحلفين، باعتبارها عنصراً من عناصر مشاركة المواطنين في إقامة العدل،</w:t>
      </w:r>
      <w:r w:rsidR="0086606C">
        <w:rPr>
          <w:rtl/>
          <w:lang w:eastAsia="zh-TW"/>
        </w:rPr>
        <w:t xml:space="preserve"> </w:t>
      </w:r>
      <w:r w:rsidRPr="00B47131">
        <w:rPr>
          <w:rtl/>
          <w:lang w:eastAsia="zh-TW"/>
        </w:rPr>
        <w:t xml:space="preserve">هي جانب من جوانب </w:t>
      </w:r>
      <w:r w:rsidR="0086606C">
        <w:rPr>
          <w:rtl/>
          <w:lang w:eastAsia="zh-TW"/>
        </w:rPr>
        <w:t>"</w:t>
      </w:r>
      <w:r w:rsidRPr="00B47131">
        <w:rPr>
          <w:rtl/>
          <w:lang w:eastAsia="zh-TW"/>
        </w:rPr>
        <w:t>تسيير الشؤون العامة</w:t>
      </w:r>
      <w:r w:rsidR="0086606C">
        <w:rPr>
          <w:rtl/>
          <w:lang w:eastAsia="zh-TW"/>
        </w:rPr>
        <w:t>"</w:t>
      </w:r>
      <w:r w:rsidRPr="00B47131">
        <w:rPr>
          <w:rtl/>
          <w:lang w:eastAsia="zh-TW"/>
        </w:rPr>
        <w:t xml:space="preserve"> بالمعنى المقصود من المادة المذكورة. وبناء على ذلك، ترى صاحبة البلاغ أن رفض </w:t>
      </w:r>
      <w:proofErr w:type="spellStart"/>
      <w:r w:rsidRPr="00B47131">
        <w:rPr>
          <w:rtl/>
          <w:lang w:eastAsia="zh-TW"/>
        </w:rPr>
        <w:t>والية</w:t>
      </w:r>
      <w:proofErr w:type="spellEnd"/>
      <w:r w:rsidRPr="00B47131">
        <w:rPr>
          <w:rtl/>
          <w:lang w:eastAsia="zh-TW"/>
        </w:rPr>
        <w:t xml:space="preserve"> القضاء السماح لها بالحصول على خدمة الترجمة إلى لغة الإشارة الأسترالية يشكل انتهاكاً لحقها </w:t>
      </w:r>
      <w:r w:rsidR="00F05419">
        <w:rPr>
          <w:rtl/>
          <w:lang w:eastAsia="zh-TW"/>
        </w:rPr>
        <w:t>فيما</w:t>
      </w:r>
      <w:r w:rsidRPr="00B47131">
        <w:rPr>
          <w:rtl/>
          <w:lang w:eastAsia="zh-TW"/>
        </w:rPr>
        <w:t xml:space="preserve"> يلي: (أ)</w:t>
      </w:r>
      <w:r w:rsidR="00F05419">
        <w:rPr>
          <w:rFonts w:hint="cs"/>
          <w:rtl/>
          <w:lang w:eastAsia="zh-TW"/>
        </w:rPr>
        <w:t> </w:t>
      </w:r>
      <w:r w:rsidRPr="00B47131">
        <w:rPr>
          <w:rtl/>
          <w:lang w:eastAsia="zh-TW"/>
        </w:rPr>
        <w:t>التمتع بالحقوق السياسية، وال</w:t>
      </w:r>
      <w:r>
        <w:rPr>
          <w:rFonts w:hint="cs"/>
          <w:rtl/>
          <w:lang w:eastAsia="zh-TW"/>
        </w:rPr>
        <w:t>ح</w:t>
      </w:r>
      <w:r w:rsidRPr="00B47131">
        <w:rPr>
          <w:rtl/>
          <w:lang w:eastAsia="zh-TW"/>
        </w:rPr>
        <w:t xml:space="preserve">صول </w:t>
      </w:r>
      <w:r>
        <w:rPr>
          <w:rFonts w:hint="cs"/>
          <w:rtl/>
          <w:lang w:eastAsia="zh-TW"/>
        </w:rPr>
        <w:t>ع</w:t>
      </w:r>
      <w:r w:rsidRPr="00B47131">
        <w:rPr>
          <w:rtl/>
          <w:lang w:eastAsia="zh-TW"/>
        </w:rPr>
        <w:t>لى الخدمات العامة على قدم المساواة مع الآخرين؛ (ب) عدم التعرض للتمييز في تمتعها بحقوقها السياسية.</w:t>
      </w:r>
    </w:p>
    <w:p w:rsidR="0081736E" w:rsidRPr="00B47131" w:rsidRDefault="0081736E" w:rsidP="0081736E">
      <w:pPr>
        <w:pStyle w:val="SingleTxtGA"/>
        <w:rPr>
          <w:rtl/>
          <w:lang w:eastAsia="zh-TW"/>
        </w:rPr>
      </w:pPr>
      <w:r>
        <w:rPr>
          <w:rtl/>
          <w:lang w:eastAsia="zh-TW"/>
        </w:rPr>
        <w:lastRenderedPageBreak/>
        <w:t>٣-٦</w:t>
      </w:r>
      <w:r>
        <w:rPr>
          <w:rFonts w:hint="cs"/>
          <w:rtl/>
          <w:lang w:eastAsia="zh-TW"/>
        </w:rPr>
        <w:tab/>
      </w:r>
      <w:r w:rsidRPr="00B47131">
        <w:rPr>
          <w:rtl/>
          <w:lang w:eastAsia="zh-TW"/>
        </w:rPr>
        <w:t>وأخيرا</w:t>
      </w:r>
      <w:r w:rsidR="00F05419">
        <w:rPr>
          <w:rFonts w:hint="cs"/>
          <w:rtl/>
          <w:lang w:eastAsia="zh-TW"/>
        </w:rPr>
        <w:t>ً</w:t>
      </w:r>
      <w:r w:rsidRPr="00B47131">
        <w:rPr>
          <w:rtl/>
          <w:lang w:eastAsia="zh-TW"/>
        </w:rPr>
        <w:t xml:space="preserve">، تدفع صاحبة البلاغ بأن حقوقها المكفولة بموجب المواد 5 و12 و13 و21 و29 قد انتهكت نتيجة لعدم وفاء الدولة الطرف بما تعهدت به من التزامات بموجب تلك المواد، مقروءة بمفردها وبالاقتران مع المادتين 2 و4 من الاتفاقية. </w:t>
      </w:r>
    </w:p>
    <w:p w:rsidR="0081736E" w:rsidRPr="00E1592B" w:rsidRDefault="0081736E" w:rsidP="0081736E">
      <w:pPr>
        <w:pStyle w:val="H23GA"/>
        <w:rPr>
          <w:rtl/>
        </w:rPr>
      </w:pPr>
      <w:r w:rsidRPr="00B47131">
        <w:rPr>
          <w:rtl/>
        </w:rPr>
        <w:tab/>
      </w:r>
      <w:r w:rsidRPr="00E1592B">
        <w:rPr>
          <w:rtl/>
        </w:rPr>
        <w:tab/>
      </w:r>
      <w:dir w:val="rtl">
        <w:r w:rsidRPr="00E1592B">
          <w:rPr>
            <w:rFonts w:hint="cs"/>
            <w:rtl/>
          </w:rPr>
          <w:t>ملاحظات</w:t>
        </w:r>
        <w:r w:rsidRPr="00E1592B">
          <w:rPr>
            <w:rtl/>
          </w:rPr>
          <w:t xml:space="preserve"> </w:t>
        </w:r>
        <w:r w:rsidRPr="00E1592B">
          <w:rPr>
            <w:rFonts w:hint="cs"/>
            <w:rtl/>
          </w:rPr>
          <w:t>الدولة</w:t>
        </w:r>
        <w:r w:rsidRPr="00E1592B">
          <w:rPr>
            <w:rtl/>
          </w:rPr>
          <w:t xml:space="preserve"> </w:t>
        </w:r>
        <w:r w:rsidRPr="00E1592B">
          <w:rPr>
            <w:rFonts w:hint="cs"/>
            <w:rtl/>
          </w:rPr>
          <w:t>الطرف</w:t>
        </w:r>
        <w:r w:rsidRPr="00E1592B">
          <w:rPr>
            <w:rtl/>
          </w:rPr>
          <w:t xml:space="preserve"> </w:t>
        </w:r>
        <w:r w:rsidRPr="00E1592B">
          <w:rPr>
            <w:rFonts w:hint="cs"/>
            <w:rtl/>
          </w:rPr>
          <w:t>بشأن</w:t>
        </w:r>
        <w:r w:rsidRPr="00E1592B">
          <w:rPr>
            <w:rtl/>
          </w:rPr>
          <w:t xml:space="preserve"> </w:t>
        </w:r>
        <w:r w:rsidRPr="00E1592B">
          <w:rPr>
            <w:rFonts w:hint="cs"/>
            <w:rtl/>
          </w:rPr>
          <w:t>مقبولية</w:t>
        </w:r>
        <w:r w:rsidRPr="00E1592B">
          <w:rPr>
            <w:rtl/>
          </w:rPr>
          <w:t xml:space="preserve"> </w:t>
        </w:r>
        <w:r w:rsidRPr="00E1592B">
          <w:rPr>
            <w:rFonts w:hint="cs"/>
            <w:rtl/>
          </w:rPr>
          <w:t>البلاغ</w:t>
        </w:r>
        <w:r w:rsidRPr="00E1592B">
          <w:rPr>
            <w:rtl/>
          </w:rPr>
          <w:t xml:space="preserve"> </w:t>
        </w:r>
        <w:r w:rsidRPr="00E1592B">
          <w:rPr>
            <w:rFonts w:hint="cs"/>
            <w:rtl/>
          </w:rPr>
          <w:t>وأسسه</w:t>
        </w:r>
        <w:r w:rsidRPr="00E1592B">
          <w:rPr>
            <w:rtl/>
          </w:rPr>
          <w:t xml:space="preserve"> </w:t>
        </w:r>
        <w:r w:rsidRPr="00E1592B">
          <w:rPr>
            <w:rFonts w:hint="cs"/>
            <w:rtl/>
          </w:rPr>
          <w:t>الموضوعية</w:t>
        </w:r>
        <w:r w:rsidR="0087267B">
          <w:t>‬</w:t>
        </w:r>
        <w:r w:rsidR="000C45CA">
          <w:t>‬</w:t>
        </w:r>
        <w:r w:rsidR="00A168C8">
          <w:t>‬</w:t>
        </w:r>
        <w:r w:rsidR="00821257">
          <w:t>‬</w:t>
        </w:r>
      </w:dir>
    </w:p>
    <w:p w:rsidR="0081736E" w:rsidRPr="00B47131" w:rsidRDefault="0081736E" w:rsidP="00F05419">
      <w:pPr>
        <w:pStyle w:val="SingleTxtGA"/>
        <w:rPr>
          <w:rtl/>
          <w:lang w:eastAsia="zh-TW"/>
        </w:rPr>
      </w:pPr>
      <w:r>
        <w:rPr>
          <w:rtl/>
          <w:lang w:eastAsia="zh-TW"/>
        </w:rPr>
        <w:t>٤-١</w:t>
      </w:r>
      <w:r>
        <w:rPr>
          <w:rFonts w:hint="cs"/>
          <w:rtl/>
          <w:lang w:eastAsia="zh-TW"/>
        </w:rPr>
        <w:tab/>
      </w:r>
      <w:r w:rsidRPr="00B47131">
        <w:rPr>
          <w:rtl/>
          <w:lang w:eastAsia="zh-TW"/>
        </w:rPr>
        <w:t xml:space="preserve">في 28 تشرين الثاني/نوفمبر 2014، قدمت الدولة الطرف ملاحظاتها بشأن مقبولية </w:t>
      </w:r>
      <w:r>
        <w:rPr>
          <w:rFonts w:hint="cs"/>
          <w:rtl/>
          <w:lang w:eastAsia="zh-TW"/>
        </w:rPr>
        <w:t xml:space="preserve">هذا </w:t>
      </w:r>
      <w:r w:rsidRPr="00B47131">
        <w:rPr>
          <w:rtl/>
          <w:lang w:eastAsia="zh-TW"/>
        </w:rPr>
        <w:t>البلاغ</w:t>
      </w:r>
      <w:r w:rsidR="0086606C">
        <w:rPr>
          <w:rtl/>
          <w:lang w:eastAsia="zh-TW"/>
        </w:rPr>
        <w:t xml:space="preserve"> </w:t>
      </w:r>
      <w:r w:rsidRPr="00B47131">
        <w:rPr>
          <w:rtl/>
          <w:lang w:eastAsia="zh-TW"/>
        </w:rPr>
        <w:t>وأسسه الموضوعية، وكذلك فيما يتعلق بالبلاغ رقم 13/2013. وتقر الدولة الطرف بالوقائع العامة</w:t>
      </w:r>
      <w:r w:rsidR="0086606C">
        <w:rPr>
          <w:rtl/>
          <w:lang w:eastAsia="zh-TW"/>
        </w:rPr>
        <w:t xml:space="preserve"> </w:t>
      </w:r>
      <w:r>
        <w:rPr>
          <w:rFonts w:hint="cs"/>
          <w:rtl/>
          <w:lang w:eastAsia="zh-TW"/>
        </w:rPr>
        <w:t>كما عرضتها</w:t>
      </w:r>
      <w:r w:rsidRPr="00B47131">
        <w:rPr>
          <w:rtl/>
          <w:lang w:eastAsia="zh-TW"/>
        </w:rPr>
        <w:t xml:space="preserve"> صاحبة البلاغ، ولكنه</w:t>
      </w:r>
      <w:r>
        <w:rPr>
          <w:rFonts w:hint="cs"/>
          <w:rtl/>
          <w:lang w:eastAsia="zh-TW"/>
        </w:rPr>
        <w:t>ا</w:t>
      </w:r>
      <w:r w:rsidRPr="00B47131">
        <w:rPr>
          <w:rtl/>
          <w:lang w:eastAsia="zh-TW"/>
        </w:rPr>
        <w:t xml:space="preserve"> ترفض </w:t>
      </w:r>
      <w:r>
        <w:rPr>
          <w:rFonts w:hint="cs"/>
          <w:rtl/>
          <w:lang w:eastAsia="zh-TW"/>
        </w:rPr>
        <w:t>الت</w:t>
      </w:r>
      <w:r w:rsidRPr="00B47131">
        <w:rPr>
          <w:rtl/>
          <w:lang w:eastAsia="zh-TW"/>
        </w:rPr>
        <w:t>وص</w:t>
      </w:r>
      <w:r>
        <w:rPr>
          <w:rFonts w:hint="cs"/>
          <w:rtl/>
          <w:lang w:eastAsia="zh-TW"/>
        </w:rPr>
        <w:t>ي</w:t>
      </w:r>
      <w:r w:rsidRPr="00B47131">
        <w:rPr>
          <w:rtl/>
          <w:lang w:eastAsia="zh-TW"/>
        </w:rPr>
        <w:t xml:space="preserve">ف </w:t>
      </w:r>
      <w:r>
        <w:rPr>
          <w:rFonts w:hint="cs"/>
          <w:rtl/>
          <w:lang w:eastAsia="zh-TW"/>
        </w:rPr>
        <w:t xml:space="preserve">الذي أطلقته </w:t>
      </w:r>
      <w:r w:rsidRPr="00B47131">
        <w:rPr>
          <w:rtl/>
          <w:lang w:eastAsia="zh-TW"/>
        </w:rPr>
        <w:t>صاحبة البلاغ</w:t>
      </w:r>
      <w:r w:rsidR="0086606C">
        <w:rPr>
          <w:rtl/>
          <w:lang w:eastAsia="zh-TW"/>
        </w:rPr>
        <w:t xml:space="preserve"> </w:t>
      </w:r>
      <w:r>
        <w:rPr>
          <w:rFonts w:hint="cs"/>
          <w:rtl/>
          <w:lang w:eastAsia="zh-TW"/>
        </w:rPr>
        <w:t xml:space="preserve">بشأن </w:t>
      </w:r>
      <w:r w:rsidRPr="00B47131">
        <w:rPr>
          <w:rtl/>
          <w:lang w:eastAsia="zh-TW"/>
        </w:rPr>
        <w:t xml:space="preserve">تصرفات </w:t>
      </w:r>
      <w:proofErr w:type="spellStart"/>
      <w:r w:rsidRPr="00B47131">
        <w:rPr>
          <w:rtl/>
          <w:lang w:eastAsia="zh-TW"/>
        </w:rPr>
        <w:t>والية</w:t>
      </w:r>
      <w:proofErr w:type="spellEnd"/>
      <w:r w:rsidRPr="00B47131">
        <w:rPr>
          <w:rtl/>
          <w:lang w:eastAsia="zh-TW"/>
        </w:rPr>
        <w:t xml:space="preserve"> قضاء نيو ساوث ويلز ولسياسية الولاية فيما يخص المحلفين الصم. وعلى وجه الخصوص، تدفع الدولة الطرف بأن حكومة ولاية نيو ساوث ويلز توفر ترتيبات </w:t>
      </w:r>
      <w:proofErr w:type="spellStart"/>
      <w:r w:rsidRPr="00B47131">
        <w:rPr>
          <w:rtl/>
          <w:lang w:eastAsia="zh-TW"/>
        </w:rPr>
        <w:t>تيسيرية</w:t>
      </w:r>
      <w:proofErr w:type="spellEnd"/>
      <w:r w:rsidRPr="00B47131">
        <w:rPr>
          <w:rtl/>
          <w:lang w:eastAsia="zh-TW"/>
        </w:rPr>
        <w:t xml:space="preserve"> معقولة لكثير من الأشخاص ذوي الإعاقة الذين استدعوا لأداء الواجب في هيئات محلفين، مثل السماعات وتكنولوجيا الأشعة تحت الحمراء. وبالإضافة إلى ذلك، فإن حكومة نيو ساوث ويلز تتبع سياسة أوسع نطاقاً تركز على زيادة مشاركة الأشخاص ذوي الإعاقة، وهي سياسة مبينة في إطار الهدف 14 من الخطة العشرية للولاية</w:t>
      </w:r>
      <w:r w:rsidRPr="0086606C">
        <w:rPr>
          <w:vertAlign w:val="superscript"/>
          <w:rtl/>
          <w:lang w:eastAsia="zh-TW"/>
        </w:rPr>
        <w:t>(</w:t>
      </w:r>
      <w:r w:rsidRPr="0086606C">
        <w:rPr>
          <w:rStyle w:val="FootnoteReference"/>
          <w:sz w:val="20"/>
          <w:szCs w:val="30"/>
          <w:rtl/>
          <w:lang w:eastAsia="zh-TW"/>
        </w:rPr>
        <w:footnoteReference w:id="15"/>
      </w:r>
      <w:r w:rsidRPr="0086606C">
        <w:rPr>
          <w:vertAlign w:val="superscript"/>
          <w:rtl/>
          <w:lang w:eastAsia="zh-TW"/>
        </w:rPr>
        <w:t>)</w:t>
      </w:r>
      <w:r w:rsidRPr="00B47131">
        <w:rPr>
          <w:rtl/>
          <w:lang w:eastAsia="zh-TW"/>
        </w:rPr>
        <w:t xml:space="preserve">. وفي هذا الصدد، </w:t>
      </w:r>
      <w:r>
        <w:rPr>
          <w:rFonts w:hint="cs"/>
          <w:rtl/>
          <w:lang w:eastAsia="zh-TW"/>
        </w:rPr>
        <w:t>تشير</w:t>
      </w:r>
      <w:r w:rsidRPr="00B47131">
        <w:rPr>
          <w:rtl/>
          <w:lang w:eastAsia="zh-TW"/>
        </w:rPr>
        <w:t xml:space="preserve"> الدولة الطرف</w:t>
      </w:r>
      <w:r>
        <w:rPr>
          <w:rFonts w:hint="cs"/>
          <w:rtl/>
          <w:lang w:eastAsia="zh-TW"/>
        </w:rPr>
        <w:t xml:space="preserve"> إلى</w:t>
      </w:r>
      <w:r w:rsidRPr="00B47131">
        <w:rPr>
          <w:rtl/>
          <w:lang w:eastAsia="zh-TW"/>
        </w:rPr>
        <w:t xml:space="preserve"> أن إدارة العدل في ولاية نيو ساوث ويلز قررت، في أعقاب رد حكومة الولاية على تقرير لجنة إصلاح القوانين في عام 2010، أن تجري مراجعة للنظر في فرص الإصلاح المتاحة، بما في ذلك فيما يتعلق بإمكانية توفير خدمات الترجمة إلى لغة الإشارة الأسترالية أو الاختزال النصي. وتشير الدولة الطرف أيضاً إلى أن قانون المحلفين المعدل لعام</w:t>
      </w:r>
      <w:r w:rsidR="00F05419">
        <w:rPr>
          <w:rFonts w:hint="cs"/>
          <w:rtl/>
          <w:lang w:eastAsia="zh-TW"/>
        </w:rPr>
        <w:t> </w:t>
      </w:r>
      <w:r w:rsidRPr="00B47131">
        <w:rPr>
          <w:rtl/>
          <w:lang w:eastAsia="zh-TW"/>
        </w:rPr>
        <w:t>2010 (لولاية نيو ساوث ويلز)، الذي دخل حيز النفاذ في 31 كانون الثاني/</w:t>
      </w:r>
      <w:r w:rsidR="00F05419">
        <w:rPr>
          <w:rFonts w:hint="cs"/>
          <w:rtl/>
          <w:lang w:eastAsia="zh-TW"/>
        </w:rPr>
        <w:t xml:space="preserve"> </w:t>
      </w:r>
      <w:r w:rsidRPr="00B47131">
        <w:rPr>
          <w:rtl/>
          <w:lang w:eastAsia="zh-TW"/>
        </w:rPr>
        <w:t>يناير</w:t>
      </w:r>
      <w:r w:rsidR="00F05419">
        <w:rPr>
          <w:rFonts w:hint="cs"/>
          <w:rtl/>
          <w:lang w:eastAsia="zh-TW"/>
        </w:rPr>
        <w:t> </w:t>
      </w:r>
      <w:r w:rsidRPr="00B47131">
        <w:rPr>
          <w:rtl/>
          <w:lang w:eastAsia="zh-TW"/>
        </w:rPr>
        <w:t xml:space="preserve">2014، والذي </w:t>
      </w:r>
      <w:r>
        <w:rPr>
          <w:rFonts w:hint="cs"/>
          <w:rtl/>
          <w:lang w:eastAsia="zh-TW"/>
        </w:rPr>
        <w:t>قضى بت</w:t>
      </w:r>
      <w:r w:rsidRPr="00B47131">
        <w:rPr>
          <w:rtl/>
          <w:lang w:eastAsia="zh-TW"/>
        </w:rPr>
        <w:t>عد</w:t>
      </w:r>
      <w:r>
        <w:rPr>
          <w:rFonts w:hint="cs"/>
          <w:rtl/>
          <w:lang w:eastAsia="zh-TW"/>
        </w:rPr>
        <w:t>ي</w:t>
      </w:r>
      <w:r w:rsidRPr="00B47131">
        <w:rPr>
          <w:rtl/>
          <w:lang w:eastAsia="zh-TW"/>
        </w:rPr>
        <w:t>ل قانون المحلفين لعام 1977 (لولاية نيو ساوث ويلز)، استعاض عن أحكام عدم الأهلية لأداء الواجب في هيئة محلفين بالقدرة على الحصول على إعفاء من ذلك الواجب لسبب وجيه. وبموجب ذلك التعديل، سيحق لأ</w:t>
      </w:r>
      <w:r>
        <w:rPr>
          <w:rFonts w:hint="cs"/>
          <w:rtl/>
          <w:lang w:eastAsia="zh-TW"/>
        </w:rPr>
        <w:t>ي</w:t>
      </w:r>
      <w:r w:rsidR="0086606C">
        <w:rPr>
          <w:rFonts w:hint="cs"/>
          <w:rtl/>
          <w:lang w:eastAsia="zh-TW"/>
        </w:rPr>
        <w:t xml:space="preserve"> </w:t>
      </w:r>
      <w:r w:rsidRPr="00B47131">
        <w:rPr>
          <w:rtl/>
          <w:lang w:eastAsia="zh-TW"/>
        </w:rPr>
        <w:t xml:space="preserve">شخص غير قادر على الاضطلاع بالواجب في هيئة محلفين، بسبب المرض أو العجز أو الإعاقة، الحصول على إعفاء أو استثناء دائم من ذلك الواجب </w:t>
      </w:r>
      <w:r w:rsidR="0086606C">
        <w:rPr>
          <w:rtl/>
          <w:lang w:eastAsia="zh-TW"/>
        </w:rPr>
        <w:t>"</w:t>
      </w:r>
      <w:r w:rsidRPr="00B47131">
        <w:rPr>
          <w:rtl/>
          <w:lang w:eastAsia="zh-TW"/>
        </w:rPr>
        <w:t>لسبب وجيه</w:t>
      </w:r>
      <w:r w:rsidR="0086606C">
        <w:rPr>
          <w:rtl/>
          <w:lang w:eastAsia="zh-TW"/>
        </w:rPr>
        <w:t>"</w:t>
      </w:r>
      <w:r w:rsidRPr="00B47131">
        <w:rPr>
          <w:rtl/>
          <w:lang w:eastAsia="zh-TW"/>
        </w:rPr>
        <w:t>،</w:t>
      </w:r>
      <w:r w:rsidR="0086606C">
        <w:rPr>
          <w:rtl/>
          <w:lang w:eastAsia="zh-TW"/>
        </w:rPr>
        <w:t xml:space="preserve"> </w:t>
      </w:r>
      <w:r>
        <w:rPr>
          <w:rFonts w:hint="cs"/>
          <w:rtl/>
          <w:lang w:eastAsia="zh-TW"/>
        </w:rPr>
        <w:t>وذلك متوقف على</w:t>
      </w:r>
      <w:r w:rsidR="0086606C">
        <w:rPr>
          <w:rtl/>
          <w:lang w:eastAsia="zh-TW"/>
        </w:rPr>
        <w:t xml:space="preserve"> طبيعة المرض أو العجز أو الإعاقة</w:t>
      </w:r>
      <w:r w:rsidRPr="0086606C">
        <w:rPr>
          <w:vertAlign w:val="superscript"/>
          <w:rtl/>
          <w:lang w:eastAsia="zh-TW"/>
        </w:rPr>
        <w:t>(</w:t>
      </w:r>
      <w:r w:rsidRPr="0086606C">
        <w:rPr>
          <w:rStyle w:val="FootnoteReference"/>
          <w:sz w:val="20"/>
          <w:szCs w:val="30"/>
          <w:rtl/>
          <w:lang w:eastAsia="zh-TW"/>
        </w:rPr>
        <w:footnoteReference w:id="16"/>
      </w:r>
      <w:r w:rsidRPr="0086606C">
        <w:rPr>
          <w:vertAlign w:val="superscript"/>
          <w:rtl/>
          <w:lang w:eastAsia="zh-TW"/>
        </w:rPr>
        <w:t>)</w:t>
      </w:r>
      <w:r w:rsidRPr="00B47131">
        <w:rPr>
          <w:rtl/>
          <w:lang w:eastAsia="zh-TW"/>
        </w:rPr>
        <w:t xml:space="preserve">. </w:t>
      </w:r>
      <w:bookmarkStart w:id="1" w:name="_Toc404670230"/>
    </w:p>
    <w:p w:rsidR="0081736E" w:rsidRPr="00B47131" w:rsidRDefault="0081736E" w:rsidP="0081736E">
      <w:pPr>
        <w:pStyle w:val="SingleTxtGA"/>
        <w:rPr>
          <w:rtl/>
          <w:lang w:eastAsia="zh-TW"/>
        </w:rPr>
      </w:pPr>
      <w:r>
        <w:rPr>
          <w:rtl/>
          <w:lang w:eastAsia="zh-TW"/>
        </w:rPr>
        <w:t>٤-٢</w:t>
      </w:r>
      <w:r>
        <w:rPr>
          <w:rFonts w:hint="cs"/>
          <w:rtl/>
          <w:lang w:eastAsia="zh-TW"/>
        </w:rPr>
        <w:tab/>
      </w:r>
      <w:r w:rsidRPr="00B47131">
        <w:rPr>
          <w:rtl/>
          <w:lang w:eastAsia="zh-TW"/>
        </w:rPr>
        <w:t>وتدفع الدولة الطرف أيض</w:t>
      </w:r>
      <w:r w:rsidR="005E3DFA">
        <w:rPr>
          <w:rtl/>
          <w:lang w:eastAsia="zh-TW"/>
        </w:rPr>
        <w:t xml:space="preserve">اً </w:t>
      </w:r>
      <w:r w:rsidRPr="00B47131">
        <w:rPr>
          <w:rtl/>
          <w:lang w:eastAsia="zh-TW"/>
        </w:rPr>
        <w:t xml:space="preserve">بأن صاحبة البلاغ لم تستنفد سبل الانتصاف المحلية المتاحة، وبأنها لم تقدم شكوى إلى اللجنة الأسترالية لحقوق الإنسان، رغم أن الإجراء المعمول به يتيح لها فرصة تقديم شكوى مجاناً أمام إحدى هيئات التسوية ضد حكومة ولاية نيو ساوث ويلز. وتدفع الدولة الطرف كذلك بأن صاحبة البلاغ لم تعرض شكواها على أي هيئة قضائية، ولا حتى هيئة تحكيم، وهو ما كان سيمكنها من رفع قضية أمام إحدى لمحاكم الاتحادية لتسوية </w:t>
      </w:r>
      <w:r w:rsidRPr="00B47131">
        <w:rPr>
          <w:rtl/>
          <w:lang w:eastAsia="zh-TW"/>
        </w:rPr>
        <w:lastRenderedPageBreak/>
        <w:t>شكواها. ولذلك، ترى الدولة الطرف أنه ينبغي اعتبار ادعاءات صاحبة البلاغ</w:t>
      </w:r>
      <w:r w:rsidR="0086606C">
        <w:rPr>
          <w:rtl/>
          <w:lang w:eastAsia="zh-TW"/>
        </w:rPr>
        <w:t xml:space="preserve"> </w:t>
      </w:r>
      <w:r w:rsidRPr="00B47131">
        <w:rPr>
          <w:rtl/>
          <w:lang w:eastAsia="zh-TW"/>
        </w:rPr>
        <w:t>غير مقبولة بموجب الفقرة (د) من المادة 2 من البروتوكول الاختياري.</w:t>
      </w:r>
      <w:r w:rsidRPr="00B47131">
        <w:rPr>
          <w:rFonts w:cs="Times New Roman" w:hint="cs"/>
          <w:rtl/>
          <w:lang w:eastAsia="zh-TW"/>
        </w:rPr>
        <w:t>‬</w:t>
      </w:r>
      <w:r w:rsidRPr="00B47131">
        <w:rPr>
          <w:rtl/>
          <w:lang w:eastAsia="zh-TW"/>
        </w:rPr>
        <w:t xml:space="preserve"> </w:t>
      </w:r>
      <w:bookmarkEnd w:id="1"/>
    </w:p>
    <w:p w:rsidR="0081736E" w:rsidRPr="00B47131" w:rsidRDefault="0081736E" w:rsidP="0081736E">
      <w:pPr>
        <w:pStyle w:val="SingleTxtGA"/>
        <w:rPr>
          <w:rtl/>
          <w:lang w:eastAsia="zh-TW"/>
        </w:rPr>
      </w:pPr>
      <w:r>
        <w:rPr>
          <w:rtl/>
          <w:lang w:eastAsia="zh-TW"/>
        </w:rPr>
        <w:t>٤-٣</w:t>
      </w:r>
      <w:r>
        <w:rPr>
          <w:rFonts w:hint="cs"/>
          <w:rtl/>
          <w:lang w:eastAsia="zh-TW"/>
        </w:rPr>
        <w:tab/>
      </w:r>
      <w:r w:rsidRPr="00B47131">
        <w:rPr>
          <w:rtl/>
          <w:lang w:eastAsia="zh-TW"/>
        </w:rPr>
        <w:t>وفيما يتعلق بادعاءات صاحبة البلاغ بموجب المواد 2 و4 و5 و9 من الاتفاقية،</w:t>
      </w:r>
      <w:r w:rsidR="0086606C">
        <w:rPr>
          <w:rtl/>
          <w:lang w:eastAsia="zh-TW"/>
        </w:rPr>
        <w:t xml:space="preserve"> </w:t>
      </w:r>
      <w:r>
        <w:rPr>
          <w:rFonts w:hint="cs"/>
          <w:rtl/>
          <w:lang w:eastAsia="zh-TW"/>
        </w:rPr>
        <w:t>تلاحظ</w:t>
      </w:r>
      <w:r w:rsidR="0086606C">
        <w:rPr>
          <w:rtl/>
          <w:lang w:eastAsia="zh-TW"/>
        </w:rPr>
        <w:t xml:space="preserve"> </w:t>
      </w:r>
      <w:r w:rsidRPr="00B47131">
        <w:rPr>
          <w:rtl/>
          <w:lang w:eastAsia="zh-TW"/>
        </w:rPr>
        <w:t>الدولة الطرف</w:t>
      </w:r>
      <w:r w:rsidR="0086606C">
        <w:rPr>
          <w:rtl/>
          <w:lang w:eastAsia="zh-TW"/>
        </w:rPr>
        <w:t xml:space="preserve"> </w:t>
      </w:r>
      <w:r w:rsidRPr="00B47131">
        <w:rPr>
          <w:rtl/>
          <w:lang w:eastAsia="zh-TW"/>
        </w:rPr>
        <w:t>أن</w:t>
      </w:r>
      <w:r>
        <w:rPr>
          <w:rFonts w:hint="cs"/>
          <w:rtl/>
          <w:lang w:eastAsia="zh-TW"/>
        </w:rPr>
        <w:t>ه، طبق</w:t>
      </w:r>
      <w:r w:rsidR="005E3DFA">
        <w:rPr>
          <w:rFonts w:hint="cs"/>
          <w:rtl/>
          <w:lang w:eastAsia="zh-TW"/>
        </w:rPr>
        <w:t xml:space="preserve">اً </w:t>
      </w:r>
      <w:r>
        <w:rPr>
          <w:rFonts w:hint="cs"/>
          <w:rtl/>
          <w:lang w:eastAsia="zh-TW"/>
        </w:rPr>
        <w:t>ل</w:t>
      </w:r>
      <w:r w:rsidRPr="00B47131">
        <w:rPr>
          <w:rtl/>
          <w:lang w:eastAsia="zh-TW"/>
        </w:rPr>
        <w:t>لاجتهاد القضائي للجنة المعنية بحقوق الإنسان</w:t>
      </w:r>
      <w:r>
        <w:rPr>
          <w:rFonts w:hint="cs"/>
          <w:rtl/>
          <w:lang w:eastAsia="zh-TW"/>
        </w:rPr>
        <w:t>،</w:t>
      </w:r>
      <w:r w:rsidR="0086606C">
        <w:rPr>
          <w:rtl/>
          <w:lang w:eastAsia="zh-TW"/>
        </w:rPr>
        <w:t xml:space="preserve"> </w:t>
      </w:r>
      <w:r>
        <w:rPr>
          <w:rFonts w:hint="cs"/>
          <w:rtl/>
          <w:lang w:eastAsia="zh-TW"/>
        </w:rPr>
        <w:t>يتعين على أي</w:t>
      </w:r>
      <w:r w:rsidRPr="00B47131">
        <w:rPr>
          <w:rtl/>
          <w:lang w:eastAsia="zh-TW"/>
        </w:rPr>
        <w:t xml:space="preserve"> صاحب</w:t>
      </w:r>
      <w:r w:rsidR="0086606C">
        <w:rPr>
          <w:rtl/>
          <w:lang w:eastAsia="zh-TW"/>
        </w:rPr>
        <w:t xml:space="preserve"> </w:t>
      </w:r>
      <w:r w:rsidRPr="00B47131">
        <w:rPr>
          <w:rtl/>
          <w:lang w:eastAsia="zh-TW"/>
        </w:rPr>
        <w:t>بلاغ</w:t>
      </w:r>
      <w:r w:rsidR="0086606C">
        <w:rPr>
          <w:rtl/>
          <w:lang w:eastAsia="zh-TW"/>
        </w:rPr>
        <w:t xml:space="preserve"> </w:t>
      </w:r>
      <w:r w:rsidRPr="00B47131">
        <w:rPr>
          <w:rtl/>
          <w:lang w:eastAsia="zh-TW"/>
        </w:rPr>
        <w:t>أن يثبت صحة جميع ادعاءاته، غير أن صاحبة البلاغ لم تقدم أي دليل يثبت صحة ادعاءاتها</w:t>
      </w:r>
      <w:r w:rsidRPr="0086606C">
        <w:rPr>
          <w:vertAlign w:val="superscript"/>
          <w:rtl/>
          <w:lang w:eastAsia="zh-TW"/>
        </w:rPr>
        <w:t>(</w:t>
      </w:r>
      <w:r w:rsidRPr="0086606C">
        <w:rPr>
          <w:rStyle w:val="FootnoteReference"/>
          <w:sz w:val="20"/>
          <w:szCs w:val="30"/>
          <w:rtl/>
          <w:lang w:eastAsia="zh-TW"/>
        </w:rPr>
        <w:footnoteReference w:id="17"/>
      </w:r>
      <w:r w:rsidRPr="0086606C">
        <w:rPr>
          <w:vertAlign w:val="superscript"/>
          <w:rtl/>
          <w:lang w:eastAsia="zh-TW"/>
        </w:rPr>
        <w:t>)</w:t>
      </w:r>
      <w:r w:rsidRPr="00B47131">
        <w:rPr>
          <w:rtl/>
          <w:lang w:eastAsia="zh-TW"/>
        </w:rPr>
        <w:t xml:space="preserve">. ولذا، تؤكد الدولة الطرف أن تلك الادعاءات غير مقبولة بموجب الفقرة (ه) من المادة 2 من البروتوكول الاختياري لعدم إثباتها. </w:t>
      </w:r>
    </w:p>
    <w:p w:rsidR="0081736E" w:rsidRPr="00B47131" w:rsidRDefault="0081736E" w:rsidP="005C3AD7">
      <w:pPr>
        <w:pStyle w:val="SingleTxtGA"/>
        <w:rPr>
          <w:rtl/>
          <w:lang w:eastAsia="zh-TW"/>
        </w:rPr>
      </w:pPr>
      <w:r>
        <w:rPr>
          <w:rtl/>
          <w:lang w:eastAsia="zh-TW"/>
        </w:rPr>
        <w:t>٤-٤</w:t>
      </w:r>
      <w:r>
        <w:rPr>
          <w:rFonts w:hint="cs"/>
          <w:rtl/>
          <w:lang w:eastAsia="zh-TW"/>
        </w:rPr>
        <w:tab/>
      </w:r>
      <w:r w:rsidRPr="00B47131">
        <w:rPr>
          <w:rtl/>
          <w:lang w:eastAsia="zh-TW"/>
        </w:rPr>
        <w:t>وترى الدولة الطرف كذلك أن أداء الواجب في هيئة محلفين لا يدخل في نطاق المادة</w:t>
      </w:r>
      <w:r w:rsidR="005C3AD7">
        <w:rPr>
          <w:rFonts w:hint="cs"/>
          <w:rtl/>
          <w:lang w:eastAsia="zh-TW"/>
        </w:rPr>
        <w:t> </w:t>
      </w:r>
      <w:r w:rsidRPr="00B47131">
        <w:rPr>
          <w:rtl/>
          <w:lang w:eastAsia="zh-TW"/>
        </w:rPr>
        <w:t>12 من الاتفاقية، ومن ثم، فإن ادعاء صاحبة البلاغ في هذا الصدد غير مقبول. وفي هذا الصدد، تدفع الدولة الطرف بأن الالتزامات الواردة في المادة 12 من الاتفاقية لا تنشأ عنها حقوق جديدة</w:t>
      </w:r>
      <w:r w:rsidRPr="0086606C">
        <w:rPr>
          <w:vertAlign w:val="superscript"/>
          <w:rtl/>
          <w:lang w:eastAsia="zh-TW"/>
        </w:rPr>
        <w:t>(</w:t>
      </w:r>
      <w:r w:rsidRPr="0086606C">
        <w:rPr>
          <w:rStyle w:val="FootnoteReference"/>
          <w:sz w:val="20"/>
          <w:szCs w:val="30"/>
          <w:rtl/>
          <w:lang w:eastAsia="zh-TW"/>
        </w:rPr>
        <w:footnoteReference w:id="18"/>
      </w:r>
      <w:r w:rsidRPr="0086606C">
        <w:rPr>
          <w:vertAlign w:val="superscript"/>
          <w:rtl/>
          <w:lang w:eastAsia="zh-TW"/>
        </w:rPr>
        <w:t>)</w:t>
      </w:r>
      <w:r w:rsidRPr="00B47131">
        <w:rPr>
          <w:rtl/>
          <w:lang w:eastAsia="zh-TW"/>
        </w:rPr>
        <w:t xml:space="preserve">، وبأن هذا القول تؤيده </w:t>
      </w:r>
      <w:r w:rsidRPr="005C3AD7">
        <w:rPr>
          <w:i/>
          <w:iCs/>
          <w:rtl/>
          <w:lang w:eastAsia="zh-TW"/>
        </w:rPr>
        <w:t>الأعمال التحضيرية</w:t>
      </w:r>
      <w:r w:rsidRPr="00B47131">
        <w:rPr>
          <w:rtl/>
          <w:lang w:eastAsia="zh-TW"/>
        </w:rPr>
        <w:t xml:space="preserve"> للاتفاقية. وترى الدولة الطرف كذلك أن صاحبة البلاغ لم تقدم أي دليل يثبت أن الدولة الطرف تنتهج سياسة تمنع الصُم من</w:t>
      </w:r>
      <w:r w:rsidR="0086606C">
        <w:rPr>
          <w:rtl/>
          <w:lang w:eastAsia="zh-TW"/>
        </w:rPr>
        <w:t xml:space="preserve"> </w:t>
      </w:r>
      <w:r>
        <w:rPr>
          <w:rFonts w:hint="cs"/>
          <w:rtl/>
          <w:lang w:eastAsia="zh-TW"/>
        </w:rPr>
        <w:t>أداء مهمة ال</w:t>
      </w:r>
      <w:r w:rsidRPr="00B47131">
        <w:rPr>
          <w:rtl/>
          <w:lang w:eastAsia="zh-TW"/>
        </w:rPr>
        <w:t>محلف</w:t>
      </w:r>
      <w:r w:rsidR="0086606C">
        <w:rPr>
          <w:rFonts w:hint="cs"/>
          <w:rtl/>
          <w:lang w:eastAsia="zh-TW"/>
        </w:rPr>
        <w:t>،</w:t>
      </w:r>
      <w:r w:rsidRPr="00B47131">
        <w:rPr>
          <w:rtl/>
          <w:lang w:eastAsia="zh-TW"/>
        </w:rPr>
        <w:t xml:space="preserve"> وتؤكد مجدداً أن حكومة ولاية نيو ساوث ويلز ستواصل رصد التطورات الحاصلة في مجال المعينات والتكنولوجيات السمعية والبصرية وخدمات الترجمة الفورية، كما</w:t>
      </w:r>
      <w:r w:rsidR="005E3DFA">
        <w:rPr>
          <w:rFonts w:hint="cs"/>
          <w:rtl/>
          <w:lang w:eastAsia="zh-TW"/>
        </w:rPr>
        <w:t> </w:t>
      </w:r>
      <w:r w:rsidRPr="00B47131">
        <w:rPr>
          <w:rtl/>
          <w:lang w:eastAsia="zh-TW"/>
        </w:rPr>
        <w:t>ستواصل مراجعة السياسات الحالية لتشجيع مشاركة الأشخاص ذوي الإعاقات السمعية والبصرية مشاركة أكبر في هيئات المحلفين</w:t>
      </w:r>
      <w:r w:rsidRPr="0086606C">
        <w:rPr>
          <w:vertAlign w:val="superscript"/>
          <w:rtl/>
          <w:lang w:eastAsia="zh-TW"/>
        </w:rPr>
        <w:t>(</w:t>
      </w:r>
      <w:r w:rsidRPr="0086606C">
        <w:rPr>
          <w:rStyle w:val="FootnoteReference"/>
          <w:sz w:val="20"/>
          <w:szCs w:val="30"/>
          <w:rtl/>
          <w:lang w:eastAsia="zh-TW"/>
        </w:rPr>
        <w:footnoteReference w:id="19"/>
      </w:r>
      <w:r w:rsidRPr="0086606C">
        <w:rPr>
          <w:vertAlign w:val="superscript"/>
          <w:rtl/>
          <w:lang w:eastAsia="zh-TW"/>
        </w:rPr>
        <w:t>)</w:t>
      </w:r>
      <w:r w:rsidRPr="00B47131">
        <w:rPr>
          <w:rtl/>
          <w:lang w:eastAsia="zh-TW"/>
        </w:rPr>
        <w:t xml:space="preserve">. وتشير الدولة الطرف كذلك إلى أن الفقرة 2 من المادة 12 من الاتفاقية تتعلق بالإقرار بتمتع الأشخاص ذوي الإعاقة بالأهلية القانونية على قدم المساواة مع الآخرين، ولكنها لا تشمل جميع مفاهيم القدرة أو الاستطاعة. ولا تشير تلك الفقرة إلى القدرة على أداء نشاط ما، كأداء الواجب في هيئة محلفين، وإنما إلى القدرة على الانخراط في أعمال لها </w:t>
      </w:r>
      <w:r>
        <w:rPr>
          <w:rFonts w:hint="cs"/>
          <w:rtl/>
          <w:lang w:eastAsia="zh-TW"/>
        </w:rPr>
        <w:t xml:space="preserve">تبعات </w:t>
      </w:r>
      <w:r w:rsidRPr="00B47131">
        <w:rPr>
          <w:rtl/>
          <w:lang w:eastAsia="zh-TW"/>
        </w:rPr>
        <w:t>قانونية</w:t>
      </w:r>
      <w:r w:rsidRPr="0086606C">
        <w:rPr>
          <w:vertAlign w:val="superscript"/>
          <w:rtl/>
          <w:lang w:eastAsia="zh-TW"/>
        </w:rPr>
        <w:t>(</w:t>
      </w:r>
      <w:r w:rsidRPr="0086606C">
        <w:rPr>
          <w:rStyle w:val="FootnoteReference"/>
          <w:sz w:val="20"/>
          <w:szCs w:val="30"/>
          <w:rtl/>
          <w:lang w:eastAsia="zh-TW"/>
        </w:rPr>
        <w:footnoteReference w:id="20"/>
      </w:r>
      <w:r w:rsidRPr="0086606C">
        <w:rPr>
          <w:vertAlign w:val="superscript"/>
          <w:rtl/>
          <w:lang w:eastAsia="zh-TW"/>
        </w:rPr>
        <w:t>)</w:t>
      </w:r>
      <w:r w:rsidRPr="00B47131">
        <w:rPr>
          <w:rtl/>
          <w:lang w:eastAsia="zh-TW"/>
        </w:rPr>
        <w:t>. ووفق</w:t>
      </w:r>
      <w:r w:rsidR="005E3DFA">
        <w:rPr>
          <w:rtl/>
          <w:lang w:eastAsia="zh-TW"/>
        </w:rPr>
        <w:t xml:space="preserve">اً </w:t>
      </w:r>
      <w:r w:rsidRPr="00B47131">
        <w:rPr>
          <w:rtl/>
          <w:lang w:eastAsia="zh-TW"/>
        </w:rPr>
        <w:t>لما ذكرته الدولة الطرف، فإن الفقرة 5 من المادة 12 تعدد عناصر الشخصية الاعتبارية ولا تشمل أداء الواجب في هيئة محلفين. وأخير</w:t>
      </w:r>
      <w:r w:rsidR="005E3DFA">
        <w:rPr>
          <w:rtl/>
          <w:lang w:eastAsia="zh-TW"/>
        </w:rPr>
        <w:t xml:space="preserve">اً، </w:t>
      </w:r>
      <w:r w:rsidRPr="00B47131">
        <w:rPr>
          <w:rtl/>
          <w:lang w:eastAsia="zh-TW"/>
        </w:rPr>
        <w:t>وبما أنه لم يُنظر في قدرة صاحبة البلاغ على أداء واجبها في هيئة محلفين، فإن الدولة الطرف تخلص إلى أن قضيتها لا تتعلق بمسألة الأهلية القانونية</w:t>
      </w:r>
      <w:r>
        <w:rPr>
          <w:rFonts w:hint="cs"/>
          <w:rtl/>
          <w:lang w:eastAsia="zh-TW"/>
        </w:rPr>
        <w:t>،</w:t>
      </w:r>
      <w:r w:rsidRPr="00B47131">
        <w:rPr>
          <w:rtl/>
          <w:lang w:eastAsia="zh-TW"/>
        </w:rPr>
        <w:t xml:space="preserve"> و</w:t>
      </w:r>
      <w:r>
        <w:rPr>
          <w:rFonts w:hint="cs"/>
          <w:rtl/>
          <w:lang w:eastAsia="zh-TW"/>
        </w:rPr>
        <w:t xml:space="preserve">بالتالي </w:t>
      </w:r>
      <w:r w:rsidRPr="00B47131">
        <w:rPr>
          <w:rtl/>
          <w:lang w:eastAsia="zh-TW"/>
        </w:rPr>
        <w:t>تقع خارج نطاق المادة 12 من الاتفاقية.</w:t>
      </w:r>
    </w:p>
    <w:p w:rsidR="0081736E" w:rsidRPr="00B47131" w:rsidRDefault="0081736E" w:rsidP="0081736E">
      <w:pPr>
        <w:pStyle w:val="SingleTxtGA"/>
        <w:rPr>
          <w:rtl/>
          <w:lang w:eastAsia="zh-TW"/>
        </w:rPr>
      </w:pPr>
      <w:r>
        <w:rPr>
          <w:rtl/>
          <w:lang w:eastAsia="zh-TW"/>
        </w:rPr>
        <w:t>٤-٥</w:t>
      </w:r>
      <w:r>
        <w:rPr>
          <w:rFonts w:hint="cs"/>
          <w:rtl/>
          <w:lang w:eastAsia="zh-TW"/>
        </w:rPr>
        <w:tab/>
      </w:r>
      <w:r w:rsidRPr="00B47131">
        <w:rPr>
          <w:rtl/>
          <w:lang w:eastAsia="zh-TW"/>
        </w:rPr>
        <w:t xml:space="preserve">وفيما يتعلق بادعاء صاحبة البلاغ بموجب الفقرة 3 من المادة 12 من الاتفاقية بأن رفض </w:t>
      </w:r>
      <w:proofErr w:type="spellStart"/>
      <w:r w:rsidRPr="00B47131">
        <w:rPr>
          <w:rtl/>
          <w:lang w:eastAsia="zh-TW"/>
        </w:rPr>
        <w:t>والية</w:t>
      </w:r>
      <w:proofErr w:type="spellEnd"/>
      <w:r w:rsidRPr="00B47131">
        <w:rPr>
          <w:rtl/>
          <w:lang w:eastAsia="zh-TW"/>
        </w:rPr>
        <w:t xml:space="preserve"> قضاء نيو ساوث ويلز يشكل انتهاكاً لحقها في الحصول على المساعدة التي تحتاج إليها، تؤكد الدولة الطرف مجدداً أن أداء الواجب في هيئة محلفين ليس مظهر</w:t>
      </w:r>
      <w:r w:rsidR="005E3DFA">
        <w:rPr>
          <w:rtl/>
          <w:lang w:eastAsia="zh-TW"/>
        </w:rPr>
        <w:t xml:space="preserve">اً </w:t>
      </w:r>
      <w:r w:rsidRPr="00B47131">
        <w:rPr>
          <w:rtl/>
          <w:lang w:eastAsia="zh-TW"/>
        </w:rPr>
        <w:t xml:space="preserve">من مظاهر الأهلية </w:t>
      </w:r>
      <w:r w:rsidRPr="00B47131">
        <w:rPr>
          <w:rtl/>
          <w:lang w:eastAsia="zh-TW"/>
        </w:rPr>
        <w:lastRenderedPageBreak/>
        <w:t xml:space="preserve">القانونية، وبناء على ذلك، ليس هناك ما يلزم الدولة الطرف بتوفير المساعدة في هذا الصدد. ومن ناحية أخرى، ترى الدولة الطرف أن الفقرة 3 من المادة 12 تحدد نطاق تطبيقها، إذ أنها تطالب الدول باتخاذ التدابير </w:t>
      </w:r>
      <w:r w:rsidR="0086606C">
        <w:rPr>
          <w:rtl/>
          <w:lang w:eastAsia="zh-TW"/>
        </w:rPr>
        <w:t>"</w:t>
      </w:r>
      <w:r w:rsidRPr="00B47131">
        <w:rPr>
          <w:rtl/>
          <w:lang w:eastAsia="zh-TW"/>
        </w:rPr>
        <w:t>المناسبة</w:t>
      </w:r>
      <w:r w:rsidR="0086606C">
        <w:rPr>
          <w:rtl/>
          <w:lang w:eastAsia="zh-TW"/>
        </w:rPr>
        <w:t>"</w:t>
      </w:r>
      <w:r w:rsidRPr="00B47131">
        <w:rPr>
          <w:rtl/>
          <w:lang w:eastAsia="zh-TW"/>
        </w:rPr>
        <w:t>، مع مراعاة محدودية الموارد و</w:t>
      </w:r>
      <w:r w:rsidR="0086606C">
        <w:rPr>
          <w:rtl/>
          <w:lang w:eastAsia="zh-TW"/>
        </w:rPr>
        <w:t>"</w:t>
      </w:r>
      <w:r w:rsidRPr="00B47131">
        <w:rPr>
          <w:rtl/>
          <w:lang w:eastAsia="zh-TW"/>
        </w:rPr>
        <w:t>تناسبها</w:t>
      </w:r>
      <w:r w:rsidR="0086606C">
        <w:rPr>
          <w:rtl/>
          <w:lang w:eastAsia="zh-TW"/>
        </w:rPr>
        <w:t>"</w:t>
      </w:r>
      <w:r w:rsidRPr="00B47131">
        <w:rPr>
          <w:rtl/>
          <w:lang w:eastAsia="zh-TW"/>
        </w:rPr>
        <w:t xml:space="preserve"> </w:t>
      </w:r>
      <w:r>
        <w:rPr>
          <w:rFonts w:hint="cs"/>
          <w:rtl/>
          <w:lang w:eastAsia="zh-TW"/>
        </w:rPr>
        <w:t>و</w:t>
      </w:r>
      <w:r w:rsidRPr="00B47131">
        <w:rPr>
          <w:rtl/>
          <w:lang w:eastAsia="zh-TW"/>
        </w:rPr>
        <w:t>مع التزامها بكفالة</w:t>
      </w:r>
      <w:r w:rsidR="0086606C">
        <w:rPr>
          <w:rtl/>
          <w:lang w:eastAsia="zh-TW"/>
        </w:rPr>
        <w:t xml:space="preserve"> </w:t>
      </w:r>
      <w:r>
        <w:rPr>
          <w:rFonts w:hint="cs"/>
          <w:rtl/>
          <w:lang w:eastAsia="zh-TW"/>
        </w:rPr>
        <w:t>تمكن</w:t>
      </w:r>
      <w:r w:rsidRPr="00B47131">
        <w:rPr>
          <w:rtl/>
          <w:lang w:eastAsia="zh-TW"/>
        </w:rPr>
        <w:t xml:space="preserve"> الأشخاص ذوو الإعاقة</w:t>
      </w:r>
      <w:r w:rsidR="0086606C">
        <w:rPr>
          <w:rtl/>
          <w:lang w:eastAsia="zh-TW"/>
        </w:rPr>
        <w:t xml:space="preserve"> </w:t>
      </w:r>
      <w:r>
        <w:rPr>
          <w:rFonts w:hint="cs"/>
          <w:rtl/>
          <w:lang w:eastAsia="zh-TW"/>
        </w:rPr>
        <w:t>من</w:t>
      </w:r>
      <w:r w:rsidRPr="00B47131">
        <w:rPr>
          <w:rtl/>
          <w:lang w:eastAsia="zh-TW"/>
        </w:rPr>
        <w:t xml:space="preserve"> اتخاذ </w:t>
      </w:r>
      <w:r>
        <w:rPr>
          <w:rFonts w:hint="cs"/>
          <w:rtl/>
          <w:lang w:eastAsia="zh-TW"/>
        </w:rPr>
        <w:t>ال</w:t>
      </w:r>
      <w:r w:rsidRPr="00B47131">
        <w:rPr>
          <w:rtl/>
          <w:lang w:eastAsia="zh-TW"/>
        </w:rPr>
        <w:t>قرارات</w:t>
      </w:r>
      <w:r>
        <w:rPr>
          <w:rFonts w:hint="cs"/>
          <w:rtl/>
          <w:lang w:eastAsia="zh-TW"/>
        </w:rPr>
        <w:t xml:space="preserve"> التي تخص</w:t>
      </w:r>
      <w:r w:rsidRPr="00B47131">
        <w:rPr>
          <w:rtl/>
          <w:lang w:eastAsia="zh-TW"/>
        </w:rPr>
        <w:t>هم قدر الإمكان</w:t>
      </w:r>
      <w:r w:rsidRPr="0086606C">
        <w:rPr>
          <w:vertAlign w:val="superscript"/>
          <w:rtl/>
          <w:lang w:eastAsia="zh-TW"/>
        </w:rPr>
        <w:t>(</w:t>
      </w:r>
      <w:r w:rsidRPr="0086606C">
        <w:rPr>
          <w:rStyle w:val="FootnoteReference"/>
          <w:sz w:val="20"/>
          <w:szCs w:val="30"/>
          <w:rtl/>
          <w:lang w:eastAsia="zh-TW"/>
        </w:rPr>
        <w:footnoteReference w:id="21"/>
      </w:r>
      <w:r w:rsidRPr="0086606C">
        <w:rPr>
          <w:vertAlign w:val="superscript"/>
          <w:rtl/>
          <w:lang w:eastAsia="zh-TW"/>
        </w:rPr>
        <w:t>)</w:t>
      </w:r>
      <w:r w:rsidRPr="00B47131">
        <w:rPr>
          <w:rtl/>
          <w:lang w:eastAsia="zh-TW"/>
        </w:rPr>
        <w:t>. وتؤكد الدولة الطرف مجدداً أن ولاية نيو ساوث ويلز توفر بالفعل التعديلات اللازمة لمساعدة الأشخاص ذوي الإعاقة السمعية من أداء واجبهم في هيئات المحلفين</w:t>
      </w:r>
      <w:r w:rsidRPr="0086606C">
        <w:rPr>
          <w:vertAlign w:val="superscript"/>
          <w:rtl/>
          <w:lang w:eastAsia="zh-TW"/>
        </w:rPr>
        <w:t>(</w:t>
      </w:r>
      <w:r w:rsidRPr="0086606C">
        <w:rPr>
          <w:rStyle w:val="FootnoteReference"/>
          <w:sz w:val="20"/>
          <w:szCs w:val="30"/>
          <w:rtl/>
          <w:lang w:eastAsia="zh-TW"/>
        </w:rPr>
        <w:footnoteReference w:id="22"/>
      </w:r>
      <w:r w:rsidRPr="0086606C">
        <w:rPr>
          <w:vertAlign w:val="superscript"/>
          <w:rtl/>
          <w:lang w:eastAsia="zh-TW"/>
        </w:rPr>
        <w:t>)</w:t>
      </w:r>
      <w:r w:rsidRPr="00B47131">
        <w:rPr>
          <w:rtl/>
          <w:lang w:eastAsia="zh-TW"/>
        </w:rPr>
        <w:t xml:space="preserve">. </w:t>
      </w:r>
    </w:p>
    <w:p w:rsidR="0081736E" w:rsidRPr="00B47131" w:rsidRDefault="0081736E" w:rsidP="007A129E">
      <w:pPr>
        <w:pStyle w:val="SingleTxtGA"/>
        <w:rPr>
          <w:rtl/>
          <w:lang w:eastAsia="zh-TW"/>
        </w:rPr>
      </w:pPr>
      <w:r>
        <w:rPr>
          <w:rtl/>
          <w:lang w:eastAsia="zh-TW"/>
        </w:rPr>
        <w:t>٤-٦</w:t>
      </w:r>
      <w:r>
        <w:rPr>
          <w:rFonts w:hint="cs"/>
          <w:rtl/>
          <w:lang w:eastAsia="zh-TW"/>
        </w:rPr>
        <w:tab/>
      </w:r>
      <w:r w:rsidRPr="00B47131">
        <w:rPr>
          <w:rtl/>
          <w:lang w:eastAsia="zh-TW"/>
        </w:rPr>
        <w:t>وفيما يخص</w:t>
      </w:r>
      <w:r w:rsidR="0086606C">
        <w:rPr>
          <w:rtl/>
          <w:lang w:eastAsia="zh-TW"/>
        </w:rPr>
        <w:t xml:space="preserve"> </w:t>
      </w:r>
      <w:r w:rsidRPr="00B47131">
        <w:rPr>
          <w:rtl/>
          <w:lang w:eastAsia="zh-TW"/>
        </w:rPr>
        <w:t>ادعاء</w:t>
      </w:r>
      <w:r w:rsidR="0086606C">
        <w:rPr>
          <w:rtl/>
          <w:lang w:eastAsia="zh-TW"/>
        </w:rPr>
        <w:t xml:space="preserve"> </w:t>
      </w:r>
      <w:r w:rsidRPr="00B47131">
        <w:rPr>
          <w:rtl/>
          <w:lang w:eastAsia="zh-TW"/>
        </w:rPr>
        <w:t xml:space="preserve">صاحبة البلاغ في إطار المادة 13 من الاتفاقية، تدفع الدولة الطرف بأنه يقع خارج نطاق أحكام هذه المادة لأن عبارة </w:t>
      </w:r>
      <w:r w:rsidR="0086606C">
        <w:rPr>
          <w:rtl/>
          <w:lang w:eastAsia="zh-TW"/>
        </w:rPr>
        <w:t>"</w:t>
      </w:r>
      <w:r w:rsidRPr="00B47131">
        <w:rPr>
          <w:rtl/>
          <w:lang w:eastAsia="zh-TW"/>
        </w:rPr>
        <w:t>السبل الفعالة التي تكفل لجوء الأشخاص ذوي الإعاقة إلى القضاء</w:t>
      </w:r>
      <w:r w:rsidR="0086606C">
        <w:rPr>
          <w:rtl/>
          <w:lang w:eastAsia="zh-TW"/>
        </w:rPr>
        <w:t>"</w:t>
      </w:r>
      <w:r w:rsidRPr="00B47131">
        <w:rPr>
          <w:rtl/>
          <w:lang w:eastAsia="zh-TW"/>
        </w:rPr>
        <w:t xml:space="preserve"> تشير إلى قدرة أولئك الأشخاص على</w:t>
      </w:r>
      <w:r w:rsidR="0086606C">
        <w:rPr>
          <w:rtl/>
          <w:lang w:eastAsia="zh-TW"/>
        </w:rPr>
        <w:t xml:space="preserve"> </w:t>
      </w:r>
      <w:r>
        <w:rPr>
          <w:rFonts w:hint="cs"/>
          <w:rtl/>
          <w:lang w:eastAsia="zh-TW"/>
        </w:rPr>
        <w:t>اللجوء</w:t>
      </w:r>
      <w:r w:rsidRPr="00B47131">
        <w:rPr>
          <w:rtl/>
          <w:lang w:eastAsia="zh-TW"/>
        </w:rPr>
        <w:t xml:space="preserve"> إلى نظام العدالة في تعاملهم مع القانون، لا إلى مشاركتهم في مختلف مكونات نظام العدالة. وتدفع الدولة الطرف كذلك بأنه وفق</w:t>
      </w:r>
      <w:r w:rsidR="005E3DFA">
        <w:rPr>
          <w:rtl/>
          <w:lang w:eastAsia="zh-TW"/>
        </w:rPr>
        <w:t xml:space="preserve">اً </w:t>
      </w:r>
      <w:r w:rsidRPr="005C3AD7">
        <w:rPr>
          <w:i/>
          <w:iCs/>
          <w:rtl/>
          <w:lang w:eastAsia="zh-TW"/>
        </w:rPr>
        <w:t>للأعمال التحضيرية</w:t>
      </w:r>
      <w:r w:rsidRPr="00B47131">
        <w:rPr>
          <w:rtl/>
          <w:lang w:eastAsia="zh-TW"/>
        </w:rPr>
        <w:t xml:space="preserve"> للاتفاقية، لا يعد المحلفون من بين المشاركين </w:t>
      </w:r>
      <w:r w:rsidR="0086606C">
        <w:rPr>
          <w:rtl/>
          <w:lang w:eastAsia="zh-TW"/>
        </w:rPr>
        <w:t>"</w:t>
      </w:r>
      <w:r w:rsidRPr="00B47131">
        <w:rPr>
          <w:rtl/>
          <w:lang w:eastAsia="zh-TW"/>
        </w:rPr>
        <w:t>المباشرين</w:t>
      </w:r>
      <w:r w:rsidR="0086606C">
        <w:rPr>
          <w:rtl/>
          <w:lang w:eastAsia="zh-TW"/>
        </w:rPr>
        <w:t>"</w:t>
      </w:r>
      <w:r w:rsidR="00F05419">
        <w:rPr>
          <w:rtl/>
          <w:lang w:eastAsia="zh-TW"/>
        </w:rPr>
        <w:t xml:space="preserve"> و</w:t>
      </w:r>
      <w:r w:rsidR="0086606C">
        <w:rPr>
          <w:rtl/>
          <w:lang w:eastAsia="zh-TW"/>
        </w:rPr>
        <w:t>"</w:t>
      </w:r>
      <w:r w:rsidRPr="00B47131">
        <w:rPr>
          <w:rtl/>
          <w:lang w:eastAsia="zh-TW"/>
        </w:rPr>
        <w:t>غير المباشرين</w:t>
      </w:r>
      <w:r w:rsidR="0086606C">
        <w:rPr>
          <w:rtl/>
          <w:lang w:eastAsia="zh-TW"/>
        </w:rPr>
        <w:t>"</w:t>
      </w:r>
      <w:r w:rsidRPr="00B47131">
        <w:rPr>
          <w:rtl/>
          <w:lang w:eastAsia="zh-TW"/>
        </w:rPr>
        <w:t xml:space="preserve"> بالمعنى المقصود في المادة 13 من الاتفاقية، لأن هذين المصطلحين يتعلقان بالمشاركين المعنيين بجوهر القضية ونتائجها،</w:t>
      </w:r>
      <w:r w:rsidR="0086606C">
        <w:rPr>
          <w:rtl/>
          <w:lang w:eastAsia="zh-TW"/>
        </w:rPr>
        <w:t xml:space="preserve"> مثل طرفي القضية أو الشهود فيها</w:t>
      </w:r>
      <w:r w:rsidRPr="0086606C">
        <w:rPr>
          <w:vertAlign w:val="superscript"/>
          <w:rtl/>
          <w:lang w:eastAsia="zh-TW"/>
        </w:rPr>
        <w:t>(</w:t>
      </w:r>
      <w:r w:rsidRPr="0086606C">
        <w:rPr>
          <w:rStyle w:val="FootnoteReference"/>
          <w:sz w:val="20"/>
          <w:szCs w:val="30"/>
          <w:rtl/>
          <w:lang w:eastAsia="zh-TW"/>
        </w:rPr>
        <w:footnoteReference w:id="23"/>
      </w:r>
      <w:r w:rsidRPr="0086606C">
        <w:rPr>
          <w:vertAlign w:val="superscript"/>
          <w:rtl/>
          <w:lang w:eastAsia="zh-TW"/>
        </w:rPr>
        <w:t>)</w:t>
      </w:r>
      <w:r w:rsidRPr="00B47131">
        <w:rPr>
          <w:rtl/>
          <w:lang w:eastAsia="zh-TW"/>
        </w:rPr>
        <w:t xml:space="preserve">. وتدفع الدولة الطرف كذلك بأن معيار </w:t>
      </w:r>
      <w:r w:rsidR="0086606C">
        <w:rPr>
          <w:rtl/>
          <w:lang w:eastAsia="zh-TW"/>
        </w:rPr>
        <w:t>"</w:t>
      </w:r>
      <w:r w:rsidRPr="00B47131">
        <w:rPr>
          <w:rtl/>
          <w:lang w:eastAsia="zh-TW"/>
        </w:rPr>
        <w:t xml:space="preserve">الترتيبات </w:t>
      </w:r>
      <w:proofErr w:type="spellStart"/>
      <w:r w:rsidRPr="00B47131">
        <w:rPr>
          <w:rtl/>
          <w:lang w:eastAsia="zh-TW"/>
        </w:rPr>
        <w:t>التيسيرية</w:t>
      </w:r>
      <w:proofErr w:type="spellEnd"/>
      <w:r w:rsidRPr="00B47131">
        <w:rPr>
          <w:rtl/>
          <w:lang w:eastAsia="zh-TW"/>
        </w:rPr>
        <w:t xml:space="preserve"> المعقولة</w:t>
      </w:r>
      <w:r w:rsidR="0086606C">
        <w:rPr>
          <w:rtl/>
          <w:lang w:eastAsia="zh-TW"/>
        </w:rPr>
        <w:t>"</w:t>
      </w:r>
      <w:r w:rsidRPr="00B47131">
        <w:rPr>
          <w:rtl/>
          <w:lang w:eastAsia="zh-TW"/>
        </w:rPr>
        <w:t xml:space="preserve"> لا ينطبق على المادة 13. وتشير الدولة الطرف إلى أن المادة 31 من اتفاقية فيينا لقانون المعاهدات تنص على أن تُفسر كل معاهدة وفقاً للمعنى العادي لمصطلحاتها ولموضوع المعاهدة وغرضها. وفي هذا الصدد، فإن المادة 13 لا</w:t>
      </w:r>
      <w:r w:rsidR="007A129E">
        <w:rPr>
          <w:rFonts w:hint="cs"/>
          <w:rtl/>
          <w:lang w:eastAsia="zh-TW"/>
        </w:rPr>
        <w:t> </w:t>
      </w:r>
      <w:r w:rsidRPr="00B47131">
        <w:rPr>
          <w:rtl/>
          <w:lang w:eastAsia="zh-TW"/>
        </w:rPr>
        <w:t xml:space="preserve">تشير إلى مصطلح </w:t>
      </w:r>
      <w:r w:rsidR="0086606C">
        <w:rPr>
          <w:rtl/>
          <w:lang w:eastAsia="zh-TW"/>
        </w:rPr>
        <w:t>"</w:t>
      </w:r>
      <w:r w:rsidRPr="00B47131">
        <w:rPr>
          <w:rtl/>
          <w:lang w:eastAsia="zh-TW"/>
        </w:rPr>
        <w:t xml:space="preserve">الترتيبات </w:t>
      </w:r>
      <w:proofErr w:type="spellStart"/>
      <w:r w:rsidRPr="00B47131">
        <w:rPr>
          <w:rtl/>
          <w:lang w:eastAsia="zh-TW"/>
        </w:rPr>
        <w:t>التيسيرية</w:t>
      </w:r>
      <w:proofErr w:type="spellEnd"/>
      <w:r w:rsidRPr="00B47131">
        <w:rPr>
          <w:rtl/>
          <w:lang w:eastAsia="zh-TW"/>
        </w:rPr>
        <w:t xml:space="preserve"> المعقولة</w:t>
      </w:r>
      <w:r w:rsidR="0086606C">
        <w:rPr>
          <w:rtl/>
          <w:lang w:eastAsia="zh-TW"/>
        </w:rPr>
        <w:t>"</w:t>
      </w:r>
      <w:r w:rsidRPr="00B47131">
        <w:rPr>
          <w:rtl/>
          <w:lang w:eastAsia="zh-TW"/>
        </w:rPr>
        <w:t xml:space="preserve">، وإنما تشير إلى عبارة </w:t>
      </w:r>
      <w:r w:rsidR="0086606C">
        <w:rPr>
          <w:rtl/>
          <w:lang w:eastAsia="zh-TW"/>
        </w:rPr>
        <w:t>"</w:t>
      </w:r>
      <w:r w:rsidRPr="00B47131">
        <w:rPr>
          <w:rtl/>
          <w:lang w:eastAsia="zh-TW"/>
        </w:rPr>
        <w:t xml:space="preserve">بما في ذلك من خلال توفير </w:t>
      </w:r>
      <w:proofErr w:type="spellStart"/>
      <w:r w:rsidRPr="00B47131">
        <w:rPr>
          <w:rtl/>
          <w:lang w:eastAsia="zh-TW"/>
        </w:rPr>
        <w:t>التيسيرات</w:t>
      </w:r>
      <w:proofErr w:type="spellEnd"/>
      <w:r w:rsidRPr="00B47131">
        <w:rPr>
          <w:rtl/>
          <w:lang w:eastAsia="zh-TW"/>
        </w:rPr>
        <w:t xml:space="preserve"> الإجرائية التي تتناسب مع أعمارهم</w:t>
      </w:r>
      <w:r w:rsidR="0086606C">
        <w:rPr>
          <w:rtl/>
          <w:lang w:eastAsia="zh-TW"/>
        </w:rPr>
        <w:t>"</w:t>
      </w:r>
      <w:r w:rsidRPr="00B47131">
        <w:rPr>
          <w:rtl/>
          <w:lang w:eastAsia="zh-TW"/>
        </w:rPr>
        <w:t xml:space="preserve">. وعلاوة على ذلك، فإن عبارة </w:t>
      </w:r>
      <w:r w:rsidR="0086606C">
        <w:rPr>
          <w:rtl/>
          <w:lang w:eastAsia="zh-TW"/>
        </w:rPr>
        <w:t>"</w:t>
      </w:r>
      <w:proofErr w:type="spellStart"/>
      <w:r w:rsidRPr="00B47131">
        <w:rPr>
          <w:rtl/>
          <w:lang w:eastAsia="zh-TW"/>
        </w:rPr>
        <w:t>التيسيرات</w:t>
      </w:r>
      <w:proofErr w:type="spellEnd"/>
      <w:r w:rsidRPr="00B47131">
        <w:rPr>
          <w:rtl/>
          <w:lang w:eastAsia="zh-TW"/>
        </w:rPr>
        <w:t xml:space="preserve"> الإجرائية التي تتناسب مع أعمارهم</w:t>
      </w:r>
      <w:r w:rsidR="0086606C">
        <w:rPr>
          <w:rtl/>
          <w:lang w:eastAsia="zh-TW"/>
        </w:rPr>
        <w:t>"</w:t>
      </w:r>
      <w:r w:rsidRPr="00B47131">
        <w:rPr>
          <w:rtl/>
          <w:lang w:eastAsia="zh-TW"/>
        </w:rPr>
        <w:t xml:space="preserve"> لا تشير إلا الترتيبات </w:t>
      </w:r>
      <w:proofErr w:type="spellStart"/>
      <w:r w:rsidRPr="00B47131">
        <w:rPr>
          <w:rtl/>
          <w:lang w:eastAsia="zh-TW"/>
        </w:rPr>
        <w:t>التيسيرية</w:t>
      </w:r>
      <w:proofErr w:type="spellEnd"/>
      <w:r w:rsidRPr="00B47131">
        <w:rPr>
          <w:rtl/>
          <w:lang w:eastAsia="zh-TW"/>
        </w:rPr>
        <w:t xml:space="preserve"> المعقولة المتخذة في ضوء الإجراء ذي الصلة أو الفئة العمرية المعنية</w:t>
      </w:r>
      <w:r w:rsidRPr="0086606C">
        <w:rPr>
          <w:vertAlign w:val="superscript"/>
          <w:rtl/>
          <w:lang w:eastAsia="zh-TW"/>
        </w:rPr>
        <w:t>(</w:t>
      </w:r>
      <w:r w:rsidRPr="0086606C">
        <w:rPr>
          <w:rStyle w:val="FootnoteReference"/>
          <w:sz w:val="20"/>
          <w:szCs w:val="30"/>
          <w:rtl/>
          <w:lang w:eastAsia="zh-TW"/>
        </w:rPr>
        <w:footnoteReference w:id="24"/>
      </w:r>
      <w:r w:rsidRPr="0086606C">
        <w:rPr>
          <w:vertAlign w:val="superscript"/>
          <w:rtl/>
          <w:lang w:eastAsia="zh-TW"/>
        </w:rPr>
        <w:t>)</w:t>
      </w:r>
      <w:r w:rsidRPr="00B47131">
        <w:rPr>
          <w:rtl/>
          <w:lang w:eastAsia="zh-TW"/>
        </w:rPr>
        <w:t xml:space="preserve">. </w:t>
      </w:r>
    </w:p>
    <w:p w:rsidR="0081736E" w:rsidRPr="00B47131" w:rsidRDefault="0081736E" w:rsidP="0081736E">
      <w:pPr>
        <w:pStyle w:val="SingleTxtGA"/>
        <w:rPr>
          <w:rtl/>
          <w:lang w:eastAsia="zh-TW"/>
        </w:rPr>
      </w:pPr>
      <w:bookmarkStart w:id="2" w:name="_Toc404670243"/>
      <w:r>
        <w:rPr>
          <w:rtl/>
          <w:lang w:eastAsia="zh-TW"/>
        </w:rPr>
        <w:t>٤-٧</w:t>
      </w:r>
      <w:r>
        <w:rPr>
          <w:rFonts w:hint="cs"/>
          <w:rtl/>
          <w:lang w:eastAsia="zh-TW"/>
        </w:rPr>
        <w:tab/>
      </w:r>
      <w:r w:rsidRPr="00B47131">
        <w:rPr>
          <w:rtl/>
          <w:lang w:eastAsia="zh-TW"/>
        </w:rPr>
        <w:t xml:space="preserve">وفيما يتعلق بادعاء صاحبة البلاغ المندرج في إطار المادة 21 من الاتفاقية، فإن الدولة الطرف تتفق مع صاحبة البلاغ في رأيها الذي مفاده أن لغة الإشارة الأسترالية أو الاختزال النصي تعدان وسيلتان من وسائل الاتصال. غير أن الدولة الطرف تدفع بأن الفقرة (ب) من المادة 21 من الاتفاقية تطالب الدول الأطراف بأن تتخذ جميع التدابير المناسبة في ضوء القيود المفروضة على مواردها بدون أن تفرض عليها التزاماً مطلقاً بذلك. وتدفع الدولة الطرف أيضاً </w:t>
      </w:r>
      <w:r w:rsidRPr="00B47131">
        <w:rPr>
          <w:rtl/>
          <w:lang w:eastAsia="zh-TW"/>
        </w:rPr>
        <w:lastRenderedPageBreak/>
        <w:t>بأن التزامات الدول الأطراف بموجب الفقرة (ب) من المادة 21، هي التزامات يجب الوفاء بها تدريجياً، رهن</w:t>
      </w:r>
      <w:r w:rsidR="005E3DFA">
        <w:rPr>
          <w:rtl/>
          <w:lang w:eastAsia="zh-TW"/>
        </w:rPr>
        <w:t xml:space="preserve">اً </w:t>
      </w:r>
      <w:r w:rsidRPr="00B47131">
        <w:rPr>
          <w:rtl/>
          <w:lang w:eastAsia="zh-TW"/>
        </w:rPr>
        <w:t>بالقيود المفروضة على الموارد، وترى الدولة الطرف أن ولاية نيو ساوث ويلز قد استوفت ذلك المعيار. وتشير الدولة الطرف كذلك إلى أن أداء الواجب في هيئة محلفين لا</w:t>
      </w:r>
      <w:r w:rsidR="0086606C">
        <w:rPr>
          <w:rtl/>
          <w:lang w:eastAsia="zh-TW"/>
        </w:rPr>
        <w:t xml:space="preserve"> </w:t>
      </w:r>
      <w:r>
        <w:rPr>
          <w:rFonts w:hint="cs"/>
          <w:rtl/>
          <w:lang w:eastAsia="zh-TW"/>
        </w:rPr>
        <w:t>يعد معاملة</w:t>
      </w:r>
      <w:r w:rsidR="0086606C">
        <w:rPr>
          <w:rtl/>
          <w:lang w:eastAsia="zh-TW"/>
        </w:rPr>
        <w:t xml:space="preserve"> </w:t>
      </w:r>
      <w:r w:rsidRPr="00B47131">
        <w:rPr>
          <w:rtl/>
          <w:lang w:eastAsia="zh-TW"/>
        </w:rPr>
        <w:t>رسمي</w:t>
      </w:r>
      <w:r>
        <w:rPr>
          <w:rFonts w:hint="cs"/>
          <w:rtl/>
          <w:lang w:eastAsia="zh-TW"/>
        </w:rPr>
        <w:t>ة</w:t>
      </w:r>
      <w:r w:rsidRPr="00B47131">
        <w:rPr>
          <w:rtl/>
          <w:lang w:eastAsia="zh-TW"/>
        </w:rPr>
        <w:t xml:space="preserve"> بالمعنى المقصود في الفقرة (ب) من المادة 21 من الاتفاقية</w:t>
      </w:r>
      <w:r w:rsidRPr="0086606C">
        <w:rPr>
          <w:vertAlign w:val="superscript"/>
          <w:rtl/>
          <w:lang w:eastAsia="zh-TW"/>
        </w:rPr>
        <w:t>(</w:t>
      </w:r>
      <w:r w:rsidRPr="0086606C">
        <w:rPr>
          <w:rStyle w:val="FootnoteReference"/>
          <w:sz w:val="20"/>
          <w:szCs w:val="30"/>
          <w:rtl/>
          <w:lang w:eastAsia="zh-TW"/>
        </w:rPr>
        <w:footnoteReference w:id="25"/>
      </w:r>
      <w:r w:rsidRPr="0086606C">
        <w:rPr>
          <w:vertAlign w:val="superscript"/>
          <w:rtl/>
          <w:lang w:eastAsia="zh-TW"/>
        </w:rPr>
        <w:t>)</w:t>
      </w:r>
      <w:r w:rsidRPr="00B47131">
        <w:rPr>
          <w:rtl/>
          <w:lang w:eastAsia="zh-TW"/>
        </w:rPr>
        <w:t>. ولذا، ترى الدولة الطرف أن</w:t>
      </w:r>
      <w:r w:rsidR="0086606C">
        <w:rPr>
          <w:rtl/>
          <w:lang w:eastAsia="zh-TW"/>
        </w:rPr>
        <w:t xml:space="preserve"> </w:t>
      </w:r>
      <w:r w:rsidRPr="00B47131">
        <w:rPr>
          <w:rtl/>
          <w:lang w:eastAsia="zh-TW"/>
        </w:rPr>
        <w:t>ادعاء</w:t>
      </w:r>
      <w:r w:rsidR="0086606C">
        <w:rPr>
          <w:rtl/>
          <w:lang w:eastAsia="zh-TW"/>
        </w:rPr>
        <w:t xml:space="preserve"> </w:t>
      </w:r>
      <w:r w:rsidRPr="00B47131">
        <w:rPr>
          <w:rtl/>
          <w:lang w:eastAsia="zh-TW"/>
        </w:rPr>
        <w:t>صاحبة البلاغ في إطار المادة 21 من الاتفاقية يقع خارج نطاق تلك المادة</w:t>
      </w:r>
      <w:r w:rsidR="0086606C">
        <w:rPr>
          <w:rtl/>
          <w:lang w:eastAsia="zh-TW"/>
        </w:rPr>
        <w:t xml:space="preserve"> </w:t>
      </w:r>
      <w:r w:rsidRPr="00B47131">
        <w:rPr>
          <w:rtl/>
          <w:lang w:eastAsia="zh-TW"/>
        </w:rPr>
        <w:t>ولا يستند إلى أي أساس موضوعي.</w:t>
      </w:r>
      <w:bookmarkEnd w:id="2"/>
    </w:p>
    <w:p w:rsidR="0081736E" w:rsidRPr="007A129E" w:rsidRDefault="0081736E" w:rsidP="007A129E">
      <w:pPr>
        <w:pStyle w:val="SingleTxtGA"/>
        <w:rPr>
          <w:spacing w:val="-2"/>
          <w:rtl/>
          <w:lang w:eastAsia="zh-TW"/>
        </w:rPr>
      </w:pPr>
      <w:r w:rsidRPr="007A129E">
        <w:rPr>
          <w:spacing w:val="-2"/>
          <w:rtl/>
          <w:lang w:eastAsia="zh-TW"/>
        </w:rPr>
        <w:t>٤-٨</w:t>
      </w:r>
      <w:r w:rsidRPr="007A129E">
        <w:rPr>
          <w:rFonts w:hint="cs"/>
          <w:spacing w:val="-2"/>
          <w:rtl/>
          <w:lang w:eastAsia="zh-TW"/>
        </w:rPr>
        <w:tab/>
      </w:r>
      <w:r w:rsidRPr="007A129E">
        <w:rPr>
          <w:spacing w:val="-2"/>
          <w:rtl/>
          <w:lang w:eastAsia="zh-TW"/>
        </w:rPr>
        <w:t>وفيما يخص الادعاءات التي قدمتها صاحبة البلاغ في إطار المادة 29، تدفع الدولة الطرف بأن تلك الادعاءات لا تندرج في نطاق أحكام تلك المادة ولا تستند إلى أي أساس موضوعي. وتدفع الدولة الطرف بأن الحقوق السياسية، بالمعنى المقصود في المادة 29، تقتصر على الحقوق المتعلقة بجوانب معينة من العملية السياسية، كالاقتراع والانتخاب والتمثيل، ولا</w:t>
      </w:r>
      <w:r w:rsidR="007A129E" w:rsidRPr="007A129E">
        <w:rPr>
          <w:rFonts w:hint="cs"/>
          <w:spacing w:val="-2"/>
          <w:rtl/>
          <w:lang w:eastAsia="zh-TW"/>
        </w:rPr>
        <w:t> </w:t>
      </w:r>
      <w:r w:rsidRPr="007A129E">
        <w:rPr>
          <w:spacing w:val="-2"/>
          <w:rtl/>
          <w:lang w:eastAsia="zh-TW"/>
        </w:rPr>
        <w:t>تشمل أداء الواجب في هيئة محلفين. وترى الدولة الطرف أن المادة 25 من العهد الدولي الخاص بالحقوق المدنية والسياسية هي المصدر الرئيسي لمضمون المادة 29 من الاتفاقية، وتحيل إلى شروح نطاق أحكام المادة 25 وإلى الاجتهادات القضائية للجنة حقوق الإنسان، التي تؤكد أن أحكام هذه المادة لا تشمل أداء الواجب في هيئة محلفين</w:t>
      </w:r>
      <w:r w:rsidRPr="007A129E">
        <w:rPr>
          <w:spacing w:val="-2"/>
          <w:vertAlign w:val="superscript"/>
          <w:rtl/>
          <w:lang w:eastAsia="zh-TW"/>
        </w:rPr>
        <w:t>(</w:t>
      </w:r>
      <w:r w:rsidRPr="007A129E">
        <w:rPr>
          <w:rStyle w:val="FootnoteReference"/>
          <w:spacing w:val="-2"/>
          <w:sz w:val="20"/>
          <w:szCs w:val="30"/>
          <w:rtl/>
          <w:lang w:eastAsia="zh-TW"/>
        </w:rPr>
        <w:footnoteReference w:id="26"/>
      </w:r>
      <w:r w:rsidRPr="007A129E">
        <w:rPr>
          <w:spacing w:val="-2"/>
          <w:vertAlign w:val="superscript"/>
          <w:rtl/>
          <w:lang w:eastAsia="zh-TW"/>
        </w:rPr>
        <w:t>)</w:t>
      </w:r>
      <w:r w:rsidRPr="007A129E">
        <w:rPr>
          <w:spacing w:val="-2"/>
          <w:rtl/>
          <w:lang w:eastAsia="zh-TW"/>
        </w:rPr>
        <w:t>. وترى الدولة الطرف كذلك أنه ينبغي النظر في ادعاء صاحبة البلاغ في ضوء الشروط والقيود التي يجوز تط</w:t>
      </w:r>
      <w:r w:rsidR="007A129E" w:rsidRPr="007A129E">
        <w:rPr>
          <w:spacing w:val="-2"/>
          <w:rtl/>
          <w:lang w:eastAsia="zh-TW"/>
        </w:rPr>
        <w:t>بيقها وفق</w:t>
      </w:r>
      <w:r w:rsidR="005E3DFA">
        <w:rPr>
          <w:spacing w:val="-2"/>
          <w:rtl/>
          <w:lang w:eastAsia="zh-TW"/>
        </w:rPr>
        <w:t xml:space="preserve">اً </w:t>
      </w:r>
      <w:r w:rsidR="007A129E" w:rsidRPr="007A129E">
        <w:rPr>
          <w:spacing w:val="-2"/>
          <w:rtl/>
          <w:lang w:eastAsia="zh-TW"/>
        </w:rPr>
        <w:t>للتعليق العام رقم</w:t>
      </w:r>
      <w:r w:rsidR="007A129E">
        <w:rPr>
          <w:rFonts w:hint="cs"/>
          <w:spacing w:val="-2"/>
          <w:rtl/>
          <w:lang w:eastAsia="zh-TW"/>
        </w:rPr>
        <w:t> </w:t>
      </w:r>
      <w:r w:rsidR="007A129E" w:rsidRPr="007A129E">
        <w:rPr>
          <w:spacing w:val="-2"/>
          <w:rtl/>
          <w:lang w:eastAsia="zh-TW"/>
        </w:rPr>
        <w:t>25</w:t>
      </w:r>
      <w:r w:rsidRPr="007A129E">
        <w:rPr>
          <w:spacing w:val="-2"/>
          <w:rtl/>
          <w:lang w:eastAsia="zh-TW"/>
        </w:rPr>
        <w:t>(1996) للجنة المعنية بحقوق الإنسان بشأن المادة 25 (المشاركة في إدارة الشؤون العامة والحق في الانتخاب)، وتدفع الدولة الطرف بأن ولاية نيو ساوث ويلز لديها نظام واضح ينظم أداء الواجب في هيئة محلفين ويتيح الإعفاء من أداء هذا الواجب حيثما</w:t>
      </w:r>
      <w:r w:rsidR="0086606C" w:rsidRPr="007A129E">
        <w:rPr>
          <w:spacing w:val="-2"/>
          <w:rtl/>
          <w:lang w:eastAsia="zh-TW"/>
        </w:rPr>
        <w:t xml:space="preserve"> </w:t>
      </w:r>
      <w:r w:rsidRPr="007A129E">
        <w:rPr>
          <w:rFonts w:hint="cs"/>
          <w:spacing w:val="-2"/>
          <w:rtl/>
          <w:lang w:eastAsia="zh-TW"/>
        </w:rPr>
        <w:t>وجد</w:t>
      </w:r>
      <w:r w:rsidRPr="007A129E">
        <w:rPr>
          <w:spacing w:val="-2"/>
          <w:rtl/>
          <w:lang w:eastAsia="zh-TW"/>
        </w:rPr>
        <w:t xml:space="preserve"> </w:t>
      </w:r>
      <w:r w:rsidR="0086606C" w:rsidRPr="007A129E">
        <w:rPr>
          <w:spacing w:val="-2"/>
          <w:rtl/>
          <w:lang w:eastAsia="zh-TW"/>
        </w:rPr>
        <w:t>"</w:t>
      </w:r>
      <w:r w:rsidRPr="007A129E">
        <w:rPr>
          <w:spacing w:val="-2"/>
          <w:rtl/>
          <w:lang w:eastAsia="zh-TW"/>
        </w:rPr>
        <w:t>سبب وجيه</w:t>
      </w:r>
      <w:r w:rsidR="0086606C" w:rsidRPr="007A129E">
        <w:rPr>
          <w:spacing w:val="-2"/>
          <w:rtl/>
          <w:lang w:eastAsia="zh-TW"/>
        </w:rPr>
        <w:t>"</w:t>
      </w:r>
      <w:r w:rsidRPr="007A129E">
        <w:rPr>
          <w:spacing w:val="-2"/>
          <w:vertAlign w:val="superscript"/>
          <w:rtl/>
          <w:lang w:eastAsia="zh-TW"/>
        </w:rPr>
        <w:t>(</w:t>
      </w:r>
      <w:r w:rsidRPr="007A129E">
        <w:rPr>
          <w:rStyle w:val="FootnoteReference"/>
          <w:spacing w:val="-2"/>
          <w:sz w:val="20"/>
          <w:szCs w:val="30"/>
          <w:rtl/>
          <w:lang w:eastAsia="zh-TW"/>
        </w:rPr>
        <w:footnoteReference w:id="27"/>
      </w:r>
      <w:r w:rsidRPr="007A129E">
        <w:rPr>
          <w:spacing w:val="-2"/>
          <w:vertAlign w:val="superscript"/>
          <w:rtl/>
          <w:lang w:eastAsia="zh-TW"/>
        </w:rPr>
        <w:t>)</w:t>
      </w:r>
      <w:r w:rsidRPr="007A129E">
        <w:rPr>
          <w:spacing w:val="-2"/>
          <w:rtl/>
          <w:lang w:eastAsia="zh-TW"/>
        </w:rPr>
        <w:t xml:space="preserve">. </w:t>
      </w:r>
    </w:p>
    <w:p w:rsidR="0081736E" w:rsidRPr="00B47131" w:rsidRDefault="0081736E" w:rsidP="007A129E">
      <w:pPr>
        <w:pStyle w:val="SingleTxtGA"/>
        <w:rPr>
          <w:rtl/>
          <w:lang w:eastAsia="zh-TW"/>
        </w:rPr>
      </w:pPr>
      <w:r>
        <w:rPr>
          <w:rtl/>
          <w:lang w:eastAsia="zh-TW"/>
        </w:rPr>
        <w:t>٤-٩</w:t>
      </w:r>
      <w:r>
        <w:rPr>
          <w:rFonts w:hint="cs"/>
          <w:rtl/>
          <w:lang w:eastAsia="zh-TW"/>
        </w:rPr>
        <w:tab/>
      </w:r>
      <w:r w:rsidRPr="00B47131">
        <w:rPr>
          <w:rtl/>
          <w:lang w:eastAsia="zh-TW"/>
        </w:rPr>
        <w:t>وفيما يخص ادعاء صاحبة</w:t>
      </w:r>
      <w:r w:rsidR="0086606C">
        <w:rPr>
          <w:rtl/>
          <w:lang w:eastAsia="zh-TW"/>
        </w:rPr>
        <w:t xml:space="preserve"> </w:t>
      </w:r>
      <w:r w:rsidRPr="00B47131">
        <w:rPr>
          <w:rtl/>
          <w:lang w:eastAsia="zh-TW"/>
        </w:rPr>
        <w:t>البلاغ المقدم في إطار المادة 5 من الاتفاقية، ترى الدولة الطرف أن ذلك الادعاء لا</w:t>
      </w:r>
      <w:r w:rsidR="007A129E">
        <w:rPr>
          <w:rFonts w:hint="cs"/>
          <w:rtl/>
          <w:lang w:eastAsia="zh-TW"/>
        </w:rPr>
        <w:t> </w:t>
      </w:r>
      <w:r w:rsidRPr="00B47131">
        <w:rPr>
          <w:rtl/>
          <w:lang w:eastAsia="zh-TW"/>
        </w:rPr>
        <w:t>يستند إلى أي أساس موضوعي. وتشير الدولة الطرف إلى أن الاتفاقية تمثل خطوة هامة في الاعتراف بحقوق الأشخاص ذوي الإعاقة والتوعية بها وبضرورة اتباع نهج جديد في هذا الصدد. وترى الدولة الطرف أن الاتفاقية لا تنشئ حقوق</w:t>
      </w:r>
      <w:r w:rsidR="005E3DFA">
        <w:rPr>
          <w:rtl/>
          <w:lang w:eastAsia="zh-TW"/>
        </w:rPr>
        <w:t xml:space="preserve">اً </w:t>
      </w:r>
      <w:r w:rsidRPr="00B47131">
        <w:rPr>
          <w:rtl/>
          <w:lang w:eastAsia="zh-TW"/>
        </w:rPr>
        <w:t>جديدة، وإنما</w:t>
      </w:r>
      <w:r w:rsidR="007A129E">
        <w:rPr>
          <w:rFonts w:hint="cs"/>
          <w:rtl/>
          <w:lang w:eastAsia="zh-TW"/>
        </w:rPr>
        <w:t> </w:t>
      </w:r>
      <w:r w:rsidRPr="00B47131">
        <w:rPr>
          <w:rtl/>
          <w:lang w:eastAsia="zh-TW"/>
        </w:rPr>
        <w:t>توضح الحقوق القائمة بما يكفل للأشخاص ذوي الإعاقة إمكا</w:t>
      </w:r>
      <w:r w:rsidR="0086606C">
        <w:rPr>
          <w:rtl/>
          <w:lang w:eastAsia="zh-TW"/>
        </w:rPr>
        <w:t>نية ممارستها</w:t>
      </w:r>
      <w:r w:rsidRPr="0086606C">
        <w:rPr>
          <w:vertAlign w:val="superscript"/>
          <w:rtl/>
          <w:lang w:eastAsia="zh-TW"/>
        </w:rPr>
        <w:t>(</w:t>
      </w:r>
      <w:r w:rsidRPr="0086606C">
        <w:rPr>
          <w:rStyle w:val="FootnoteReference"/>
          <w:sz w:val="20"/>
          <w:szCs w:val="30"/>
          <w:rtl/>
          <w:lang w:eastAsia="zh-TW"/>
        </w:rPr>
        <w:footnoteReference w:id="28"/>
      </w:r>
      <w:r w:rsidRPr="0086606C">
        <w:rPr>
          <w:vertAlign w:val="superscript"/>
          <w:rtl/>
          <w:lang w:eastAsia="zh-TW"/>
        </w:rPr>
        <w:t>)</w:t>
      </w:r>
      <w:r w:rsidRPr="00B47131">
        <w:rPr>
          <w:rtl/>
          <w:lang w:eastAsia="zh-TW"/>
        </w:rPr>
        <w:t xml:space="preserve">. ومن ثم، فإنه ينبغي تفسير المادة 5 تفسيراً يتسق مع الاجتهاد القضائي الثابت القائل إن التفرقة المشروعة </w:t>
      </w:r>
      <w:r w:rsidRPr="00B47131">
        <w:rPr>
          <w:rtl/>
          <w:lang w:eastAsia="zh-TW"/>
        </w:rPr>
        <w:lastRenderedPageBreak/>
        <w:t>في المعاملة لا تعدّ تمييزاً. وعلاوة على ذلك، وحتى إذا كان على الدول الأطراف التزام قانوني باتخاذ الخطوات اللازمة لاحترام الحق في عدم التعرض للتمييز، وحمايته وتعزيزه وإعماله، فإن مبدأي المساواة وعدم التمييز ينبغي ألاّ يفهما على أنهما يقتضيان معاملة جميع الأشخاص معاملة مماثلة في جميع الظروف</w:t>
      </w:r>
      <w:r w:rsidRPr="0086606C">
        <w:rPr>
          <w:vertAlign w:val="superscript"/>
          <w:rtl/>
          <w:lang w:eastAsia="zh-TW"/>
        </w:rPr>
        <w:t>(</w:t>
      </w:r>
      <w:r w:rsidRPr="0086606C">
        <w:rPr>
          <w:rStyle w:val="FootnoteReference"/>
          <w:sz w:val="20"/>
          <w:szCs w:val="30"/>
          <w:rtl/>
          <w:lang w:eastAsia="zh-TW"/>
        </w:rPr>
        <w:footnoteReference w:id="29"/>
      </w:r>
      <w:r w:rsidRPr="0086606C">
        <w:rPr>
          <w:vertAlign w:val="superscript"/>
          <w:rtl/>
          <w:lang w:eastAsia="zh-TW"/>
        </w:rPr>
        <w:t>)</w:t>
      </w:r>
      <w:r w:rsidRPr="00B47131">
        <w:rPr>
          <w:rtl/>
          <w:lang w:eastAsia="zh-TW"/>
        </w:rPr>
        <w:t>. ولذا، ترى الدولة الطرف أن قانونها الوطني ذا الصلة لا</w:t>
      </w:r>
      <w:r w:rsidR="007A129E">
        <w:rPr>
          <w:rFonts w:hint="cs"/>
          <w:rtl/>
          <w:lang w:eastAsia="zh-TW"/>
        </w:rPr>
        <w:t> </w:t>
      </w:r>
      <w:r w:rsidRPr="00B47131">
        <w:rPr>
          <w:rtl/>
          <w:lang w:eastAsia="zh-TW"/>
        </w:rPr>
        <w:t>ينطوي على تمييز، لأن المعاملة</w:t>
      </w:r>
      <w:r w:rsidR="0086606C">
        <w:rPr>
          <w:rtl/>
          <w:lang w:eastAsia="zh-TW"/>
        </w:rPr>
        <w:t xml:space="preserve"> </w:t>
      </w:r>
      <w:r w:rsidRPr="00B47131">
        <w:rPr>
          <w:rtl/>
          <w:lang w:eastAsia="zh-TW"/>
        </w:rPr>
        <w:t>التفضيلية المنصوص عليها في قانون المحلفين ترمي إلى تحقيق توازن بين حقوق الأشخاص ذوي الإعاقة وحقوق المتهم في محاكمة عادلة. وبالإضافة إلى ذلك، فإن ولاية نيو ساوث ويلز تيسِّر، في قانونها وممارساتها وسياساتها العامة، مشاركة الأشخاص ذوي الإعاقة السمعية في هيئات المحلفين، حيثما أمكن، وفق</w:t>
      </w:r>
      <w:r w:rsidR="005E3DFA">
        <w:rPr>
          <w:rtl/>
          <w:lang w:eastAsia="zh-TW"/>
        </w:rPr>
        <w:t xml:space="preserve">اً </w:t>
      </w:r>
      <w:r w:rsidRPr="00B47131">
        <w:rPr>
          <w:rtl/>
          <w:lang w:eastAsia="zh-TW"/>
        </w:rPr>
        <w:t xml:space="preserve">لأحكام الفقرة 3 من المادة 5 من الاتفاقية، ويقتصر تقييد المشاركة على الحالات التي قد تؤدي فيها إعاقة الشخص إلى جعله </w:t>
      </w:r>
      <w:r w:rsidR="0086606C">
        <w:rPr>
          <w:rtl/>
          <w:lang w:eastAsia="zh-TW"/>
        </w:rPr>
        <w:t>"</w:t>
      </w:r>
      <w:r w:rsidRPr="00B47131">
        <w:rPr>
          <w:rtl/>
          <w:lang w:eastAsia="zh-TW"/>
        </w:rPr>
        <w:t>غير لائق لأداء مهام المحلف بفعالية أو غير قادر على ذلك</w:t>
      </w:r>
      <w:r w:rsidR="0086606C">
        <w:rPr>
          <w:rtl/>
          <w:lang w:eastAsia="zh-TW"/>
        </w:rPr>
        <w:t>"</w:t>
      </w:r>
      <w:r w:rsidRPr="0086606C">
        <w:rPr>
          <w:vertAlign w:val="superscript"/>
          <w:rtl/>
          <w:lang w:eastAsia="zh-TW"/>
        </w:rPr>
        <w:t>(</w:t>
      </w:r>
      <w:r w:rsidRPr="0086606C">
        <w:rPr>
          <w:rStyle w:val="FootnoteReference"/>
          <w:sz w:val="20"/>
          <w:szCs w:val="30"/>
          <w:rtl/>
          <w:lang w:eastAsia="zh-TW"/>
        </w:rPr>
        <w:footnoteReference w:id="30"/>
      </w:r>
      <w:r w:rsidRPr="0086606C">
        <w:rPr>
          <w:vertAlign w:val="superscript"/>
          <w:rtl/>
          <w:lang w:eastAsia="zh-TW"/>
        </w:rPr>
        <w:t>)</w:t>
      </w:r>
      <w:r w:rsidRPr="00B47131">
        <w:rPr>
          <w:rtl/>
          <w:lang w:eastAsia="zh-TW"/>
        </w:rPr>
        <w:t xml:space="preserve">. </w:t>
      </w:r>
    </w:p>
    <w:p w:rsidR="0081736E" w:rsidRPr="00B47131" w:rsidRDefault="0081736E" w:rsidP="0081736E">
      <w:pPr>
        <w:pStyle w:val="SingleTxtGA"/>
        <w:rPr>
          <w:rtl/>
          <w:lang w:eastAsia="zh-TW"/>
        </w:rPr>
      </w:pPr>
      <w:r>
        <w:rPr>
          <w:rtl/>
          <w:lang w:eastAsia="zh-TW"/>
        </w:rPr>
        <w:t>٤-١٠</w:t>
      </w:r>
      <w:r>
        <w:rPr>
          <w:rFonts w:hint="cs"/>
          <w:rtl/>
          <w:lang w:eastAsia="zh-TW"/>
        </w:rPr>
        <w:tab/>
      </w:r>
      <w:r w:rsidRPr="00B47131">
        <w:rPr>
          <w:rtl/>
          <w:lang w:eastAsia="zh-TW"/>
        </w:rPr>
        <w:t>وفيما يتعلق</w:t>
      </w:r>
      <w:r w:rsidR="0086606C">
        <w:rPr>
          <w:rtl/>
          <w:lang w:eastAsia="zh-TW"/>
        </w:rPr>
        <w:t xml:space="preserve"> </w:t>
      </w:r>
      <w:r>
        <w:rPr>
          <w:rFonts w:hint="cs"/>
          <w:rtl/>
          <w:lang w:eastAsia="zh-TW"/>
        </w:rPr>
        <w:t>ب</w:t>
      </w:r>
      <w:r w:rsidRPr="00B47131">
        <w:rPr>
          <w:rtl/>
          <w:lang w:eastAsia="zh-TW"/>
        </w:rPr>
        <w:t>ادعاءات</w:t>
      </w:r>
      <w:r w:rsidR="0086606C">
        <w:rPr>
          <w:rtl/>
          <w:lang w:eastAsia="zh-TW"/>
        </w:rPr>
        <w:t xml:space="preserve"> </w:t>
      </w:r>
      <w:r w:rsidRPr="00B47131">
        <w:rPr>
          <w:rtl/>
          <w:lang w:eastAsia="zh-TW"/>
        </w:rPr>
        <w:t>صاحبة البلاغ في إطار المواد 2</w:t>
      </w:r>
      <w:r w:rsidR="00F05419">
        <w:rPr>
          <w:rtl/>
          <w:lang w:eastAsia="zh-TW"/>
        </w:rPr>
        <w:t xml:space="preserve"> و</w:t>
      </w:r>
      <w:r w:rsidRPr="00B47131">
        <w:rPr>
          <w:rtl/>
          <w:lang w:eastAsia="zh-TW"/>
        </w:rPr>
        <w:t>4</w:t>
      </w:r>
      <w:r w:rsidR="00F05419">
        <w:rPr>
          <w:rtl/>
          <w:lang w:eastAsia="zh-TW"/>
        </w:rPr>
        <w:t xml:space="preserve"> و</w:t>
      </w:r>
      <w:r w:rsidRPr="00B47131">
        <w:rPr>
          <w:rtl/>
          <w:lang w:eastAsia="zh-TW"/>
        </w:rPr>
        <w:t>9 من الاتفاقية، ترى الدولة الطرف أن هذه الادعاءات لا تستند إلى أي أساس موضوعي لعدم إثباتها بأدلة. وتحتج الدولة الطرف بأنها ملتزمة التزاماً قوياً باحترام حقوق الأشخاص ذوي الإعاقة وبتمكينهم من التمتع بجميع حقوق الإنسان على قدم المساواة مع الآخرين، وفقاً لأحكام الاتفاقية. وتقر الدولة الطرف بأنه ينبغي للدول الأطراف أن تمتنع عن أي أفعال أو ممارسات منافية لأحكام الاتفاقية، وأن تعزز البحث والتطوير</w:t>
      </w:r>
      <w:r w:rsidR="00F05419">
        <w:rPr>
          <w:rtl/>
          <w:lang w:eastAsia="zh-TW"/>
        </w:rPr>
        <w:t xml:space="preserve"> و</w:t>
      </w:r>
      <w:r>
        <w:rPr>
          <w:rFonts w:hint="cs"/>
          <w:rtl/>
          <w:lang w:eastAsia="zh-TW"/>
        </w:rPr>
        <w:t>تزيد من إتاحة</w:t>
      </w:r>
      <w:r w:rsidRPr="00B47131">
        <w:rPr>
          <w:rtl/>
          <w:lang w:eastAsia="zh-TW"/>
        </w:rPr>
        <w:t xml:space="preserve"> التكنولوجيات الجديدة الملائمة</w:t>
      </w:r>
      <w:r w:rsidR="00F05419">
        <w:rPr>
          <w:rtl/>
          <w:lang w:eastAsia="zh-TW"/>
        </w:rPr>
        <w:t xml:space="preserve"> و</w:t>
      </w:r>
      <w:r w:rsidRPr="00B47131">
        <w:rPr>
          <w:rtl/>
          <w:lang w:eastAsia="zh-TW"/>
        </w:rPr>
        <w:t xml:space="preserve">تكفل إمكانية استفادة جميع الأشخاص ذوي الإعاقة منها. </w:t>
      </w:r>
    </w:p>
    <w:p w:rsidR="0081736E" w:rsidRPr="003B4EFD" w:rsidRDefault="0081736E" w:rsidP="0081736E">
      <w:pPr>
        <w:pStyle w:val="H23GA"/>
        <w:rPr>
          <w:rtl/>
        </w:rPr>
      </w:pPr>
      <w:r w:rsidRPr="00B47131">
        <w:rPr>
          <w:rtl/>
        </w:rPr>
        <w:tab/>
      </w:r>
      <w:r w:rsidRPr="00B47131">
        <w:rPr>
          <w:rtl/>
        </w:rPr>
        <w:tab/>
      </w:r>
      <w:r w:rsidRPr="003B4EFD">
        <w:rPr>
          <w:rtl/>
        </w:rPr>
        <w:t>تعليقات صاحبة البلاغ على ملاحظات الدولة الطرف</w:t>
      </w:r>
    </w:p>
    <w:p w:rsidR="0081736E" w:rsidRPr="007A129E" w:rsidRDefault="0081736E" w:rsidP="007A129E">
      <w:pPr>
        <w:pStyle w:val="SingleTxtGA"/>
        <w:rPr>
          <w:spacing w:val="-2"/>
          <w:w w:val="103"/>
          <w:rtl/>
          <w:lang w:eastAsia="zh-TW"/>
        </w:rPr>
      </w:pPr>
      <w:r w:rsidRPr="007A129E">
        <w:rPr>
          <w:spacing w:val="-2"/>
          <w:rtl/>
          <w:lang w:eastAsia="zh-TW"/>
        </w:rPr>
        <w:t>٥-١</w:t>
      </w:r>
      <w:r w:rsidRPr="007A129E">
        <w:rPr>
          <w:rFonts w:hint="cs"/>
          <w:spacing w:val="-2"/>
          <w:rtl/>
          <w:lang w:eastAsia="zh-TW"/>
        </w:rPr>
        <w:tab/>
      </w:r>
      <w:r w:rsidRPr="007A129E">
        <w:rPr>
          <w:spacing w:val="-2"/>
          <w:rtl/>
          <w:lang w:eastAsia="zh-TW"/>
        </w:rPr>
        <w:t>في 28 أيار/مايو 2015، رفضت صاحبة البلاغ ادعاءات الدولة الطرف أن بلاغها غير مقبول بمقتضى أحكام الفقرة (د) من المادة 2 من البروتوكول الاختياري. وتدفع صاحبة البلاغ بأن اللجنة الأسترالية لحقوق الإنسان ومجلس مناهضة التمييز في نيو ساوث ويلز</w:t>
      </w:r>
      <w:r w:rsidR="0086606C" w:rsidRPr="007A129E">
        <w:rPr>
          <w:spacing w:val="-2"/>
          <w:rtl/>
          <w:lang w:eastAsia="zh-TW"/>
        </w:rPr>
        <w:t xml:space="preserve"> </w:t>
      </w:r>
      <w:r w:rsidRPr="007A129E">
        <w:rPr>
          <w:spacing w:val="-2"/>
          <w:rtl/>
          <w:lang w:eastAsia="zh-TW"/>
        </w:rPr>
        <w:t>ليستا هيئتين قضائيتين، وبالتالي، فإنهما لا تتمتعان بصلاحية إجراء مراجعة قضائية أو الأمر بتوفير سبل الانتصاف في الشكاوى المعروضة عليهما بموجب قانون التمييز على أساس الإعاقة أو قانون مناهضة التمييز. ذلك أن صلاحياتهما تقتصر على التحقيق في الشكاوى والتوفيق بين أطرافها</w:t>
      </w:r>
      <w:r w:rsidRPr="007A129E">
        <w:rPr>
          <w:rFonts w:hint="cs"/>
          <w:spacing w:val="-2"/>
          <w:rtl/>
          <w:lang w:eastAsia="zh-TW"/>
        </w:rPr>
        <w:t>.</w:t>
      </w:r>
      <w:r w:rsidRPr="007A129E">
        <w:rPr>
          <w:spacing w:val="-2"/>
          <w:rtl/>
          <w:lang w:eastAsia="zh-TW"/>
        </w:rPr>
        <w:t xml:space="preserve"> وتدفع صاحبة البلاغ بأن حكومة أستراليا لم تثبت للجنة </w:t>
      </w:r>
      <w:r w:rsidRPr="007A129E">
        <w:rPr>
          <w:rFonts w:hint="cs"/>
          <w:spacing w:val="-2"/>
          <w:rtl/>
          <w:lang w:eastAsia="zh-TW"/>
        </w:rPr>
        <w:t>فيما</w:t>
      </w:r>
      <w:r w:rsidR="0086606C" w:rsidRPr="007A129E">
        <w:rPr>
          <w:rFonts w:hint="cs"/>
          <w:spacing w:val="-2"/>
          <w:rtl/>
          <w:lang w:eastAsia="zh-TW"/>
        </w:rPr>
        <w:t xml:space="preserve"> </w:t>
      </w:r>
      <w:r w:rsidRPr="007A129E">
        <w:rPr>
          <w:rFonts w:hint="cs"/>
          <w:spacing w:val="-2"/>
          <w:rtl/>
          <w:lang w:eastAsia="zh-TW"/>
        </w:rPr>
        <w:t xml:space="preserve">يشكل </w:t>
      </w:r>
      <w:r w:rsidRPr="007A129E">
        <w:rPr>
          <w:spacing w:val="-2"/>
          <w:rtl/>
          <w:lang w:eastAsia="zh-TW"/>
        </w:rPr>
        <w:t>تقديم شكوى إلى اللجنة أو</w:t>
      </w:r>
      <w:r w:rsidR="007A129E">
        <w:rPr>
          <w:rFonts w:hint="cs"/>
          <w:spacing w:val="-2"/>
          <w:rtl/>
          <w:lang w:eastAsia="zh-TW"/>
        </w:rPr>
        <w:t> </w:t>
      </w:r>
      <w:r w:rsidRPr="007A129E">
        <w:rPr>
          <w:spacing w:val="-2"/>
          <w:rtl/>
          <w:lang w:eastAsia="zh-TW"/>
        </w:rPr>
        <w:t>المجلس</w:t>
      </w:r>
      <w:r w:rsidR="0086606C" w:rsidRPr="007A129E">
        <w:rPr>
          <w:spacing w:val="-2"/>
          <w:rtl/>
          <w:lang w:eastAsia="zh-TW"/>
        </w:rPr>
        <w:t xml:space="preserve"> </w:t>
      </w:r>
      <w:r w:rsidRPr="007A129E">
        <w:rPr>
          <w:spacing w:val="-2"/>
          <w:rtl/>
          <w:lang w:eastAsia="zh-TW"/>
        </w:rPr>
        <w:t>سبيل انتصاف قانوني فعال</w:t>
      </w:r>
      <w:r w:rsidR="005E3DFA">
        <w:rPr>
          <w:rFonts w:hint="cs"/>
          <w:spacing w:val="-2"/>
          <w:rtl/>
          <w:lang w:eastAsia="zh-TW"/>
        </w:rPr>
        <w:t xml:space="preserve">اً </w:t>
      </w:r>
      <w:r w:rsidRPr="007A129E">
        <w:rPr>
          <w:spacing w:val="-2"/>
          <w:rtl/>
          <w:lang w:eastAsia="zh-TW"/>
        </w:rPr>
        <w:t>بالنسبة إليها، في الوقت الذي أنهت فيه اللجنة الأسترالية لحقوق الإنسان نظرها في شكاوى مماثلة لعدم وجود احتمال معقول للتوفيق بين الأطراف</w:t>
      </w:r>
      <w:r w:rsidRPr="007A129E">
        <w:rPr>
          <w:spacing w:val="-2"/>
          <w:vertAlign w:val="superscript"/>
          <w:rtl/>
          <w:lang w:eastAsia="zh-TW"/>
        </w:rPr>
        <w:t>(</w:t>
      </w:r>
      <w:r w:rsidRPr="007A129E">
        <w:rPr>
          <w:rStyle w:val="FootnoteReference"/>
          <w:spacing w:val="-2"/>
          <w:sz w:val="20"/>
          <w:szCs w:val="30"/>
          <w:rtl/>
          <w:lang w:eastAsia="zh-TW"/>
        </w:rPr>
        <w:footnoteReference w:id="31"/>
      </w:r>
      <w:r w:rsidRPr="007A129E">
        <w:rPr>
          <w:spacing w:val="-2"/>
          <w:vertAlign w:val="superscript"/>
          <w:rtl/>
          <w:lang w:eastAsia="zh-TW"/>
        </w:rPr>
        <w:t>)</w:t>
      </w:r>
      <w:r w:rsidRPr="007A129E">
        <w:rPr>
          <w:spacing w:val="-2"/>
          <w:rtl/>
          <w:lang w:eastAsia="zh-TW"/>
        </w:rPr>
        <w:t xml:space="preserve">. </w:t>
      </w:r>
    </w:p>
    <w:p w:rsidR="0081736E" w:rsidRPr="00B47131" w:rsidRDefault="0081736E" w:rsidP="005C3AD7">
      <w:pPr>
        <w:pStyle w:val="SingleTxtGA"/>
        <w:rPr>
          <w:w w:val="103"/>
          <w:rtl/>
          <w:lang w:eastAsia="zh-TW"/>
        </w:rPr>
      </w:pPr>
      <w:r>
        <w:rPr>
          <w:rtl/>
          <w:lang w:eastAsia="zh-TW"/>
        </w:rPr>
        <w:lastRenderedPageBreak/>
        <w:t>٥-٢</w:t>
      </w:r>
      <w:r>
        <w:rPr>
          <w:rFonts w:hint="cs"/>
          <w:rtl/>
          <w:lang w:eastAsia="zh-TW"/>
        </w:rPr>
        <w:tab/>
      </w:r>
      <w:r w:rsidRPr="00B47131">
        <w:rPr>
          <w:rtl/>
          <w:lang w:eastAsia="zh-TW"/>
        </w:rPr>
        <w:t>و</w:t>
      </w:r>
      <w:r>
        <w:rPr>
          <w:rFonts w:hint="cs"/>
          <w:rtl/>
          <w:lang w:eastAsia="zh-TW"/>
        </w:rPr>
        <w:t>لكي يتسنى لأي مقدم طلب</w:t>
      </w:r>
      <w:r w:rsidR="0086606C">
        <w:rPr>
          <w:rFonts w:hint="cs"/>
          <w:rtl/>
          <w:lang w:eastAsia="zh-TW"/>
        </w:rPr>
        <w:t xml:space="preserve"> </w:t>
      </w:r>
      <w:r w:rsidRPr="00B47131">
        <w:rPr>
          <w:rtl/>
          <w:lang w:eastAsia="zh-TW"/>
        </w:rPr>
        <w:t>عرض مسألة ما على المحاكم القضائية أو على المحكمة الإدارية بولاية نيو ساوث ويلز، يجب أن يكون لد</w:t>
      </w:r>
      <w:r>
        <w:rPr>
          <w:rFonts w:hint="cs"/>
          <w:rtl/>
          <w:lang w:eastAsia="zh-TW"/>
        </w:rPr>
        <w:t>يه</w:t>
      </w:r>
      <w:r w:rsidR="0086606C">
        <w:rPr>
          <w:rFonts w:hint="cs"/>
          <w:rtl/>
          <w:lang w:eastAsia="zh-TW"/>
        </w:rPr>
        <w:t xml:space="preserve"> </w:t>
      </w:r>
      <w:r w:rsidRPr="00B47131">
        <w:rPr>
          <w:rtl/>
          <w:lang w:eastAsia="zh-TW"/>
        </w:rPr>
        <w:t>سبب لإقامة الدعوى وادعاء يستند إلى ذلك السبب وتكون فرص نجاحه معقولة. وفي هذا الصدد، تدفع صاحبة البلاغ بأنه لم يكن لديها</w:t>
      </w:r>
      <w:r w:rsidR="0086606C">
        <w:rPr>
          <w:rtl/>
          <w:lang w:eastAsia="zh-TW"/>
        </w:rPr>
        <w:t xml:space="preserve"> </w:t>
      </w:r>
      <w:r>
        <w:rPr>
          <w:rFonts w:hint="cs"/>
          <w:rtl/>
          <w:lang w:eastAsia="zh-TW"/>
        </w:rPr>
        <w:t>مسوغات لإقامة</w:t>
      </w:r>
      <w:r w:rsidRPr="00B47131">
        <w:rPr>
          <w:rtl/>
          <w:lang w:eastAsia="zh-TW"/>
        </w:rPr>
        <w:t xml:space="preserve"> دعوى بموجب قانون مناهضة التمييز على أساس الإعاقة أو قانون مناهضة التمييز</w:t>
      </w:r>
      <w:r w:rsidR="0086606C">
        <w:rPr>
          <w:rtl/>
          <w:lang w:eastAsia="zh-TW"/>
        </w:rPr>
        <w:t xml:space="preserve"> </w:t>
      </w:r>
      <w:r>
        <w:rPr>
          <w:rFonts w:hint="cs"/>
          <w:rtl/>
          <w:lang w:eastAsia="zh-TW"/>
        </w:rPr>
        <w:t>بما يخولها</w:t>
      </w:r>
      <w:r w:rsidR="0086606C">
        <w:rPr>
          <w:rtl/>
          <w:lang w:eastAsia="zh-TW"/>
        </w:rPr>
        <w:t xml:space="preserve"> </w:t>
      </w:r>
      <w:r w:rsidRPr="00B47131">
        <w:rPr>
          <w:rtl/>
          <w:lang w:eastAsia="zh-TW"/>
        </w:rPr>
        <w:t>عرض شكوى على محاكم الدولة الطرف، وتشير صاحبة البلاغ إلى السابقة القضائية المحلية ف</w:t>
      </w:r>
      <w:r w:rsidR="0086606C">
        <w:rPr>
          <w:rtl/>
          <w:lang w:eastAsia="zh-TW"/>
        </w:rPr>
        <w:t xml:space="preserve">ي قضية </w:t>
      </w:r>
      <w:r w:rsidR="0086606C" w:rsidRPr="005C3AD7">
        <w:rPr>
          <w:i/>
          <w:iCs/>
          <w:rtl/>
          <w:lang w:eastAsia="zh-TW"/>
        </w:rPr>
        <w:t xml:space="preserve">ليونس ضد ولاية </w:t>
      </w:r>
      <w:proofErr w:type="spellStart"/>
      <w:r w:rsidR="0086606C" w:rsidRPr="005C3AD7">
        <w:rPr>
          <w:i/>
          <w:iCs/>
          <w:rtl/>
          <w:lang w:eastAsia="zh-TW"/>
        </w:rPr>
        <w:t>كوينزلاند</w:t>
      </w:r>
      <w:proofErr w:type="spellEnd"/>
      <w:r w:rsidRPr="0086606C">
        <w:rPr>
          <w:vertAlign w:val="superscript"/>
          <w:rtl/>
          <w:lang w:eastAsia="zh-TW"/>
        </w:rPr>
        <w:t>(</w:t>
      </w:r>
      <w:r w:rsidRPr="0086606C">
        <w:rPr>
          <w:rStyle w:val="FootnoteReference"/>
          <w:sz w:val="20"/>
          <w:szCs w:val="30"/>
          <w:rtl/>
          <w:lang w:eastAsia="zh-TW"/>
        </w:rPr>
        <w:footnoteReference w:id="32"/>
      </w:r>
      <w:r w:rsidRPr="0086606C">
        <w:rPr>
          <w:vertAlign w:val="superscript"/>
          <w:rtl/>
          <w:lang w:eastAsia="zh-TW"/>
        </w:rPr>
        <w:t>)</w:t>
      </w:r>
      <w:r w:rsidRPr="00B47131">
        <w:rPr>
          <w:rtl/>
          <w:lang w:eastAsia="zh-TW"/>
        </w:rPr>
        <w:t xml:space="preserve">. ففي تلك القضية، استبعد والي قضاء ولاية </w:t>
      </w:r>
      <w:proofErr w:type="spellStart"/>
      <w:r w:rsidRPr="00B47131">
        <w:rPr>
          <w:rtl/>
          <w:lang w:eastAsia="zh-TW"/>
        </w:rPr>
        <w:t>كوينزلاند</w:t>
      </w:r>
      <w:proofErr w:type="spellEnd"/>
      <w:r w:rsidRPr="00B47131">
        <w:rPr>
          <w:rtl/>
          <w:lang w:eastAsia="zh-TW"/>
        </w:rPr>
        <w:t xml:space="preserve"> الشاكية من أداء واجبها في هيئة محلفين لأنها طلبت تزويدها بمترجم إلى لغة الإشارة الأسترالية، ولكن الشاكية تمكنت من إقامة دعوى تمييز على أساس الإصابة بعاهة بموجب قانون مناهضة التمييز لعام 1991 (بولاية </w:t>
      </w:r>
      <w:proofErr w:type="spellStart"/>
      <w:r w:rsidRPr="00B47131">
        <w:rPr>
          <w:rtl/>
          <w:lang w:eastAsia="zh-TW"/>
        </w:rPr>
        <w:t>كوينزلاند</w:t>
      </w:r>
      <w:proofErr w:type="spellEnd"/>
      <w:r w:rsidRPr="00B47131">
        <w:rPr>
          <w:rtl/>
          <w:lang w:eastAsia="zh-TW"/>
        </w:rPr>
        <w:t xml:space="preserve">)، وذلك لأن </w:t>
      </w:r>
      <w:r w:rsidR="0086606C">
        <w:rPr>
          <w:rtl/>
          <w:lang w:eastAsia="zh-TW"/>
        </w:rPr>
        <w:t>"</w:t>
      </w:r>
      <w:r w:rsidRPr="00B47131">
        <w:rPr>
          <w:rtl/>
          <w:lang w:eastAsia="zh-TW"/>
        </w:rPr>
        <w:t>تطبيق قوانين الولاية وبرامجها</w:t>
      </w:r>
      <w:r w:rsidR="0086606C">
        <w:rPr>
          <w:rtl/>
          <w:lang w:eastAsia="zh-TW"/>
        </w:rPr>
        <w:t>"</w:t>
      </w:r>
      <w:r w:rsidR="005C3AD7">
        <w:rPr>
          <w:rFonts w:hint="cs"/>
          <w:rtl/>
          <w:lang w:eastAsia="zh-TW"/>
        </w:rPr>
        <w:t xml:space="preserve"> </w:t>
      </w:r>
      <w:r w:rsidRPr="00B47131">
        <w:rPr>
          <w:rtl/>
          <w:lang w:eastAsia="zh-TW"/>
        </w:rPr>
        <w:t xml:space="preserve">هو أحد مجدالات الحياة التي يُحظر التمييز فيها، ولأن والي قضاء </w:t>
      </w:r>
      <w:proofErr w:type="spellStart"/>
      <w:r w:rsidRPr="00B47131">
        <w:rPr>
          <w:rtl/>
          <w:lang w:eastAsia="zh-TW"/>
        </w:rPr>
        <w:t>كوينزلاند</w:t>
      </w:r>
      <w:proofErr w:type="spellEnd"/>
      <w:r w:rsidRPr="00B47131">
        <w:rPr>
          <w:rtl/>
          <w:lang w:eastAsia="zh-TW"/>
        </w:rPr>
        <w:t>، باستبعاده</w:t>
      </w:r>
      <w:r>
        <w:rPr>
          <w:rFonts w:hint="cs"/>
          <w:rtl/>
          <w:lang w:eastAsia="zh-TW"/>
        </w:rPr>
        <w:t>ا</w:t>
      </w:r>
      <w:r w:rsidR="0086606C">
        <w:rPr>
          <w:rtl/>
          <w:lang w:eastAsia="zh-TW"/>
        </w:rPr>
        <w:t xml:space="preserve"> </w:t>
      </w:r>
      <w:r w:rsidRPr="00B47131">
        <w:rPr>
          <w:rtl/>
          <w:lang w:eastAsia="zh-TW"/>
        </w:rPr>
        <w:t xml:space="preserve">من أداء واجبها في هيئة محلفين، كان يطبق قانون المحلفين لعام 1995 (بولاية </w:t>
      </w:r>
      <w:proofErr w:type="spellStart"/>
      <w:r w:rsidRPr="00B47131">
        <w:rPr>
          <w:rtl/>
          <w:lang w:eastAsia="zh-TW"/>
        </w:rPr>
        <w:t>كوينزلاند</w:t>
      </w:r>
      <w:proofErr w:type="spellEnd"/>
      <w:r w:rsidRPr="00B47131">
        <w:rPr>
          <w:rtl/>
          <w:lang w:eastAsia="zh-TW"/>
        </w:rPr>
        <w:t xml:space="preserve">). ولا </w:t>
      </w:r>
      <w:r>
        <w:rPr>
          <w:rFonts w:hint="cs"/>
          <w:rtl/>
          <w:lang w:eastAsia="zh-TW"/>
        </w:rPr>
        <w:t>ي</w:t>
      </w:r>
      <w:r w:rsidRPr="00B47131">
        <w:rPr>
          <w:rtl/>
          <w:lang w:eastAsia="zh-TW"/>
        </w:rPr>
        <w:t>وجد مجال حياة آخر يحظر التمييز فيه بموجب قانون مناهضة التمييز، بينما يدرج</w:t>
      </w:r>
      <w:r w:rsidR="0086606C">
        <w:rPr>
          <w:rtl/>
          <w:lang w:eastAsia="zh-TW"/>
        </w:rPr>
        <w:t xml:space="preserve"> </w:t>
      </w:r>
      <w:r w:rsidRPr="00B47131">
        <w:rPr>
          <w:rtl/>
          <w:lang w:eastAsia="zh-TW"/>
        </w:rPr>
        <w:t xml:space="preserve">قانون مناهضة التمييز على أساس الإعاقة تطبيق قوانين وبرامج الكومنولث ضمن مجالات الحياة التي يحظر التمييز فيها، غير أن قانون المحلفين لعام 1977 (بولاية نيو ساوث ويلز)، الذي استُبعدت صاحبة البلاغ بمقتضاه من أداء واجبها في هيئة محلفين، هو قانون ولائي. وعلاوة على ذلك، رفضت المحكمة، في قضية السيدة </w:t>
      </w:r>
      <w:proofErr w:type="spellStart"/>
      <w:r w:rsidRPr="00B47131">
        <w:rPr>
          <w:rtl/>
          <w:lang w:eastAsia="zh-TW"/>
        </w:rPr>
        <w:t>ليونز</w:t>
      </w:r>
      <w:proofErr w:type="spellEnd"/>
      <w:r w:rsidRPr="00B47131">
        <w:rPr>
          <w:rtl/>
          <w:lang w:eastAsia="zh-TW"/>
        </w:rPr>
        <w:t>، ادعاءاتها تعرضها لتميز مباشر وغير مب</w:t>
      </w:r>
      <w:r w:rsidR="005C3AD7">
        <w:rPr>
          <w:rFonts w:hint="cs"/>
          <w:rtl/>
          <w:lang w:eastAsia="zh-TW"/>
        </w:rPr>
        <w:t>ا</w:t>
      </w:r>
      <w:r w:rsidRPr="00B47131">
        <w:rPr>
          <w:rtl/>
          <w:lang w:eastAsia="zh-TW"/>
        </w:rPr>
        <w:t xml:space="preserve">شر على أساس أنها لم </w:t>
      </w:r>
      <w:r w:rsidR="005C3AD7" w:rsidRPr="00B47131">
        <w:rPr>
          <w:rFonts w:hint="cs"/>
          <w:rtl/>
          <w:lang w:eastAsia="zh-TW"/>
        </w:rPr>
        <w:t>تستبع</w:t>
      </w:r>
      <w:r w:rsidR="005C3AD7" w:rsidRPr="00B47131">
        <w:rPr>
          <w:rFonts w:hint="eastAsia"/>
          <w:rtl/>
          <w:lang w:eastAsia="zh-TW"/>
        </w:rPr>
        <w:t>د</w:t>
      </w:r>
      <w:r w:rsidRPr="00B47131">
        <w:rPr>
          <w:rtl/>
          <w:lang w:eastAsia="zh-TW"/>
        </w:rPr>
        <w:t xml:space="preserve"> من عضوية هيئة المحلفين لأنها صماء وإنما لأنها طلبت تزويدها بمترجم إلى لغة الإشارة الأسترالية، ولأن</w:t>
      </w:r>
      <w:r w:rsidR="0086606C">
        <w:rPr>
          <w:rFonts w:hint="cs"/>
          <w:rtl/>
          <w:lang w:eastAsia="zh-TW"/>
        </w:rPr>
        <w:t xml:space="preserve"> </w:t>
      </w:r>
      <w:r w:rsidRPr="00B47131">
        <w:rPr>
          <w:rtl/>
          <w:lang w:eastAsia="zh-TW"/>
        </w:rPr>
        <w:t xml:space="preserve">ذلك المترجم لم يستطع حضور المداولات في قاعة المحلفين. وتؤكد صاحبة البلاغ أن هذا تعليل يمكن أن تطبقه أي محكمة أو هيئة قضائية أخرى في الدولة الطرف، وأن أي طلب مراجعة قضائية لقرار </w:t>
      </w:r>
      <w:proofErr w:type="spellStart"/>
      <w:r w:rsidRPr="00B47131">
        <w:rPr>
          <w:rtl/>
          <w:lang w:eastAsia="zh-TW"/>
        </w:rPr>
        <w:t>والي</w:t>
      </w:r>
      <w:r>
        <w:rPr>
          <w:rFonts w:hint="cs"/>
          <w:rtl/>
          <w:lang w:eastAsia="zh-TW"/>
        </w:rPr>
        <w:t>ة</w:t>
      </w:r>
      <w:proofErr w:type="spellEnd"/>
      <w:r w:rsidRPr="00B47131">
        <w:rPr>
          <w:rtl/>
          <w:lang w:eastAsia="zh-TW"/>
        </w:rPr>
        <w:t xml:space="preserve"> القضاء استبعادها من أداء واجبها في هيئة محلفين سيبوء بالفشل لأن القانون الأسترالي لا يجيز للمحلفين الصم تلقي المساعدة البشرية في غرفة المحلفين</w:t>
      </w:r>
      <w:r w:rsidRPr="0086606C">
        <w:rPr>
          <w:vertAlign w:val="superscript"/>
          <w:rtl/>
          <w:lang w:eastAsia="zh-TW"/>
        </w:rPr>
        <w:t>(</w:t>
      </w:r>
      <w:r w:rsidRPr="0086606C">
        <w:rPr>
          <w:rStyle w:val="FootnoteReference"/>
          <w:sz w:val="20"/>
          <w:szCs w:val="30"/>
          <w:rtl/>
          <w:lang w:eastAsia="zh-TW"/>
        </w:rPr>
        <w:footnoteReference w:id="33"/>
      </w:r>
      <w:r w:rsidRPr="0086606C">
        <w:rPr>
          <w:vertAlign w:val="superscript"/>
          <w:rtl/>
          <w:lang w:eastAsia="zh-TW"/>
        </w:rPr>
        <w:t>)</w:t>
      </w:r>
      <w:r w:rsidRPr="00B47131">
        <w:rPr>
          <w:rtl/>
          <w:lang w:eastAsia="zh-TW"/>
        </w:rPr>
        <w:t>.</w:t>
      </w:r>
    </w:p>
    <w:p w:rsidR="0081736E" w:rsidRPr="00B47131" w:rsidRDefault="0081736E" w:rsidP="007A129E">
      <w:pPr>
        <w:pStyle w:val="SingleTxtGA"/>
        <w:rPr>
          <w:rtl/>
          <w:lang w:eastAsia="zh-TW"/>
        </w:rPr>
      </w:pPr>
      <w:r>
        <w:rPr>
          <w:rtl/>
          <w:lang w:eastAsia="zh-TW"/>
        </w:rPr>
        <w:t>٥-٣</w:t>
      </w:r>
      <w:r>
        <w:rPr>
          <w:rFonts w:hint="cs"/>
          <w:rtl/>
          <w:lang w:eastAsia="zh-TW"/>
        </w:rPr>
        <w:tab/>
      </w:r>
      <w:r w:rsidRPr="00B47131">
        <w:rPr>
          <w:rtl/>
          <w:lang w:eastAsia="zh-TW"/>
        </w:rPr>
        <w:t xml:space="preserve">وفيما يخص التكاليف المترتبة على إقامة دعاوى التمييز </w:t>
      </w:r>
      <w:r>
        <w:rPr>
          <w:rFonts w:hint="cs"/>
          <w:rtl/>
          <w:lang w:eastAsia="zh-TW"/>
        </w:rPr>
        <w:t>على أساس</w:t>
      </w:r>
      <w:r w:rsidRPr="00B47131">
        <w:rPr>
          <w:rtl/>
          <w:lang w:eastAsia="zh-TW"/>
        </w:rPr>
        <w:t xml:space="preserve"> الإعاقة، تدفع صاحبة البلاغ بأن</w:t>
      </w:r>
      <w:r>
        <w:rPr>
          <w:rFonts w:hint="cs"/>
          <w:rtl/>
          <w:lang w:eastAsia="zh-TW"/>
        </w:rPr>
        <w:t>ها</w:t>
      </w:r>
      <w:r w:rsidR="0086606C">
        <w:rPr>
          <w:rtl/>
          <w:lang w:eastAsia="zh-TW"/>
        </w:rPr>
        <w:t xml:space="preserve"> </w:t>
      </w:r>
      <w:r>
        <w:rPr>
          <w:rFonts w:hint="cs"/>
          <w:rtl/>
          <w:lang w:eastAsia="zh-TW"/>
        </w:rPr>
        <w:t>وإن كانت</w:t>
      </w:r>
      <w:r w:rsidRPr="00B47131">
        <w:rPr>
          <w:rtl/>
          <w:lang w:eastAsia="zh-TW"/>
        </w:rPr>
        <w:t xml:space="preserve"> تستطيع دفع رسوم الشروع في دعوى تمييز بسبب الإعاقة، فإن </w:t>
      </w:r>
      <w:r>
        <w:rPr>
          <w:rFonts w:hint="cs"/>
          <w:rtl/>
          <w:lang w:eastAsia="zh-TW"/>
        </w:rPr>
        <w:t xml:space="preserve">تكاليف التقاضي التي يرجح أن يتحملها </w:t>
      </w:r>
      <w:r w:rsidRPr="00B47131">
        <w:rPr>
          <w:rtl/>
          <w:lang w:eastAsia="zh-TW"/>
        </w:rPr>
        <w:t>الطرف الخاسر</w:t>
      </w:r>
      <w:r w:rsidR="0086606C">
        <w:rPr>
          <w:rtl/>
          <w:lang w:eastAsia="zh-TW"/>
        </w:rPr>
        <w:t xml:space="preserve"> </w:t>
      </w:r>
      <w:r>
        <w:rPr>
          <w:rFonts w:hint="cs"/>
          <w:rtl/>
          <w:lang w:eastAsia="zh-TW"/>
        </w:rPr>
        <w:t>مدمّرة</w:t>
      </w:r>
      <w:r w:rsidRPr="00B47131">
        <w:rPr>
          <w:rtl/>
          <w:lang w:eastAsia="zh-TW"/>
        </w:rPr>
        <w:t xml:space="preserve">. وفي هذا الصدد، توضح صاحبة البلاغ أنه يجوز لأي طرف في مثل هذه الدعاوى أن يطلب من المحكمة إصدار أمر يقضي بأن يدفع الطرف الخاسر حداً أقصى من تكاليف الدعوى، ولكن هذه الأوامر هي أوامر تقديرية لا تصدرها المحاكم إلا نادراً. وتأخذ المحاكم في اعتبارها، في ممارستها لسلطتها التقديرية </w:t>
      </w:r>
      <w:r w:rsidRPr="00B47131">
        <w:rPr>
          <w:rtl/>
          <w:lang w:eastAsia="zh-TW"/>
        </w:rPr>
        <w:lastRenderedPageBreak/>
        <w:t>لإصدار أمر من هذا القبيل، طائفة من العوامل، منها مدى وجاهة الدعوى</w:t>
      </w:r>
      <w:r w:rsidRPr="0086606C">
        <w:rPr>
          <w:vertAlign w:val="superscript"/>
          <w:rtl/>
          <w:lang w:eastAsia="zh-TW"/>
        </w:rPr>
        <w:t>(</w:t>
      </w:r>
      <w:r w:rsidRPr="0086606C">
        <w:rPr>
          <w:rStyle w:val="FootnoteReference"/>
          <w:sz w:val="20"/>
          <w:szCs w:val="30"/>
          <w:rtl/>
          <w:lang w:eastAsia="zh-TW"/>
        </w:rPr>
        <w:footnoteReference w:id="34"/>
      </w:r>
      <w:r w:rsidRPr="0086606C">
        <w:rPr>
          <w:vertAlign w:val="superscript"/>
          <w:rtl/>
          <w:lang w:eastAsia="zh-TW"/>
        </w:rPr>
        <w:t>)</w:t>
      </w:r>
      <w:r w:rsidRPr="00B47131">
        <w:rPr>
          <w:rtl/>
          <w:lang w:eastAsia="zh-TW"/>
        </w:rPr>
        <w:t>. ولذا، فإن</w:t>
      </w:r>
      <w:r w:rsidR="0086606C">
        <w:rPr>
          <w:rtl/>
          <w:lang w:eastAsia="zh-TW"/>
        </w:rPr>
        <w:t xml:space="preserve"> </w:t>
      </w:r>
      <w:r>
        <w:rPr>
          <w:rFonts w:hint="cs"/>
          <w:rtl/>
          <w:lang w:eastAsia="zh-TW"/>
        </w:rPr>
        <w:t>ما</w:t>
      </w:r>
      <w:r w:rsidR="007A129E">
        <w:rPr>
          <w:rFonts w:hint="eastAsia"/>
          <w:rtl/>
          <w:lang w:eastAsia="zh-TW"/>
        </w:rPr>
        <w:t> </w:t>
      </w:r>
      <w:r>
        <w:rPr>
          <w:rFonts w:hint="cs"/>
          <w:rtl/>
          <w:lang w:eastAsia="zh-TW"/>
        </w:rPr>
        <w:t>ذهبت إليه</w:t>
      </w:r>
      <w:r w:rsidRPr="00B47131">
        <w:rPr>
          <w:rtl/>
          <w:lang w:eastAsia="zh-TW"/>
        </w:rPr>
        <w:t xml:space="preserve"> الدولة الطرف</w:t>
      </w:r>
      <w:r w:rsidR="0086606C">
        <w:rPr>
          <w:rtl/>
          <w:lang w:eastAsia="zh-TW"/>
        </w:rPr>
        <w:t xml:space="preserve"> </w:t>
      </w:r>
      <w:r>
        <w:rPr>
          <w:rFonts w:hint="cs"/>
          <w:rtl/>
          <w:lang w:eastAsia="zh-TW"/>
        </w:rPr>
        <w:t xml:space="preserve">من </w:t>
      </w:r>
      <w:r w:rsidRPr="00B47131">
        <w:rPr>
          <w:rtl/>
          <w:lang w:eastAsia="zh-TW"/>
        </w:rPr>
        <w:t>أنه كان بإمكان صاحبة البلاغ الحصول على أمر بدفع حد أقصى من تكاليف الدعوى في حين أن فرص نجاح دعواها لم تكن معقولة هو</w:t>
      </w:r>
      <w:r w:rsidR="0086606C">
        <w:rPr>
          <w:rtl/>
          <w:lang w:eastAsia="zh-TW"/>
        </w:rPr>
        <w:t xml:space="preserve"> </w:t>
      </w:r>
      <w:r>
        <w:rPr>
          <w:rFonts w:hint="cs"/>
          <w:rtl/>
          <w:lang w:eastAsia="zh-TW"/>
        </w:rPr>
        <w:t>ادعاء</w:t>
      </w:r>
      <w:r w:rsidRPr="00B47131">
        <w:rPr>
          <w:rtl/>
          <w:lang w:eastAsia="zh-TW"/>
        </w:rPr>
        <w:t xml:space="preserve"> مضلل. </w:t>
      </w:r>
    </w:p>
    <w:p w:rsidR="0081736E" w:rsidRPr="00B47131" w:rsidRDefault="0081736E" w:rsidP="0081736E">
      <w:pPr>
        <w:pStyle w:val="SingleTxtGA"/>
        <w:rPr>
          <w:rtl/>
          <w:lang w:eastAsia="zh-TW"/>
        </w:rPr>
      </w:pPr>
      <w:r>
        <w:rPr>
          <w:rtl/>
          <w:lang w:eastAsia="zh-TW"/>
        </w:rPr>
        <w:t>٥-٤</w:t>
      </w:r>
      <w:r>
        <w:rPr>
          <w:rFonts w:hint="cs"/>
          <w:rtl/>
          <w:lang w:eastAsia="zh-TW"/>
        </w:rPr>
        <w:tab/>
      </w:r>
      <w:r w:rsidRPr="00B47131">
        <w:rPr>
          <w:rtl/>
          <w:lang w:eastAsia="zh-TW"/>
        </w:rPr>
        <w:t>وتؤكد صاحبة البلاغ مجدداً أنها تلقت مشورة قانونية مفادها أنه</w:t>
      </w:r>
      <w:r>
        <w:rPr>
          <w:rFonts w:hint="cs"/>
          <w:rtl/>
          <w:lang w:eastAsia="zh-TW"/>
        </w:rPr>
        <w:t>ا</w:t>
      </w:r>
      <w:r w:rsidRPr="00B47131">
        <w:rPr>
          <w:rtl/>
          <w:lang w:eastAsia="zh-TW"/>
        </w:rPr>
        <w:t xml:space="preserve"> ليس</w:t>
      </w:r>
      <w:r w:rsidR="0086606C">
        <w:rPr>
          <w:rtl/>
          <w:lang w:eastAsia="zh-TW"/>
        </w:rPr>
        <w:t xml:space="preserve"> </w:t>
      </w:r>
      <w:r>
        <w:rPr>
          <w:rFonts w:hint="cs"/>
          <w:rtl/>
          <w:lang w:eastAsia="zh-TW"/>
        </w:rPr>
        <w:t>لها</w:t>
      </w:r>
      <w:r w:rsidRPr="00B47131">
        <w:rPr>
          <w:rtl/>
          <w:lang w:eastAsia="zh-TW"/>
        </w:rPr>
        <w:t xml:space="preserve"> أي</w:t>
      </w:r>
      <w:r w:rsidR="0086606C">
        <w:rPr>
          <w:rtl/>
          <w:lang w:eastAsia="zh-TW"/>
        </w:rPr>
        <w:t xml:space="preserve"> </w:t>
      </w:r>
      <w:r>
        <w:rPr>
          <w:rFonts w:hint="cs"/>
          <w:rtl/>
          <w:lang w:eastAsia="zh-TW"/>
        </w:rPr>
        <w:t>حظ</w:t>
      </w:r>
      <w:r w:rsidRPr="00B47131">
        <w:rPr>
          <w:rtl/>
          <w:lang w:eastAsia="zh-TW"/>
        </w:rPr>
        <w:t xml:space="preserve"> في نجاح دعواها أمام لجنة حقوق الإنسان وأنها لا تملك أي</w:t>
      </w:r>
      <w:r w:rsidR="0086606C">
        <w:rPr>
          <w:rtl/>
          <w:lang w:eastAsia="zh-TW"/>
        </w:rPr>
        <w:t xml:space="preserve"> </w:t>
      </w:r>
      <w:r>
        <w:rPr>
          <w:rFonts w:hint="cs"/>
          <w:rtl/>
          <w:lang w:eastAsia="zh-TW"/>
        </w:rPr>
        <w:t>مسوّغات</w:t>
      </w:r>
      <w:r w:rsidRPr="00B47131">
        <w:rPr>
          <w:rtl/>
          <w:lang w:eastAsia="zh-TW"/>
        </w:rPr>
        <w:t xml:space="preserve"> لإقامة دعوى بموجب قانون مناهضة التمييز على أساس الإعاقة أو قانون مناهضة التمييز. وتدفع صاحبة البلاغ كذلك بأن المادة 345 من قانون المهن القانونية لعام 2004 تفرض على ممارسي مهنة القانون الأستراليين واجباً يتمثل في عدم الشروع في أي دعوى مدنية أو مواصلتها ما لم تكن فرص نجاحها معقولة. وفي حال شرع ممارس مهنة القانون في تلك الدعوى أو باشرها، </w:t>
      </w:r>
      <w:r>
        <w:rPr>
          <w:rFonts w:hint="cs"/>
          <w:rtl/>
          <w:lang w:eastAsia="zh-TW"/>
        </w:rPr>
        <w:t>فقد يحمَّل</w:t>
      </w:r>
      <w:r w:rsidR="0086606C">
        <w:rPr>
          <w:rFonts w:hint="cs"/>
          <w:rtl/>
          <w:lang w:eastAsia="zh-TW"/>
        </w:rPr>
        <w:t xml:space="preserve"> </w:t>
      </w:r>
      <w:r w:rsidRPr="00B47131">
        <w:rPr>
          <w:rtl/>
          <w:lang w:eastAsia="zh-TW"/>
        </w:rPr>
        <w:t>مسؤول</w:t>
      </w:r>
      <w:r>
        <w:rPr>
          <w:rFonts w:hint="cs"/>
          <w:rtl/>
          <w:lang w:eastAsia="zh-TW"/>
        </w:rPr>
        <w:t>ية</w:t>
      </w:r>
      <w:r w:rsidR="0086606C">
        <w:rPr>
          <w:rFonts w:hint="cs"/>
          <w:rtl/>
          <w:lang w:eastAsia="zh-TW"/>
        </w:rPr>
        <w:t xml:space="preserve"> </w:t>
      </w:r>
      <w:r>
        <w:rPr>
          <w:rFonts w:hint="cs"/>
          <w:rtl/>
          <w:lang w:eastAsia="zh-TW"/>
        </w:rPr>
        <w:t>دفع</w:t>
      </w:r>
      <w:r w:rsidRPr="00B47131">
        <w:rPr>
          <w:rtl/>
          <w:lang w:eastAsia="zh-TW"/>
        </w:rPr>
        <w:t xml:space="preserve"> تكاليف التقاضي</w:t>
      </w:r>
      <w:r w:rsidR="0086606C">
        <w:rPr>
          <w:rFonts w:hint="cs"/>
          <w:rtl/>
          <w:lang w:eastAsia="zh-TW"/>
        </w:rPr>
        <w:t xml:space="preserve"> </w:t>
      </w:r>
      <w:r w:rsidRPr="00B47131">
        <w:rPr>
          <w:rtl/>
          <w:lang w:eastAsia="zh-TW"/>
        </w:rPr>
        <w:t>و</w:t>
      </w:r>
      <w:r>
        <w:rPr>
          <w:rFonts w:hint="cs"/>
          <w:rtl/>
          <w:lang w:eastAsia="zh-TW"/>
        </w:rPr>
        <w:t>قد</w:t>
      </w:r>
      <w:r w:rsidR="0086606C">
        <w:rPr>
          <w:rFonts w:hint="cs"/>
          <w:rtl/>
          <w:lang w:eastAsia="zh-TW"/>
        </w:rPr>
        <w:t xml:space="preserve"> </w:t>
      </w:r>
      <w:r w:rsidRPr="00B47131">
        <w:rPr>
          <w:rtl/>
          <w:lang w:eastAsia="zh-TW"/>
        </w:rPr>
        <w:t>يُدان بإساءة السلوك المهني وقد يُوقف عن ممارسة المهنة أو تُلغى رخصته</w:t>
      </w:r>
      <w:r w:rsidRPr="0086606C">
        <w:rPr>
          <w:vertAlign w:val="superscript"/>
          <w:rtl/>
          <w:lang w:eastAsia="zh-TW"/>
        </w:rPr>
        <w:t>(</w:t>
      </w:r>
      <w:r w:rsidRPr="0086606C">
        <w:rPr>
          <w:rStyle w:val="FootnoteReference"/>
          <w:sz w:val="20"/>
          <w:szCs w:val="30"/>
          <w:rtl/>
          <w:lang w:eastAsia="zh-TW"/>
        </w:rPr>
        <w:footnoteReference w:id="35"/>
      </w:r>
      <w:r w:rsidRPr="0086606C">
        <w:rPr>
          <w:vertAlign w:val="superscript"/>
          <w:rtl/>
          <w:lang w:eastAsia="zh-TW"/>
        </w:rPr>
        <w:t>)</w:t>
      </w:r>
      <w:r w:rsidRPr="00B47131">
        <w:rPr>
          <w:rtl/>
          <w:lang w:eastAsia="zh-TW"/>
        </w:rPr>
        <w:t xml:space="preserve">. ولذا، ترى صاحبة البلاغ أنه ينبغي للجنة أن ترفض ادعاء الدولة الطرف المتمثل في دعوة صاحبة البلاغ إلى إقامة دعوى لا تحظى بأي فرصة </w:t>
      </w:r>
      <w:r>
        <w:rPr>
          <w:rFonts w:hint="cs"/>
          <w:rtl/>
          <w:lang w:eastAsia="zh-TW"/>
        </w:rPr>
        <w:t>لل</w:t>
      </w:r>
      <w:r w:rsidRPr="00B47131">
        <w:rPr>
          <w:rtl/>
          <w:lang w:eastAsia="zh-TW"/>
        </w:rPr>
        <w:t>نجاح.</w:t>
      </w:r>
    </w:p>
    <w:p w:rsidR="0081736E" w:rsidRPr="00B47131" w:rsidRDefault="0081736E" w:rsidP="0081736E">
      <w:pPr>
        <w:pStyle w:val="SingleTxtGA"/>
        <w:rPr>
          <w:rtl/>
          <w:lang w:eastAsia="zh-TW"/>
        </w:rPr>
      </w:pPr>
      <w:r>
        <w:rPr>
          <w:rtl/>
          <w:lang w:eastAsia="zh-TW"/>
        </w:rPr>
        <w:t>٥-٥</w:t>
      </w:r>
      <w:r>
        <w:rPr>
          <w:rFonts w:hint="cs"/>
          <w:rtl/>
          <w:lang w:eastAsia="zh-TW"/>
        </w:rPr>
        <w:tab/>
      </w:r>
      <w:r w:rsidRPr="00B47131">
        <w:rPr>
          <w:rtl/>
          <w:lang w:eastAsia="zh-TW"/>
        </w:rPr>
        <w:t>وفيما يخص حجة الدولة الطرف بأنه ينبغي اعتبار ادعاءات صاحبة البلاغ بموجب المواد 2</w:t>
      </w:r>
      <w:r w:rsidR="00F05419">
        <w:rPr>
          <w:rtl/>
          <w:lang w:eastAsia="zh-TW"/>
        </w:rPr>
        <w:t xml:space="preserve"> و</w:t>
      </w:r>
      <w:r w:rsidRPr="00B47131">
        <w:rPr>
          <w:rtl/>
          <w:lang w:eastAsia="zh-TW"/>
        </w:rPr>
        <w:t>4</w:t>
      </w:r>
      <w:r w:rsidR="00F05419">
        <w:rPr>
          <w:rtl/>
          <w:lang w:eastAsia="zh-TW"/>
        </w:rPr>
        <w:t xml:space="preserve"> و</w:t>
      </w:r>
      <w:r w:rsidRPr="00B47131">
        <w:rPr>
          <w:rtl/>
          <w:lang w:eastAsia="zh-TW"/>
        </w:rPr>
        <w:t>5</w:t>
      </w:r>
      <w:r w:rsidR="00F05419">
        <w:rPr>
          <w:rtl/>
          <w:lang w:eastAsia="zh-TW"/>
        </w:rPr>
        <w:t xml:space="preserve"> و</w:t>
      </w:r>
      <w:r w:rsidRPr="00B47131">
        <w:rPr>
          <w:rtl/>
          <w:lang w:eastAsia="zh-TW"/>
        </w:rPr>
        <w:t>9 من الاتفاقية غير مقبولة، تحتج صاحب البلاغ بأن أحكام المادة 2 هي أحكام تفسيرية يجب أن تُحدد في إطارها الترجمة إلى لغة الإشارة الأسترالية</w:t>
      </w:r>
      <w:r w:rsidR="0086606C">
        <w:rPr>
          <w:rtl/>
          <w:lang w:eastAsia="zh-TW"/>
        </w:rPr>
        <w:t xml:space="preserve"> </w:t>
      </w:r>
      <w:r>
        <w:rPr>
          <w:rFonts w:hint="cs"/>
          <w:rtl/>
          <w:lang w:eastAsia="zh-TW"/>
        </w:rPr>
        <w:t xml:space="preserve">باعتبارها </w:t>
      </w:r>
      <w:r w:rsidRPr="00B47131">
        <w:rPr>
          <w:rtl/>
          <w:lang w:eastAsia="zh-TW"/>
        </w:rPr>
        <w:t>وسيلة من وسائل الاتصال</w:t>
      </w:r>
      <w:r w:rsidR="00F05419">
        <w:rPr>
          <w:rtl/>
          <w:lang w:eastAsia="zh-TW"/>
        </w:rPr>
        <w:t xml:space="preserve"> و</w:t>
      </w:r>
      <w:r w:rsidRPr="00B47131">
        <w:rPr>
          <w:rtl/>
          <w:lang w:eastAsia="zh-TW"/>
        </w:rPr>
        <w:t>ترتيب</w:t>
      </w:r>
      <w:r w:rsidR="005E3DFA">
        <w:rPr>
          <w:rFonts w:hint="cs"/>
          <w:rtl/>
          <w:lang w:eastAsia="zh-TW"/>
        </w:rPr>
        <w:t xml:space="preserve">اً </w:t>
      </w:r>
      <w:r w:rsidRPr="00B47131">
        <w:rPr>
          <w:rtl/>
          <w:lang w:eastAsia="zh-TW"/>
        </w:rPr>
        <w:t xml:space="preserve">من الترتيبات </w:t>
      </w:r>
      <w:proofErr w:type="spellStart"/>
      <w:r w:rsidRPr="00B47131">
        <w:rPr>
          <w:rtl/>
          <w:lang w:eastAsia="zh-TW"/>
        </w:rPr>
        <w:t>التيسيرية</w:t>
      </w:r>
      <w:proofErr w:type="spellEnd"/>
      <w:r w:rsidRPr="00B47131">
        <w:rPr>
          <w:rtl/>
          <w:lang w:eastAsia="zh-TW"/>
        </w:rPr>
        <w:t xml:space="preserve"> المعقولة اللازمة لتمكينها من المشاركة في هيئة محلفين، وه</w:t>
      </w:r>
      <w:r>
        <w:rPr>
          <w:rFonts w:hint="cs"/>
          <w:rtl/>
          <w:lang w:eastAsia="zh-TW"/>
        </w:rPr>
        <w:t>ي</w:t>
      </w:r>
      <w:r w:rsidR="0086606C">
        <w:rPr>
          <w:rFonts w:hint="cs"/>
          <w:rtl/>
          <w:lang w:eastAsia="zh-TW"/>
        </w:rPr>
        <w:t xml:space="preserve"> </w:t>
      </w:r>
      <w:r w:rsidRPr="00B47131">
        <w:rPr>
          <w:rtl/>
          <w:lang w:eastAsia="zh-TW"/>
        </w:rPr>
        <w:t>مسأل</w:t>
      </w:r>
      <w:r>
        <w:rPr>
          <w:rFonts w:hint="cs"/>
          <w:rtl/>
          <w:lang w:eastAsia="zh-TW"/>
        </w:rPr>
        <w:t>ة</w:t>
      </w:r>
      <w:r w:rsidR="0086606C">
        <w:rPr>
          <w:rFonts w:hint="cs"/>
          <w:rtl/>
          <w:lang w:eastAsia="zh-TW"/>
        </w:rPr>
        <w:t xml:space="preserve"> </w:t>
      </w:r>
      <w:r w:rsidRPr="00B47131">
        <w:rPr>
          <w:rtl/>
          <w:lang w:eastAsia="zh-TW"/>
        </w:rPr>
        <w:t xml:space="preserve">لم تشكك فيها الدولة الطرف. </w:t>
      </w:r>
    </w:p>
    <w:p w:rsidR="0081736E" w:rsidRPr="00B47131" w:rsidRDefault="0081736E" w:rsidP="0081736E">
      <w:pPr>
        <w:pStyle w:val="SingleTxtGA"/>
        <w:rPr>
          <w:rtl/>
          <w:lang w:eastAsia="zh-TW"/>
        </w:rPr>
      </w:pPr>
      <w:r>
        <w:rPr>
          <w:rtl/>
          <w:lang w:eastAsia="zh-TW"/>
        </w:rPr>
        <w:t>٥-٦</w:t>
      </w:r>
      <w:r>
        <w:rPr>
          <w:rFonts w:hint="cs"/>
          <w:rtl/>
          <w:lang w:eastAsia="zh-TW"/>
        </w:rPr>
        <w:tab/>
      </w:r>
      <w:r w:rsidRPr="00B47131">
        <w:rPr>
          <w:rtl/>
          <w:lang w:eastAsia="zh-TW"/>
        </w:rPr>
        <w:t xml:space="preserve">أما فيما يتعلق بالمادة 4 من الاتفاقية، فإن صاحبة البلاغ تشير إلى أنها تحدد الالتزامات العامة التي تعهدت بها الدول الأطراف، والتي تسري على الوفاء بجميع الالتزامات المحددة المنصوص عليها في الاتفاقية، بما فيها تلك الواردة في المواد 12 و13 و21 و29. وتدعي صاحبة البلاغ أن مجرد وجود انتهاكات حقوق الإنسان التي تزعمها، يبرهن على أن الدولة الطرف لم تف بهذه الالتزامات العامة. وتحتج صاحبة البلاغ كذلك بأن حكومة نيو ساوث ويلز يمكن أن توفر لها ما تحتاجه من ترتيبات </w:t>
      </w:r>
      <w:proofErr w:type="spellStart"/>
      <w:r w:rsidRPr="00B47131">
        <w:rPr>
          <w:rtl/>
          <w:lang w:eastAsia="zh-TW"/>
        </w:rPr>
        <w:t>تيسيرية</w:t>
      </w:r>
      <w:proofErr w:type="spellEnd"/>
      <w:r w:rsidRPr="00B47131">
        <w:rPr>
          <w:rtl/>
          <w:lang w:eastAsia="zh-TW"/>
        </w:rPr>
        <w:t xml:space="preserve"> معقولة، وإذا كانت الدولة الطرف ترى أن ثمة مانعاً قانونياً من مشاركة الصم الذين يحتاجون إلى المساعدة البشرية في هيئات المحلفين، فإنها تملك السلطة الدستورية لإجراء الإصلاحات التشريعية </w:t>
      </w:r>
      <w:r w:rsidR="0086606C">
        <w:rPr>
          <w:rtl/>
          <w:lang w:eastAsia="zh-TW"/>
        </w:rPr>
        <w:t>اللازمة</w:t>
      </w:r>
      <w:r w:rsidRPr="0086606C">
        <w:rPr>
          <w:vertAlign w:val="superscript"/>
          <w:rtl/>
          <w:lang w:eastAsia="zh-TW"/>
        </w:rPr>
        <w:t>(</w:t>
      </w:r>
      <w:r w:rsidRPr="0086606C">
        <w:rPr>
          <w:rStyle w:val="FootnoteReference"/>
          <w:sz w:val="20"/>
          <w:szCs w:val="30"/>
          <w:rtl/>
          <w:lang w:eastAsia="zh-TW"/>
        </w:rPr>
        <w:footnoteReference w:id="36"/>
      </w:r>
      <w:r w:rsidRPr="0086606C">
        <w:rPr>
          <w:vertAlign w:val="superscript"/>
          <w:rtl/>
          <w:lang w:eastAsia="zh-TW"/>
        </w:rPr>
        <w:t>)</w:t>
      </w:r>
      <w:r w:rsidRPr="00B47131">
        <w:rPr>
          <w:rtl/>
          <w:lang w:eastAsia="zh-TW"/>
        </w:rPr>
        <w:t>. وتدفع صاحبة البلاغ بأن الالتزامات العامة المنصوص عليها في المادة 9 تسري على الوفاء بجميع الالتزامات المحددة التقليدية التي لم تف بها الدولة الطرف في هذه القضية. وتؤكد صاحبة البلاغ أن الترجمة إلى لغة الإشارة الأسترالية تُعد شكلاً من أشكال</w:t>
      </w:r>
      <w:r w:rsidR="0086606C">
        <w:rPr>
          <w:rtl/>
          <w:lang w:eastAsia="zh-TW"/>
        </w:rPr>
        <w:t xml:space="preserve"> "</w:t>
      </w:r>
      <w:r w:rsidRPr="00B47131">
        <w:rPr>
          <w:rtl/>
          <w:lang w:eastAsia="zh-TW"/>
        </w:rPr>
        <w:t>المساعدة البشرية</w:t>
      </w:r>
      <w:r w:rsidR="0086606C">
        <w:rPr>
          <w:rtl/>
          <w:lang w:eastAsia="zh-TW"/>
        </w:rPr>
        <w:t>"</w:t>
      </w:r>
      <w:r w:rsidRPr="00B47131">
        <w:rPr>
          <w:rtl/>
          <w:lang w:eastAsia="zh-TW"/>
        </w:rPr>
        <w:t xml:space="preserve"> التي تحتاجها بالمعنى المقصود في المادة 9 من الاتفاقية. </w:t>
      </w:r>
    </w:p>
    <w:p w:rsidR="0081736E" w:rsidRPr="00B47131" w:rsidRDefault="0081736E" w:rsidP="0081736E">
      <w:pPr>
        <w:pStyle w:val="SingleTxtGA"/>
        <w:rPr>
          <w:rtl/>
          <w:lang w:eastAsia="zh-TW"/>
        </w:rPr>
      </w:pPr>
      <w:r>
        <w:rPr>
          <w:rtl/>
          <w:lang w:eastAsia="zh-TW"/>
        </w:rPr>
        <w:lastRenderedPageBreak/>
        <w:t>٥-٧</w:t>
      </w:r>
      <w:r>
        <w:rPr>
          <w:rFonts w:hint="cs"/>
          <w:rtl/>
          <w:lang w:eastAsia="zh-TW"/>
        </w:rPr>
        <w:tab/>
        <w:t>وتحيل</w:t>
      </w:r>
      <w:r w:rsidRPr="00B47131">
        <w:rPr>
          <w:rtl/>
          <w:lang w:eastAsia="zh-TW"/>
        </w:rPr>
        <w:t xml:space="preserve"> صاحبة البلاغ، فيما يخص الأسس الموضوعية لادعاءاتها، إلى قواعد التفسير العامة المنصوص عليها في اتفاقية فيينا. وفي ذلك السياق، </w:t>
      </w:r>
      <w:r>
        <w:rPr>
          <w:rFonts w:hint="cs"/>
          <w:rtl/>
          <w:lang w:eastAsia="zh-TW"/>
        </w:rPr>
        <w:t>تشير</w:t>
      </w:r>
      <w:r w:rsidRPr="00B47131">
        <w:rPr>
          <w:rtl/>
          <w:lang w:eastAsia="zh-TW"/>
        </w:rPr>
        <w:t xml:space="preserve"> صاحبة البلاغ أن مصطلح </w:t>
      </w:r>
      <w:r w:rsidR="0086606C">
        <w:rPr>
          <w:rtl/>
          <w:lang w:eastAsia="zh-TW"/>
        </w:rPr>
        <w:t>"</w:t>
      </w:r>
      <w:r w:rsidRPr="00B47131">
        <w:rPr>
          <w:rtl/>
          <w:lang w:eastAsia="zh-TW"/>
        </w:rPr>
        <w:t>الأهلية القانونية</w:t>
      </w:r>
      <w:r w:rsidR="0086606C">
        <w:rPr>
          <w:rtl/>
          <w:lang w:eastAsia="zh-TW"/>
        </w:rPr>
        <w:t>"</w:t>
      </w:r>
      <w:r w:rsidRPr="00B47131">
        <w:rPr>
          <w:rtl/>
          <w:lang w:eastAsia="zh-TW"/>
        </w:rPr>
        <w:t xml:space="preserve"> الوارد في إطار المادة 12 يشير إلى قدرة الشخص على ممارسة حقوقه واستحقاقاته القانونية، وأداء التزاماته أو واجباته القانونية، وتحمل مسؤولياته القانونية. ولا يوجد أي أساس نصي يدعم الادعاء بأن الإشارة إلى الأهلية القانونية في الفقرة 2 من المادة 12 تقتصر على ممارسة الحقوق والاستحقاقات القانونية، أو أن لهذا المصطلح </w:t>
      </w:r>
      <w:r w:rsidR="0086606C">
        <w:rPr>
          <w:rtl/>
          <w:lang w:eastAsia="zh-TW"/>
        </w:rPr>
        <w:t>"</w:t>
      </w:r>
      <w:r w:rsidRPr="00B47131">
        <w:rPr>
          <w:rtl/>
          <w:lang w:eastAsia="zh-TW"/>
        </w:rPr>
        <w:t>معنى محدود ومحدد</w:t>
      </w:r>
      <w:r w:rsidR="0086606C">
        <w:rPr>
          <w:rtl/>
          <w:lang w:eastAsia="zh-TW"/>
        </w:rPr>
        <w:t>"</w:t>
      </w:r>
      <w:r w:rsidRPr="00B47131">
        <w:rPr>
          <w:rtl/>
          <w:lang w:eastAsia="zh-TW"/>
        </w:rPr>
        <w:t xml:space="preserve"> بخلاف ذلك، أو أنه يشير</w:t>
      </w:r>
      <w:r w:rsidR="0086606C">
        <w:rPr>
          <w:rtl/>
          <w:lang w:eastAsia="zh-TW"/>
        </w:rPr>
        <w:t xml:space="preserve"> </w:t>
      </w:r>
      <w:r w:rsidRPr="00B47131">
        <w:rPr>
          <w:rtl/>
          <w:lang w:eastAsia="zh-TW"/>
        </w:rPr>
        <w:t xml:space="preserve">إلى </w:t>
      </w:r>
      <w:r w:rsidR="0086606C">
        <w:rPr>
          <w:rtl/>
          <w:lang w:eastAsia="zh-TW"/>
        </w:rPr>
        <w:t>"</w:t>
      </w:r>
      <w:r w:rsidRPr="00B47131">
        <w:rPr>
          <w:rtl/>
          <w:lang w:eastAsia="zh-TW"/>
        </w:rPr>
        <w:t>مجموعة فرعية من عناصر الأهلية</w:t>
      </w:r>
      <w:r w:rsidR="0086606C">
        <w:rPr>
          <w:rtl/>
          <w:lang w:eastAsia="zh-TW"/>
        </w:rPr>
        <w:t>"</w:t>
      </w:r>
      <w:r w:rsidRPr="00B47131">
        <w:rPr>
          <w:rtl/>
          <w:lang w:eastAsia="zh-TW"/>
        </w:rPr>
        <w:t>. ومن شأن فهم الأهلية القانونية بالمعنى الضيق الذي اقترحته الدولة الطرف أن</w:t>
      </w:r>
      <w:r w:rsidR="0086606C">
        <w:rPr>
          <w:rtl/>
          <w:lang w:eastAsia="zh-TW"/>
        </w:rPr>
        <w:t xml:space="preserve"> </w:t>
      </w:r>
      <w:r>
        <w:rPr>
          <w:rFonts w:hint="cs"/>
          <w:rtl/>
          <w:lang w:eastAsia="zh-TW"/>
        </w:rPr>
        <w:t>يقوّض</w:t>
      </w:r>
      <w:r w:rsidRPr="00B47131">
        <w:rPr>
          <w:rtl/>
          <w:lang w:eastAsia="zh-TW"/>
        </w:rPr>
        <w:t xml:space="preserve"> الغرض المتوخى من الاتفاقية، لأنه سيقصر تطبيق الفقرة 2 من المادة 12 على الأشخاص ذوي العاهات الإدراكية الذين يحتاجون إلى مساعدة لاتخاذ قراراتهم. </w:t>
      </w:r>
    </w:p>
    <w:p w:rsidR="0081736E" w:rsidRPr="00B47131" w:rsidRDefault="0081736E" w:rsidP="005C3AD7">
      <w:pPr>
        <w:pStyle w:val="SingleTxtGA"/>
        <w:rPr>
          <w:rtl/>
          <w:lang w:eastAsia="zh-TW"/>
        </w:rPr>
      </w:pPr>
      <w:r>
        <w:rPr>
          <w:rtl/>
          <w:lang w:eastAsia="zh-TW"/>
        </w:rPr>
        <w:t>٥-٨</w:t>
      </w:r>
      <w:r>
        <w:rPr>
          <w:rFonts w:hint="cs"/>
          <w:rtl/>
          <w:lang w:eastAsia="zh-TW"/>
        </w:rPr>
        <w:tab/>
      </w:r>
      <w:r w:rsidRPr="00B47131">
        <w:rPr>
          <w:rtl/>
          <w:lang w:eastAsia="zh-TW"/>
        </w:rPr>
        <w:t>وتدفع صاحبة البلاغ كذلك بأن حكومة نيو ساوث ويلز ذكرت بوضوح في ردها على تقرير لجنة إصلاح القوانين في عام 2010، أنه لم يتسن في ذلك الحين دعم التوصية الداعية إلى تمكين الصم من أداء واجبهم كمحلفين. وفي كانون الأول/ديسمبر 2013، قدمت ولاية نيو</w:t>
      </w:r>
      <w:r w:rsidR="005C3AD7">
        <w:rPr>
          <w:rFonts w:hint="cs"/>
          <w:rtl/>
          <w:lang w:eastAsia="zh-TW"/>
        </w:rPr>
        <w:t> </w:t>
      </w:r>
      <w:r w:rsidRPr="00B47131">
        <w:rPr>
          <w:rtl/>
          <w:lang w:eastAsia="zh-TW"/>
        </w:rPr>
        <w:t>ساوث ويلز تحديثاً عن رد حكومتها، جاء فيه أن حكومة الولاية، في ضوء الشواغل</w:t>
      </w:r>
      <w:r w:rsidR="0086606C">
        <w:rPr>
          <w:rtl/>
          <w:lang w:eastAsia="zh-TW"/>
        </w:rPr>
        <w:t xml:space="preserve"> </w:t>
      </w:r>
      <w:r>
        <w:rPr>
          <w:rFonts w:hint="cs"/>
          <w:rtl/>
          <w:lang w:eastAsia="zh-TW"/>
        </w:rPr>
        <w:t>الحقيقية</w:t>
      </w:r>
      <w:r w:rsidRPr="00B47131">
        <w:rPr>
          <w:rtl/>
          <w:lang w:eastAsia="zh-TW"/>
        </w:rPr>
        <w:t xml:space="preserve"> التي أعرب عنها أصحاب المصلحة،</w:t>
      </w:r>
      <w:r w:rsidR="007A129E">
        <w:rPr>
          <w:rFonts w:hint="cs"/>
          <w:rtl/>
          <w:lang w:eastAsia="zh-TW"/>
        </w:rPr>
        <w:t xml:space="preserve"> </w:t>
      </w:r>
      <w:r w:rsidRPr="00B47131">
        <w:rPr>
          <w:rtl/>
          <w:lang w:eastAsia="zh-TW"/>
        </w:rPr>
        <w:t>لم تدعم التغييرات المقترح إدخالها على قانون المحلفين، ولكنها وافقت على رصد التطورات الحاصلة في تكنولوجيات المعين</w:t>
      </w:r>
      <w:r>
        <w:rPr>
          <w:rFonts w:hint="cs"/>
          <w:rtl/>
          <w:lang w:eastAsia="zh-TW"/>
        </w:rPr>
        <w:t>ة</w:t>
      </w:r>
      <w:r w:rsidR="0086606C">
        <w:rPr>
          <w:rFonts w:hint="cs"/>
          <w:rtl/>
          <w:lang w:eastAsia="zh-TW"/>
        </w:rPr>
        <w:t xml:space="preserve"> </w:t>
      </w:r>
      <w:r>
        <w:rPr>
          <w:rFonts w:hint="cs"/>
          <w:rtl/>
          <w:lang w:eastAsia="zh-TW"/>
        </w:rPr>
        <w:t xml:space="preserve">في مجال </w:t>
      </w:r>
      <w:r w:rsidRPr="00B47131">
        <w:rPr>
          <w:rtl/>
          <w:lang w:eastAsia="zh-TW"/>
        </w:rPr>
        <w:t>الإعاقة وخدمات الترجمة الفورية لتشجيع الأشخاص ذوي العاهات السمعية والبصرية على المشاركة بقدر أكبر في الحياة العامة. ووفق</w:t>
      </w:r>
      <w:r w:rsidR="005E3DFA">
        <w:rPr>
          <w:rtl/>
          <w:lang w:eastAsia="zh-TW"/>
        </w:rPr>
        <w:t xml:space="preserve">اً </w:t>
      </w:r>
      <w:r w:rsidRPr="00B47131">
        <w:rPr>
          <w:rtl/>
          <w:lang w:eastAsia="zh-TW"/>
        </w:rPr>
        <w:t>لصاحبة البلاغ، فإن ذلك يبرهن على السياسة التي تنتهجها ولاية نيو</w:t>
      </w:r>
      <w:r w:rsidR="005C3AD7">
        <w:rPr>
          <w:rFonts w:hint="cs"/>
          <w:rtl/>
          <w:lang w:eastAsia="zh-TW"/>
        </w:rPr>
        <w:t> </w:t>
      </w:r>
      <w:r w:rsidRPr="00B47131">
        <w:rPr>
          <w:rtl/>
          <w:lang w:eastAsia="zh-TW"/>
        </w:rPr>
        <w:t xml:space="preserve">ساوث ويلز </w:t>
      </w:r>
      <w:proofErr w:type="spellStart"/>
      <w:r w:rsidRPr="00B47131">
        <w:rPr>
          <w:rtl/>
          <w:lang w:eastAsia="zh-TW"/>
        </w:rPr>
        <w:t>ووالية</w:t>
      </w:r>
      <w:proofErr w:type="spellEnd"/>
      <w:r w:rsidRPr="00B47131">
        <w:rPr>
          <w:rtl/>
          <w:lang w:eastAsia="zh-TW"/>
        </w:rPr>
        <w:t xml:space="preserve"> القضاء فيها، ويشكك في تمتع الصم بالأهلية القانونية لأداء مهام المحلفين. وبالإضافة إلى ذلك، فإن التعهد برصد التطورات الحاصلة يشير إلى التعديلات التي لا</w:t>
      </w:r>
      <w:r w:rsidR="005C3AD7">
        <w:rPr>
          <w:rFonts w:hint="cs"/>
          <w:rtl/>
          <w:lang w:eastAsia="zh-TW"/>
        </w:rPr>
        <w:t> </w:t>
      </w:r>
      <w:r w:rsidRPr="00B47131">
        <w:rPr>
          <w:rtl/>
          <w:lang w:eastAsia="zh-TW"/>
        </w:rPr>
        <w:t xml:space="preserve">تنطوي على توفير المساعدة البشرية للمحلفين الصم في قاعة المحلفين. </w:t>
      </w:r>
    </w:p>
    <w:p w:rsidR="0081736E" w:rsidRPr="00B47131" w:rsidRDefault="0081736E" w:rsidP="005C3AD7">
      <w:pPr>
        <w:pStyle w:val="SingleTxtGA"/>
        <w:rPr>
          <w:rtl/>
          <w:lang w:eastAsia="zh-TW"/>
        </w:rPr>
      </w:pPr>
      <w:r>
        <w:rPr>
          <w:rtl/>
          <w:lang w:eastAsia="zh-TW"/>
        </w:rPr>
        <w:t>٥-٩</w:t>
      </w:r>
      <w:r>
        <w:rPr>
          <w:rFonts w:hint="cs"/>
          <w:rtl/>
          <w:lang w:eastAsia="zh-TW"/>
        </w:rPr>
        <w:tab/>
      </w:r>
      <w:r w:rsidRPr="00B47131">
        <w:rPr>
          <w:rtl/>
          <w:lang w:eastAsia="zh-TW"/>
        </w:rPr>
        <w:t xml:space="preserve">وتحتج صاحبة البلاغ بأن توفير مترجم إلى لغة الإشارة الأسترالية هو </w:t>
      </w:r>
      <w:r w:rsidR="0086606C">
        <w:rPr>
          <w:rtl/>
          <w:lang w:eastAsia="zh-TW"/>
        </w:rPr>
        <w:t>"</w:t>
      </w:r>
      <w:r w:rsidRPr="00B47131">
        <w:rPr>
          <w:rtl/>
          <w:lang w:eastAsia="zh-TW"/>
        </w:rPr>
        <w:t>الدعم المناسب</w:t>
      </w:r>
      <w:r w:rsidR="0086606C">
        <w:rPr>
          <w:rtl/>
          <w:lang w:eastAsia="zh-TW"/>
        </w:rPr>
        <w:t>"</w:t>
      </w:r>
      <w:r w:rsidRPr="00B47131">
        <w:rPr>
          <w:rtl/>
          <w:lang w:eastAsia="zh-TW"/>
        </w:rPr>
        <w:t xml:space="preserve"> الذي تطلبه لأداء مهام </w:t>
      </w:r>
      <w:r>
        <w:rPr>
          <w:rFonts w:hint="cs"/>
          <w:rtl/>
          <w:lang w:eastAsia="zh-TW"/>
        </w:rPr>
        <w:t>ال</w:t>
      </w:r>
      <w:r w:rsidRPr="00B47131">
        <w:rPr>
          <w:rtl/>
          <w:lang w:eastAsia="zh-TW"/>
        </w:rPr>
        <w:t xml:space="preserve">محلفة، عملاً بالفقرة 3 من المادة 12 من الاتفاقية. والتزام الدول الأطراف باتخاذ </w:t>
      </w:r>
      <w:r w:rsidR="0086606C">
        <w:rPr>
          <w:rtl/>
          <w:lang w:eastAsia="zh-TW"/>
        </w:rPr>
        <w:t>"</w:t>
      </w:r>
      <w:r w:rsidRPr="00B47131">
        <w:rPr>
          <w:rtl/>
          <w:lang w:eastAsia="zh-TW"/>
        </w:rPr>
        <w:t>التدابير المناسبة</w:t>
      </w:r>
      <w:r w:rsidR="0086606C">
        <w:rPr>
          <w:rtl/>
          <w:lang w:eastAsia="zh-TW"/>
        </w:rPr>
        <w:t>"</w:t>
      </w:r>
      <w:r w:rsidRPr="00B47131">
        <w:rPr>
          <w:rtl/>
          <w:lang w:eastAsia="zh-TW"/>
        </w:rPr>
        <w:t xml:space="preserve"> لتوفير إمكانية حصول الأشخاص ذوي الإعاقة على الدعم الذي قد </w:t>
      </w:r>
      <w:proofErr w:type="spellStart"/>
      <w:r w:rsidRPr="00B47131">
        <w:rPr>
          <w:rtl/>
          <w:lang w:eastAsia="zh-TW"/>
        </w:rPr>
        <w:t>يتطلبونه</w:t>
      </w:r>
      <w:proofErr w:type="spellEnd"/>
      <w:r w:rsidRPr="00B47131">
        <w:rPr>
          <w:rtl/>
          <w:lang w:eastAsia="zh-TW"/>
        </w:rPr>
        <w:t xml:space="preserve"> أثناء ممارسة أهليتهم القانونية هو أحد الالتزامات المحددة المنصوص عليها في المادة 12، إلى جانب الالتزامات العامة المنصوص عليها في المواد الشاملة في الاتفاقية، بما فيها المواد 4 و5 و9. وترى صاحبة البلاغ أن المادة 12 يجب أن تفسر، من ثم، في ضوء الالتزامات الشاملة المنصوص عليها في الفرتين 1</w:t>
      </w:r>
      <w:r w:rsidR="00F05419">
        <w:rPr>
          <w:rtl/>
          <w:lang w:eastAsia="zh-TW"/>
        </w:rPr>
        <w:t xml:space="preserve"> و</w:t>
      </w:r>
      <w:r w:rsidRPr="00B47131">
        <w:rPr>
          <w:rtl/>
          <w:lang w:eastAsia="zh-TW"/>
        </w:rPr>
        <w:t xml:space="preserve">3 من المادة 5، باعتبار الترجمة إلى لغة الإشارة الأسترالية ترتيباً من الترتيبات </w:t>
      </w:r>
      <w:proofErr w:type="spellStart"/>
      <w:r w:rsidRPr="00B47131">
        <w:rPr>
          <w:rtl/>
          <w:lang w:eastAsia="zh-TW"/>
        </w:rPr>
        <w:t>التيسيرية</w:t>
      </w:r>
      <w:proofErr w:type="spellEnd"/>
      <w:r w:rsidRPr="00B47131">
        <w:rPr>
          <w:rtl/>
          <w:lang w:eastAsia="zh-TW"/>
        </w:rPr>
        <w:t xml:space="preserve"> المعقولة التي تعزز ممارسة صاحبة البلاغ لأهليتها القانونية على قدم المساواة مع الآخرين أمام القانون. وتضيف صاحبة البلاغ أن هذه الترتيبات </w:t>
      </w:r>
      <w:proofErr w:type="spellStart"/>
      <w:r w:rsidRPr="00B47131">
        <w:rPr>
          <w:rtl/>
          <w:lang w:eastAsia="zh-TW"/>
        </w:rPr>
        <w:t>التيسيرية</w:t>
      </w:r>
      <w:proofErr w:type="spellEnd"/>
      <w:r w:rsidRPr="00B47131">
        <w:rPr>
          <w:rtl/>
          <w:lang w:eastAsia="zh-TW"/>
        </w:rPr>
        <w:t xml:space="preserve"> المعقولة ينبغي أن تكون مصحوبة بتدابير تشريعية لتعديل وإلغاء أجزاء من قانون المحلفين بما يجيز للمترجمين إلى لغة الإشارة الأسترالية أو المختزلين الحضور في قاعة المحلفين وييسر التواصل بين المحلفين الصم وغيرهم. </w:t>
      </w:r>
      <w:r>
        <w:rPr>
          <w:rFonts w:hint="cs"/>
          <w:rtl/>
          <w:lang w:eastAsia="zh-TW"/>
        </w:rPr>
        <w:t>وتشير</w:t>
      </w:r>
      <w:r w:rsidRPr="00B47131">
        <w:rPr>
          <w:rtl/>
          <w:lang w:eastAsia="zh-TW"/>
        </w:rPr>
        <w:t xml:space="preserve"> صاحبة البلاغ</w:t>
      </w:r>
      <w:r>
        <w:rPr>
          <w:rFonts w:hint="cs"/>
          <w:rtl/>
          <w:lang w:eastAsia="zh-TW"/>
        </w:rPr>
        <w:t xml:space="preserve"> إلى</w:t>
      </w:r>
      <w:r w:rsidRPr="00B47131">
        <w:rPr>
          <w:rtl/>
          <w:lang w:eastAsia="zh-TW"/>
        </w:rPr>
        <w:t xml:space="preserve"> أن الدولة الطرف لا تدعي أن توفير خدمات </w:t>
      </w:r>
      <w:r w:rsidRPr="00B47131">
        <w:rPr>
          <w:rtl/>
          <w:lang w:eastAsia="zh-TW"/>
        </w:rPr>
        <w:lastRenderedPageBreak/>
        <w:t xml:space="preserve">الترجمة إلى لغة الإشارة الأسترالية سيشكل </w:t>
      </w:r>
      <w:r w:rsidR="0086606C">
        <w:rPr>
          <w:rtl/>
          <w:lang w:eastAsia="zh-TW"/>
        </w:rPr>
        <w:t>"</w:t>
      </w:r>
      <w:r w:rsidRPr="00B47131">
        <w:rPr>
          <w:rtl/>
          <w:lang w:eastAsia="zh-TW"/>
        </w:rPr>
        <w:t>عبئا</w:t>
      </w:r>
      <w:r w:rsidR="005E3DFA">
        <w:rPr>
          <w:rFonts w:hint="cs"/>
          <w:rtl/>
          <w:lang w:eastAsia="zh-TW"/>
        </w:rPr>
        <w:t>ً</w:t>
      </w:r>
      <w:r w:rsidR="005E3DFA">
        <w:rPr>
          <w:rtl/>
          <w:lang w:eastAsia="zh-TW"/>
        </w:rPr>
        <w:t xml:space="preserve"> غير متناسب أو غير ضروري</w:t>
      </w:r>
      <w:r w:rsidR="0086606C">
        <w:rPr>
          <w:rtl/>
          <w:lang w:eastAsia="zh-TW"/>
        </w:rPr>
        <w:t>"</w:t>
      </w:r>
      <w:r w:rsidRPr="00B47131">
        <w:rPr>
          <w:rtl/>
          <w:lang w:eastAsia="zh-TW"/>
        </w:rPr>
        <w:t xml:space="preserve">، بل </w:t>
      </w:r>
      <w:r w:rsidR="005C3AD7">
        <w:rPr>
          <w:rFonts w:hint="cs"/>
          <w:rtl/>
          <w:lang w:eastAsia="zh-TW"/>
        </w:rPr>
        <w:t>إ</w:t>
      </w:r>
      <w:r w:rsidRPr="00B47131">
        <w:rPr>
          <w:rtl/>
          <w:lang w:eastAsia="zh-TW"/>
        </w:rPr>
        <w:t>نها قد اتخذت بالفعل تدابير لتمكين الصم من المشاركة في هيئات المحلفين، في حين أن هذه التدابير لا</w:t>
      </w:r>
      <w:r w:rsidR="007A129E">
        <w:rPr>
          <w:rFonts w:hint="cs"/>
          <w:rtl/>
          <w:lang w:eastAsia="zh-TW"/>
        </w:rPr>
        <w:t> </w:t>
      </w:r>
      <w:r w:rsidRPr="00B47131">
        <w:rPr>
          <w:rtl/>
          <w:lang w:eastAsia="zh-TW"/>
        </w:rPr>
        <w:t>صلة لها بقضيتها.</w:t>
      </w:r>
    </w:p>
    <w:p w:rsidR="0081736E" w:rsidRPr="00B47131" w:rsidRDefault="0081736E" w:rsidP="007A129E">
      <w:pPr>
        <w:pStyle w:val="SingleTxtGA"/>
        <w:rPr>
          <w:rtl/>
          <w:lang w:eastAsia="zh-TW"/>
        </w:rPr>
      </w:pPr>
      <w:r>
        <w:rPr>
          <w:rtl/>
          <w:lang w:eastAsia="zh-TW"/>
        </w:rPr>
        <w:t>٥-١٠</w:t>
      </w:r>
      <w:r>
        <w:rPr>
          <w:rFonts w:hint="cs"/>
          <w:rtl/>
          <w:lang w:eastAsia="zh-TW"/>
        </w:rPr>
        <w:tab/>
      </w:r>
      <w:r w:rsidRPr="00B47131">
        <w:rPr>
          <w:rtl/>
          <w:lang w:eastAsia="zh-TW"/>
        </w:rPr>
        <w:t xml:space="preserve">وتدفع صاحبة البلاغ بأن </w:t>
      </w:r>
      <w:r w:rsidR="0086606C">
        <w:rPr>
          <w:rtl/>
          <w:lang w:eastAsia="zh-TW"/>
        </w:rPr>
        <w:t>"</w:t>
      </w:r>
      <w:r w:rsidRPr="00B47131">
        <w:rPr>
          <w:rtl/>
          <w:lang w:eastAsia="zh-TW"/>
        </w:rPr>
        <w:t>المشاركة المباشرة وغير المباشرة</w:t>
      </w:r>
      <w:r w:rsidR="0086606C">
        <w:rPr>
          <w:rtl/>
          <w:lang w:eastAsia="zh-TW"/>
        </w:rPr>
        <w:t>"</w:t>
      </w:r>
      <w:r w:rsidRPr="00B47131">
        <w:rPr>
          <w:rtl/>
          <w:lang w:eastAsia="zh-TW"/>
        </w:rPr>
        <w:t xml:space="preserve"> تشمل الأفراد الذين يشكلون جزء</w:t>
      </w:r>
      <w:r w:rsidR="005E3DFA">
        <w:rPr>
          <w:rtl/>
          <w:lang w:eastAsia="zh-TW"/>
        </w:rPr>
        <w:t xml:space="preserve">اً </w:t>
      </w:r>
      <w:r w:rsidRPr="00B47131">
        <w:rPr>
          <w:rtl/>
          <w:lang w:eastAsia="zh-TW"/>
        </w:rPr>
        <w:t>من النظام القانوني، بمن فيهم المحلفون</w:t>
      </w:r>
      <w:r w:rsidRPr="0086606C">
        <w:rPr>
          <w:vertAlign w:val="superscript"/>
          <w:rtl/>
          <w:lang w:eastAsia="zh-TW"/>
        </w:rPr>
        <w:t>(</w:t>
      </w:r>
      <w:r w:rsidRPr="0086606C">
        <w:rPr>
          <w:rStyle w:val="FootnoteReference"/>
          <w:sz w:val="20"/>
          <w:szCs w:val="30"/>
          <w:rtl/>
          <w:lang w:eastAsia="zh-TW"/>
        </w:rPr>
        <w:footnoteReference w:id="37"/>
      </w:r>
      <w:r w:rsidRPr="0086606C">
        <w:rPr>
          <w:vertAlign w:val="superscript"/>
          <w:rtl/>
          <w:lang w:eastAsia="zh-TW"/>
        </w:rPr>
        <w:t>)</w:t>
      </w:r>
      <w:r w:rsidRPr="00B47131">
        <w:rPr>
          <w:rtl/>
          <w:lang w:eastAsia="zh-TW"/>
        </w:rPr>
        <w:t xml:space="preserve">. وتدفع صاحبة البلاغ أيضاً بأن مشاركة الأشخاص ذوي الإعاقة أو </w:t>
      </w:r>
      <w:r w:rsidR="0086606C">
        <w:rPr>
          <w:rtl/>
          <w:lang w:eastAsia="zh-TW"/>
        </w:rPr>
        <w:t>"</w:t>
      </w:r>
      <w:r w:rsidRPr="00B47131">
        <w:rPr>
          <w:rtl/>
          <w:lang w:eastAsia="zh-TW"/>
        </w:rPr>
        <w:t>تدخلهم</w:t>
      </w:r>
      <w:r w:rsidR="0086606C">
        <w:rPr>
          <w:rtl/>
          <w:lang w:eastAsia="zh-TW"/>
        </w:rPr>
        <w:t>"</w:t>
      </w:r>
      <w:r w:rsidRPr="00B47131">
        <w:rPr>
          <w:rtl/>
          <w:lang w:eastAsia="zh-TW"/>
        </w:rPr>
        <w:t xml:space="preserve"> في نظام العدالة، كقضاة ومحلفين وقانونيين، مثل</w:t>
      </w:r>
      <w:r w:rsidR="005E3DFA">
        <w:rPr>
          <w:rtl/>
          <w:lang w:eastAsia="zh-TW"/>
        </w:rPr>
        <w:t xml:space="preserve">اً، </w:t>
      </w:r>
      <w:r w:rsidRPr="00B47131">
        <w:rPr>
          <w:rtl/>
          <w:lang w:eastAsia="zh-TW"/>
        </w:rPr>
        <w:t>هي وسيلة تمكنهم من اللجوء إلى القضاء، كما تدفع بأنها</w:t>
      </w:r>
      <w:r w:rsidR="0086606C">
        <w:rPr>
          <w:rtl/>
          <w:lang w:eastAsia="zh-TW"/>
        </w:rPr>
        <w:t xml:space="preserve"> </w:t>
      </w:r>
      <w:r>
        <w:rPr>
          <w:rFonts w:hint="cs"/>
          <w:rtl/>
          <w:lang w:eastAsia="zh-TW"/>
        </w:rPr>
        <w:t>ليست في معرض اعتبار</w:t>
      </w:r>
      <w:r w:rsidRPr="00B47131">
        <w:rPr>
          <w:rtl/>
          <w:lang w:eastAsia="zh-TW"/>
        </w:rPr>
        <w:t xml:space="preserve"> الالتزام المنصوص عليه في المادة 5 من الاتفاقية </w:t>
      </w:r>
      <w:r w:rsidR="0086606C">
        <w:rPr>
          <w:rtl/>
          <w:lang w:eastAsia="zh-TW"/>
        </w:rPr>
        <w:t>"</w:t>
      </w:r>
      <w:r w:rsidRPr="00B47131">
        <w:rPr>
          <w:rtl/>
          <w:lang w:eastAsia="zh-TW"/>
        </w:rPr>
        <w:t xml:space="preserve">بتوفير الترتيبات </w:t>
      </w:r>
      <w:proofErr w:type="spellStart"/>
      <w:r w:rsidRPr="00B47131">
        <w:rPr>
          <w:rtl/>
          <w:lang w:eastAsia="zh-TW"/>
        </w:rPr>
        <w:t>التيسيرية</w:t>
      </w:r>
      <w:proofErr w:type="spellEnd"/>
      <w:r w:rsidRPr="00B47131">
        <w:rPr>
          <w:rtl/>
          <w:lang w:eastAsia="zh-TW"/>
        </w:rPr>
        <w:t xml:space="preserve"> المعقولة</w:t>
      </w:r>
      <w:r w:rsidR="0086606C">
        <w:rPr>
          <w:rtl/>
          <w:lang w:eastAsia="zh-TW"/>
        </w:rPr>
        <w:t xml:space="preserve">" </w:t>
      </w:r>
      <w:r>
        <w:rPr>
          <w:rFonts w:hint="cs"/>
          <w:rtl/>
          <w:lang w:eastAsia="zh-TW"/>
        </w:rPr>
        <w:t>مساوياً ل</w:t>
      </w:r>
      <w:r w:rsidRPr="00B47131">
        <w:rPr>
          <w:rtl/>
          <w:lang w:eastAsia="zh-TW"/>
        </w:rPr>
        <w:t xml:space="preserve">لالتزام المنصوص عليه في المادة 13 بتوفير </w:t>
      </w:r>
      <w:r w:rsidR="0086606C">
        <w:rPr>
          <w:rtl/>
          <w:lang w:eastAsia="zh-TW"/>
        </w:rPr>
        <w:t>"</w:t>
      </w:r>
      <w:proofErr w:type="spellStart"/>
      <w:r w:rsidRPr="00B47131">
        <w:rPr>
          <w:rtl/>
          <w:lang w:eastAsia="zh-TW"/>
        </w:rPr>
        <w:t>التيسيرات</w:t>
      </w:r>
      <w:proofErr w:type="spellEnd"/>
      <w:r w:rsidRPr="00B47131">
        <w:rPr>
          <w:rtl/>
          <w:lang w:eastAsia="zh-TW"/>
        </w:rPr>
        <w:t xml:space="preserve"> الإجرائية التي تتناسب مع أعمارهم</w:t>
      </w:r>
      <w:r w:rsidR="0086606C">
        <w:rPr>
          <w:rtl/>
          <w:lang w:eastAsia="zh-TW"/>
        </w:rPr>
        <w:t>"</w:t>
      </w:r>
      <w:r w:rsidRPr="00B47131">
        <w:rPr>
          <w:rtl/>
          <w:lang w:eastAsia="zh-TW"/>
        </w:rPr>
        <w:t>. ذلك أن لكل منهما معنى ونطاق مختلف رغم ترابطهما. وفي هذه القضية، يشكل توفير الترجمة إلى لغة الإشارة الأسترالية تعديلاً معقول</w:t>
      </w:r>
      <w:r w:rsidR="005E3DFA">
        <w:rPr>
          <w:rtl/>
          <w:lang w:eastAsia="zh-TW"/>
        </w:rPr>
        <w:t xml:space="preserve">اً </w:t>
      </w:r>
      <w:r w:rsidRPr="00B47131">
        <w:rPr>
          <w:rtl/>
          <w:lang w:eastAsia="zh-TW"/>
        </w:rPr>
        <w:t xml:space="preserve">يعزز مشاركة صاحبة البلاغ في الإجراءات القانونية. ويتطلب ذلك التعديل إجراء </w:t>
      </w:r>
      <w:proofErr w:type="spellStart"/>
      <w:r w:rsidRPr="00B47131">
        <w:rPr>
          <w:rtl/>
          <w:lang w:eastAsia="zh-TW"/>
        </w:rPr>
        <w:t>تيسيرات</w:t>
      </w:r>
      <w:proofErr w:type="spellEnd"/>
      <w:r w:rsidRPr="00B47131">
        <w:rPr>
          <w:rtl/>
          <w:lang w:eastAsia="zh-TW"/>
        </w:rPr>
        <w:t xml:space="preserve"> إجرائية بسيطة، مثل سن أحكام تقضي بأن يؤدي المترجمون إلى لغة الإشارة الأسترالية </w:t>
      </w:r>
      <w:r>
        <w:rPr>
          <w:rFonts w:hint="cs"/>
          <w:rtl/>
          <w:lang w:eastAsia="zh-TW"/>
        </w:rPr>
        <w:t xml:space="preserve">القسَم </w:t>
      </w:r>
      <w:r w:rsidRPr="00B47131">
        <w:rPr>
          <w:rtl/>
          <w:lang w:eastAsia="zh-TW"/>
        </w:rPr>
        <w:t>وأن يتعهدوا بحفظ سرية مداولات هيئة المحلفين، أو</w:t>
      </w:r>
      <w:r w:rsidR="007A129E">
        <w:rPr>
          <w:rFonts w:hint="cs"/>
          <w:rtl/>
          <w:lang w:eastAsia="zh-TW"/>
        </w:rPr>
        <w:t> </w:t>
      </w:r>
      <w:r w:rsidRPr="00B47131">
        <w:rPr>
          <w:rtl/>
          <w:lang w:eastAsia="zh-TW"/>
        </w:rPr>
        <w:t xml:space="preserve">أن تصدر المحكمة توجيهات لجميع المحلفين بألا يحاولوا مناقشة القضية أو التداول بشأنها مع المترجم وأن يقتصر تفاعلهم معه على دوره كميسر لتواصلهم مع المحلف الأصم. ولذلك، ترى صاحبة البلاغ أن الدولة الطرف لم تثبت أن توفير الترتيبات </w:t>
      </w:r>
      <w:proofErr w:type="spellStart"/>
      <w:r w:rsidRPr="00B47131">
        <w:rPr>
          <w:rtl/>
          <w:lang w:eastAsia="zh-TW"/>
        </w:rPr>
        <w:t>التيسيرية</w:t>
      </w:r>
      <w:proofErr w:type="spellEnd"/>
      <w:r w:rsidRPr="00B47131">
        <w:rPr>
          <w:rtl/>
          <w:lang w:eastAsia="zh-TW"/>
        </w:rPr>
        <w:t xml:space="preserve"> المطلوبة سيفرض عليها عبئ</w:t>
      </w:r>
      <w:r w:rsidR="005E3DFA">
        <w:rPr>
          <w:rtl/>
          <w:lang w:eastAsia="zh-TW"/>
        </w:rPr>
        <w:t xml:space="preserve">اً </w:t>
      </w:r>
      <w:r w:rsidRPr="00B47131">
        <w:rPr>
          <w:rtl/>
          <w:lang w:eastAsia="zh-TW"/>
        </w:rPr>
        <w:t>غير متناسب أو غير ضروري يجعل تلك التدابير غير معقولة لذلك السبب، مما يشكل انتهاك</w:t>
      </w:r>
      <w:r w:rsidR="005E3DFA">
        <w:rPr>
          <w:rtl/>
          <w:lang w:eastAsia="zh-TW"/>
        </w:rPr>
        <w:t xml:space="preserve">اً </w:t>
      </w:r>
      <w:r w:rsidRPr="00B47131">
        <w:rPr>
          <w:rtl/>
          <w:lang w:eastAsia="zh-TW"/>
        </w:rPr>
        <w:t>لحقوقها المكفولة بموجب المادة 21، مقروءة بمفردها وبالاقتران مع المادة 5.</w:t>
      </w:r>
    </w:p>
    <w:p w:rsidR="0081736E" w:rsidRPr="00B47131" w:rsidRDefault="0081736E" w:rsidP="0081736E">
      <w:pPr>
        <w:pStyle w:val="SingleTxtGA"/>
        <w:rPr>
          <w:rtl/>
          <w:lang w:eastAsia="zh-TW"/>
        </w:rPr>
      </w:pPr>
      <w:r>
        <w:rPr>
          <w:rtl/>
          <w:lang w:eastAsia="zh-TW"/>
        </w:rPr>
        <w:t>٥-١١</w:t>
      </w:r>
      <w:r>
        <w:rPr>
          <w:rFonts w:hint="cs"/>
          <w:rtl/>
          <w:lang w:eastAsia="zh-TW"/>
        </w:rPr>
        <w:tab/>
      </w:r>
      <w:r w:rsidRPr="00B47131">
        <w:rPr>
          <w:rtl/>
          <w:lang w:eastAsia="zh-TW"/>
        </w:rPr>
        <w:t xml:space="preserve">وتدعي صاحبة البلاغ كذلك أن التدابير التي تزعم الدولة الطرف أنها اتخذتها لا تفي بالالتزام الذي تفرضه عليها الفقرة (ب) من المادة 21 من الاتفاقية، وأنه لا يوجد أي أساس نصي يدعم ادعاء الدولة الطرف بأن الإشارة إلى </w:t>
      </w:r>
      <w:r w:rsidR="0086606C">
        <w:rPr>
          <w:rtl/>
          <w:lang w:eastAsia="zh-TW"/>
        </w:rPr>
        <w:t>"</w:t>
      </w:r>
      <w:r w:rsidRPr="00B47131">
        <w:rPr>
          <w:rtl/>
          <w:lang w:eastAsia="zh-TW"/>
        </w:rPr>
        <w:t>التعاملات الرسمية</w:t>
      </w:r>
      <w:r w:rsidR="0086606C">
        <w:rPr>
          <w:rtl/>
          <w:lang w:eastAsia="zh-TW"/>
        </w:rPr>
        <w:t>"</w:t>
      </w:r>
      <w:r w:rsidRPr="00B47131">
        <w:rPr>
          <w:rtl/>
          <w:lang w:eastAsia="zh-TW"/>
        </w:rPr>
        <w:t xml:space="preserve"> لا تسري على هذه الحالة، ذلك أن المحكمة هي سلطة أو هيئة عامة تركز أنشطتها على إشراك المواطنين في إقامة العدل، بسبل منها إجراء المحاكمات بمشاركة هيئة محلفين. ذلك أن المحلف هو شخص يتولى مسؤولية عامة في مجال إقامة العدل، وهو يشارك في التفاعل مع أشخاص آخرين يمارسون واجبات ومسؤوليات عامة، بمن فيهم المحلفون الآخرون والموظفون القضائيون. </w:t>
      </w:r>
    </w:p>
    <w:p w:rsidR="0081736E" w:rsidRPr="00B47131" w:rsidRDefault="0081736E" w:rsidP="007A129E">
      <w:pPr>
        <w:pStyle w:val="SingleTxtGA"/>
        <w:rPr>
          <w:rtl/>
          <w:lang w:eastAsia="zh-TW"/>
        </w:rPr>
      </w:pPr>
      <w:r>
        <w:rPr>
          <w:rtl/>
          <w:lang w:eastAsia="zh-TW"/>
        </w:rPr>
        <w:t>٥-١٢</w:t>
      </w:r>
      <w:r>
        <w:rPr>
          <w:rFonts w:hint="cs"/>
          <w:rtl/>
          <w:lang w:eastAsia="zh-TW"/>
        </w:rPr>
        <w:tab/>
      </w:r>
      <w:r w:rsidRPr="00B47131">
        <w:rPr>
          <w:rtl/>
          <w:lang w:eastAsia="zh-TW"/>
        </w:rPr>
        <w:t xml:space="preserve">وتدفع صاحبة البلاغ، فيما يتعلق بادعائها بموجب المادة 29 من الاتفاقية، بأن للجنة اختصاص في النظر في الانتهاك المزعوم للحقوق السياسية للأشخاص ذوي الإعاقة، بما فيها حقهم في المشاركة في تسيير الشؤون العامة وحقهم في تقلد المناصب العامة. وتمارس اللجنة، عند قيامها بذلك، اختصاصها في تقييم التدابير التي تتخذها الدول الأطراف لضمان تمتع الأشخاص ذوي الإعاقة بحقوقهم السياسية على قدم المساواة مع الآخرين. </w:t>
      </w:r>
      <w:r>
        <w:rPr>
          <w:rFonts w:hint="cs"/>
          <w:rtl/>
          <w:lang w:eastAsia="zh-TW"/>
        </w:rPr>
        <w:t>وتشير إلى</w:t>
      </w:r>
      <w:r w:rsidRPr="00B47131">
        <w:rPr>
          <w:rtl/>
          <w:lang w:eastAsia="zh-TW"/>
        </w:rPr>
        <w:t xml:space="preserve"> أن مفهوم </w:t>
      </w:r>
      <w:r w:rsidR="0086606C">
        <w:rPr>
          <w:rtl/>
          <w:lang w:eastAsia="zh-TW"/>
        </w:rPr>
        <w:t>"</w:t>
      </w:r>
      <w:r w:rsidRPr="00B47131">
        <w:rPr>
          <w:rtl/>
          <w:lang w:eastAsia="zh-TW"/>
        </w:rPr>
        <w:t>تسيير الشؤون العامة</w:t>
      </w:r>
      <w:r w:rsidR="0086606C">
        <w:rPr>
          <w:rtl/>
          <w:lang w:eastAsia="zh-TW"/>
        </w:rPr>
        <w:t>"</w:t>
      </w:r>
      <w:r w:rsidRPr="00B47131">
        <w:rPr>
          <w:rtl/>
          <w:lang w:eastAsia="zh-TW"/>
        </w:rPr>
        <w:t xml:space="preserve"> هو مفهوم واسع النطاق يشمل ممارسة السلطة الحكومية من جانب </w:t>
      </w:r>
      <w:r w:rsidRPr="00B47131">
        <w:rPr>
          <w:rtl/>
          <w:lang w:eastAsia="zh-TW"/>
        </w:rPr>
        <w:lastRenderedPageBreak/>
        <w:t>جميع السلطات الحكومية، بما فيها السلطات المعنية بإقامة العدل. ويؤدي المحلفون دور</w:t>
      </w:r>
      <w:r w:rsidR="005E3DFA">
        <w:rPr>
          <w:rtl/>
          <w:lang w:eastAsia="zh-TW"/>
        </w:rPr>
        <w:t xml:space="preserve">اً </w:t>
      </w:r>
      <w:r w:rsidRPr="00B47131">
        <w:rPr>
          <w:rtl/>
          <w:lang w:eastAsia="zh-TW"/>
        </w:rPr>
        <w:t>في السلطة القضائية للحكومة لأنهم يشاركون مشاركة مباشرة في تحديد ما إذا كان المتهم مذنباً أم</w:t>
      </w:r>
      <w:r w:rsidR="007A129E">
        <w:rPr>
          <w:rFonts w:hint="cs"/>
          <w:rtl/>
          <w:lang w:eastAsia="zh-TW"/>
        </w:rPr>
        <w:t> </w:t>
      </w:r>
      <w:r w:rsidRPr="00B47131">
        <w:rPr>
          <w:rtl/>
          <w:lang w:eastAsia="zh-TW"/>
        </w:rPr>
        <w:t>بريئاً في المحاكمات الجنائية أو</w:t>
      </w:r>
      <w:r>
        <w:rPr>
          <w:rFonts w:hint="cs"/>
          <w:rtl/>
          <w:lang w:eastAsia="zh-TW"/>
        </w:rPr>
        <w:t xml:space="preserve"> في تحديد</w:t>
      </w:r>
      <w:r w:rsidRPr="00B47131">
        <w:rPr>
          <w:rtl/>
          <w:lang w:eastAsia="zh-TW"/>
        </w:rPr>
        <w:t xml:space="preserve"> </w:t>
      </w:r>
      <w:r>
        <w:rPr>
          <w:rFonts w:hint="cs"/>
          <w:rtl/>
          <w:lang w:eastAsia="zh-TW"/>
        </w:rPr>
        <w:t>ال</w:t>
      </w:r>
      <w:r w:rsidRPr="00B47131">
        <w:rPr>
          <w:rtl/>
          <w:lang w:eastAsia="zh-TW"/>
        </w:rPr>
        <w:t>مسؤولي</w:t>
      </w:r>
      <w:r>
        <w:rPr>
          <w:rFonts w:hint="cs"/>
          <w:rtl/>
          <w:lang w:eastAsia="zh-TW"/>
        </w:rPr>
        <w:t>ة</w:t>
      </w:r>
      <w:r w:rsidR="0086606C">
        <w:rPr>
          <w:rFonts w:hint="cs"/>
          <w:rtl/>
          <w:lang w:eastAsia="zh-TW"/>
        </w:rPr>
        <w:t xml:space="preserve"> </w:t>
      </w:r>
      <w:r w:rsidRPr="00B47131">
        <w:rPr>
          <w:rtl/>
          <w:lang w:eastAsia="zh-TW"/>
        </w:rPr>
        <w:t>القانونية في المحاكمات المدنية. ومن ثم، ف</w:t>
      </w:r>
      <w:r>
        <w:rPr>
          <w:rFonts w:hint="cs"/>
          <w:rtl/>
          <w:lang w:eastAsia="zh-TW"/>
        </w:rPr>
        <w:t>هم</w:t>
      </w:r>
      <w:r w:rsidR="0086606C">
        <w:rPr>
          <w:rFonts w:hint="cs"/>
          <w:rtl/>
          <w:lang w:eastAsia="zh-TW"/>
        </w:rPr>
        <w:t xml:space="preserve"> </w:t>
      </w:r>
      <w:r w:rsidRPr="00B47131">
        <w:rPr>
          <w:rtl/>
          <w:lang w:eastAsia="zh-TW"/>
        </w:rPr>
        <w:t>يشاركون في تسيير الشؤون العامة وفي أداء خدمة من الخدمات العامة، ألا وهي مشاركة المواطنين في إقامة العدل. وتخلص صاحبة البلاغ إلى أن استبعادها من هيئة المحلفين لا يستند إلى أي أسس معقولة أو موضوعية، وأنه إجراءٌ تعسفي وتمييزي.</w:t>
      </w:r>
    </w:p>
    <w:p w:rsidR="0081736E" w:rsidRPr="007A129E" w:rsidRDefault="0081736E" w:rsidP="0081736E">
      <w:pPr>
        <w:pStyle w:val="SingleTxtGA"/>
        <w:rPr>
          <w:spacing w:val="-2"/>
          <w:rtl/>
          <w:lang w:eastAsia="zh-TW"/>
        </w:rPr>
      </w:pPr>
      <w:r w:rsidRPr="007A129E">
        <w:rPr>
          <w:spacing w:val="-2"/>
          <w:rtl/>
          <w:lang w:eastAsia="zh-TW"/>
        </w:rPr>
        <w:t>٥-١٣</w:t>
      </w:r>
      <w:r w:rsidRPr="007A129E">
        <w:rPr>
          <w:rFonts w:hint="cs"/>
          <w:spacing w:val="-2"/>
          <w:rtl/>
          <w:lang w:eastAsia="zh-TW"/>
        </w:rPr>
        <w:tab/>
      </w:r>
      <w:r w:rsidRPr="007A129E">
        <w:rPr>
          <w:spacing w:val="-2"/>
          <w:rtl/>
          <w:lang w:eastAsia="zh-TW"/>
        </w:rPr>
        <w:t>وأخيراً، وفيما يتعلق بالحجج التي ساقتها الدولة الطرف ومفادها أن صاحبة البلاغ</w:t>
      </w:r>
      <w:r w:rsidR="0086606C" w:rsidRPr="007A129E">
        <w:rPr>
          <w:spacing w:val="-2"/>
          <w:rtl/>
          <w:lang w:eastAsia="zh-TW"/>
        </w:rPr>
        <w:t xml:space="preserve"> </w:t>
      </w:r>
      <w:r w:rsidRPr="007A129E">
        <w:rPr>
          <w:rFonts w:hint="cs"/>
          <w:spacing w:val="-2"/>
          <w:rtl/>
          <w:lang w:eastAsia="zh-TW"/>
        </w:rPr>
        <w:t>تسعى إلى</w:t>
      </w:r>
      <w:r w:rsidRPr="007A129E">
        <w:rPr>
          <w:spacing w:val="-2"/>
          <w:rtl/>
          <w:lang w:eastAsia="zh-TW"/>
        </w:rPr>
        <w:t xml:space="preserve"> تحديد </w:t>
      </w:r>
      <w:r w:rsidR="0086606C" w:rsidRPr="007A129E">
        <w:rPr>
          <w:spacing w:val="-2"/>
          <w:rtl/>
          <w:lang w:eastAsia="zh-TW"/>
        </w:rPr>
        <w:t>"</w:t>
      </w:r>
      <w:r w:rsidRPr="007A129E">
        <w:rPr>
          <w:spacing w:val="-2"/>
          <w:rtl/>
          <w:lang w:eastAsia="zh-TW"/>
        </w:rPr>
        <w:t>حقوق جديدة</w:t>
      </w:r>
      <w:r w:rsidR="0086606C" w:rsidRPr="007A129E">
        <w:rPr>
          <w:spacing w:val="-2"/>
          <w:rtl/>
          <w:lang w:eastAsia="zh-TW"/>
        </w:rPr>
        <w:t>"</w:t>
      </w:r>
      <w:r w:rsidRPr="007A129E">
        <w:rPr>
          <w:spacing w:val="-2"/>
          <w:rtl/>
          <w:lang w:eastAsia="zh-TW"/>
        </w:rPr>
        <w:t xml:space="preserve"> والاعتماد عليها، تؤكد صاحبة البلاغ أن أحكام الاتفاقية يجب أن تفسر بمعناها الواسع، مع مراعاة مقاصد الاتفاقية. وتحتج صاحبة البلاغ كذلك بأنه لا يمكن استخدام مفهوم الحقوق الجديدة</w:t>
      </w:r>
      <w:r w:rsidR="0086606C" w:rsidRPr="007A129E">
        <w:rPr>
          <w:spacing w:val="-2"/>
          <w:rtl/>
          <w:lang w:eastAsia="zh-TW"/>
        </w:rPr>
        <w:t xml:space="preserve"> </w:t>
      </w:r>
      <w:r w:rsidRPr="007A129E">
        <w:rPr>
          <w:rFonts w:hint="cs"/>
          <w:spacing w:val="-2"/>
          <w:rtl/>
          <w:lang w:eastAsia="zh-TW"/>
        </w:rPr>
        <w:t>ذريعةً</w:t>
      </w:r>
      <w:r w:rsidRPr="007A129E">
        <w:rPr>
          <w:spacing w:val="-2"/>
          <w:rtl/>
          <w:lang w:eastAsia="zh-TW"/>
        </w:rPr>
        <w:t xml:space="preserve"> لمنع تطبيق الحقوق التقليدية التي تمليها الظروف الخاصة للأشخاص ذوي الإعاقة، حتى إذا أدى ذلك إلى توسيع نطاق الفهم التقليدي للحقوق التقليدية. </w:t>
      </w:r>
    </w:p>
    <w:p w:rsidR="0081736E" w:rsidRPr="00960C79" w:rsidRDefault="0081736E" w:rsidP="0081736E">
      <w:pPr>
        <w:pStyle w:val="H23GA"/>
        <w:rPr>
          <w:rtl/>
        </w:rPr>
      </w:pPr>
      <w:r w:rsidRPr="00B47131">
        <w:rPr>
          <w:rtl/>
        </w:rPr>
        <w:tab/>
      </w:r>
      <w:r w:rsidRPr="00B47131">
        <w:rPr>
          <w:rtl/>
        </w:rPr>
        <w:tab/>
      </w:r>
      <w:dir w:val="rtl">
        <w:r w:rsidRPr="00960C79">
          <w:rPr>
            <w:rFonts w:hint="cs"/>
            <w:rtl/>
          </w:rPr>
          <w:t>ملاحظات</w:t>
        </w:r>
        <w:r w:rsidRPr="00960C79">
          <w:rPr>
            <w:rtl/>
          </w:rPr>
          <w:t xml:space="preserve"> </w:t>
        </w:r>
        <w:r w:rsidRPr="00960C79">
          <w:rPr>
            <w:rFonts w:hint="cs"/>
            <w:rtl/>
          </w:rPr>
          <w:t>إضافية</w:t>
        </w:r>
        <w:r w:rsidRPr="00960C79">
          <w:rPr>
            <w:rtl/>
          </w:rPr>
          <w:t xml:space="preserve"> </w:t>
        </w:r>
        <w:r w:rsidRPr="00960C79">
          <w:rPr>
            <w:rFonts w:hint="cs"/>
            <w:rtl/>
          </w:rPr>
          <w:t>مقدمة</w:t>
        </w:r>
        <w:r w:rsidRPr="00960C79">
          <w:rPr>
            <w:rtl/>
          </w:rPr>
          <w:t xml:space="preserve"> </w:t>
        </w:r>
        <w:r w:rsidRPr="00960C79">
          <w:rPr>
            <w:rFonts w:hint="cs"/>
            <w:rtl/>
          </w:rPr>
          <w:t>من</w:t>
        </w:r>
        <w:r w:rsidRPr="00960C79">
          <w:rPr>
            <w:rtl/>
          </w:rPr>
          <w:t xml:space="preserve"> </w:t>
        </w:r>
        <w:r w:rsidRPr="00960C79">
          <w:rPr>
            <w:rFonts w:hint="cs"/>
            <w:rtl/>
          </w:rPr>
          <w:t>ال</w:t>
        </w:r>
        <w:r w:rsidRPr="00960C79">
          <w:rPr>
            <w:rtl/>
          </w:rPr>
          <w:t>دولة الطرف</w:t>
        </w:r>
        <w:r w:rsidRPr="00960C79">
          <w:rPr>
            <w:rFonts w:cs="Times New Roman" w:hint="cs"/>
            <w:rtl/>
          </w:rPr>
          <w:t>‬</w:t>
        </w:r>
        <w:r w:rsidR="0087267B">
          <w:t>‬</w:t>
        </w:r>
        <w:r w:rsidR="000C45CA">
          <w:t>‬</w:t>
        </w:r>
        <w:r w:rsidR="00A168C8">
          <w:t>‬</w:t>
        </w:r>
        <w:r w:rsidR="00821257">
          <w:t>‬</w:t>
        </w:r>
      </w:dir>
    </w:p>
    <w:p w:rsidR="0081736E" w:rsidRPr="00B47131" w:rsidRDefault="0081736E" w:rsidP="0081736E">
      <w:pPr>
        <w:pStyle w:val="SingleTxtGA"/>
        <w:rPr>
          <w:rtl/>
          <w:lang w:eastAsia="zh-TW"/>
        </w:rPr>
      </w:pPr>
      <w:r>
        <w:rPr>
          <w:rtl/>
          <w:lang w:eastAsia="zh-TW"/>
        </w:rPr>
        <w:t>٦-١</w:t>
      </w:r>
      <w:r>
        <w:rPr>
          <w:rFonts w:hint="cs"/>
          <w:rtl/>
          <w:lang w:eastAsia="zh-TW"/>
        </w:rPr>
        <w:tab/>
      </w:r>
      <w:r w:rsidRPr="00B47131">
        <w:rPr>
          <w:rtl/>
          <w:lang w:eastAsia="zh-TW"/>
        </w:rPr>
        <w:t>في 23 تشرين الأول/أكتوبر 2015، أرسلت الدولة الطرف ملاحظات إضافية</w:t>
      </w:r>
      <w:r w:rsidRPr="0086606C">
        <w:rPr>
          <w:vertAlign w:val="superscript"/>
          <w:rtl/>
          <w:lang w:eastAsia="zh-TW"/>
        </w:rPr>
        <w:t>(</w:t>
      </w:r>
      <w:r w:rsidRPr="0086606C">
        <w:rPr>
          <w:rStyle w:val="FootnoteReference"/>
          <w:sz w:val="20"/>
          <w:szCs w:val="30"/>
          <w:rtl/>
          <w:lang w:eastAsia="zh-TW"/>
        </w:rPr>
        <w:footnoteReference w:id="38"/>
      </w:r>
      <w:r w:rsidRPr="0086606C">
        <w:rPr>
          <w:vertAlign w:val="superscript"/>
          <w:rtl/>
          <w:lang w:eastAsia="zh-TW"/>
        </w:rPr>
        <w:t>)</w:t>
      </w:r>
      <w:r w:rsidRPr="00B47131">
        <w:rPr>
          <w:rtl/>
          <w:lang w:eastAsia="zh-TW"/>
        </w:rPr>
        <w:t xml:space="preserve">. </w:t>
      </w:r>
      <w:r>
        <w:rPr>
          <w:rFonts w:hint="cs"/>
          <w:rtl/>
          <w:lang w:eastAsia="zh-TW"/>
        </w:rPr>
        <w:t>وتؤكد</w:t>
      </w:r>
      <w:r w:rsidRPr="00B47131">
        <w:rPr>
          <w:rtl/>
          <w:lang w:eastAsia="zh-TW"/>
        </w:rPr>
        <w:t xml:space="preserve"> الدولة الطرف</w:t>
      </w:r>
      <w:r>
        <w:rPr>
          <w:rFonts w:hint="cs"/>
          <w:rtl/>
          <w:lang w:eastAsia="zh-TW"/>
        </w:rPr>
        <w:t xml:space="preserve"> مجدداً</w:t>
      </w:r>
      <w:r w:rsidRPr="00B47131">
        <w:rPr>
          <w:rtl/>
          <w:lang w:eastAsia="zh-TW"/>
        </w:rPr>
        <w:t xml:space="preserve"> أن الاتفاقية لا تنشئ حقوق</w:t>
      </w:r>
      <w:r w:rsidR="005E3DFA">
        <w:rPr>
          <w:rtl/>
          <w:lang w:eastAsia="zh-TW"/>
        </w:rPr>
        <w:t xml:space="preserve">اً </w:t>
      </w:r>
      <w:r w:rsidRPr="00B47131">
        <w:rPr>
          <w:rtl/>
          <w:lang w:eastAsia="zh-TW"/>
        </w:rPr>
        <w:t>إضافية للأشخاص ذوي الإعاقة. و</w:t>
      </w:r>
      <w:r>
        <w:rPr>
          <w:rFonts w:hint="cs"/>
          <w:rtl/>
          <w:lang w:eastAsia="zh-TW"/>
        </w:rPr>
        <w:t>تشير</w:t>
      </w:r>
      <w:r w:rsidRPr="00B47131">
        <w:rPr>
          <w:rtl/>
          <w:lang w:eastAsia="zh-TW"/>
        </w:rPr>
        <w:t xml:space="preserve"> الدولة الطرف </w:t>
      </w:r>
      <w:r>
        <w:rPr>
          <w:rFonts w:hint="cs"/>
          <w:rtl/>
          <w:lang w:eastAsia="zh-TW"/>
        </w:rPr>
        <w:t xml:space="preserve">إلى </w:t>
      </w:r>
      <w:r w:rsidRPr="00B47131">
        <w:rPr>
          <w:rtl/>
          <w:lang w:eastAsia="zh-TW"/>
        </w:rPr>
        <w:t xml:space="preserve">أن عدداً من أحكام الاتفاقية، مثل </w:t>
      </w:r>
      <w:r w:rsidR="0086606C">
        <w:rPr>
          <w:rtl/>
          <w:lang w:eastAsia="zh-TW"/>
        </w:rPr>
        <w:t>"</w:t>
      </w:r>
      <w:r w:rsidRPr="00B47131">
        <w:rPr>
          <w:rtl/>
          <w:lang w:eastAsia="zh-TW"/>
        </w:rPr>
        <w:t>الأهلية القانونية</w:t>
      </w:r>
      <w:r w:rsidR="0086606C">
        <w:rPr>
          <w:rtl/>
          <w:lang w:eastAsia="zh-TW"/>
        </w:rPr>
        <w:t>"</w:t>
      </w:r>
      <w:r w:rsidR="00F05419">
        <w:rPr>
          <w:rtl/>
          <w:lang w:eastAsia="zh-TW"/>
        </w:rPr>
        <w:t xml:space="preserve"> و</w:t>
      </w:r>
      <w:r w:rsidR="0086606C">
        <w:rPr>
          <w:rtl/>
          <w:lang w:eastAsia="zh-TW"/>
        </w:rPr>
        <w:t>"</w:t>
      </w:r>
      <w:r w:rsidRPr="00B47131">
        <w:rPr>
          <w:rtl/>
          <w:lang w:eastAsia="zh-TW"/>
        </w:rPr>
        <w:t xml:space="preserve">المشاركة المباشرة وغير المباشرة </w:t>
      </w:r>
      <w:r w:rsidR="0086606C">
        <w:rPr>
          <w:rtl/>
          <w:lang w:eastAsia="zh-TW"/>
        </w:rPr>
        <w:t>"</w:t>
      </w:r>
      <w:r w:rsidRPr="00B47131">
        <w:rPr>
          <w:rtl/>
          <w:lang w:eastAsia="zh-TW"/>
        </w:rPr>
        <w:t xml:space="preserve">، لا يوجد تعريف لها أو أن معانيها تتسم بالغموض، ومن ثم، فإن من </w:t>
      </w:r>
      <w:proofErr w:type="spellStart"/>
      <w:r w:rsidRPr="00B47131">
        <w:rPr>
          <w:rtl/>
          <w:lang w:eastAsia="zh-TW"/>
        </w:rPr>
        <w:t>المستصوب</w:t>
      </w:r>
      <w:proofErr w:type="spellEnd"/>
      <w:r w:rsidRPr="00B47131">
        <w:rPr>
          <w:rtl/>
          <w:lang w:eastAsia="zh-TW"/>
        </w:rPr>
        <w:t xml:space="preserve"> اللجوء إلى </w:t>
      </w:r>
      <w:r w:rsidRPr="0086071A">
        <w:rPr>
          <w:i/>
          <w:iCs/>
          <w:rtl/>
          <w:lang w:eastAsia="zh-TW"/>
        </w:rPr>
        <w:t>الأعمال التحضيرية</w:t>
      </w:r>
      <w:r w:rsidRPr="00B47131">
        <w:rPr>
          <w:rtl/>
          <w:lang w:eastAsia="zh-TW"/>
        </w:rPr>
        <w:t xml:space="preserve"> لفهما. وترى الدولة الطرف أن الإشارة إلى </w:t>
      </w:r>
      <w:r w:rsidR="0086606C">
        <w:rPr>
          <w:rtl/>
          <w:lang w:eastAsia="zh-TW"/>
        </w:rPr>
        <w:t>"</w:t>
      </w:r>
      <w:r w:rsidRPr="00B47131">
        <w:rPr>
          <w:rtl/>
          <w:lang w:eastAsia="zh-TW"/>
        </w:rPr>
        <w:t>الحقوق السياسية</w:t>
      </w:r>
      <w:r w:rsidR="0086606C">
        <w:rPr>
          <w:rtl/>
          <w:lang w:eastAsia="zh-TW"/>
        </w:rPr>
        <w:t>"</w:t>
      </w:r>
      <w:r w:rsidRPr="00B47131">
        <w:rPr>
          <w:rtl/>
          <w:lang w:eastAsia="zh-TW"/>
        </w:rPr>
        <w:t xml:space="preserve"> في المادة 29 من الاتفاقية لا </w:t>
      </w:r>
      <w:r w:rsidR="0086606C">
        <w:rPr>
          <w:rtl/>
          <w:lang w:eastAsia="zh-TW"/>
        </w:rPr>
        <w:t>"</w:t>
      </w:r>
      <w:r w:rsidRPr="00B47131">
        <w:rPr>
          <w:rtl/>
          <w:lang w:eastAsia="zh-TW"/>
        </w:rPr>
        <w:t>تشمل ولا</w:t>
      </w:r>
      <w:r w:rsidR="0086606C">
        <w:rPr>
          <w:rtl/>
          <w:lang w:eastAsia="zh-TW"/>
        </w:rPr>
        <w:t xml:space="preserve"> </w:t>
      </w:r>
      <w:r>
        <w:rPr>
          <w:rFonts w:hint="cs"/>
          <w:rtl/>
          <w:lang w:eastAsia="zh-TW"/>
        </w:rPr>
        <w:t>تكفل</w:t>
      </w:r>
      <w:r w:rsidR="0086606C">
        <w:rPr>
          <w:rtl/>
          <w:lang w:eastAsia="zh-TW"/>
        </w:rPr>
        <w:t>"</w:t>
      </w:r>
      <w:r w:rsidRPr="00B47131">
        <w:rPr>
          <w:rtl/>
          <w:lang w:eastAsia="zh-TW"/>
        </w:rPr>
        <w:t xml:space="preserve"> جميع حقوق الإنسان التي توصف عموماً بأنها حقوق سياسية في القانون الدولي لحقوق الإنسان، وتدفع بأن أداء الواجب في هيئة محلفين ليس جانباً من جوانب </w:t>
      </w:r>
      <w:r w:rsidR="0086606C">
        <w:rPr>
          <w:rtl/>
          <w:lang w:eastAsia="zh-TW"/>
        </w:rPr>
        <w:t>"</w:t>
      </w:r>
      <w:r w:rsidRPr="00B47131">
        <w:rPr>
          <w:rtl/>
          <w:lang w:eastAsia="zh-TW"/>
        </w:rPr>
        <w:t>تسيير الشؤون العامة</w:t>
      </w:r>
      <w:r w:rsidR="0086606C">
        <w:rPr>
          <w:rtl/>
          <w:lang w:eastAsia="zh-TW"/>
        </w:rPr>
        <w:t>"</w:t>
      </w:r>
      <w:r w:rsidRPr="00B47131">
        <w:rPr>
          <w:rtl/>
          <w:lang w:eastAsia="zh-TW"/>
        </w:rPr>
        <w:t xml:space="preserve"> بالمعنى المقصود في المادة 29.</w:t>
      </w:r>
    </w:p>
    <w:p w:rsidR="0081736E" w:rsidRPr="00B47131" w:rsidRDefault="0081736E" w:rsidP="0081736E">
      <w:pPr>
        <w:pStyle w:val="SingleTxtGA"/>
        <w:rPr>
          <w:rtl/>
          <w:lang w:eastAsia="zh-TW"/>
        </w:rPr>
      </w:pPr>
      <w:r>
        <w:rPr>
          <w:rtl/>
          <w:lang w:eastAsia="zh-TW"/>
        </w:rPr>
        <w:t>٦-٢</w:t>
      </w:r>
      <w:r>
        <w:rPr>
          <w:rFonts w:hint="cs"/>
          <w:rtl/>
          <w:lang w:eastAsia="zh-TW"/>
        </w:rPr>
        <w:tab/>
      </w:r>
      <w:r w:rsidRPr="00B47131">
        <w:rPr>
          <w:rtl/>
          <w:lang w:eastAsia="zh-TW"/>
        </w:rPr>
        <w:t>وتدفع الدولة الطرف أيض</w:t>
      </w:r>
      <w:r w:rsidR="005E3DFA">
        <w:rPr>
          <w:rtl/>
          <w:lang w:eastAsia="zh-TW"/>
        </w:rPr>
        <w:t xml:space="preserve">اً </w:t>
      </w:r>
      <w:r w:rsidRPr="00B47131">
        <w:rPr>
          <w:rtl/>
          <w:lang w:eastAsia="zh-TW"/>
        </w:rPr>
        <w:t xml:space="preserve">بأن التدابير التي اعتمدتها ولاية نيو ساوث ويلز هي تدابير </w:t>
      </w:r>
      <w:r w:rsidR="0086606C">
        <w:rPr>
          <w:rtl/>
          <w:lang w:eastAsia="zh-TW"/>
        </w:rPr>
        <w:t>"</w:t>
      </w:r>
      <w:r w:rsidRPr="00B47131">
        <w:rPr>
          <w:rtl/>
          <w:lang w:eastAsia="zh-TW"/>
        </w:rPr>
        <w:t>مناسبة</w:t>
      </w:r>
      <w:r w:rsidR="0086606C">
        <w:rPr>
          <w:rtl/>
          <w:lang w:eastAsia="zh-TW"/>
        </w:rPr>
        <w:t>"</w:t>
      </w:r>
      <w:r w:rsidRPr="00B47131">
        <w:rPr>
          <w:rtl/>
          <w:lang w:eastAsia="zh-TW"/>
        </w:rPr>
        <w:t xml:space="preserve"> </w:t>
      </w:r>
      <w:proofErr w:type="spellStart"/>
      <w:r w:rsidRPr="00B47131">
        <w:rPr>
          <w:rtl/>
          <w:lang w:eastAsia="zh-TW"/>
        </w:rPr>
        <w:t>وتيسيرات</w:t>
      </w:r>
      <w:proofErr w:type="spellEnd"/>
      <w:r w:rsidRPr="00B47131">
        <w:rPr>
          <w:rtl/>
          <w:lang w:eastAsia="zh-TW"/>
        </w:rPr>
        <w:t xml:space="preserve"> </w:t>
      </w:r>
      <w:r w:rsidR="0086606C">
        <w:rPr>
          <w:rtl/>
          <w:lang w:eastAsia="zh-TW"/>
        </w:rPr>
        <w:t>"</w:t>
      </w:r>
      <w:r w:rsidRPr="00B47131">
        <w:rPr>
          <w:rtl/>
          <w:lang w:eastAsia="zh-TW"/>
        </w:rPr>
        <w:t>إجرائية مناسبة للفئة العمرية، وهي تمتثل، بالتالي، للمواد 12</w:t>
      </w:r>
      <w:r w:rsidR="00F05419">
        <w:rPr>
          <w:rtl/>
          <w:lang w:eastAsia="zh-TW"/>
        </w:rPr>
        <w:t xml:space="preserve"> و</w:t>
      </w:r>
      <w:r w:rsidRPr="00B47131">
        <w:rPr>
          <w:rtl/>
          <w:lang w:eastAsia="zh-TW"/>
        </w:rPr>
        <w:t>21</w:t>
      </w:r>
      <w:r w:rsidR="00F05419">
        <w:rPr>
          <w:rtl/>
          <w:lang w:eastAsia="zh-TW"/>
        </w:rPr>
        <w:t xml:space="preserve"> و</w:t>
      </w:r>
      <w:r w:rsidRPr="00B47131">
        <w:rPr>
          <w:rtl/>
          <w:lang w:eastAsia="zh-TW"/>
        </w:rPr>
        <w:t>13 من الاتفاقية. وتشير الدولة الطرف كذلك إلى أن الاستعانة بمترجمين بلغة الإشارة الأسترالية يؤثر على تعقيد المحاكمات وتكلفتها ومدتها، وتترتب عليه، بالتالي، آثار على الموارد، على النحو الوارد في رد حكومة نيو ساوث ويلز على تقرير لجنة إصلاح القوانين في عام 2010.</w:t>
      </w:r>
    </w:p>
    <w:p w:rsidR="0081736E" w:rsidRPr="00960C79" w:rsidRDefault="0081736E" w:rsidP="0081736E">
      <w:pPr>
        <w:pStyle w:val="H1GA"/>
        <w:rPr>
          <w:rtl/>
          <w:lang w:eastAsia="zh-TW"/>
        </w:rPr>
      </w:pPr>
      <w:r>
        <w:rPr>
          <w:rFonts w:hint="cs"/>
          <w:rtl/>
          <w:lang w:eastAsia="zh-TW"/>
        </w:rPr>
        <w:lastRenderedPageBreak/>
        <w:tab/>
      </w:r>
      <w:r w:rsidRPr="00960C79">
        <w:rPr>
          <w:rtl/>
          <w:lang w:eastAsia="zh-TW"/>
        </w:rPr>
        <w:t>ب</w:t>
      </w:r>
      <w:r>
        <w:rPr>
          <w:rtl/>
          <w:lang w:eastAsia="zh-TW"/>
        </w:rPr>
        <w:t>اء-</w:t>
      </w:r>
      <w:r>
        <w:rPr>
          <w:rFonts w:hint="cs"/>
          <w:rtl/>
          <w:lang w:eastAsia="zh-TW"/>
        </w:rPr>
        <w:tab/>
      </w:r>
      <w:r w:rsidRPr="00960C79">
        <w:rPr>
          <w:rtl/>
          <w:lang w:eastAsia="zh-TW"/>
        </w:rPr>
        <w:t>نظر اللجنة في مقبولية البلاغ وأسسه الموضوعية</w:t>
      </w:r>
      <w:r w:rsidRPr="00960C79">
        <w:rPr>
          <w:rFonts w:cs="Times New Roman" w:hint="cs"/>
          <w:rtl/>
          <w:lang w:eastAsia="zh-TW"/>
        </w:rPr>
        <w:t>‬</w:t>
      </w:r>
    </w:p>
    <w:p w:rsidR="0081736E" w:rsidRPr="00960C79" w:rsidRDefault="0081736E" w:rsidP="0081736E">
      <w:pPr>
        <w:pStyle w:val="H23GA"/>
        <w:rPr>
          <w:i/>
          <w:rtl/>
        </w:rPr>
      </w:pPr>
      <w:r w:rsidRPr="00960C79">
        <w:rPr>
          <w:rtl/>
        </w:rPr>
        <w:tab/>
      </w:r>
      <w:r w:rsidRPr="00960C79">
        <w:rPr>
          <w:rtl/>
        </w:rPr>
        <w:tab/>
        <w:t>النظر في مقبولية البلاغ</w:t>
      </w:r>
    </w:p>
    <w:p w:rsidR="0081736E" w:rsidRPr="00B47131" w:rsidRDefault="0081736E" w:rsidP="0081736E">
      <w:pPr>
        <w:pStyle w:val="SingleTxtGA"/>
        <w:rPr>
          <w:rtl/>
          <w:lang w:eastAsia="zh-TW"/>
        </w:rPr>
      </w:pPr>
      <w:r>
        <w:rPr>
          <w:rtl/>
          <w:lang w:eastAsia="zh-TW"/>
        </w:rPr>
        <w:t>٧-١</w:t>
      </w:r>
      <w:r>
        <w:rPr>
          <w:rFonts w:hint="cs"/>
          <w:rtl/>
          <w:lang w:eastAsia="zh-TW"/>
        </w:rPr>
        <w:tab/>
      </w:r>
      <w:r w:rsidRPr="00B47131">
        <w:rPr>
          <w:rFonts w:ascii="Traditional Arabic" w:hAnsi="Traditional Arabic" w:hint="cs"/>
          <w:rtl/>
          <w:lang w:eastAsia="zh-TW"/>
        </w:rPr>
        <w:t>قبل</w:t>
      </w:r>
      <w:r w:rsidRPr="00B47131">
        <w:rPr>
          <w:rtl/>
          <w:lang w:eastAsia="zh-TW"/>
        </w:rPr>
        <w:t xml:space="preserve"> </w:t>
      </w:r>
      <w:r w:rsidRPr="00B47131">
        <w:rPr>
          <w:rFonts w:ascii="Traditional Arabic" w:hAnsi="Traditional Arabic" w:hint="cs"/>
          <w:rtl/>
          <w:lang w:eastAsia="zh-TW"/>
        </w:rPr>
        <w:t>النظر</w:t>
      </w:r>
      <w:r w:rsidRPr="00B47131">
        <w:rPr>
          <w:rtl/>
          <w:lang w:eastAsia="zh-TW"/>
        </w:rPr>
        <w:t xml:space="preserve"> </w:t>
      </w:r>
      <w:r w:rsidRPr="00B47131">
        <w:rPr>
          <w:rFonts w:ascii="Traditional Arabic" w:hAnsi="Traditional Arabic" w:hint="cs"/>
          <w:rtl/>
          <w:lang w:eastAsia="zh-TW"/>
        </w:rPr>
        <w:t>في</w:t>
      </w:r>
      <w:r w:rsidRPr="00B47131">
        <w:rPr>
          <w:rtl/>
          <w:lang w:eastAsia="zh-TW"/>
        </w:rPr>
        <w:t xml:space="preserve"> </w:t>
      </w:r>
      <w:r w:rsidRPr="00B47131">
        <w:rPr>
          <w:rFonts w:ascii="Traditional Arabic" w:hAnsi="Traditional Arabic" w:hint="cs"/>
          <w:rtl/>
          <w:lang w:eastAsia="zh-TW"/>
        </w:rPr>
        <w:t>أي</w:t>
      </w:r>
      <w:r w:rsidRPr="00B47131">
        <w:rPr>
          <w:rtl/>
          <w:lang w:eastAsia="zh-TW"/>
        </w:rPr>
        <w:t xml:space="preserve"> </w:t>
      </w:r>
      <w:r w:rsidRPr="00B47131">
        <w:rPr>
          <w:rFonts w:ascii="Traditional Arabic" w:hAnsi="Traditional Arabic" w:hint="cs"/>
          <w:rtl/>
          <w:lang w:eastAsia="zh-TW"/>
        </w:rPr>
        <w:t>ادعاء</w:t>
      </w:r>
      <w:r w:rsidRPr="00B47131">
        <w:rPr>
          <w:rtl/>
          <w:lang w:eastAsia="zh-TW"/>
        </w:rPr>
        <w:t xml:space="preserve"> </w:t>
      </w:r>
      <w:r w:rsidRPr="00B47131">
        <w:rPr>
          <w:rFonts w:ascii="Traditional Arabic" w:hAnsi="Traditional Arabic" w:hint="cs"/>
          <w:rtl/>
          <w:lang w:eastAsia="zh-TW"/>
        </w:rPr>
        <w:t>يرد</w:t>
      </w:r>
      <w:r w:rsidRPr="00B47131">
        <w:rPr>
          <w:rtl/>
          <w:lang w:eastAsia="zh-TW"/>
        </w:rPr>
        <w:t xml:space="preserve"> </w:t>
      </w:r>
      <w:r w:rsidRPr="00B47131">
        <w:rPr>
          <w:rFonts w:ascii="Traditional Arabic" w:hAnsi="Traditional Arabic" w:hint="cs"/>
          <w:rtl/>
          <w:lang w:eastAsia="zh-TW"/>
        </w:rPr>
        <w:t>في</w:t>
      </w:r>
      <w:r w:rsidRPr="00B47131">
        <w:rPr>
          <w:rtl/>
          <w:lang w:eastAsia="zh-TW"/>
        </w:rPr>
        <w:t xml:space="preserve"> </w:t>
      </w:r>
      <w:r w:rsidRPr="00B47131">
        <w:rPr>
          <w:rFonts w:ascii="Traditional Arabic" w:hAnsi="Traditional Arabic" w:hint="cs"/>
          <w:rtl/>
          <w:lang w:eastAsia="zh-TW"/>
        </w:rPr>
        <w:t>بلاغ</w:t>
      </w:r>
      <w:r w:rsidRPr="00B47131">
        <w:rPr>
          <w:rtl/>
          <w:lang w:eastAsia="zh-TW"/>
        </w:rPr>
        <w:t xml:space="preserve"> </w:t>
      </w:r>
      <w:r w:rsidRPr="00B47131">
        <w:rPr>
          <w:rFonts w:ascii="Traditional Arabic" w:hAnsi="Traditional Arabic" w:hint="cs"/>
          <w:rtl/>
          <w:lang w:eastAsia="zh-TW"/>
        </w:rPr>
        <w:t>ما،</w:t>
      </w:r>
      <w:r w:rsidRPr="00B47131">
        <w:rPr>
          <w:rtl/>
          <w:lang w:eastAsia="zh-TW"/>
        </w:rPr>
        <w:t xml:space="preserve"> </w:t>
      </w:r>
      <w:r w:rsidRPr="00B47131">
        <w:rPr>
          <w:rFonts w:ascii="Traditional Arabic" w:hAnsi="Traditional Arabic" w:hint="cs"/>
          <w:rtl/>
          <w:lang w:eastAsia="zh-TW"/>
        </w:rPr>
        <w:t>يتعين</w:t>
      </w:r>
      <w:r w:rsidRPr="00B47131">
        <w:rPr>
          <w:rtl/>
          <w:lang w:eastAsia="zh-TW"/>
        </w:rPr>
        <w:t xml:space="preserve"> </w:t>
      </w:r>
      <w:r w:rsidRPr="00B47131">
        <w:rPr>
          <w:rFonts w:ascii="Traditional Arabic" w:hAnsi="Traditional Arabic" w:hint="cs"/>
          <w:rtl/>
          <w:lang w:eastAsia="zh-TW"/>
        </w:rPr>
        <w:t>على</w:t>
      </w:r>
      <w:r w:rsidRPr="00B47131">
        <w:rPr>
          <w:rtl/>
          <w:lang w:eastAsia="zh-TW"/>
        </w:rPr>
        <w:t xml:space="preserve"> </w:t>
      </w:r>
      <w:r w:rsidRPr="00B47131">
        <w:rPr>
          <w:rFonts w:ascii="Traditional Arabic" w:hAnsi="Traditional Arabic" w:hint="cs"/>
          <w:rtl/>
          <w:lang w:eastAsia="zh-TW"/>
        </w:rPr>
        <w:t>اللجنة،</w:t>
      </w:r>
      <w:r w:rsidRPr="00B47131">
        <w:rPr>
          <w:rtl/>
          <w:lang w:eastAsia="zh-TW"/>
        </w:rPr>
        <w:t xml:space="preserve"> </w:t>
      </w:r>
      <w:r w:rsidRPr="00B47131">
        <w:rPr>
          <w:rFonts w:ascii="Traditional Arabic" w:hAnsi="Traditional Arabic" w:hint="cs"/>
          <w:rtl/>
          <w:lang w:eastAsia="zh-TW"/>
        </w:rPr>
        <w:t>وفقاً</w:t>
      </w:r>
      <w:r w:rsidRPr="00B47131">
        <w:rPr>
          <w:rtl/>
          <w:lang w:eastAsia="zh-TW"/>
        </w:rPr>
        <w:t xml:space="preserve"> </w:t>
      </w:r>
      <w:r w:rsidRPr="00B47131">
        <w:rPr>
          <w:rFonts w:ascii="Traditional Arabic" w:hAnsi="Traditional Arabic" w:hint="cs"/>
          <w:rtl/>
          <w:lang w:eastAsia="zh-TW"/>
        </w:rPr>
        <w:t>للمادة</w:t>
      </w:r>
      <w:r w:rsidRPr="00B47131">
        <w:rPr>
          <w:rtl/>
          <w:lang w:eastAsia="zh-TW"/>
        </w:rPr>
        <w:t xml:space="preserve"> 2 </w:t>
      </w:r>
      <w:r w:rsidRPr="00B47131">
        <w:rPr>
          <w:rFonts w:ascii="Traditional Arabic" w:hAnsi="Traditional Arabic" w:hint="cs"/>
          <w:rtl/>
          <w:lang w:eastAsia="zh-TW"/>
        </w:rPr>
        <w:t>من</w:t>
      </w:r>
      <w:r w:rsidRPr="00B47131">
        <w:rPr>
          <w:rtl/>
          <w:lang w:eastAsia="zh-TW"/>
        </w:rPr>
        <w:t xml:space="preserve"> </w:t>
      </w:r>
      <w:r w:rsidRPr="00B47131">
        <w:rPr>
          <w:rFonts w:ascii="Traditional Arabic" w:hAnsi="Traditional Arabic" w:hint="cs"/>
          <w:rtl/>
          <w:lang w:eastAsia="zh-TW"/>
        </w:rPr>
        <w:t>البروتوك</w:t>
      </w:r>
      <w:r w:rsidRPr="00B47131">
        <w:rPr>
          <w:rtl/>
          <w:lang w:eastAsia="zh-TW"/>
        </w:rPr>
        <w:t>ول الاختياري والمادة 65 من نظامها الداخلي، أن تقرر ما إذا كان البلاغ مقبولاً بموجب أحكام البروتوكول الاختياري للاتفاقية.</w:t>
      </w:r>
      <w:r w:rsidRPr="00B47131">
        <w:rPr>
          <w:rFonts w:cs="Times New Roman" w:hint="cs"/>
          <w:rtl/>
          <w:lang w:eastAsia="zh-TW"/>
        </w:rPr>
        <w:t>‬</w:t>
      </w:r>
    </w:p>
    <w:p w:rsidR="0081736E" w:rsidRPr="00B47131" w:rsidRDefault="0081736E" w:rsidP="00740F4F">
      <w:pPr>
        <w:pStyle w:val="SingleTxtGA"/>
        <w:rPr>
          <w:rtl/>
          <w:lang w:eastAsia="zh-TW"/>
        </w:rPr>
      </w:pPr>
      <w:r>
        <w:rPr>
          <w:rtl/>
          <w:lang w:eastAsia="zh-TW"/>
        </w:rPr>
        <w:t>٧-٢</w:t>
      </w:r>
      <w:r>
        <w:rPr>
          <w:rFonts w:hint="cs"/>
          <w:rtl/>
          <w:lang w:eastAsia="zh-TW"/>
        </w:rPr>
        <w:tab/>
      </w:r>
      <w:r w:rsidRPr="00B47131">
        <w:rPr>
          <w:rtl/>
          <w:lang w:eastAsia="zh-TW"/>
        </w:rPr>
        <w:t>وقد تيقنت اللجنة، وفقاً لما تقضي به الفقرة (ج) من المادة 2 من البروتوكول الاختياري، من أن المسألة ذاتها لم تُنظر</w:t>
      </w:r>
      <w:r w:rsidR="0086606C">
        <w:rPr>
          <w:rtl/>
          <w:lang w:eastAsia="zh-TW"/>
        </w:rPr>
        <w:t xml:space="preserve"> </w:t>
      </w:r>
      <w:r w:rsidRPr="00B47131">
        <w:rPr>
          <w:rtl/>
          <w:lang w:eastAsia="zh-TW"/>
        </w:rPr>
        <w:t>من قبل اللجنة ولم تُنظر</w:t>
      </w:r>
      <w:r w:rsidR="00F05419">
        <w:rPr>
          <w:rtl/>
          <w:lang w:eastAsia="zh-TW"/>
        </w:rPr>
        <w:t xml:space="preserve"> و</w:t>
      </w:r>
      <w:r>
        <w:rPr>
          <w:rFonts w:hint="cs"/>
          <w:rtl/>
          <w:lang w:eastAsia="zh-TW"/>
        </w:rPr>
        <w:t>ليست قيد</w:t>
      </w:r>
      <w:r w:rsidRPr="00B47131">
        <w:rPr>
          <w:rtl/>
          <w:lang w:eastAsia="zh-TW"/>
        </w:rPr>
        <w:t xml:space="preserve"> </w:t>
      </w:r>
      <w:r>
        <w:rPr>
          <w:rFonts w:hint="cs"/>
          <w:rtl/>
          <w:lang w:eastAsia="zh-TW"/>
        </w:rPr>
        <w:t>ال</w:t>
      </w:r>
      <w:r w:rsidRPr="00B47131">
        <w:rPr>
          <w:rtl/>
          <w:lang w:eastAsia="zh-TW"/>
        </w:rPr>
        <w:t>نظر</w:t>
      </w:r>
      <w:r w:rsidR="0086606C">
        <w:rPr>
          <w:rFonts w:hint="cs"/>
          <w:rtl/>
          <w:lang w:eastAsia="zh-TW"/>
        </w:rPr>
        <w:t xml:space="preserve"> </w:t>
      </w:r>
      <w:r w:rsidRPr="00B47131">
        <w:rPr>
          <w:rtl/>
          <w:lang w:eastAsia="zh-TW"/>
        </w:rPr>
        <w:t>في إطار أي</w:t>
      </w:r>
      <w:r w:rsidR="00740F4F">
        <w:rPr>
          <w:rFonts w:hint="cs"/>
          <w:rtl/>
          <w:lang w:eastAsia="zh-TW"/>
        </w:rPr>
        <w:t> </w:t>
      </w:r>
      <w:r w:rsidRPr="00B47131">
        <w:rPr>
          <w:rtl/>
          <w:lang w:eastAsia="zh-TW"/>
        </w:rPr>
        <w:t>إجراء آخر من إجراءات التحقيق الدولي أو التسوية الدولية.</w:t>
      </w:r>
      <w:r w:rsidRPr="00B47131">
        <w:rPr>
          <w:rFonts w:cs="Times New Roman" w:hint="cs"/>
          <w:rtl/>
          <w:lang w:eastAsia="zh-TW"/>
        </w:rPr>
        <w:t>‬</w:t>
      </w:r>
    </w:p>
    <w:p w:rsidR="0081736E" w:rsidRPr="00B47131" w:rsidRDefault="0081736E" w:rsidP="0081736E">
      <w:pPr>
        <w:pStyle w:val="SingleTxtGA"/>
        <w:rPr>
          <w:rtl/>
          <w:lang w:eastAsia="zh-TW"/>
        </w:rPr>
      </w:pPr>
      <w:r>
        <w:rPr>
          <w:rtl/>
          <w:lang w:eastAsia="zh-TW"/>
        </w:rPr>
        <w:t>٧-٣</w:t>
      </w:r>
      <w:r>
        <w:rPr>
          <w:rFonts w:hint="cs"/>
          <w:rtl/>
          <w:lang w:eastAsia="zh-TW"/>
        </w:rPr>
        <w:tab/>
        <w:t>وتحيط</w:t>
      </w:r>
      <w:r w:rsidRPr="00B47131">
        <w:rPr>
          <w:rtl/>
          <w:lang w:eastAsia="zh-TW"/>
        </w:rPr>
        <w:t xml:space="preserve"> اللجنة</w:t>
      </w:r>
      <w:r>
        <w:rPr>
          <w:rFonts w:hint="cs"/>
          <w:rtl/>
          <w:lang w:eastAsia="zh-TW"/>
        </w:rPr>
        <w:t xml:space="preserve"> علم</w:t>
      </w:r>
      <w:r w:rsidR="005E3DFA">
        <w:rPr>
          <w:rFonts w:hint="cs"/>
          <w:rtl/>
          <w:lang w:eastAsia="zh-TW"/>
        </w:rPr>
        <w:t xml:space="preserve">اً </w:t>
      </w:r>
      <w:r>
        <w:rPr>
          <w:rFonts w:hint="cs"/>
          <w:rtl/>
          <w:lang w:eastAsia="zh-TW"/>
        </w:rPr>
        <w:t>باحتجاج</w:t>
      </w:r>
      <w:r w:rsidRPr="00B47131">
        <w:rPr>
          <w:rtl/>
          <w:lang w:eastAsia="zh-TW"/>
        </w:rPr>
        <w:t xml:space="preserve"> الدولة الطرف بأن صاحبة البلاغ لم تستنفد جميع سبل الانتصاف المحلية لأنها لم تعرض شكواها على أي هيئة قضائية، ولا حتى على هيئة تمكنها من رفع قضية أمام إحدى المحاكم الاتحادية لتسوية شكواها.</w:t>
      </w:r>
      <w:r w:rsidR="00F05419">
        <w:rPr>
          <w:rtl/>
          <w:lang w:eastAsia="zh-TW"/>
        </w:rPr>
        <w:t xml:space="preserve"> و</w:t>
      </w:r>
      <w:r>
        <w:rPr>
          <w:rFonts w:hint="cs"/>
          <w:rtl/>
          <w:lang w:eastAsia="zh-TW"/>
        </w:rPr>
        <w:t>تحيط</w:t>
      </w:r>
      <w:r w:rsidRPr="00B47131">
        <w:rPr>
          <w:rtl/>
          <w:lang w:eastAsia="zh-TW"/>
        </w:rPr>
        <w:t xml:space="preserve"> اللجنة</w:t>
      </w:r>
      <w:r w:rsidR="0086606C">
        <w:rPr>
          <w:rtl/>
          <w:lang w:eastAsia="zh-TW"/>
        </w:rPr>
        <w:t xml:space="preserve"> </w:t>
      </w:r>
      <w:r>
        <w:rPr>
          <w:rFonts w:hint="cs"/>
          <w:rtl/>
          <w:lang w:eastAsia="zh-TW"/>
        </w:rPr>
        <w:t>علم</w:t>
      </w:r>
      <w:r w:rsidR="005E3DFA">
        <w:rPr>
          <w:rFonts w:hint="cs"/>
          <w:rtl/>
          <w:lang w:eastAsia="zh-TW"/>
        </w:rPr>
        <w:t xml:space="preserve">اً </w:t>
      </w:r>
      <w:r>
        <w:rPr>
          <w:rFonts w:hint="cs"/>
          <w:rtl/>
          <w:lang w:eastAsia="zh-TW"/>
        </w:rPr>
        <w:t>بال</w:t>
      </w:r>
      <w:r w:rsidRPr="00B47131">
        <w:rPr>
          <w:rtl/>
          <w:lang w:eastAsia="zh-TW"/>
        </w:rPr>
        <w:t>حجتي</w:t>
      </w:r>
      <w:r>
        <w:rPr>
          <w:rFonts w:hint="cs"/>
          <w:rtl/>
          <w:lang w:eastAsia="zh-TW"/>
        </w:rPr>
        <w:t>ن اللتين ساقتهما</w:t>
      </w:r>
      <w:r w:rsidRPr="00B47131">
        <w:rPr>
          <w:rtl/>
          <w:lang w:eastAsia="zh-TW"/>
        </w:rPr>
        <w:t xml:space="preserve"> صاحبة البلاغ ومفادهما: (أ) أن لا جدوى من تقديم شكوى إلى اللجنة الأسترالية لحقوق الإنسان وإلى مجلس مناهضة التمييز في نيو ساوث ويلز، لأنهما ليستا هيئتين </w:t>
      </w:r>
      <w:r w:rsidR="0086071A" w:rsidRPr="00B47131">
        <w:rPr>
          <w:rFonts w:hint="cs"/>
          <w:rtl/>
          <w:lang w:eastAsia="zh-TW"/>
        </w:rPr>
        <w:t>قضائيتي</w:t>
      </w:r>
      <w:r w:rsidR="0086071A" w:rsidRPr="00B47131">
        <w:rPr>
          <w:rFonts w:hint="eastAsia"/>
          <w:rtl/>
          <w:lang w:eastAsia="zh-TW"/>
        </w:rPr>
        <w:t>ن</w:t>
      </w:r>
      <w:r w:rsidRPr="00B47131">
        <w:rPr>
          <w:rtl/>
          <w:lang w:eastAsia="zh-TW"/>
        </w:rPr>
        <w:t>، وبالتالي، فإنهما لا تتمتعان بصلاحية إجراء مراجعة قضائية أو الأمر بتوفير سبل الانتصاف؛ (ب) أن الدولة الطرف لم تبين</w:t>
      </w:r>
      <w:r w:rsidR="0086606C">
        <w:rPr>
          <w:rtl/>
          <w:lang w:eastAsia="zh-TW"/>
        </w:rPr>
        <w:t xml:space="preserve"> </w:t>
      </w:r>
      <w:r>
        <w:rPr>
          <w:rFonts w:hint="cs"/>
          <w:rtl/>
          <w:lang w:eastAsia="zh-TW"/>
        </w:rPr>
        <w:t xml:space="preserve">فيما يشكل </w:t>
      </w:r>
      <w:r w:rsidRPr="00B47131">
        <w:rPr>
          <w:rtl/>
          <w:lang w:eastAsia="zh-TW"/>
        </w:rPr>
        <w:t>تقديم شكوى إلى اللجنة الأسترالية لحقوق الإنسان</w:t>
      </w:r>
      <w:r w:rsidR="0086606C">
        <w:rPr>
          <w:rtl/>
          <w:lang w:eastAsia="zh-TW"/>
        </w:rPr>
        <w:t xml:space="preserve"> </w:t>
      </w:r>
      <w:r w:rsidRPr="00B47131">
        <w:rPr>
          <w:rtl/>
          <w:lang w:eastAsia="zh-TW"/>
        </w:rPr>
        <w:t>سبيل انتصاف قانوني فعال</w:t>
      </w:r>
      <w:r w:rsidR="005E3DFA">
        <w:rPr>
          <w:rFonts w:hint="cs"/>
          <w:rtl/>
          <w:lang w:eastAsia="zh-TW"/>
        </w:rPr>
        <w:t xml:space="preserve">اً </w:t>
      </w:r>
      <w:r w:rsidRPr="00B47131">
        <w:rPr>
          <w:rtl/>
          <w:lang w:eastAsia="zh-TW"/>
        </w:rPr>
        <w:t xml:space="preserve">بالنسبة لصاحبة البلاغ، في الوقت الذي أنهت فيه اللجنة الأسترالية لحقوق الإنسان نظرها في شكاوى مماثلة لعدم وجود احتمال معقول للتوفيق بين الأطراف. </w:t>
      </w:r>
      <w:r>
        <w:rPr>
          <w:rFonts w:hint="cs"/>
          <w:rtl/>
          <w:lang w:eastAsia="zh-TW"/>
        </w:rPr>
        <w:t>وتشير</w:t>
      </w:r>
      <w:r w:rsidRPr="00B47131">
        <w:rPr>
          <w:rtl/>
          <w:lang w:eastAsia="zh-TW"/>
        </w:rPr>
        <w:t xml:space="preserve"> اللجنة أيض</w:t>
      </w:r>
      <w:r w:rsidR="005E3DFA">
        <w:rPr>
          <w:rtl/>
          <w:lang w:eastAsia="zh-TW"/>
        </w:rPr>
        <w:t xml:space="preserve">اً </w:t>
      </w:r>
      <w:r>
        <w:rPr>
          <w:rFonts w:hint="cs"/>
          <w:rtl/>
          <w:lang w:eastAsia="zh-TW"/>
        </w:rPr>
        <w:t xml:space="preserve">إلى </w:t>
      </w:r>
      <w:r w:rsidRPr="00B47131">
        <w:rPr>
          <w:rtl/>
          <w:lang w:eastAsia="zh-TW"/>
        </w:rPr>
        <w:t xml:space="preserve">حجة صاحبة البلاغ بأنه لا يمكن لأي محكمة أن توفر لها في قضيتها أي سبيل انتصاف فعال ميسور التكلفة في إطار قانون مناهضة التمييز أو قانون مناهضة التمييز </w:t>
      </w:r>
      <w:r>
        <w:rPr>
          <w:rFonts w:hint="cs"/>
          <w:rtl/>
          <w:lang w:eastAsia="zh-TW"/>
        </w:rPr>
        <w:t>على أساس</w:t>
      </w:r>
      <w:r w:rsidRPr="00B47131">
        <w:rPr>
          <w:rtl/>
          <w:lang w:eastAsia="zh-TW"/>
        </w:rPr>
        <w:t xml:space="preserve"> الإعاقة للسببين التاليين: (أ) أن قانون مناهضة التمييز </w:t>
      </w:r>
      <w:r>
        <w:rPr>
          <w:rFonts w:hint="cs"/>
          <w:rtl/>
          <w:lang w:eastAsia="zh-TW"/>
        </w:rPr>
        <w:t>على أساس</w:t>
      </w:r>
      <w:r w:rsidRPr="00B47131">
        <w:rPr>
          <w:rtl/>
          <w:lang w:eastAsia="zh-TW"/>
        </w:rPr>
        <w:t xml:space="preserve"> الإعاقة يحظر التمييز على أساس الإعاقة في مجالات محددة من الحياة العامة، ولكنها مجالات لا تنطبق على قضيتها؛ (ب) أن قانون مناهضة التمييز يتضمن أحكاماً تحظر التمييز على أساس الإعاقة في مجالات محددة من الحياة العامة لا تشمل مسألة أداء الواجب في هيئة محلفين.</w:t>
      </w:r>
      <w:r w:rsidR="00F05419">
        <w:rPr>
          <w:rtl/>
          <w:lang w:eastAsia="zh-TW"/>
        </w:rPr>
        <w:t xml:space="preserve"> و</w:t>
      </w:r>
      <w:r>
        <w:rPr>
          <w:rFonts w:hint="cs"/>
          <w:rtl/>
          <w:lang w:eastAsia="zh-TW"/>
        </w:rPr>
        <w:t>تحيط</w:t>
      </w:r>
      <w:r w:rsidRPr="00B47131">
        <w:rPr>
          <w:rtl/>
          <w:lang w:eastAsia="zh-TW"/>
        </w:rPr>
        <w:t xml:space="preserve"> اللجنة </w:t>
      </w:r>
      <w:r>
        <w:rPr>
          <w:rFonts w:hint="cs"/>
          <w:rtl/>
          <w:lang w:eastAsia="zh-TW"/>
        </w:rPr>
        <w:t>علم</w:t>
      </w:r>
      <w:r w:rsidR="005E3DFA">
        <w:rPr>
          <w:rFonts w:hint="cs"/>
          <w:rtl/>
          <w:lang w:eastAsia="zh-TW"/>
        </w:rPr>
        <w:t xml:space="preserve">اً </w:t>
      </w:r>
      <w:r w:rsidRPr="00B47131">
        <w:rPr>
          <w:rtl/>
          <w:lang w:eastAsia="zh-TW"/>
        </w:rPr>
        <w:t>أيض</w:t>
      </w:r>
      <w:r w:rsidR="005E3DFA">
        <w:rPr>
          <w:rtl/>
          <w:lang w:eastAsia="zh-TW"/>
        </w:rPr>
        <w:t xml:space="preserve">اً </w:t>
      </w:r>
      <w:r>
        <w:rPr>
          <w:rFonts w:hint="cs"/>
          <w:rtl/>
          <w:lang w:eastAsia="zh-TW"/>
        </w:rPr>
        <w:t>بدفع</w:t>
      </w:r>
      <w:r w:rsidRPr="00B47131">
        <w:rPr>
          <w:rtl/>
          <w:lang w:eastAsia="zh-TW"/>
        </w:rPr>
        <w:t xml:space="preserve"> الدولة الطرف بأن رسوم تقديم شكوى إلى اللجنة أو المجلس قدرها 55 دولاراً أسترالياً وبأن محكمة الدائرة الاتحادية يجوز لها أيضاً أن تحدد الحد الأقصى للتكاليف التي يمكن استردادها. ومع ذلك،</w:t>
      </w:r>
      <w:r w:rsidR="0086606C">
        <w:rPr>
          <w:rtl/>
          <w:lang w:eastAsia="zh-TW"/>
        </w:rPr>
        <w:t xml:space="preserve"> </w:t>
      </w:r>
      <w:r>
        <w:rPr>
          <w:rFonts w:hint="cs"/>
          <w:rtl/>
          <w:lang w:eastAsia="zh-TW"/>
        </w:rPr>
        <w:t>تلاحظ</w:t>
      </w:r>
      <w:r w:rsidRPr="00B47131">
        <w:rPr>
          <w:rtl/>
          <w:lang w:eastAsia="zh-TW"/>
        </w:rPr>
        <w:t xml:space="preserve"> اللجنة</w:t>
      </w:r>
      <w:r w:rsidR="0086606C">
        <w:rPr>
          <w:rtl/>
          <w:lang w:eastAsia="zh-TW"/>
        </w:rPr>
        <w:t xml:space="preserve"> </w:t>
      </w:r>
      <w:r w:rsidRPr="00B47131">
        <w:rPr>
          <w:rtl/>
          <w:lang w:eastAsia="zh-TW"/>
        </w:rPr>
        <w:t xml:space="preserve">حجة صاحبة البلاغ بأن أي محاولة لإقامة دعوى أمام المحاكم فيما يتصل بالانتهاكات التي تزعم حدوثها بموجب قانون مناهضة التمييز على أساس الإعاقة أو قانون مناهضة التمييز ستبوء بالفشل في ضوء التشريعات الوطنية والسوابق القضائية المتعلقة بالتمييز، مما يستبعد إمكانية حصولها من أي محكمة اتحادية على أمر بدفع حد أقصى من التكاليف لأن دعواها لا تحظى بفرص نجاح معقولة. </w:t>
      </w:r>
    </w:p>
    <w:p w:rsidR="0081736E" w:rsidRPr="00B47131" w:rsidRDefault="0081736E" w:rsidP="00740F4F">
      <w:pPr>
        <w:pStyle w:val="SingleTxtGA"/>
        <w:rPr>
          <w:rtl/>
          <w:lang w:eastAsia="zh-TW"/>
        </w:rPr>
      </w:pPr>
      <w:r>
        <w:rPr>
          <w:rtl/>
          <w:lang w:eastAsia="zh-TW"/>
        </w:rPr>
        <w:lastRenderedPageBreak/>
        <w:t>٧-٤-</w:t>
      </w:r>
      <w:r>
        <w:rPr>
          <w:rFonts w:hint="cs"/>
          <w:rtl/>
          <w:lang w:eastAsia="zh-TW"/>
        </w:rPr>
        <w:tab/>
      </w:r>
      <w:r w:rsidRPr="00B47131">
        <w:rPr>
          <w:rtl/>
          <w:lang w:eastAsia="zh-TW"/>
        </w:rPr>
        <w:t xml:space="preserve">وتذكر اللجنة بأن الفقرة (د) من المادة 2 من البروتوكول الاختياري تنص على أن تعتبر الشكوى غير مقبولة إذا لم تستنفد جميع سبل الانتصاف المحلية المتاحة. </w:t>
      </w:r>
      <w:dir w:val="rtl">
        <w:r w:rsidRPr="00B47131">
          <w:rPr>
            <w:rFonts w:ascii="Traditional Arabic" w:hAnsi="Traditional Arabic" w:hint="cs"/>
            <w:rtl/>
            <w:lang w:eastAsia="zh-TW"/>
          </w:rPr>
          <w:t>ولا</w:t>
        </w:r>
        <w:r w:rsidRPr="00B47131">
          <w:rPr>
            <w:rtl/>
            <w:lang w:eastAsia="zh-TW"/>
          </w:rPr>
          <w:t xml:space="preserve"> </w:t>
        </w:r>
        <w:r w:rsidRPr="00B47131">
          <w:rPr>
            <w:rFonts w:ascii="Traditional Arabic" w:hAnsi="Traditional Arabic" w:hint="cs"/>
            <w:rtl/>
            <w:lang w:eastAsia="zh-TW"/>
          </w:rPr>
          <w:t>تـسري</w:t>
        </w:r>
        <w:r w:rsidRPr="00B47131">
          <w:rPr>
            <w:rtl/>
            <w:lang w:eastAsia="zh-TW"/>
          </w:rPr>
          <w:t xml:space="preserve"> </w:t>
        </w:r>
        <w:r w:rsidRPr="00B47131">
          <w:rPr>
            <w:rFonts w:ascii="Traditional Arabic" w:hAnsi="Traditional Arabic" w:hint="cs"/>
            <w:rtl/>
            <w:lang w:eastAsia="zh-TW"/>
          </w:rPr>
          <w:t>هـذه</w:t>
        </w:r>
        <w:r w:rsidRPr="00B47131">
          <w:rPr>
            <w:rtl/>
            <w:lang w:eastAsia="zh-TW"/>
          </w:rPr>
          <w:t xml:space="preserve"> </w:t>
        </w:r>
        <w:r w:rsidRPr="00B47131">
          <w:rPr>
            <w:rFonts w:ascii="Traditional Arabic" w:hAnsi="Traditional Arabic" w:hint="cs"/>
            <w:rtl/>
            <w:lang w:eastAsia="zh-TW"/>
          </w:rPr>
          <w:t>القاعـدة</w:t>
        </w:r>
        <w:r w:rsidRPr="00B47131">
          <w:rPr>
            <w:rtl/>
            <w:lang w:eastAsia="zh-TW"/>
          </w:rPr>
          <w:t xml:space="preserve"> </w:t>
        </w:r>
        <w:r w:rsidRPr="00B47131">
          <w:rPr>
            <w:rFonts w:ascii="Traditional Arabic" w:hAnsi="Traditional Arabic" w:hint="cs"/>
            <w:rtl/>
            <w:lang w:eastAsia="zh-TW"/>
          </w:rPr>
          <w:t>إذا</w:t>
        </w:r>
        <w:r w:rsidRPr="00B47131">
          <w:rPr>
            <w:rtl/>
            <w:lang w:eastAsia="zh-TW"/>
          </w:rPr>
          <w:t xml:space="preserve"> </w:t>
        </w:r>
        <w:r w:rsidRPr="00B47131">
          <w:rPr>
            <w:rFonts w:ascii="Traditional Arabic" w:hAnsi="Traditional Arabic" w:hint="cs"/>
            <w:rtl/>
            <w:lang w:eastAsia="zh-TW"/>
          </w:rPr>
          <w:t>كـان</w:t>
        </w:r>
        <w:r w:rsidRPr="00B47131">
          <w:rPr>
            <w:rtl/>
            <w:lang w:eastAsia="zh-TW"/>
          </w:rPr>
          <w:t xml:space="preserve"> </w:t>
        </w:r>
        <w:r w:rsidRPr="00B47131">
          <w:rPr>
            <w:rFonts w:ascii="Traditional Arabic" w:hAnsi="Traditional Arabic" w:hint="cs"/>
            <w:rtl/>
            <w:lang w:eastAsia="zh-TW"/>
          </w:rPr>
          <w:t>إعمـال</w:t>
        </w:r>
        <w:r w:rsidRPr="00B47131">
          <w:rPr>
            <w:rtl/>
            <w:lang w:eastAsia="zh-TW"/>
          </w:rPr>
          <w:t xml:space="preserve"> </w:t>
        </w:r>
        <w:r w:rsidRPr="00B47131">
          <w:rPr>
            <w:rFonts w:ascii="Traditional Arabic" w:hAnsi="Traditional Arabic" w:hint="cs"/>
            <w:rtl/>
            <w:lang w:eastAsia="zh-TW"/>
          </w:rPr>
          <w:t>وسـائل</w:t>
        </w:r>
        <w:r w:rsidRPr="00B47131">
          <w:rPr>
            <w:rtl/>
            <w:lang w:eastAsia="zh-TW"/>
          </w:rPr>
          <w:t xml:space="preserve"> </w:t>
        </w:r>
        <w:r w:rsidRPr="00B47131">
          <w:rPr>
            <w:rFonts w:ascii="Traditional Arabic" w:hAnsi="Traditional Arabic" w:hint="cs"/>
            <w:rtl/>
            <w:lang w:eastAsia="zh-TW"/>
          </w:rPr>
          <w:t>الانتـصاف</w:t>
        </w:r>
        <w:r w:rsidRPr="00B47131">
          <w:rPr>
            <w:rtl/>
            <w:lang w:eastAsia="zh-TW"/>
          </w:rPr>
          <w:t xml:space="preserve"> </w:t>
        </w:r>
        <w:r w:rsidRPr="00B47131">
          <w:rPr>
            <w:rFonts w:ascii="Traditional Arabic" w:hAnsi="Traditional Arabic" w:hint="cs"/>
            <w:rtl/>
            <w:lang w:eastAsia="zh-TW"/>
          </w:rPr>
          <w:t>قـد</w:t>
        </w:r>
        <w:r w:rsidRPr="00B47131">
          <w:rPr>
            <w:rtl/>
            <w:lang w:eastAsia="zh-TW"/>
          </w:rPr>
          <w:t xml:space="preserve"> </w:t>
        </w:r>
        <w:r w:rsidRPr="00B47131">
          <w:rPr>
            <w:rFonts w:ascii="Traditional Arabic" w:hAnsi="Traditional Arabic" w:hint="cs"/>
            <w:rtl/>
            <w:lang w:eastAsia="zh-TW"/>
          </w:rPr>
          <w:t>طـال</w:t>
        </w:r>
        <w:r w:rsidRPr="00B47131">
          <w:rPr>
            <w:rtl/>
            <w:lang w:eastAsia="zh-TW"/>
          </w:rPr>
          <w:t xml:space="preserve"> </w:t>
        </w:r>
        <w:r w:rsidRPr="00B47131">
          <w:rPr>
            <w:rFonts w:ascii="Traditional Arabic" w:hAnsi="Traditional Arabic" w:hint="cs"/>
            <w:rtl/>
            <w:lang w:eastAsia="zh-TW"/>
          </w:rPr>
          <w:t>أمـده</w:t>
        </w:r>
        <w:r w:rsidRPr="00B47131">
          <w:rPr>
            <w:rtl/>
            <w:lang w:eastAsia="zh-TW"/>
          </w:rPr>
          <w:t xml:space="preserve"> </w:t>
        </w:r>
        <w:r w:rsidRPr="00B47131">
          <w:rPr>
            <w:rFonts w:ascii="Traditional Arabic" w:hAnsi="Traditional Arabic" w:hint="cs"/>
            <w:rtl/>
            <w:lang w:eastAsia="zh-TW"/>
          </w:rPr>
          <w:t>بصورة</w:t>
        </w:r>
        <w:r w:rsidRPr="00B47131">
          <w:rPr>
            <w:rtl/>
            <w:lang w:eastAsia="zh-TW"/>
          </w:rPr>
          <w:t xml:space="preserve"> </w:t>
        </w:r>
        <w:r w:rsidRPr="00B47131">
          <w:rPr>
            <w:rFonts w:ascii="Traditional Arabic" w:hAnsi="Traditional Arabic" w:hint="cs"/>
            <w:rtl/>
            <w:lang w:eastAsia="zh-TW"/>
          </w:rPr>
          <w:t>غير</w:t>
        </w:r>
        <w:r w:rsidRPr="00B47131">
          <w:rPr>
            <w:rtl/>
            <w:lang w:eastAsia="zh-TW"/>
          </w:rPr>
          <w:t xml:space="preserve"> </w:t>
        </w:r>
        <w:r w:rsidRPr="00B47131">
          <w:rPr>
            <w:rFonts w:ascii="Traditional Arabic" w:hAnsi="Traditional Arabic" w:hint="cs"/>
            <w:rtl/>
            <w:lang w:eastAsia="zh-TW"/>
          </w:rPr>
          <w:t>معقولة</w:t>
        </w:r>
        <w:r w:rsidRPr="00B47131">
          <w:rPr>
            <w:rtl/>
            <w:lang w:eastAsia="zh-TW"/>
          </w:rPr>
          <w:t xml:space="preserve"> </w:t>
        </w:r>
        <w:r w:rsidRPr="00B47131">
          <w:rPr>
            <w:rFonts w:ascii="Traditional Arabic" w:hAnsi="Traditional Arabic" w:hint="cs"/>
            <w:rtl/>
            <w:lang w:eastAsia="zh-TW"/>
          </w:rPr>
          <w:t>أو</w:t>
        </w:r>
        <w:r w:rsidRPr="00B47131">
          <w:rPr>
            <w:rtl/>
            <w:lang w:eastAsia="zh-TW"/>
          </w:rPr>
          <w:t xml:space="preserve"> </w:t>
        </w:r>
        <w:r w:rsidRPr="00B47131">
          <w:rPr>
            <w:rFonts w:ascii="Traditional Arabic" w:hAnsi="Traditional Arabic" w:hint="cs"/>
            <w:rtl/>
            <w:lang w:eastAsia="zh-TW"/>
          </w:rPr>
          <w:t>كان</w:t>
        </w:r>
        <w:r w:rsidRPr="00B47131">
          <w:rPr>
            <w:rtl/>
            <w:lang w:eastAsia="zh-TW"/>
          </w:rPr>
          <w:t xml:space="preserve"> </w:t>
        </w:r>
        <w:r w:rsidRPr="00B47131">
          <w:rPr>
            <w:rFonts w:ascii="Traditional Arabic" w:hAnsi="Traditional Arabic" w:hint="cs"/>
            <w:rtl/>
            <w:lang w:eastAsia="zh-TW"/>
          </w:rPr>
          <w:t>من</w:t>
        </w:r>
        <w:r w:rsidRPr="00B47131">
          <w:rPr>
            <w:rtl/>
            <w:lang w:eastAsia="zh-TW"/>
          </w:rPr>
          <w:t xml:space="preserve"> </w:t>
        </w:r>
        <w:r w:rsidRPr="00B47131">
          <w:rPr>
            <w:rFonts w:ascii="Traditional Arabic" w:hAnsi="Traditional Arabic" w:hint="cs"/>
            <w:rtl/>
            <w:lang w:eastAsia="zh-TW"/>
          </w:rPr>
          <w:t>غير</w:t>
        </w:r>
        <w:r w:rsidRPr="00B47131">
          <w:rPr>
            <w:rtl/>
            <w:lang w:eastAsia="zh-TW"/>
          </w:rPr>
          <w:t xml:space="preserve"> </w:t>
        </w:r>
        <w:r w:rsidRPr="00B47131">
          <w:rPr>
            <w:rFonts w:ascii="Traditional Arabic" w:hAnsi="Traditional Arabic" w:hint="cs"/>
            <w:rtl/>
            <w:lang w:eastAsia="zh-TW"/>
          </w:rPr>
          <w:t>المرجح</w:t>
        </w:r>
        <w:r w:rsidRPr="00B47131">
          <w:rPr>
            <w:rtl/>
            <w:lang w:eastAsia="zh-TW"/>
          </w:rPr>
          <w:t xml:space="preserve"> </w:t>
        </w:r>
        <w:r w:rsidRPr="00B47131">
          <w:rPr>
            <w:rFonts w:ascii="Traditional Arabic" w:hAnsi="Traditional Arabic" w:hint="cs"/>
            <w:rtl/>
            <w:lang w:eastAsia="zh-TW"/>
          </w:rPr>
          <w:t>أن</w:t>
        </w:r>
        <w:r w:rsidRPr="00B47131">
          <w:rPr>
            <w:rtl/>
            <w:lang w:eastAsia="zh-TW"/>
          </w:rPr>
          <w:t xml:space="preserve"> </w:t>
        </w:r>
        <w:r w:rsidRPr="00B47131">
          <w:rPr>
            <w:rFonts w:ascii="Traditional Arabic" w:hAnsi="Traditional Arabic" w:hint="cs"/>
            <w:rtl/>
            <w:lang w:eastAsia="zh-TW"/>
          </w:rPr>
          <w:t>يفضي</w:t>
        </w:r>
        <w:r w:rsidRPr="00B47131">
          <w:rPr>
            <w:rtl/>
            <w:lang w:eastAsia="zh-TW"/>
          </w:rPr>
          <w:t xml:space="preserve"> </w:t>
        </w:r>
        <w:r w:rsidRPr="00B47131">
          <w:rPr>
            <w:rFonts w:ascii="Traditional Arabic" w:hAnsi="Traditional Arabic" w:hint="cs"/>
            <w:rtl/>
            <w:lang w:eastAsia="zh-TW"/>
          </w:rPr>
          <w:t>إلى</w:t>
        </w:r>
        <w:r w:rsidRPr="00B47131">
          <w:rPr>
            <w:rtl/>
            <w:lang w:eastAsia="zh-TW"/>
          </w:rPr>
          <w:t xml:space="preserve"> </w:t>
        </w:r>
        <w:r w:rsidRPr="00B47131">
          <w:rPr>
            <w:rFonts w:ascii="Traditional Arabic" w:hAnsi="Traditional Arabic" w:hint="cs"/>
            <w:rtl/>
            <w:lang w:eastAsia="zh-TW"/>
          </w:rPr>
          <w:t>انتصاف</w:t>
        </w:r>
        <w:r w:rsidRPr="00B47131">
          <w:rPr>
            <w:rtl/>
            <w:lang w:eastAsia="zh-TW"/>
          </w:rPr>
          <w:t xml:space="preserve"> </w:t>
        </w:r>
        <w:r w:rsidRPr="00B47131">
          <w:rPr>
            <w:rFonts w:ascii="Traditional Arabic" w:hAnsi="Traditional Arabic" w:hint="cs"/>
            <w:rtl/>
            <w:lang w:eastAsia="zh-TW"/>
          </w:rPr>
          <w:t>فعال</w:t>
        </w:r>
        <w:r w:rsidRPr="00B47131">
          <w:rPr>
            <w:rtl/>
            <w:lang w:eastAsia="zh-TW"/>
          </w:rPr>
          <w:t xml:space="preserve">. </w:t>
        </w:r>
        <w:r w:rsidRPr="00B47131">
          <w:rPr>
            <w:rFonts w:ascii="Traditional Arabic" w:hAnsi="Traditional Arabic" w:hint="cs"/>
            <w:rtl/>
            <w:lang w:eastAsia="zh-TW"/>
          </w:rPr>
          <w:t>وفي</w:t>
        </w:r>
        <w:r w:rsidRPr="00B47131">
          <w:rPr>
            <w:rtl/>
            <w:lang w:eastAsia="zh-TW"/>
          </w:rPr>
          <w:t xml:space="preserve"> </w:t>
        </w:r>
        <w:r w:rsidRPr="00B47131">
          <w:rPr>
            <w:rFonts w:ascii="Traditional Arabic" w:hAnsi="Traditional Arabic" w:hint="cs"/>
            <w:rtl/>
            <w:lang w:eastAsia="zh-TW"/>
          </w:rPr>
          <w:t>هذه</w:t>
        </w:r>
        <w:r w:rsidRPr="00B47131">
          <w:rPr>
            <w:rtl/>
            <w:lang w:eastAsia="zh-TW"/>
          </w:rPr>
          <w:t xml:space="preserve"> </w:t>
        </w:r>
        <w:r w:rsidRPr="00B47131">
          <w:rPr>
            <w:rFonts w:ascii="Traditional Arabic" w:hAnsi="Traditional Arabic" w:hint="cs"/>
            <w:rtl/>
            <w:lang w:eastAsia="zh-TW"/>
          </w:rPr>
          <w:t>القضي</w:t>
        </w:r>
        <w:r w:rsidRPr="00B47131">
          <w:rPr>
            <w:rtl/>
            <w:lang w:eastAsia="zh-TW"/>
          </w:rPr>
          <w:t>ة، ترى اللجنة أن المعلومات المقدمة من الطرفين لا</w:t>
        </w:r>
        <w:r w:rsidR="00740F4F">
          <w:rPr>
            <w:rFonts w:hint="cs"/>
            <w:rtl/>
            <w:lang w:eastAsia="zh-TW"/>
          </w:rPr>
          <w:t> </w:t>
        </w:r>
        <w:r w:rsidRPr="00B47131">
          <w:rPr>
            <w:rtl/>
            <w:lang w:eastAsia="zh-TW"/>
          </w:rPr>
          <w:t>تمكنها من</w:t>
        </w:r>
        <w:r w:rsidR="0086606C">
          <w:rPr>
            <w:rtl/>
            <w:lang w:eastAsia="zh-TW"/>
          </w:rPr>
          <w:t xml:space="preserve"> </w:t>
        </w:r>
        <w:r>
          <w:rPr>
            <w:rFonts w:hint="cs"/>
            <w:rtl/>
            <w:lang w:eastAsia="zh-TW"/>
          </w:rPr>
          <w:t>الاستنتاج</w:t>
        </w:r>
        <w:r w:rsidRPr="00B47131">
          <w:rPr>
            <w:rtl/>
            <w:lang w:eastAsia="zh-TW"/>
          </w:rPr>
          <w:t xml:space="preserve"> </w:t>
        </w:r>
        <w:r>
          <w:rPr>
            <w:rFonts w:hint="cs"/>
            <w:rtl/>
            <w:lang w:eastAsia="zh-TW"/>
          </w:rPr>
          <w:t>ب</w:t>
        </w:r>
        <w:r w:rsidRPr="00B47131">
          <w:rPr>
            <w:rtl/>
            <w:lang w:eastAsia="zh-TW"/>
          </w:rPr>
          <w:t>أن شكوى صاحبة البلاغ بموجب قانون</w:t>
        </w:r>
        <w:r w:rsidR="0086606C">
          <w:rPr>
            <w:rtl/>
            <w:lang w:eastAsia="zh-TW"/>
          </w:rPr>
          <w:t xml:space="preserve"> </w:t>
        </w:r>
        <w:r w:rsidRPr="00B47131">
          <w:rPr>
            <w:rtl/>
            <w:lang w:eastAsia="zh-TW"/>
          </w:rPr>
          <w:t xml:space="preserve">مناهضة التمييز أو قانون مناهضة التمييز على أساس الإعاقة كانت تحظى بفرصة نجاح معقولة أو أنها كانت ستوفر </w:t>
        </w:r>
        <w:r w:rsidR="0086606C">
          <w:rPr>
            <w:rtl/>
            <w:lang w:eastAsia="zh-TW"/>
          </w:rPr>
          <w:t>لصاحبة البلاغ سبيل انتصاف فعالا</w:t>
        </w:r>
        <w:r w:rsidR="00740F4F">
          <w:rPr>
            <w:rFonts w:hint="cs"/>
            <w:rtl/>
            <w:lang w:eastAsia="zh-TW"/>
          </w:rPr>
          <w:t>ً</w:t>
        </w:r>
        <w:r w:rsidRPr="0086606C">
          <w:rPr>
            <w:vertAlign w:val="superscript"/>
            <w:rtl/>
            <w:lang w:eastAsia="zh-TW"/>
          </w:rPr>
          <w:t>(</w:t>
        </w:r>
        <w:r w:rsidRPr="0086606C">
          <w:rPr>
            <w:rStyle w:val="FootnoteReference"/>
            <w:sz w:val="20"/>
            <w:szCs w:val="30"/>
            <w:rtl/>
            <w:lang w:eastAsia="zh-TW"/>
          </w:rPr>
          <w:footnoteReference w:id="39"/>
        </w:r>
        <w:r w:rsidRPr="0086606C">
          <w:rPr>
            <w:vertAlign w:val="superscript"/>
            <w:rtl/>
            <w:lang w:eastAsia="zh-TW"/>
          </w:rPr>
          <w:t>)</w:t>
        </w:r>
        <w:r w:rsidRPr="00B47131">
          <w:rPr>
            <w:rtl/>
            <w:lang w:eastAsia="zh-TW"/>
          </w:rPr>
          <w:t>. ونظراً إلى طبيعة الادعاءات قيد النظر وفي ضوء المعلومات المقدمة من الطرفين، ترى اللجنة أن الفقرة (د) من المادة 2 من البروتوكول الاختياري لا تمنعها من النظر في البلاغ.</w:t>
        </w:r>
        <w:r w:rsidR="0087267B">
          <w:t>‬</w:t>
        </w:r>
        <w:r w:rsidR="000C45CA">
          <w:t>‬</w:t>
        </w:r>
        <w:r w:rsidR="00A168C8">
          <w:t>‬</w:t>
        </w:r>
        <w:r w:rsidR="00821257">
          <w:t>‬</w:t>
        </w:r>
      </w:dir>
    </w:p>
    <w:p w:rsidR="0081736E" w:rsidRPr="00B47131" w:rsidRDefault="0081736E" w:rsidP="0081736E">
      <w:pPr>
        <w:pStyle w:val="SingleTxtGA"/>
        <w:rPr>
          <w:rtl/>
          <w:lang w:eastAsia="zh-TW"/>
        </w:rPr>
      </w:pPr>
      <w:r>
        <w:rPr>
          <w:rtl/>
          <w:lang w:eastAsia="zh-TW"/>
        </w:rPr>
        <w:t>٧-٥</w:t>
      </w:r>
      <w:r>
        <w:rPr>
          <w:rFonts w:hint="cs"/>
          <w:rtl/>
          <w:lang w:eastAsia="zh-TW"/>
        </w:rPr>
        <w:tab/>
        <w:t>وتحيط</w:t>
      </w:r>
      <w:r w:rsidRPr="00B47131">
        <w:rPr>
          <w:rtl/>
          <w:lang w:eastAsia="zh-TW"/>
        </w:rPr>
        <w:t xml:space="preserve"> اللجنة </w:t>
      </w:r>
      <w:r>
        <w:rPr>
          <w:rFonts w:hint="cs"/>
          <w:rtl/>
          <w:lang w:eastAsia="zh-TW"/>
        </w:rPr>
        <w:t>علم</w:t>
      </w:r>
      <w:r w:rsidR="005E3DFA">
        <w:rPr>
          <w:rFonts w:hint="cs"/>
          <w:rtl/>
          <w:lang w:eastAsia="zh-TW"/>
        </w:rPr>
        <w:t xml:space="preserve">اً </w:t>
      </w:r>
      <w:r w:rsidRPr="00B47131">
        <w:rPr>
          <w:rtl/>
          <w:lang w:eastAsia="zh-TW"/>
        </w:rPr>
        <w:t>كذلك</w:t>
      </w:r>
      <w:r w:rsidR="0086606C">
        <w:rPr>
          <w:rFonts w:hint="cs"/>
          <w:rtl/>
          <w:lang w:eastAsia="zh-TW"/>
        </w:rPr>
        <w:t xml:space="preserve"> </w:t>
      </w:r>
      <w:r>
        <w:rPr>
          <w:rFonts w:hint="cs"/>
          <w:rtl/>
          <w:lang w:eastAsia="zh-TW"/>
        </w:rPr>
        <w:t>ب</w:t>
      </w:r>
      <w:r w:rsidRPr="00B47131">
        <w:rPr>
          <w:rtl/>
          <w:lang w:eastAsia="zh-TW"/>
        </w:rPr>
        <w:t>دفع الدولة الطرف بأن الادعاءات التي ساقتها صاحبة البلاغ بموجب المواد 2 و4 و5 و9 من الاتفاقية غير مقبولة لعدم إثباتها بأدلة. وفيما يخص الادعاءات التي ساقتها صاحبة البلاغ بموجب المادتين 2</w:t>
      </w:r>
      <w:r w:rsidR="00F05419">
        <w:rPr>
          <w:rtl/>
          <w:lang w:eastAsia="zh-TW"/>
        </w:rPr>
        <w:t xml:space="preserve"> و</w:t>
      </w:r>
      <w:r w:rsidRPr="00B47131">
        <w:rPr>
          <w:rtl/>
          <w:lang w:eastAsia="zh-TW"/>
        </w:rPr>
        <w:t>4، تذكر اللجنة بأن هاتين المادتين لا تنشأ عنهما، من حيث المبدأ، ادعاءات قائمة بذاتها، بالنظر إلى طابعهما العام،</w:t>
      </w:r>
      <w:r w:rsidR="0086606C">
        <w:rPr>
          <w:rtl/>
          <w:lang w:eastAsia="zh-TW"/>
        </w:rPr>
        <w:t xml:space="preserve"> </w:t>
      </w:r>
      <w:r w:rsidRPr="00B47131">
        <w:rPr>
          <w:rtl/>
          <w:lang w:eastAsia="zh-TW"/>
        </w:rPr>
        <w:t>ولا يمكن الاحتجاج بهما إلا بالاقتران مع حقوق موضوعية أخرى مكفولة بموجب الاتفاقية</w:t>
      </w:r>
      <w:r w:rsidRPr="0086606C">
        <w:rPr>
          <w:vertAlign w:val="superscript"/>
          <w:rtl/>
          <w:lang w:eastAsia="zh-TW"/>
        </w:rPr>
        <w:t>(</w:t>
      </w:r>
      <w:r w:rsidRPr="0086606C">
        <w:rPr>
          <w:rStyle w:val="FootnoteReference"/>
          <w:sz w:val="20"/>
          <w:szCs w:val="30"/>
          <w:rtl/>
          <w:lang w:eastAsia="zh-TW"/>
        </w:rPr>
        <w:footnoteReference w:id="40"/>
      </w:r>
      <w:r w:rsidRPr="0086606C">
        <w:rPr>
          <w:vertAlign w:val="superscript"/>
          <w:rtl/>
          <w:lang w:eastAsia="zh-TW"/>
        </w:rPr>
        <w:t>)</w:t>
      </w:r>
      <w:r w:rsidRPr="00B47131">
        <w:rPr>
          <w:rtl/>
          <w:lang w:eastAsia="zh-TW"/>
        </w:rPr>
        <w:t xml:space="preserve">. </w:t>
      </w:r>
      <w:dir w:val="rtl">
        <w:r w:rsidRPr="00B47131">
          <w:rPr>
            <w:rFonts w:ascii="Traditional Arabic" w:hAnsi="Traditional Arabic" w:hint="cs"/>
            <w:rtl/>
            <w:lang w:eastAsia="zh-TW"/>
          </w:rPr>
          <w:t>ولذا،</w:t>
        </w:r>
        <w:r w:rsidRPr="00B47131">
          <w:rPr>
            <w:rtl/>
            <w:lang w:eastAsia="zh-TW"/>
          </w:rPr>
          <w:t xml:space="preserve"> </w:t>
        </w:r>
        <w:r w:rsidRPr="00B47131">
          <w:rPr>
            <w:rFonts w:ascii="Traditional Arabic" w:hAnsi="Traditional Arabic" w:hint="cs"/>
            <w:rtl/>
            <w:lang w:eastAsia="zh-TW"/>
          </w:rPr>
          <w:t>ترى</w:t>
        </w:r>
        <w:r w:rsidRPr="00B47131">
          <w:rPr>
            <w:rtl/>
            <w:lang w:eastAsia="zh-TW"/>
          </w:rPr>
          <w:t xml:space="preserve"> </w:t>
        </w:r>
        <w:r w:rsidRPr="00B47131">
          <w:rPr>
            <w:rFonts w:ascii="Traditional Arabic" w:hAnsi="Traditional Arabic" w:hint="cs"/>
            <w:rtl/>
            <w:lang w:eastAsia="zh-TW"/>
          </w:rPr>
          <w:t>اللجنة</w:t>
        </w:r>
        <w:r w:rsidRPr="00B47131">
          <w:rPr>
            <w:rtl/>
            <w:lang w:eastAsia="zh-TW"/>
          </w:rPr>
          <w:t xml:space="preserve"> </w:t>
        </w:r>
        <w:r w:rsidRPr="00B47131">
          <w:rPr>
            <w:rFonts w:ascii="Traditional Arabic" w:hAnsi="Traditional Arabic" w:hint="cs"/>
            <w:rtl/>
            <w:lang w:eastAsia="zh-TW"/>
          </w:rPr>
          <w:t>أن</w:t>
        </w:r>
        <w:r w:rsidRPr="00B47131">
          <w:rPr>
            <w:rtl/>
            <w:lang w:eastAsia="zh-TW"/>
          </w:rPr>
          <w:t xml:space="preserve"> </w:t>
        </w:r>
        <w:r w:rsidRPr="00B47131">
          <w:rPr>
            <w:rFonts w:ascii="Traditional Arabic" w:hAnsi="Traditional Arabic" w:hint="cs"/>
            <w:rtl/>
            <w:lang w:eastAsia="zh-TW"/>
          </w:rPr>
          <w:t>ادعاءات</w:t>
        </w:r>
        <w:r w:rsidRPr="00B47131">
          <w:rPr>
            <w:rtl/>
            <w:lang w:eastAsia="zh-TW"/>
          </w:rPr>
          <w:t xml:space="preserve"> </w:t>
        </w:r>
        <w:r w:rsidRPr="00B47131">
          <w:rPr>
            <w:rFonts w:ascii="Traditional Arabic" w:hAnsi="Traditional Arabic" w:hint="cs"/>
            <w:rtl/>
            <w:lang w:eastAsia="zh-TW"/>
          </w:rPr>
          <w:t>صاحبة</w:t>
        </w:r>
        <w:r w:rsidRPr="00B47131">
          <w:rPr>
            <w:rtl/>
            <w:lang w:eastAsia="zh-TW"/>
          </w:rPr>
          <w:t xml:space="preserve"> </w:t>
        </w:r>
        <w:r w:rsidRPr="00B47131">
          <w:rPr>
            <w:rFonts w:ascii="Traditional Arabic" w:hAnsi="Traditional Arabic" w:hint="cs"/>
            <w:rtl/>
            <w:lang w:eastAsia="zh-TW"/>
          </w:rPr>
          <w:t>البلاغ</w:t>
        </w:r>
        <w:r w:rsidR="0086606C">
          <w:rPr>
            <w:rtl/>
            <w:lang w:eastAsia="zh-TW"/>
          </w:rPr>
          <w:t xml:space="preserve"> </w:t>
        </w:r>
        <w:r w:rsidRPr="00B47131">
          <w:rPr>
            <w:rFonts w:ascii="Traditional Arabic" w:hAnsi="Traditional Arabic" w:hint="cs"/>
            <w:rtl/>
            <w:lang w:eastAsia="zh-TW"/>
          </w:rPr>
          <w:t>بموجب</w:t>
        </w:r>
        <w:r w:rsidRPr="00B47131">
          <w:rPr>
            <w:rtl/>
            <w:lang w:eastAsia="zh-TW"/>
          </w:rPr>
          <w:t xml:space="preserve"> </w:t>
        </w:r>
        <w:r w:rsidRPr="00B47131">
          <w:rPr>
            <w:rFonts w:ascii="Traditional Arabic" w:hAnsi="Traditional Arabic" w:hint="cs"/>
            <w:rtl/>
            <w:lang w:eastAsia="zh-TW"/>
          </w:rPr>
          <w:t>المادتين</w:t>
        </w:r>
        <w:r w:rsidRPr="00B47131">
          <w:rPr>
            <w:rtl/>
            <w:lang w:eastAsia="zh-TW"/>
          </w:rPr>
          <w:t xml:space="preserve"> 2 </w:t>
        </w:r>
        <w:r w:rsidRPr="00B47131">
          <w:rPr>
            <w:rFonts w:ascii="Traditional Arabic" w:hAnsi="Traditional Arabic" w:hint="cs"/>
            <w:rtl/>
            <w:lang w:eastAsia="zh-TW"/>
          </w:rPr>
          <w:t>و</w:t>
        </w:r>
        <w:r w:rsidRPr="00B47131">
          <w:rPr>
            <w:rtl/>
            <w:lang w:eastAsia="zh-TW"/>
          </w:rPr>
          <w:t>4</w:t>
        </w:r>
        <w:r w:rsidRPr="00B47131">
          <w:rPr>
            <w:rFonts w:ascii="Traditional Arabic" w:hAnsi="Traditional Arabic" w:hint="cs"/>
            <w:rtl/>
            <w:lang w:eastAsia="zh-TW"/>
          </w:rPr>
          <w:t>،</w:t>
        </w:r>
        <w:r w:rsidRPr="00B47131">
          <w:rPr>
            <w:rtl/>
            <w:lang w:eastAsia="zh-TW"/>
          </w:rPr>
          <w:t xml:space="preserve"> </w:t>
        </w:r>
        <w:r w:rsidRPr="00B47131">
          <w:rPr>
            <w:rFonts w:ascii="Traditional Arabic" w:hAnsi="Traditional Arabic" w:hint="cs"/>
            <w:rtl/>
            <w:lang w:eastAsia="zh-TW"/>
          </w:rPr>
          <w:t>مقروءتين</w:t>
        </w:r>
        <w:r w:rsidRPr="00B47131">
          <w:rPr>
            <w:rtl/>
            <w:lang w:eastAsia="zh-TW"/>
          </w:rPr>
          <w:t xml:space="preserve"> </w:t>
        </w:r>
        <w:r w:rsidRPr="00B47131">
          <w:rPr>
            <w:rFonts w:ascii="Traditional Arabic" w:hAnsi="Traditional Arabic" w:hint="cs"/>
            <w:rtl/>
            <w:lang w:eastAsia="zh-TW"/>
          </w:rPr>
          <w:t>بمفردهما،</w:t>
        </w:r>
        <w:r w:rsidRPr="00B47131">
          <w:rPr>
            <w:rtl/>
            <w:lang w:eastAsia="zh-TW"/>
          </w:rPr>
          <w:t xml:space="preserve"> </w:t>
        </w:r>
        <w:r w:rsidRPr="00B47131">
          <w:rPr>
            <w:rFonts w:ascii="Traditional Arabic" w:hAnsi="Traditional Arabic" w:hint="cs"/>
            <w:rtl/>
            <w:lang w:eastAsia="zh-TW"/>
          </w:rPr>
          <w:t>غير</w:t>
        </w:r>
        <w:r w:rsidRPr="00B47131">
          <w:rPr>
            <w:rtl/>
            <w:lang w:eastAsia="zh-TW"/>
          </w:rPr>
          <w:t xml:space="preserve"> </w:t>
        </w:r>
        <w:r w:rsidRPr="00B47131">
          <w:rPr>
            <w:rFonts w:ascii="Traditional Arabic" w:hAnsi="Traditional Arabic" w:hint="cs"/>
            <w:rtl/>
            <w:lang w:eastAsia="zh-TW"/>
          </w:rPr>
          <w:t>مقبولة</w:t>
        </w:r>
        <w:r w:rsidRPr="00B47131">
          <w:rPr>
            <w:rtl/>
            <w:lang w:eastAsia="zh-TW"/>
          </w:rPr>
          <w:t xml:space="preserve"> </w:t>
        </w:r>
        <w:r w:rsidRPr="00B47131">
          <w:rPr>
            <w:rFonts w:ascii="Traditional Arabic" w:hAnsi="Traditional Arabic" w:hint="cs"/>
            <w:rtl/>
            <w:lang w:eastAsia="zh-TW"/>
          </w:rPr>
          <w:t>بموجب</w:t>
        </w:r>
        <w:r w:rsidRPr="00B47131">
          <w:rPr>
            <w:rtl/>
            <w:lang w:eastAsia="zh-TW"/>
          </w:rPr>
          <w:t xml:space="preserve"> </w:t>
        </w:r>
        <w:r w:rsidRPr="00B47131">
          <w:rPr>
            <w:rFonts w:ascii="Traditional Arabic" w:hAnsi="Traditional Arabic" w:hint="cs"/>
            <w:rtl/>
            <w:lang w:eastAsia="zh-TW"/>
          </w:rPr>
          <w:t>الفقرة</w:t>
        </w:r>
        <w:r w:rsidRPr="00B47131">
          <w:rPr>
            <w:rtl/>
            <w:lang w:eastAsia="zh-TW"/>
          </w:rPr>
          <w:t xml:space="preserve"> (</w:t>
        </w:r>
        <w:r w:rsidRPr="00B47131">
          <w:rPr>
            <w:rFonts w:ascii="Traditional Arabic" w:hAnsi="Traditional Arabic" w:hint="cs"/>
            <w:rtl/>
            <w:lang w:eastAsia="zh-TW"/>
          </w:rPr>
          <w:t>ه</w:t>
        </w:r>
        <w:r w:rsidRPr="00B47131">
          <w:rPr>
            <w:rtl/>
            <w:lang w:eastAsia="zh-TW"/>
          </w:rPr>
          <w:t xml:space="preserve">) </w:t>
        </w:r>
        <w:r w:rsidRPr="00B47131">
          <w:rPr>
            <w:rFonts w:ascii="Traditional Arabic" w:hAnsi="Traditional Arabic" w:hint="cs"/>
            <w:rtl/>
            <w:lang w:eastAsia="zh-TW"/>
          </w:rPr>
          <w:t>من</w:t>
        </w:r>
        <w:r w:rsidRPr="00B47131">
          <w:rPr>
            <w:rtl/>
            <w:lang w:eastAsia="zh-TW"/>
          </w:rPr>
          <w:t xml:space="preserve"> </w:t>
        </w:r>
        <w:r w:rsidRPr="00B47131">
          <w:rPr>
            <w:rFonts w:ascii="Traditional Arabic" w:hAnsi="Traditional Arabic" w:hint="cs"/>
            <w:rtl/>
            <w:lang w:eastAsia="zh-TW"/>
          </w:rPr>
          <w:t>المادة</w:t>
        </w:r>
        <w:r w:rsidRPr="00B47131">
          <w:rPr>
            <w:rtl/>
            <w:lang w:eastAsia="zh-TW"/>
          </w:rPr>
          <w:t xml:space="preserve"> 2 </w:t>
        </w:r>
        <w:r w:rsidRPr="00B47131">
          <w:rPr>
            <w:rFonts w:ascii="Traditional Arabic" w:hAnsi="Traditional Arabic" w:hint="cs"/>
            <w:rtl/>
            <w:lang w:eastAsia="zh-TW"/>
          </w:rPr>
          <w:t>من</w:t>
        </w:r>
        <w:r w:rsidRPr="00B47131">
          <w:rPr>
            <w:rtl/>
            <w:lang w:eastAsia="zh-TW"/>
          </w:rPr>
          <w:t xml:space="preserve"> </w:t>
        </w:r>
        <w:r w:rsidRPr="00B47131">
          <w:rPr>
            <w:rFonts w:ascii="Traditional Arabic" w:hAnsi="Traditional Arabic" w:hint="cs"/>
            <w:rtl/>
            <w:lang w:eastAsia="zh-TW"/>
          </w:rPr>
          <w:t>البروتوكول</w:t>
        </w:r>
        <w:r w:rsidRPr="00B47131">
          <w:rPr>
            <w:rtl/>
            <w:lang w:eastAsia="zh-TW"/>
          </w:rPr>
          <w:t xml:space="preserve"> </w:t>
        </w:r>
        <w:r w:rsidRPr="00B47131">
          <w:rPr>
            <w:rFonts w:ascii="Traditional Arabic" w:hAnsi="Traditional Arabic" w:hint="cs"/>
            <w:rtl/>
            <w:lang w:eastAsia="zh-TW"/>
          </w:rPr>
          <w:t>الاختياري</w:t>
        </w:r>
        <w:r w:rsidRPr="00B47131">
          <w:rPr>
            <w:rtl/>
            <w:lang w:eastAsia="zh-TW"/>
          </w:rPr>
          <w:t>.</w:t>
        </w:r>
        <w:r w:rsidRPr="00B47131">
          <w:rPr>
            <w:rFonts w:cs="Times New Roman" w:hint="cs"/>
            <w:rtl/>
            <w:lang w:eastAsia="zh-TW"/>
          </w:rPr>
          <w:t>‬</w:t>
        </w:r>
        <w:r w:rsidRPr="00B47131">
          <w:rPr>
            <w:rtl/>
            <w:lang w:eastAsia="zh-TW"/>
          </w:rPr>
          <w:t xml:space="preserve"> </w:t>
        </w:r>
        <w:r w:rsidRPr="00B47131">
          <w:rPr>
            <w:rFonts w:ascii="Traditional Arabic" w:hAnsi="Traditional Arabic" w:hint="cs"/>
            <w:rtl/>
            <w:lang w:eastAsia="zh-TW"/>
          </w:rPr>
          <w:t>أما</w:t>
        </w:r>
        <w:r w:rsidRPr="00B47131">
          <w:rPr>
            <w:rtl/>
            <w:lang w:eastAsia="zh-TW"/>
          </w:rPr>
          <w:t xml:space="preserve"> </w:t>
        </w:r>
        <w:r>
          <w:rPr>
            <w:rFonts w:hint="cs"/>
            <w:rtl/>
            <w:lang w:eastAsia="zh-TW"/>
          </w:rPr>
          <w:t xml:space="preserve">فيما </w:t>
        </w:r>
        <w:r w:rsidRPr="00B47131">
          <w:rPr>
            <w:rtl/>
            <w:lang w:eastAsia="zh-TW"/>
          </w:rPr>
          <w:t>يخص ادعاءات صاحبة البلاغ بموجب المادتين 5 و9، فإن اللجنة ترى أن هذه الادعاءات مدعومة بأدلة كافية لغرض المقبولية وتشرع في النظر في أسسها الموضوعية.</w:t>
        </w:r>
        <w:r w:rsidRPr="00B47131">
          <w:rPr>
            <w:rFonts w:cs="Times New Roman" w:hint="cs"/>
            <w:rtl/>
            <w:lang w:eastAsia="zh-TW"/>
          </w:rPr>
          <w:t>‬</w:t>
        </w:r>
        <w:r w:rsidR="0087267B">
          <w:t>‬</w:t>
        </w:r>
        <w:r w:rsidR="000C45CA">
          <w:t>‬</w:t>
        </w:r>
        <w:r w:rsidR="00A168C8">
          <w:t>‬</w:t>
        </w:r>
        <w:r w:rsidR="00821257">
          <w:t>‬</w:t>
        </w:r>
      </w:dir>
    </w:p>
    <w:p w:rsidR="0081736E" w:rsidRPr="00B47131" w:rsidRDefault="0081736E" w:rsidP="005E3DFA">
      <w:pPr>
        <w:pStyle w:val="SingleTxtGA"/>
        <w:rPr>
          <w:rtl/>
          <w:lang w:eastAsia="zh-TW"/>
        </w:rPr>
      </w:pPr>
      <w:r>
        <w:rPr>
          <w:rtl/>
          <w:lang w:eastAsia="zh-TW"/>
        </w:rPr>
        <w:t>٧-٦</w:t>
      </w:r>
      <w:r>
        <w:rPr>
          <w:rFonts w:hint="cs"/>
          <w:rtl/>
          <w:lang w:eastAsia="zh-TW"/>
        </w:rPr>
        <w:tab/>
      </w:r>
      <w:r w:rsidRPr="00B47131">
        <w:rPr>
          <w:rtl/>
          <w:lang w:eastAsia="zh-TW"/>
        </w:rPr>
        <w:t xml:space="preserve">وأما فيما يخص ادعاء صاحبة البلاغ بموجب المادة 12 من الاتفاقية أنها جُردت من حقها في التمتع بالأهلية القانونية على قدم المساواة مع الآخرين بسبب رفض </w:t>
      </w:r>
      <w:proofErr w:type="spellStart"/>
      <w:r w:rsidRPr="00B47131">
        <w:rPr>
          <w:rtl/>
          <w:lang w:eastAsia="zh-TW"/>
        </w:rPr>
        <w:t>والية</w:t>
      </w:r>
      <w:proofErr w:type="spellEnd"/>
      <w:r w:rsidRPr="00B47131">
        <w:rPr>
          <w:rtl/>
          <w:lang w:eastAsia="zh-TW"/>
        </w:rPr>
        <w:t xml:space="preserve"> القضاء تزويدها بخدمات الترجمة بلغة الإشارة الأسترالية،</w:t>
      </w:r>
      <w:r w:rsidR="0086606C">
        <w:rPr>
          <w:rtl/>
          <w:lang w:eastAsia="zh-TW"/>
        </w:rPr>
        <w:t xml:space="preserve"> </w:t>
      </w:r>
      <w:r>
        <w:rPr>
          <w:rFonts w:hint="cs"/>
          <w:rtl/>
          <w:lang w:eastAsia="zh-TW"/>
        </w:rPr>
        <w:t>فتلاحظ</w:t>
      </w:r>
      <w:r w:rsidRPr="00B47131">
        <w:rPr>
          <w:rtl/>
          <w:lang w:eastAsia="zh-TW"/>
        </w:rPr>
        <w:t xml:space="preserve"> اللجنة</w:t>
      </w:r>
      <w:r w:rsidR="0086606C">
        <w:rPr>
          <w:rtl/>
          <w:lang w:eastAsia="zh-TW"/>
        </w:rPr>
        <w:t xml:space="preserve"> </w:t>
      </w:r>
      <w:r w:rsidRPr="00B47131">
        <w:rPr>
          <w:rtl/>
          <w:lang w:eastAsia="zh-TW"/>
        </w:rPr>
        <w:t xml:space="preserve">أن </w:t>
      </w:r>
      <w:proofErr w:type="spellStart"/>
      <w:r w:rsidRPr="00B47131">
        <w:rPr>
          <w:rtl/>
          <w:lang w:eastAsia="zh-TW"/>
        </w:rPr>
        <w:t>والية</w:t>
      </w:r>
      <w:proofErr w:type="spellEnd"/>
      <w:r w:rsidRPr="00B47131">
        <w:rPr>
          <w:rtl/>
          <w:lang w:eastAsia="zh-TW"/>
        </w:rPr>
        <w:t xml:space="preserve"> القضاء بررت قرارها بالتأكيد على أن إدخال شخص من غير أعضاء هيئة المحلفين لتوفير خدمات الترجمة بلغة الإشارة الأسترالية سيشكل خرق</w:t>
      </w:r>
      <w:r w:rsidR="005E3DFA">
        <w:rPr>
          <w:rtl/>
          <w:lang w:eastAsia="zh-TW"/>
        </w:rPr>
        <w:t xml:space="preserve">اً </w:t>
      </w:r>
      <w:r w:rsidRPr="00B47131">
        <w:rPr>
          <w:rtl/>
          <w:lang w:eastAsia="zh-TW"/>
        </w:rPr>
        <w:t>لمبدأ سرية المداولات.</w:t>
      </w:r>
      <w:r w:rsidR="00F05419">
        <w:rPr>
          <w:rtl/>
          <w:lang w:eastAsia="zh-TW"/>
        </w:rPr>
        <w:t xml:space="preserve"> و</w:t>
      </w:r>
      <w:r>
        <w:rPr>
          <w:rFonts w:hint="cs"/>
          <w:rtl/>
          <w:lang w:eastAsia="zh-TW"/>
        </w:rPr>
        <w:t>عليه</w:t>
      </w:r>
      <w:r w:rsidRPr="00B47131">
        <w:rPr>
          <w:rtl/>
          <w:lang w:eastAsia="zh-TW"/>
        </w:rPr>
        <w:t>،</w:t>
      </w:r>
      <w:r w:rsidR="0086606C">
        <w:rPr>
          <w:rtl/>
          <w:lang w:eastAsia="zh-TW"/>
        </w:rPr>
        <w:t xml:space="preserve"> </w:t>
      </w:r>
      <w:r>
        <w:rPr>
          <w:rFonts w:hint="cs"/>
          <w:rtl/>
          <w:lang w:eastAsia="zh-TW"/>
        </w:rPr>
        <w:t>تلاحظ</w:t>
      </w:r>
      <w:r w:rsidRPr="00B47131">
        <w:rPr>
          <w:rtl/>
          <w:lang w:eastAsia="zh-TW"/>
        </w:rPr>
        <w:t xml:space="preserve"> اللجنة</w:t>
      </w:r>
      <w:r w:rsidR="0086606C">
        <w:rPr>
          <w:rFonts w:hint="cs"/>
          <w:rtl/>
          <w:lang w:eastAsia="zh-TW"/>
        </w:rPr>
        <w:t xml:space="preserve"> </w:t>
      </w:r>
      <w:r w:rsidRPr="00B47131">
        <w:rPr>
          <w:rtl/>
          <w:lang w:eastAsia="zh-TW"/>
        </w:rPr>
        <w:t xml:space="preserve">أن الدولة الطرف لم تشكك في أي وقت من الأوقات في تمتع صاحبة البلاغ </w:t>
      </w:r>
      <w:r w:rsidRPr="002248D5">
        <w:rPr>
          <w:i/>
          <w:iCs/>
          <w:rtl/>
          <w:lang w:eastAsia="zh-TW"/>
        </w:rPr>
        <w:t>بالأهلية القانونية</w:t>
      </w:r>
      <w:r w:rsidRPr="00B47131">
        <w:rPr>
          <w:rtl/>
          <w:lang w:eastAsia="zh-TW"/>
        </w:rPr>
        <w:t xml:space="preserve"> لأداء واجبها في هيئة محلفين. </w:t>
      </w:r>
      <w:dir w:val="rtl">
        <w:r w:rsidRPr="00B47131">
          <w:rPr>
            <w:rFonts w:ascii="Traditional Arabic" w:hAnsi="Traditional Arabic" w:hint="cs"/>
            <w:rtl/>
            <w:lang w:eastAsia="zh-TW"/>
          </w:rPr>
          <w:t>وبناء</w:t>
        </w:r>
        <w:r w:rsidRPr="00B47131">
          <w:rPr>
            <w:rtl/>
            <w:lang w:eastAsia="zh-TW"/>
          </w:rPr>
          <w:t xml:space="preserve"> </w:t>
        </w:r>
        <w:r w:rsidRPr="00B47131">
          <w:rPr>
            <w:rFonts w:ascii="Traditional Arabic" w:hAnsi="Traditional Arabic" w:hint="cs"/>
            <w:rtl/>
            <w:lang w:eastAsia="zh-TW"/>
          </w:rPr>
          <w:t>على</w:t>
        </w:r>
        <w:r w:rsidRPr="00B47131">
          <w:rPr>
            <w:rtl/>
            <w:lang w:eastAsia="zh-TW"/>
          </w:rPr>
          <w:t xml:space="preserve"> </w:t>
        </w:r>
        <w:r w:rsidRPr="00B47131">
          <w:rPr>
            <w:rFonts w:ascii="Traditional Arabic" w:hAnsi="Traditional Arabic" w:hint="cs"/>
            <w:rtl/>
            <w:lang w:eastAsia="zh-TW"/>
          </w:rPr>
          <w:t>ذلك،</w:t>
        </w:r>
        <w:r w:rsidRPr="00B47131">
          <w:rPr>
            <w:rtl/>
            <w:lang w:eastAsia="zh-TW"/>
          </w:rPr>
          <w:t xml:space="preserve"> </w:t>
        </w:r>
        <w:r w:rsidRPr="00B47131">
          <w:rPr>
            <w:rFonts w:ascii="Traditional Arabic" w:hAnsi="Traditional Arabic" w:hint="cs"/>
            <w:rtl/>
            <w:lang w:eastAsia="zh-TW"/>
          </w:rPr>
          <w:t>تخلص</w:t>
        </w:r>
        <w:r w:rsidRPr="00B47131">
          <w:rPr>
            <w:rtl/>
            <w:lang w:eastAsia="zh-TW"/>
          </w:rPr>
          <w:t xml:space="preserve"> </w:t>
        </w:r>
        <w:r w:rsidRPr="00B47131">
          <w:rPr>
            <w:rFonts w:ascii="Traditional Arabic" w:hAnsi="Traditional Arabic" w:hint="cs"/>
            <w:rtl/>
            <w:lang w:eastAsia="zh-TW"/>
          </w:rPr>
          <w:t>اللجنة</w:t>
        </w:r>
        <w:r w:rsidRPr="00B47131">
          <w:rPr>
            <w:rtl/>
            <w:lang w:eastAsia="zh-TW"/>
          </w:rPr>
          <w:t xml:space="preserve"> </w:t>
        </w:r>
        <w:r w:rsidRPr="00B47131">
          <w:rPr>
            <w:rFonts w:ascii="Traditional Arabic" w:hAnsi="Traditional Arabic" w:hint="cs"/>
            <w:rtl/>
            <w:lang w:eastAsia="zh-TW"/>
          </w:rPr>
          <w:t>إلى</w:t>
        </w:r>
        <w:r w:rsidRPr="00B47131">
          <w:rPr>
            <w:rtl/>
            <w:lang w:eastAsia="zh-TW"/>
          </w:rPr>
          <w:t xml:space="preserve"> </w:t>
        </w:r>
        <w:r w:rsidRPr="00B47131">
          <w:rPr>
            <w:rFonts w:ascii="Traditional Arabic" w:hAnsi="Traditional Arabic" w:hint="cs"/>
            <w:rtl/>
            <w:lang w:eastAsia="zh-TW"/>
          </w:rPr>
          <w:t>أن</w:t>
        </w:r>
        <w:r w:rsidRPr="00B47131">
          <w:rPr>
            <w:rtl/>
            <w:lang w:eastAsia="zh-TW"/>
          </w:rPr>
          <w:t xml:space="preserve"> </w:t>
        </w:r>
        <w:r w:rsidRPr="00B47131">
          <w:rPr>
            <w:rFonts w:ascii="Traditional Arabic" w:hAnsi="Traditional Arabic" w:hint="cs"/>
            <w:rtl/>
            <w:lang w:eastAsia="zh-TW"/>
          </w:rPr>
          <w:t>ادعاء</w:t>
        </w:r>
        <w:r w:rsidRPr="00B47131">
          <w:rPr>
            <w:rtl/>
            <w:lang w:eastAsia="zh-TW"/>
          </w:rPr>
          <w:t xml:space="preserve"> </w:t>
        </w:r>
        <w:r w:rsidRPr="00B47131">
          <w:rPr>
            <w:rFonts w:ascii="Traditional Arabic" w:hAnsi="Traditional Arabic" w:hint="cs"/>
            <w:rtl/>
            <w:lang w:eastAsia="zh-TW"/>
          </w:rPr>
          <w:t>صاحبة</w:t>
        </w:r>
        <w:r w:rsidRPr="00B47131">
          <w:rPr>
            <w:rtl/>
            <w:lang w:eastAsia="zh-TW"/>
          </w:rPr>
          <w:t xml:space="preserve"> </w:t>
        </w:r>
        <w:r w:rsidRPr="00B47131">
          <w:rPr>
            <w:rFonts w:ascii="Traditional Arabic" w:hAnsi="Traditional Arabic" w:hint="cs"/>
            <w:rtl/>
            <w:lang w:eastAsia="zh-TW"/>
          </w:rPr>
          <w:t>البلاغ</w:t>
        </w:r>
        <w:r w:rsidRPr="00B47131">
          <w:rPr>
            <w:rtl/>
            <w:lang w:eastAsia="zh-TW"/>
          </w:rPr>
          <w:t xml:space="preserve"> </w:t>
        </w:r>
        <w:r w:rsidRPr="00B47131">
          <w:rPr>
            <w:rFonts w:ascii="Traditional Arabic" w:hAnsi="Traditional Arabic" w:hint="cs"/>
            <w:rtl/>
            <w:lang w:eastAsia="zh-TW"/>
          </w:rPr>
          <w:t>يتنافى،</w:t>
        </w:r>
        <w:r w:rsidRPr="00B47131">
          <w:rPr>
            <w:rtl/>
            <w:lang w:eastAsia="zh-TW"/>
          </w:rPr>
          <w:t xml:space="preserve"> </w:t>
        </w:r>
        <w:r w:rsidRPr="00B47131">
          <w:rPr>
            <w:rFonts w:ascii="Traditional Arabic" w:hAnsi="Traditional Arabic" w:hint="cs"/>
            <w:rtl/>
            <w:lang w:eastAsia="zh-TW"/>
          </w:rPr>
          <w:t>من</w:t>
        </w:r>
        <w:r w:rsidRPr="00B47131">
          <w:rPr>
            <w:rtl/>
            <w:lang w:eastAsia="zh-TW"/>
          </w:rPr>
          <w:t xml:space="preserve"> </w:t>
        </w:r>
        <w:r w:rsidRPr="00B47131">
          <w:rPr>
            <w:rFonts w:ascii="Traditional Arabic" w:hAnsi="Traditional Arabic" w:hint="cs"/>
            <w:rtl/>
            <w:lang w:eastAsia="zh-TW"/>
          </w:rPr>
          <w:t>حيث</w:t>
        </w:r>
        <w:r w:rsidRPr="00B47131">
          <w:rPr>
            <w:rtl/>
            <w:lang w:eastAsia="zh-TW"/>
          </w:rPr>
          <w:t xml:space="preserve"> </w:t>
        </w:r>
        <w:r w:rsidRPr="00B47131">
          <w:rPr>
            <w:rFonts w:ascii="Traditional Arabic" w:hAnsi="Traditional Arabic" w:hint="cs"/>
            <w:rtl/>
            <w:lang w:eastAsia="zh-TW"/>
          </w:rPr>
          <w:t>موضوع</w:t>
        </w:r>
        <w:r w:rsidRPr="00B47131">
          <w:rPr>
            <w:rtl/>
            <w:lang w:eastAsia="zh-TW"/>
          </w:rPr>
          <w:t xml:space="preserve"> </w:t>
        </w:r>
        <w:r w:rsidRPr="00B47131">
          <w:rPr>
            <w:rFonts w:ascii="Traditional Arabic" w:hAnsi="Traditional Arabic" w:hint="cs"/>
            <w:rtl/>
            <w:lang w:eastAsia="zh-TW"/>
          </w:rPr>
          <w:t>الدعوى،</w:t>
        </w:r>
        <w:r w:rsidRPr="00B47131">
          <w:rPr>
            <w:rtl/>
            <w:lang w:eastAsia="zh-TW"/>
          </w:rPr>
          <w:t xml:space="preserve"> </w:t>
        </w:r>
        <w:r w:rsidRPr="00B47131">
          <w:rPr>
            <w:rFonts w:ascii="Traditional Arabic" w:hAnsi="Traditional Arabic" w:hint="cs"/>
            <w:rtl/>
            <w:lang w:eastAsia="zh-TW"/>
          </w:rPr>
          <w:t>مع</w:t>
        </w:r>
        <w:r w:rsidRPr="00B47131">
          <w:rPr>
            <w:rtl/>
            <w:lang w:eastAsia="zh-TW"/>
          </w:rPr>
          <w:t xml:space="preserve"> </w:t>
        </w:r>
        <w:r w:rsidRPr="00B47131">
          <w:rPr>
            <w:rFonts w:ascii="Traditional Arabic" w:hAnsi="Traditional Arabic" w:hint="cs"/>
            <w:rtl/>
            <w:lang w:eastAsia="zh-TW"/>
          </w:rPr>
          <w:t>أحكام</w:t>
        </w:r>
        <w:r w:rsidRPr="00B47131">
          <w:rPr>
            <w:rtl/>
            <w:lang w:eastAsia="zh-TW"/>
          </w:rPr>
          <w:t xml:space="preserve"> </w:t>
        </w:r>
        <w:r w:rsidRPr="00B47131">
          <w:rPr>
            <w:rFonts w:ascii="Traditional Arabic" w:hAnsi="Traditional Arabic" w:hint="cs"/>
            <w:rtl/>
            <w:lang w:eastAsia="zh-TW"/>
          </w:rPr>
          <w:t>الم</w:t>
        </w:r>
        <w:r w:rsidRPr="00B47131">
          <w:rPr>
            <w:rtl/>
            <w:lang w:eastAsia="zh-TW"/>
          </w:rPr>
          <w:t>ادة 12، ومن ثم، فهو غير مقبول بموجب الفقرة (ب) من المادة</w:t>
        </w:r>
        <w:r w:rsidR="00740F4F">
          <w:rPr>
            <w:rFonts w:hint="cs"/>
            <w:rtl/>
            <w:lang w:eastAsia="zh-TW"/>
          </w:rPr>
          <w:t> </w:t>
        </w:r>
        <w:r w:rsidRPr="00B47131">
          <w:rPr>
            <w:rtl/>
            <w:lang w:eastAsia="zh-TW"/>
          </w:rPr>
          <w:t>2 من البروتوكول الاختياري.</w:t>
        </w:r>
        <w:r w:rsidRPr="00B47131">
          <w:rPr>
            <w:rFonts w:cs="Times New Roman" w:hint="cs"/>
            <w:rtl/>
            <w:lang w:eastAsia="zh-TW"/>
          </w:rPr>
          <w:t>‬</w:t>
        </w:r>
        <w:r w:rsidR="0087267B">
          <w:t>‬</w:t>
        </w:r>
        <w:r w:rsidR="000C45CA">
          <w:t>‬</w:t>
        </w:r>
        <w:r w:rsidR="00A168C8">
          <w:t>‬</w:t>
        </w:r>
        <w:r w:rsidR="00821257">
          <w:t>‬</w:t>
        </w:r>
      </w:dir>
    </w:p>
    <w:p w:rsidR="0081736E" w:rsidRPr="00B47131" w:rsidRDefault="0081736E" w:rsidP="0081736E">
      <w:pPr>
        <w:pStyle w:val="SingleTxtGA"/>
        <w:rPr>
          <w:rtl/>
          <w:lang w:eastAsia="zh-TW"/>
        </w:rPr>
      </w:pPr>
      <w:r w:rsidRPr="00B47131">
        <w:rPr>
          <w:rtl/>
          <w:lang w:eastAsia="zh-TW"/>
        </w:rPr>
        <w:lastRenderedPageBreak/>
        <w:t>٧</w:t>
      </w:r>
      <w:r>
        <w:rPr>
          <w:rFonts w:hint="cs"/>
          <w:rtl/>
          <w:lang w:eastAsia="zh-TW"/>
        </w:rPr>
        <w:t>-</w:t>
      </w:r>
      <w:r>
        <w:rPr>
          <w:rtl/>
          <w:lang w:eastAsia="zh-TW"/>
        </w:rPr>
        <w:t>٧</w:t>
      </w:r>
      <w:r>
        <w:rPr>
          <w:rFonts w:hint="cs"/>
          <w:rtl/>
          <w:lang w:eastAsia="zh-TW"/>
        </w:rPr>
        <w:tab/>
      </w:r>
      <w:r w:rsidRPr="00B47131">
        <w:rPr>
          <w:rtl/>
          <w:lang w:eastAsia="zh-TW"/>
        </w:rPr>
        <w:t>و</w:t>
      </w:r>
      <w:r>
        <w:rPr>
          <w:rFonts w:hint="cs"/>
          <w:rtl/>
          <w:lang w:eastAsia="zh-TW"/>
        </w:rPr>
        <w:t>تلاحظ</w:t>
      </w:r>
      <w:r w:rsidRPr="00B47131">
        <w:rPr>
          <w:rtl/>
          <w:lang w:eastAsia="zh-TW"/>
        </w:rPr>
        <w:t xml:space="preserve"> اللجنة</w:t>
      </w:r>
      <w:r w:rsidR="0086606C">
        <w:rPr>
          <w:rtl/>
          <w:lang w:eastAsia="zh-TW"/>
        </w:rPr>
        <w:t xml:space="preserve"> </w:t>
      </w:r>
      <w:r w:rsidRPr="00B47131">
        <w:rPr>
          <w:rtl/>
          <w:lang w:eastAsia="zh-TW"/>
        </w:rPr>
        <w:t xml:space="preserve">أن الدولة الطرف لم تعترض إطلاقاً على مقبولية ادعاءات صاحبة البلاغ بموجب المواد 13 و21 و29 من الاتفاقية. </w:t>
      </w:r>
      <w:dir w:val="rtl">
        <w:r w:rsidRPr="00B47131">
          <w:rPr>
            <w:rFonts w:ascii="Traditional Arabic" w:hAnsi="Traditional Arabic" w:hint="cs"/>
            <w:rtl/>
            <w:lang w:eastAsia="zh-TW"/>
          </w:rPr>
          <w:t>وبناءً</w:t>
        </w:r>
        <w:r w:rsidRPr="00B47131">
          <w:rPr>
            <w:rtl/>
            <w:lang w:eastAsia="zh-TW"/>
          </w:rPr>
          <w:t xml:space="preserve"> </w:t>
        </w:r>
        <w:r w:rsidRPr="00B47131">
          <w:rPr>
            <w:rFonts w:ascii="Traditional Arabic" w:hAnsi="Traditional Arabic" w:hint="cs"/>
            <w:rtl/>
            <w:lang w:eastAsia="zh-TW"/>
          </w:rPr>
          <w:t>على</w:t>
        </w:r>
        <w:r w:rsidRPr="00B47131">
          <w:rPr>
            <w:rtl/>
            <w:lang w:eastAsia="zh-TW"/>
          </w:rPr>
          <w:t xml:space="preserve"> </w:t>
        </w:r>
        <w:r w:rsidRPr="00B47131">
          <w:rPr>
            <w:rFonts w:ascii="Traditional Arabic" w:hAnsi="Traditional Arabic" w:hint="cs"/>
            <w:rtl/>
            <w:lang w:eastAsia="zh-TW"/>
          </w:rPr>
          <w:t>ذلك،</w:t>
        </w:r>
        <w:r w:rsidRPr="00B47131">
          <w:rPr>
            <w:rtl/>
            <w:lang w:eastAsia="zh-TW"/>
          </w:rPr>
          <w:t xml:space="preserve"> </w:t>
        </w:r>
        <w:r w:rsidRPr="00B47131">
          <w:rPr>
            <w:rFonts w:ascii="Traditional Arabic" w:hAnsi="Traditional Arabic" w:hint="cs"/>
            <w:rtl/>
            <w:lang w:eastAsia="zh-TW"/>
          </w:rPr>
          <w:t>تعلن</w:t>
        </w:r>
        <w:r w:rsidRPr="00B47131">
          <w:rPr>
            <w:rtl/>
            <w:lang w:eastAsia="zh-TW"/>
          </w:rPr>
          <w:t xml:space="preserve"> </w:t>
        </w:r>
        <w:r w:rsidRPr="00B47131">
          <w:rPr>
            <w:rFonts w:ascii="Traditional Arabic" w:hAnsi="Traditional Arabic" w:hint="cs"/>
            <w:rtl/>
            <w:lang w:eastAsia="zh-TW"/>
          </w:rPr>
          <w:t>اللجنة</w:t>
        </w:r>
        <w:r w:rsidRPr="00B47131">
          <w:rPr>
            <w:rtl/>
            <w:lang w:eastAsia="zh-TW"/>
          </w:rPr>
          <w:t xml:space="preserve"> </w:t>
        </w:r>
        <w:r w:rsidRPr="00B47131">
          <w:rPr>
            <w:rFonts w:ascii="Traditional Arabic" w:hAnsi="Traditional Arabic" w:hint="cs"/>
            <w:rtl/>
            <w:lang w:eastAsia="zh-TW"/>
          </w:rPr>
          <w:t>مقبولية</w:t>
        </w:r>
        <w:r w:rsidRPr="00B47131">
          <w:rPr>
            <w:rtl/>
            <w:lang w:eastAsia="zh-TW"/>
          </w:rPr>
          <w:t xml:space="preserve"> </w:t>
        </w:r>
        <w:r w:rsidRPr="00B47131">
          <w:rPr>
            <w:rFonts w:ascii="Traditional Arabic" w:hAnsi="Traditional Arabic" w:hint="cs"/>
            <w:rtl/>
            <w:lang w:eastAsia="zh-TW"/>
          </w:rPr>
          <w:t>هذه</w:t>
        </w:r>
        <w:r w:rsidRPr="00B47131">
          <w:rPr>
            <w:rtl/>
            <w:lang w:eastAsia="zh-TW"/>
          </w:rPr>
          <w:t xml:space="preserve"> الأجزاء من البلاغ وتشرع في النظر في أسسه الموضوعية.</w:t>
        </w:r>
        <w:r w:rsidRPr="00B47131">
          <w:rPr>
            <w:rFonts w:cs="Times New Roman" w:hint="cs"/>
            <w:rtl/>
            <w:lang w:eastAsia="zh-TW"/>
          </w:rPr>
          <w:t>‬</w:t>
        </w:r>
        <w:r w:rsidRPr="00B47131">
          <w:rPr>
            <w:rtl/>
            <w:lang w:eastAsia="zh-TW"/>
          </w:rPr>
          <w:t xml:space="preserve"> </w:t>
        </w:r>
        <w:r w:rsidR="0087267B">
          <w:t>‬</w:t>
        </w:r>
        <w:r w:rsidR="000C45CA">
          <w:t>‬</w:t>
        </w:r>
        <w:r w:rsidR="00A168C8">
          <w:t>‬</w:t>
        </w:r>
        <w:r w:rsidR="00821257">
          <w:t>‬</w:t>
        </w:r>
      </w:dir>
    </w:p>
    <w:p w:rsidR="0081736E" w:rsidRPr="00960C79" w:rsidRDefault="0081736E" w:rsidP="0081736E">
      <w:pPr>
        <w:pStyle w:val="H23GA"/>
        <w:rPr>
          <w:i/>
          <w:rtl/>
        </w:rPr>
      </w:pPr>
      <w:r w:rsidRPr="00960C79">
        <w:rPr>
          <w:rtl/>
        </w:rPr>
        <w:tab/>
      </w:r>
      <w:r w:rsidRPr="00960C79">
        <w:rPr>
          <w:rtl/>
        </w:rPr>
        <w:tab/>
      </w:r>
      <w:dir w:val="rtl">
        <w:r w:rsidRPr="00960C79">
          <w:rPr>
            <w:rFonts w:hint="cs"/>
            <w:rtl/>
          </w:rPr>
          <w:t>الأسس</w:t>
        </w:r>
        <w:r w:rsidRPr="00960C79">
          <w:rPr>
            <w:rtl/>
          </w:rPr>
          <w:t xml:space="preserve"> </w:t>
        </w:r>
        <w:r w:rsidRPr="00960C79">
          <w:rPr>
            <w:rFonts w:hint="cs"/>
            <w:rtl/>
          </w:rPr>
          <w:t>الموضوعية</w:t>
        </w:r>
        <w:r w:rsidRPr="00960C79">
          <w:rPr>
            <w:rFonts w:cs="Times New Roman" w:hint="cs"/>
            <w:rtl/>
          </w:rPr>
          <w:t>‬</w:t>
        </w:r>
        <w:r w:rsidR="0087267B">
          <w:t>‬</w:t>
        </w:r>
        <w:r w:rsidR="000C45CA">
          <w:t>‬</w:t>
        </w:r>
        <w:r w:rsidR="00A168C8">
          <w:t>‬</w:t>
        </w:r>
        <w:r w:rsidR="00821257">
          <w:t>‬</w:t>
        </w:r>
      </w:dir>
    </w:p>
    <w:p w:rsidR="0081736E" w:rsidRPr="00B47131" w:rsidRDefault="0081736E" w:rsidP="0081736E">
      <w:pPr>
        <w:pStyle w:val="SingleTxtGA"/>
        <w:rPr>
          <w:rtl/>
          <w:lang w:eastAsia="zh-TW"/>
        </w:rPr>
      </w:pPr>
      <w:r>
        <w:rPr>
          <w:rtl/>
          <w:lang w:eastAsia="zh-TW"/>
        </w:rPr>
        <w:t>٨-١</w:t>
      </w:r>
      <w:r>
        <w:rPr>
          <w:rFonts w:hint="cs"/>
          <w:rtl/>
          <w:lang w:eastAsia="zh-TW"/>
        </w:rPr>
        <w:tab/>
      </w:r>
      <w:r w:rsidRPr="00B47131">
        <w:rPr>
          <w:rtl/>
          <w:lang w:eastAsia="zh-TW"/>
        </w:rPr>
        <w:t>نظرت اللجنة في هذا البلاغ في ضوء جميع المعلومات التي قدمها الطرفان، عملا</w:t>
      </w:r>
      <w:r w:rsidR="00740F4F">
        <w:rPr>
          <w:rFonts w:hint="cs"/>
          <w:rtl/>
          <w:lang w:eastAsia="zh-TW"/>
        </w:rPr>
        <w:t>ً</w:t>
      </w:r>
      <w:r w:rsidRPr="00B47131">
        <w:rPr>
          <w:rtl/>
          <w:lang w:eastAsia="zh-TW"/>
        </w:rPr>
        <w:t xml:space="preserve"> بأحكام المادة 5 من البروتوكول الاختياري.</w:t>
      </w:r>
      <w:r w:rsidRPr="00B47131">
        <w:rPr>
          <w:rFonts w:cs="Times New Roman" w:hint="cs"/>
          <w:rtl/>
          <w:lang w:eastAsia="zh-TW"/>
        </w:rPr>
        <w:t>‬</w:t>
      </w:r>
    </w:p>
    <w:p w:rsidR="0081736E" w:rsidRPr="00B47131" w:rsidRDefault="0081736E" w:rsidP="0081736E">
      <w:pPr>
        <w:pStyle w:val="SingleTxtGA"/>
        <w:rPr>
          <w:rtl/>
          <w:lang w:eastAsia="zh-TW"/>
        </w:rPr>
      </w:pPr>
      <w:r>
        <w:rPr>
          <w:rtl/>
          <w:lang w:eastAsia="zh-TW"/>
        </w:rPr>
        <w:t>٨-٢</w:t>
      </w:r>
      <w:r>
        <w:rPr>
          <w:rFonts w:hint="cs"/>
          <w:rtl/>
          <w:lang w:eastAsia="zh-TW"/>
        </w:rPr>
        <w:tab/>
        <w:t>وتحيط</w:t>
      </w:r>
      <w:r w:rsidRPr="00B47131">
        <w:rPr>
          <w:rtl/>
          <w:lang w:eastAsia="zh-TW"/>
        </w:rPr>
        <w:t xml:space="preserve"> اللجنة</w:t>
      </w:r>
      <w:r w:rsidR="0086606C">
        <w:rPr>
          <w:rFonts w:hint="cs"/>
          <w:rtl/>
          <w:lang w:eastAsia="zh-TW"/>
        </w:rPr>
        <w:t xml:space="preserve"> </w:t>
      </w:r>
      <w:r>
        <w:rPr>
          <w:rFonts w:hint="cs"/>
          <w:rtl/>
          <w:lang w:eastAsia="zh-TW"/>
        </w:rPr>
        <w:t>علم</w:t>
      </w:r>
      <w:r w:rsidR="005E3DFA">
        <w:rPr>
          <w:rFonts w:hint="cs"/>
          <w:rtl/>
          <w:lang w:eastAsia="zh-TW"/>
        </w:rPr>
        <w:t xml:space="preserve">اً </w:t>
      </w:r>
      <w:r>
        <w:rPr>
          <w:rFonts w:hint="cs"/>
          <w:rtl/>
          <w:lang w:eastAsia="zh-TW"/>
        </w:rPr>
        <w:t>ب</w:t>
      </w:r>
      <w:r w:rsidRPr="00B47131">
        <w:rPr>
          <w:rtl/>
          <w:lang w:eastAsia="zh-TW"/>
        </w:rPr>
        <w:t>ادعاء صاحبة البلاغ أن رفض تزويدها بخدمات الترجمة بلغة الإشارة الأسترالية لتمكينها من أداء واجبها في هيئة المحلفين هو إجراء تمييزي لأنه</w:t>
      </w:r>
      <w:r w:rsidR="0086606C">
        <w:rPr>
          <w:rtl/>
          <w:lang w:eastAsia="zh-TW"/>
        </w:rPr>
        <w:t xml:space="preserve"> </w:t>
      </w:r>
      <w:r>
        <w:rPr>
          <w:rFonts w:hint="cs"/>
          <w:rtl/>
          <w:lang w:eastAsia="zh-TW"/>
        </w:rPr>
        <w:t>يرقى</w:t>
      </w:r>
      <w:r w:rsidRPr="00B47131">
        <w:rPr>
          <w:rtl/>
          <w:lang w:eastAsia="zh-TW"/>
        </w:rPr>
        <w:t xml:space="preserve"> إلى</w:t>
      </w:r>
      <w:r w:rsidR="0086606C">
        <w:rPr>
          <w:rtl/>
          <w:lang w:eastAsia="zh-TW"/>
        </w:rPr>
        <w:t xml:space="preserve"> </w:t>
      </w:r>
      <w:r w:rsidRPr="00B47131">
        <w:rPr>
          <w:rtl/>
          <w:lang w:eastAsia="zh-TW"/>
        </w:rPr>
        <w:t xml:space="preserve">حرمانها من الترتيبات </w:t>
      </w:r>
      <w:proofErr w:type="spellStart"/>
      <w:r w:rsidRPr="00B47131">
        <w:rPr>
          <w:rtl/>
          <w:lang w:eastAsia="zh-TW"/>
        </w:rPr>
        <w:t>التيسيرية</w:t>
      </w:r>
      <w:proofErr w:type="spellEnd"/>
      <w:r w:rsidRPr="00B47131">
        <w:rPr>
          <w:rtl/>
          <w:lang w:eastAsia="zh-TW"/>
        </w:rPr>
        <w:t xml:space="preserve"> المعقولة، مما يشكل انتهاكاً لأحكام الفقرتين 1 و3 من المادة 5 من الاتفاقية.</w:t>
      </w:r>
      <w:r w:rsidR="00F05419">
        <w:rPr>
          <w:rtl/>
          <w:lang w:eastAsia="zh-TW"/>
        </w:rPr>
        <w:t xml:space="preserve"> و</w:t>
      </w:r>
      <w:r>
        <w:rPr>
          <w:rFonts w:hint="cs"/>
          <w:rtl/>
          <w:lang w:eastAsia="zh-TW"/>
        </w:rPr>
        <w:t>تحيط</w:t>
      </w:r>
      <w:r w:rsidRPr="00B47131">
        <w:rPr>
          <w:rtl/>
          <w:lang w:eastAsia="zh-TW"/>
        </w:rPr>
        <w:t xml:space="preserve"> اللجنة </w:t>
      </w:r>
      <w:r>
        <w:rPr>
          <w:rFonts w:hint="cs"/>
          <w:rtl/>
          <w:lang w:eastAsia="zh-TW"/>
        </w:rPr>
        <w:t>علم</w:t>
      </w:r>
      <w:r w:rsidR="005E3DFA">
        <w:rPr>
          <w:rFonts w:hint="cs"/>
          <w:rtl/>
          <w:lang w:eastAsia="zh-TW"/>
        </w:rPr>
        <w:t xml:space="preserve">اً </w:t>
      </w:r>
      <w:r w:rsidRPr="00B47131">
        <w:rPr>
          <w:rtl/>
          <w:lang w:eastAsia="zh-TW"/>
        </w:rPr>
        <w:t>أيض</w:t>
      </w:r>
      <w:r w:rsidR="005E3DFA">
        <w:rPr>
          <w:rtl/>
          <w:lang w:eastAsia="zh-TW"/>
        </w:rPr>
        <w:t xml:space="preserve">اً </w:t>
      </w:r>
      <w:r>
        <w:rPr>
          <w:rFonts w:hint="cs"/>
          <w:rtl/>
          <w:lang w:eastAsia="zh-TW"/>
        </w:rPr>
        <w:t>ب</w:t>
      </w:r>
      <w:r w:rsidRPr="00B47131">
        <w:rPr>
          <w:rtl/>
          <w:lang w:eastAsia="zh-TW"/>
        </w:rPr>
        <w:t xml:space="preserve">دفع الدولة الطرف بأنه لم يحدث أي انتهاك لحقوق صاحبة البلاغ المكفولة بموجب المادة 5، لأن القانون الوطني ذا الصلة لا ينطوي على تمييز ولأن المعاملة التفضيلية المنصوص عليها في قانون المحلفين هي معاملة مشروعة. وترى الدولة الطرف كذلك أن قوانينها وسياساتها توفر ترتيبات </w:t>
      </w:r>
      <w:proofErr w:type="spellStart"/>
      <w:r w:rsidRPr="00B47131">
        <w:rPr>
          <w:rtl/>
          <w:lang w:eastAsia="zh-TW"/>
        </w:rPr>
        <w:t>تيسيرية</w:t>
      </w:r>
      <w:proofErr w:type="spellEnd"/>
      <w:r w:rsidRPr="00B47131">
        <w:rPr>
          <w:rtl/>
          <w:lang w:eastAsia="zh-TW"/>
        </w:rPr>
        <w:t xml:space="preserve"> معقولة وفقاً لما </w:t>
      </w:r>
      <w:proofErr w:type="spellStart"/>
      <w:r w:rsidRPr="00B47131">
        <w:rPr>
          <w:rtl/>
          <w:lang w:eastAsia="zh-TW"/>
        </w:rPr>
        <w:t>تقتضيه</w:t>
      </w:r>
      <w:proofErr w:type="spellEnd"/>
      <w:r w:rsidRPr="00B47131">
        <w:rPr>
          <w:rtl/>
          <w:lang w:eastAsia="zh-TW"/>
        </w:rPr>
        <w:t xml:space="preserve"> الاتفاقية. </w:t>
      </w:r>
    </w:p>
    <w:p w:rsidR="0081736E" w:rsidRPr="00B47131" w:rsidRDefault="0081736E" w:rsidP="00740F4F">
      <w:pPr>
        <w:pStyle w:val="SingleTxtGA"/>
        <w:rPr>
          <w:rtl/>
          <w:lang w:eastAsia="zh-TW"/>
        </w:rPr>
      </w:pPr>
      <w:r>
        <w:rPr>
          <w:rtl/>
          <w:lang w:eastAsia="zh-TW"/>
        </w:rPr>
        <w:t>٨-٣</w:t>
      </w:r>
      <w:r>
        <w:rPr>
          <w:rFonts w:hint="cs"/>
          <w:rtl/>
          <w:lang w:eastAsia="zh-TW"/>
        </w:rPr>
        <w:tab/>
        <w:t>وقد جاء في</w:t>
      </w:r>
      <w:r w:rsidRPr="00B47131">
        <w:rPr>
          <w:rtl/>
          <w:lang w:eastAsia="zh-TW"/>
        </w:rPr>
        <w:t xml:space="preserve"> تعريف التمييز على أساس الإعاقة</w:t>
      </w:r>
      <w:r>
        <w:rPr>
          <w:rFonts w:hint="cs"/>
          <w:rtl/>
          <w:lang w:eastAsia="zh-TW"/>
        </w:rPr>
        <w:t>،</w:t>
      </w:r>
      <w:r w:rsidRPr="00B47131">
        <w:rPr>
          <w:rtl/>
          <w:lang w:eastAsia="zh-TW"/>
        </w:rPr>
        <w:t xml:space="preserve"> </w:t>
      </w:r>
      <w:r>
        <w:rPr>
          <w:rFonts w:hint="cs"/>
          <w:rtl/>
          <w:lang w:eastAsia="zh-TW"/>
        </w:rPr>
        <w:t xml:space="preserve">الوارد </w:t>
      </w:r>
      <w:r w:rsidRPr="00B47131">
        <w:rPr>
          <w:rtl/>
          <w:lang w:eastAsia="zh-TW"/>
        </w:rPr>
        <w:t>في المادة 2 من الاتفاقية،</w:t>
      </w:r>
      <w:r w:rsidR="0086606C">
        <w:rPr>
          <w:rtl/>
          <w:lang w:eastAsia="zh-TW"/>
        </w:rPr>
        <w:t xml:space="preserve"> </w:t>
      </w:r>
      <w:r>
        <w:rPr>
          <w:rFonts w:hint="cs"/>
          <w:rtl/>
          <w:lang w:eastAsia="zh-TW"/>
        </w:rPr>
        <w:t>على نحو</w:t>
      </w:r>
      <w:r w:rsidRPr="00B47131">
        <w:rPr>
          <w:rtl/>
          <w:lang w:eastAsia="zh-TW"/>
        </w:rPr>
        <w:t xml:space="preserve"> صر</w:t>
      </w:r>
      <w:r>
        <w:rPr>
          <w:rFonts w:hint="cs"/>
          <w:rtl/>
          <w:lang w:eastAsia="zh-TW"/>
        </w:rPr>
        <w:t>يح</w:t>
      </w:r>
      <w:r w:rsidR="0086606C">
        <w:rPr>
          <w:rFonts w:hint="cs"/>
          <w:rtl/>
          <w:lang w:eastAsia="zh-TW"/>
        </w:rPr>
        <w:t xml:space="preserve"> </w:t>
      </w:r>
      <w:r w:rsidRPr="00B47131">
        <w:rPr>
          <w:rtl/>
          <w:lang w:eastAsia="zh-TW"/>
        </w:rPr>
        <w:t xml:space="preserve">أنه </w:t>
      </w:r>
      <w:r w:rsidR="0086606C">
        <w:rPr>
          <w:rtl/>
          <w:lang w:eastAsia="zh-TW"/>
        </w:rPr>
        <w:t>"</w:t>
      </w:r>
      <w:r w:rsidRPr="00B47131">
        <w:rPr>
          <w:rtl/>
          <w:lang w:eastAsia="zh-TW"/>
        </w:rPr>
        <w:t xml:space="preserve">يشمل جميع أشكال التمييز، بما في ذلك الحرمان من ترتيبات </w:t>
      </w:r>
      <w:proofErr w:type="spellStart"/>
      <w:r w:rsidRPr="00B47131">
        <w:rPr>
          <w:rtl/>
          <w:lang w:eastAsia="zh-TW"/>
        </w:rPr>
        <w:t>تيسيرية</w:t>
      </w:r>
      <w:proofErr w:type="spellEnd"/>
      <w:r w:rsidRPr="00B47131">
        <w:rPr>
          <w:rtl/>
          <w:lang w:eastAsia="zh-TW"/>
        </w:rPr>
        <w:t xml:space="preserve"> معقولة</w:t>
      </w:r>
      <w:r w:rsidR="0086606C">
        <w:rPr>
          <w:rtl/>
          <w:lang w:eastAsia="zh-TW"/>
        </w:rPr>
        <w:t>"</w:t>
      </w:r>
      <w:r w:rsidRPr="00B47131">
        <w:rPr>
          <w:rtl/>
          <w:lang w:eastAsia="zh-TW"/>
        </w:rPr>
        <w:t>. وفي هذه القضية، استدعيت صاحب البلاغ في 30 تشرين الأول/أكتوبر 2012</w:t>
      </w:r>
      <w:r w:rsidR="0086606C">
        <w:rPr>
          <w:rtl/>
          <w:lang w:eastAsia="zh-TW"/>
        </w:rPr>
        <w:t xml:space="preserve"> </w:t>
      </w:r>
      <w:r>
        <w:rPr>
          <w:rFonts w:hint="cs"/>
          <w:rtl/>
          <w:lang w:eastAsia="zh-TW"/>
        </w:rPr>
        <w:t xml:space="preserve">لأداء مهمة </w:t>
      </w:r>
      <w:r w:rsidRPr="00B47131">
        <w:rPr>
          <w:rtl/>
          <w:lang w:eastAsia="zh-TW"/>
        </w:rPr>
        <w:t xml:space="preserve">محلفة في الولاية القضائية الجنائية للمقاطعة أو لدى المحاكم العليا في نيو ساوث ويلز، وذلك لفترة ثلاثة أسابيع تبدأ في 28 تشرين الثاني/نوفمبر 2012. </w:t>
      </w:r>
      <w:r>
        <w:rPr>
          <w:rFonts w:hint="cs"/>
          <w:rtl/>
          <w:lang w:eastAsia="zh-TW"/>
        </w:rPr>
        <w:t>وتشير</w:t>
      </w:r>
      <w:r w:rsidRPr="00B47131">
        <w:rPr>
          <w:rtl/>
          <w:lang w:eastAsia="zh-TW"/>
        </w:rPr>
        <w:t xml:space="preserve"> اللجنة</w:t>
      </w:r>
      <w:r>
        <w:rPr>
          <w:rFonts w:hint="cs"/>
          <w:rtl/>
          <w:lang w:eastAsia="zh-TW"/>
        </w:rPr>
        <w:t xml:space="preserve"> إلى </w:t>
      </w:r>
      <w:r w:rsidRPr="00B47131">
        <w:rPr>
          <w:rtl/>
          <w:lang w:eastAsia="zh-TW"/>
        </w:rPr>
        <w:t xml:space="preserve">أن صاحبة البلاغ اتصلت بمكتب </w:t>
      </w:r>
      <w:proofErr w:type="spellStart"/>
      <w:r w:rsidRPr="00B47131">
        <w:rPr>
          <w:rtl/>
          <w:lang w:eastAsia="zh-TW"/>
        </w:rPr>
        <w:t>والية</w:t>
      </w:r>
      <w:proofErr w:type="spellEnd"/>
      <w:r w:rsidRPr="00B47131">
        <w:rPr>
          <w:rtl/>
          <w:lang w:eastAsia="zh-TW"/>
        </w:rPr>
        <w:t xml:space="preserve"> القضاء، في 6 تشرين الثاني/نوفمبر 2012، وأوضحت أنها ستحتاج إلى مترجم بلغة الإشارة الأسترالية لكي تتمكن من أداء </w:t>
      </w:r>
      <w:r>
        <w:rPr>
          <w:rFonts w:hint="cs"/>
          <w:rtl/>
          <w:lang w:eastAsia="zh-TW"/>
        </w:rPr>
        <w:t>مهمتها تلك</w:t>
      </w:r>
      <w:r w:rsidR="0086606C">
        <w:rPr>
          <w:rFonts w:hint="cs"/>
          <w:rtl/>
          <w:lang w:eastAsia="zh-TW"/>
        </w:rPr>
        <w:t>،</w:t>
      </w:r>
      <w:r w:rsidRPr="00B47131">
        <w:rPr>
          <w:rtl/>
          <w:lang w:eastAsia="zh-TW"/>
        </w:rPr>
        <w:t xml:space="preserve"> وأن </w:t>
      </w:r>
      <w:proofErr w:type="spellStart"/>
      <w:r w:rsidRPr="00B47131">
        <w:rPr>
          <w:rtl/>
          <w:lang w:eastAsia="zh-TW"/>
        </w:rPr>
        <w:t>والية</w:t>
      </w:r>
      <w:proofErr w:type="spellEnd"/>
      <w:r w:rsidRPr="00B47131">
        <w:rPr>
          <w:rtl/>
          <w:lang w:eastAsia="zh-TW"/>
        </w:rPr>
        <w:t xml:space="preserve"> القضاء أخبرتها بأنه لن يتسنى توفير دعم من هذا القبيل، ولكنها ينبغي أن تحضر جلسة المحكمة في 28 تشرين الثاني/نوفمبر وأن تقدم طلباً شخصياً إلى القاضي لكي يسمح لها بالمشاركة بمساعدة مترجم بلغة الإشارة الأسترالية. وتلاحظ اللجنة أيض</w:t>
      </w:r>
      <w:r w:rsidR="005E3DFA">
        <w:rPr>
          <w:rtl/>
          <w:lang w:eastAsia="zh-TW"/>
        </w:rPr>
        <w:t xml:space="preserve">اً </w:t>
      </w:r>
      <w:r w:rsidRPr="00B47131">
        <w:rPr>
          <w:rtl/>
          <w:lang w:eastAsia="zh-TW"/>
        </w:rPr>
        <w:t xml:space="preserve">أن صاحبة البلاغ أكدت لمكتب </w:t>
      </w:r>
      <w:proofErr w:type="spellStart"/>
      <w:r w:rsidRPr="00B47131">
        <w:rPr>
          <w:rtl/>
          <w:lang w:eastAsia="zh-TW"/>
        </w:rPr>
        <w:t>والية</w:t>
      </w:r>
      <w:proofErr w:type="spellEnd"/>
      <w:r w:rsidRPr="00B47131">
        <w:rPr>
          <w:rtl/>
          <w:lang w:eastAsia="zh-TW"/>
        </w:rPr>
        <w:t xml:space="preserve"> القضاء أنها ستأتي فعلاً إلى المحكمة في ذلك اليوم، ولكنها أُبلغت، عند وصولها إلى المحكمة، بعدم إمكانية تزويدها بأي دعم للتواصل مع القاضي. وبالإضافة إلى ذلك،</w:t>
      </w:r>
      <w:r w:rsidR="0086606C">
        <w:rPr>
          <w:rtl/>
          <w:lang w:eastAsia="zh-TW"/>
        </w:rPr>
        <w:t xml:space="preserve"> </w:t>
      </w:r>
      <w:r>
        <w:rPr>
          <w:rFonts w:hint="cs"/>
          <w:rtl/>
          <w:lang w:eastAsia="zh-TW"/>
        </w:rPr>
        <w:t>أبلغ</w:t>
      </w:r>
      <w:r w:rsidRPr="00B47131">
        <w:rPr>
          <w:rtl/>
          <w:lang w:eastAsia="zh-TW"/>
        </w:rPr>
        <w:t xml:space="preserve"> مكتب </w:t>
      </w:r>
      <w:proofErr w:type="spellStart"/>
      <w:r w:rsidRPr="00B47131">
        <w:rPr>
          <w:rtl/>
          <w:lang w:eastAsia="zh-TW"/>
        </w:rPr>
        <w:t>والية</w:t>
      </w:r>
      <w:proofErr w:type="spellEnd"/>
      <w:r w:rsidRPr="00B47131">
        <w:rPr>
          <w:rtl/>
          <w:lang w:eastAsia="zh-TW"/>
        </w:rPr>
        <w:t xml:space="preserve"> القضاء</w:t>
      </w:r>
      <w:r w:rsidR="0086606C">
        <w:rPr>
          <w:rtl/>
          <w:lang w:eastAsia="zh-TW"/>
        </w:rPr>
        <w:t xml:space="preserve"> </w:t>
      </w:r>
      <w:r w:rsidRPr="00B47131">
        <w:rPr>
          <w:rtl/>
          <w:lang w:eastAsia="zh-TW"/>
        </w:rPr>
        <w:t xml:space="preserve">صاحبة البلاغ بوضوح بأن خدمة الترجمة بلغة الإشارة الأسترالية والاختزال النصي الآني لا يمكن توفيرهما بموجب </w:t>
      </w:r>
      <w:r w:rsidR="0086606C">
        <w:rPr>
          <w:rtl/>
          <w:lang w:eastAsia="zh-TW"/>
        </w:rPr>
        <w:t>"</w:t>
      </w:r>
      <w:r w:rsidRPr="00B47131">
        <w:rPr>
          <w:rtl/>
          <w:lang w:eastAsia="zh-TW"/>
        </w:rPr>
        <w:t>التشريع الحالي</w:t>
      </w:r>
      <w:r w:rsidR="0086606C">
        <w:rPr>
          <w:rtl/>
          <w:lang w:eastAsia="zh-TW"/>
        </w:rPr>
        <w:t>"</w:t>
      </w:r>
      <w:r w:rsidRPr="00B47131">
        <w:rPr>
          <w:rtl/>
          <w:lang w:eastAsia="zh-TW"/>
        </w:rPr>
        <w:t xml:space="preserve"> (أي قانون المحلفين لعام 1977)، نظراً إلى أن إدخال أي شخص من غير أعضاء هيئة </w:t>
      </w:r>
      <w:r>
        <w:rPr>
          <w:rFonts w:hint="cs"/>
          <w:rtl/>
          <w:lang w:eastAsia="zh-TW"/>
        </w:rPr>
        <w:t>ال</w:t>
      </w:r>
      <w:r w:rsidRPr="00B47131">
        <w:rPr>
          <w:rtl/>
          <w:lang w:eastAsia="zh-TW"/>
        </w:rPr>
        <w:t xml:space="preserve">محلفين في </w:t>
      </w:r>
      <w:r>
        <w:rPr>
          <w:rFonts w:hint="cs"/>
          <w:rtl/>
          <w:lang w:eastAsia="zh-TW"/>
        </w:rPr>
        <w:t>قاعة</w:t>
      </w:r>
      <w:r w:rsidRPr="00B47131">
        <w:rPr>
          <w:rtl/>
          <w:lang w:eastAsia="zh-TW"/>
        </w:rPr>
        <w:t xml:space="preserve"> المداولات سيتنافى مع سرية مداولات هيئة المحلفين. </w:t>
      </w:r>
      <w:dir w:val="rtl">
        <w:r w:rsidRPr="00B47131">
          <w:rPr>
            <w:rFonts w:ascii="Traditional Arabic" w:hAnsi="Traditional Arabic" w:hint="cs"/>
            <w:rtl/>
            <w:lang w:eastAsia="zh-TW"/>
          </w:rPr>
          <w:t>وفي</w:t>
        </w:r>
        <w:r w:rsidRPr="00B47131">
          <w:rPr>
            <w:rtl/>
            <w:lang w:eastAsia="zh-TW"/>
          </w:rPr>
          <w:t xml:space="preserve"> </w:t>
        </w:r>
        <w:r w:rsidRPr="00B47131">
          <w:rPr>
            <w:rFonts w:ascii="Traditional Arabic" w:hAnsi="Traditional Arabic" w:hint="cs"/>
            <w:rtl/>
            <w:lang w:eastAsia="zh-TW"/>
          </w:rPr>
          <w:t>هذا</w:t>
        </w:r>
        <w:r w:rsidRPr="00B47131">
          <w:rPr>
            <w:rtl/>
            <w:lang w:eastAsia="zh-TW"/>
          </w:rPr>
          <w:t xml:space="preserve"> </w:t>
        </w:r>
        <w:r w:rsidRPr="00B47131">
          <w:rPr>
            <w:rFonts w:ascii="Traditional Arabic" w:hAnsi="Traditional Arabic" w:hint="cs"/>
            <w:rtl/>
            <w:lang w:eastAsia="zh-TW"/>
          </w:rPr>
          <w:t>الصدد،</w:t>
        </w:r>
        <w:r w:rsidRPr="00B47131">
          <w:rPr>
            <w:rtl/>
            <w:lang w:eastAsia="zh-TW"/>
          </w:rPr>
          <w:t xml:space="preserve"> </w:t>
        </w:r>
        <w:r w:rsidRPr="00B47131">
          <w:rPr>
            <w:rFonts w:ascii="Traditional Arabic" w:hAnsi="Traditional Arabic" w:hint="cs"/>
            <w:rtl/>
            <w:lang w:eastAsia="zh-TW"/>
          </w:rPr>
          <w:t>تذكر</w:t>
        </w:r>
        <w:r w:rsidRPr="00B47131">
          <w:rPr>
            <w:rtl/>
            <w:lang w:eastAsia="zh-TW"/>
          </w:rPr>
          <w:t xml:space="preserve"> </w:t>
        </w:r>
        <w:r w:rsidRPr="00B47131">
          <w:rPr>
            <w:rFonts w:ascii="Traditional Arabic" w:hAnsi="Traditional Arabic" w:hint="cs"/>
            <w:rtl/>
            <w:lang w:eastAsia="zh-TW"/>
          </w:rPr>
          <w:t>اللجنة</w:t>
        </w:r>
        <w:r w:rsidRPr="00B47131">
          <w:rPr>
            <w:rtl/>
            <w:lang w:eastAsia="zh-TW"/>
          </w:rPr>
          <w:t xml:space="preserve"> </w:t>
        </w:r>
        <w:r w:rsidRPr="00B47131">
          <w:rPr>
            <w:rFonts w:ascii="Traditional Arabic" w:hAnsi="Traditional Arabic" w:hint="cs"/>
            <w:rtl/>
            <w:lang w:eastAsia="zh-TW"/>
          </w:rPr>
          <w:t>بأن</w:t>
        </w:r>
        <w:r w:rsidRPr="00B47131">
          <w:rPr>
            <w:rtl/>
            <w:lang w:eastAsia="zh-TW"/>
          </w:rPr>
          <w:t xml:space="preserve"> </w:t>
        </w:r>
        <w:r w:rsidRPr="00B47131">
          <w:rPr>
            <w:rFonts w:ascii="Traditional Arabic" w:hAnsi="Traditional Arabic" w:hint="cs"/>
            <w:rtl/>
            <w:lang w:eastAsia="zh-TW"/>
          </w:rPr>
          <w:t>التمييز</w:t>
        </w:r>
        <w:r w:rsidRPr="00B47131">
          <w:rPr>
            <w:rtl/>
            <w:lang w:eastAsia="zh-TW"/>
          </w:rPr>
          <w:t xml:space="preserve"> </w:t>
        </w:r>
        <w:r w:rsidRPr="00B47131">
          <w:rPr>
            <w:rFonts w:ascii="Traditional Arabic" w:hAnsi="Traditional Arabic" w:hint="cs"/>
            <w:rtl/>
            <w:lang w:eastAsia="zh-TW"/>
          </w:rPr>
          <w:t>قد</w:t>
        </w:r>
        <w:r w:rsidRPr="00B47131">
          <w:rPr>
            <w:rtl/>
            <w:lang w:eastAsia="zh-TW"/>
          </w:rPr>
          <w:t xml:space="preserve"> </w:t>
        </w:r>
        <w:r w:rsidRPr="00B47131">
          <w:rPr>
            <w:rFonts w:ascii="Traditional Arabic" w:hAnsi="Traditional Arabic" w:hint="cs"/>
            <w:rtl/>
            <w:lang w:eastAsia="zh-TW"/>
          </w:rPr>
          <w:t>ينجم</w:t>
        </w:r>
        <w:r w:rsidRPr="00B47131">
          <w:rPr>
            <w:rtl/>
            <w:lang w:eastAsia="zh-TW"/>
          </w:rPr>
          <w:t xml:space="preserve"> </w:t>
        </w:r>
        <w:r w:rsidRPr="00B47131">
          <w:rPr>
            <w:rFonts w:ascii="Traditional Arabic" w:hAnsi="Traditional Arabic" w:hint="cs"/>
            <w:rtl/>
            <w:lang w:eastAsia="zh-TW"/>
          </w:rPr>
          <w:t>عن</w:t>
        </w:r>
        <w:r w:rsidRPr="00B47131">
          <w:rPr>
            <w:rtl/>
            <w:lang w:eastAsia="zh-TW"/>
          </w:rPr>
          <w:t xml:space="preserve"> </w:t>
        </w:r>
        <w:r w:rsidRPr="00B47131">
          <w:rPr>
            <w:rFonts w:ascii="Traditional Arabic" w:hAnsi="Traditional Arabic" w:hint="cs"/>
            <w:rtl/>
            <w:lang w:eastAsia="zh-TW"/>
          </w:rPr>
          <w:t>الأثر</w:t>
        </w:r>
        <w:r w:rsidRPr="00B47131">
          <w:rPr>
            <w:rtl/>
            <w:lang w:eastAsia="zh-TW"/>
          </w:rPr>
          <w:t xml:space="preserve"> </w:t>
        </w:r>
        <w:r w:rsidRPr="00B47131">
          <w:rPr>
            <w:rFonts w:ascii="Traditional Arabic" w:hAnsi="Traditional Arabic" w:hint="cs"/>
            <w:rtl/>
            <w:lang w:eastAsia="zh-TW"/>
          </w:rPr>
          <w:t>التمييزي</w:t>
        </w:r>
        <w:r w:rsidRPr="00B47131">
          <w:rPr>
            <w:rtl/>
            <w:lang w:eastAsia="zh-TW"/>
          </w:rPr>
          <w:t xml:space="preserve"> </w:t>
        </w:r>
        <w:r w:rsidRPr="00B47131">
          <w:rPr>
            <w:rFonts w:ascii="Traditional Arabic" w:hAnsi="Traditional Arabic" w:hint="cs"/>
            <w:rtl/>
            <w:lang w:eastAsia="zh-TW"/>
          </w:rPr>
          <w:t>المترتب</w:t>
        </w:r>
        <w:r w:rsidRPr="00B47131">
          <w:rPr>
            <w:rtl/>
            <w:lang w:eastAsia="zh-TW"/>
          </w:rPr>
          <w:t xml:space="preserve"> </w:t>
        </w:r>
        <w:r w:rsidRPr="00B47131">
          <w:rPr>
            <w:rFonts w:ascii="Traditional Arabic" w:hAnsi="Traditional Arabic" w:hint="cs"/>
            <w:rtl/>
            <w:lang w:eastAsia="zh-TW"/>
          </w:rPr>
          <w:t>على</w:t>
        </w:r>
        <w:r w:rsidRPr="00B47131">
          <w:rPr>
            <w:rtl/>
            <w:lang w:eastAsia="zh-TW"/>
          </w:rPr>
          <w:t xml:space="preserve"> </w:t>
        </w:r>
        <w:r w:rsidRPr="00B47131">
          <w:rPr>
            <w:rFonts w:ascii="Traditional Arabic" w:hAnsi="Traditional Arabic" w:hint="cs"/>
            <w:rtl/>
            <w:lang w:eastAsia="zh-TW"/>
          </w:rPr>
          <w:t>قاعدة</w:t>
        </w:r>
        <w:r w:rsidRPr="00B47131">
          <w:rPr>
            <w:rtl/>
            <w:lang w:eastAsia="zh-TW"/>
          </w:rPr>
          <w:t xml:space="preserve"> </w:t>
        </w:r>
        <w:r w:rsidRPr="00B47131">
          <w:rPr>
            <w:rFonts w:ascii="Traditional Arabic" w:hAnsi="Traditional Arabic" w:hint="cs"/>
            <w:rtl/>
            <w:lang w:eastAsia="zh-TW"/>
          </w:rPr>
          <w:t>أو</w:t>
        </w:r>
        <w:r w:rsidRPr="00B47131">
          <w:rPr>
            <w:rtl/>
            <w:lang w:eastAsia="zh-TW"/>
          </w:rPr>
          <w:t xml:space="preserve"> </w:t>
        </w:r>
        <w:r w:rsidRPr="00B47131">
          <w:rPr>
            <w:rFonts w:ascii="Traditional Arabic" w:hAnsi="Traditional Arabic" w:hint="cs"/>
            <w:rtl/>
            <w:lang w:eastAsia="zh-TW"/>
          </w:rPr>
          <w:t>تدبير</w:t>
        </w:r>
        <w:r w:rsidRPr="00B47131">
          <w:rPr>
            <w:rtl/>
            <w:lang w:eastAsia="zh-TW"/>
          </w:rPr>
          <w:t xml:space="preserve"> </w:t>
        </w:r>
        <w:r w:rsidRPr="00B47131">
          <w:rPr>
            <w:rFonts w:ascii="Traditional Arabic" w:hAnsi="Traditional Arabic" w:hint="cs"/>
            <w:rtl/>
            <w:lang w:eastAsia="zh-TW"/>
          </w:rPr>
          <w:t>حيادي</w:t>
        </w:r>
        <w:r w:rsidRPr="00B47131">
          <w:rPr>
            <w:rtl/>
            <w:lang w:eastAsia="zh-TW"/>
          </w:rPr>
          <w:t xml:space="preserve"> </w:t>
        </w:r>
        <w:r w:rsidRPr="00B47131">
          <w:rPr>
            <w:rFonts w:ascii="Traditional Arabic" w:hAnsi="Traditional Arabic" w:hint="cs"/>
            <w:rtl/>
            <w:lang w:eastAsia="zh-TW"/>
          </w:rPr>
          <w:t>في</w:t>
        </w:r>
        <w:r w:rsidRPr="00B47131">
          <w:rPr>
            <w:rtl/>
            <w:lang w:eastAsia="zh-TW"/>
          </w:rPr>
          <w:t xml:space="preserve"> </w:t>
        </w:r>
        <w:r w:rsidRPr="00B47131">
          <w:rPr>
            <w:rFonts w:ascii="Traditional Arabic" w:hAnsi="Traditional Arabic" w:hint="cs"/>
            <w:rtl/>
            <w:lang w:eastAsia="zh-TW"/>
          </w:rPr>
          <w:t>ظاهره</w:t>
        </w:r>
        <w:r w:rsidRPr="00B47131">
          <w:rPr>
            <w:rtl/>
            <w:lang w:eastAsia="zh-TW"/>
          </w:rPr>
          <w:t xml:space="preserve"> </w:t>
        </w:r>
        <w:r w:rsidRPr="00B47131">
          <w:rPr>
            <w:rFonts w:ascii="Traditional Arabic" w:hAnsi="Traditional Arabic" w:hint="cs"/>
            <w:rtl/>
            <w:lang w:eastAsia="zh-TW"/>
          </w:rPr>
          <w:t>أو</w:t>
        </w:r>
        <w:r w:rsidRPr="00B47131">
          <w:rPr>
            <w:rtl/>
            <w:lang w:eastAsia="zh-TW"/>
          </w:rPr>
          <w:t xml:space="preserve"> </w:t>
        </w:r>
        <w:r w:rsidRPr="00B47131">
          <w:rPr>
            <w:rFonts w:ascii="Traditional Arabic" w:hAnsi="Traditional Arabic" w:hint="cs"/>
            <w:rtl/>
            <w:lang w:eastAsia="zh-TW"/>
          </w:rPr>
          <w:t>لا</w:t>
        </w:r>
        <w:r w:rsidRPr="00B47131">
          <w:rPr>
            <w:rtl/>
            <w:lang w:eastAsia="zh-TW"/>
          </w:rPr>
          <w:t xml:space="preserve"> </w:t>
        </w:r>
        <w:r w:rsidRPr="00B47131">
          <w:rPr>
            <w:rFonts w:ascii="Traditional Arabic" w:hAnsi="Traditional Arabic" w:hint="cs"/>
            <w:rtl/>
            <w:lang w:eastAsia="zh-TW"/>
          </w:rPr>
          <w:t>ينطوي</w:t>
        </w:r>
        <w:r w:rsidRPr="00B47131">
          <w:rPr>
            <w:rtl/>
            <w:lang w:eastAsia="zh-TW"/>
          </w:rPr>
          <w:t xml:space="preserve"> </w:t>
        </w:r>
        <w:r w:rsidRPr="00B47131">
          <w:rPr>
            <w:rFonts w:ascii="Traditional Arabic" w:hAnsi="Traditional Arabic" w:hint="cs"/>
            <w:rtl/>
            <w:lang w:eastAsia="zh-TW"/>
          </w:rPr>
          <w:t>على</w:t>
        </w:r>
        <w:r w:rsidRPr="00B47131">
          <w:rPr>
            <w:rtl/>
            <w:lang w:eastAsia="zh-TW"/>
          </w:rPr>
          <w:t xml:space="preserve"> </w:t>
        </w:r>
        <w:r w:rsidRPr="00B47131">
          <w:rPr>
            <w:rFonts w:ascii="Traditional Arabic" w:hAnsi="Traditional Arabic" w:hint="cs"/>
            <w:rtl/>
            <w:lang w:eastAsia="zh-TW"/>
          </w:rPr>
          <w:t>قصد</w:t>
        </w:r>
        <w:r w:rsidRPr="00B47131">
          <w:rPr>
            <w:rtl/>
            <w:lang w:eastAsia="zh-TW"/>
          </w:rPr>
          <w:t xml:space="preserve"> </w:t>
        </w:r>
        <w:r w:rsidRPr="00B47131">
          <w:rPr>
            <w:rFonts w:ascii="Traditional Arabic" w:hAnsi="Traditional Arabic" w:hint="cs"/>
            <w:rtl/>
            <w:lang w:eastAsia="zh-TW"/>
          </w:rPr>
          <w:t>تمييزي،</w:t>
        </w:r>
        <w:r w:rsidRPr="00B47131">
          <w:rPr>
            <w:rtl/>
            <w:lang w:eastAsia="zh-TW"/>
          </w:rPr>
          <w:t xml:space="preserve"> </w:t>
        </w:r>
        <w:r w:rsidRPr="00B47131">
          <w:rPr>
            <w:rFonts w:ascii="Traditional Arabic" w:hAnsi="Traditional Arabic" w:hint="cs"/>
            <w:rtl/>
            <w:lang w:eastAsia="zh-TW"/>
          </w:rPr>
          <w:t>ولكنه</w:t>
        </w:r>
        <w:r w:rsidRPr="00B47131">
          <w:rPr>
            <w:rtl/>
            <w:lang w:eastAsia="zh-TW"/>
          </w:rPr>
          <w:t xml:space="preserve"> </w:t>
        </w:r>
        <w:r w:rsidRPr="00B47131">
          <w:rPr>
            <w:rFonts w:ascii="Traditional Arabic" w:hAnsi="Traditional Arabic" w:hint="cs"/>
            <w:rtl/>
            <w:lang w:eastAsia="zh-TW"/>
          </w:rPr>
          <w:t>يؤثر</w:t>
        </w:r>
        <w:r w:rsidRPr="00B47131">
          <w:rPr>
            <w:rtl/>
            <w:lang w:eastAsia="zh-TW"/>
          </w:rPr>
          <w:t xml:space="preserve"> </w:t>
        </w:r>
        <w:r w:rsidRPr="00B47131">
          <w:rPr>
            <w:rFonts w:ascii="Traditional Arabic" w:hAnsi="Traditional Arabic" w:hint="cs"/>
            <w:rtl/>
            <w:lang w:eastAsia="zh-TW"/>
          </w:rPr>
          <w:t>في</w:t>
        </w:r>
        <w:r w:rsidRPr="00B47131">
          <w:rPr>
            <w:rtl/>
            <w:lang w:eastAsia="zh-TW"/>
          </w:rPr>
          <w:t xml:space="preserve"> </w:t>
        </w:r>
        <w:r w:rsidRPr="00B47131">
          <w:rPr>
            <w:rFonts w:ascii="Traditional Arabic" w:hAnsi="Traditional Arabic" w:hint="cs"/>
            <w:rtl/>
            <w:lang w:eastAsia="zh-TW"/>
          </w:rPr>
          <w:lastRenderedPageBreak/>
          <w:t>الأشخا</w:t>
        </w:r>
        <w:r w:rsidRPr="00B47131">
          <w:rPr>
            <w:rtl/>
            <w:lang w:eastAsia="zh-TW"/>
          </w:rPr>
          <w:t>ص ذوي الإعاقة أكثر من غيرهم</w:t>
        </w:r>
        <w:r w:rsidRPr="0086606C">
          <w:rPr>
            <w:vertAlign w:val="superscript"/>
            <w:rtl/>
            <w:lang w:eastAsia="zh-TW"/>
          </w:rPr>
          <w:t>(</w:t>
        </w:r>
        <w:r w:rsidRPr="0086606C">
          <w:rPr>
            <w:rStyle w:val="FootnoteReference"/>
            <w:rFonts w:eastAsia="Calibri"/>
            <w:sz w:val="20"/>
            <w:szCs w:val="30"/>
            <w:rtl/>
            <w:lang w:eastAsia="zh-TW"/>
          </w:rPr>
          <w:footnoteReference w:id="41"/>
        </w:r>
        <w:r w:rsidRPr="0086606C">
          <w:rPr>
            <w:vertAlign w:val="superscript"/>
            <w:rtl/>
            <w:lang w:eastAsia="zh-TW"/>
          </w:rPr>
          <w:t>)</w:t>
        </w:r>
        <w:r w:rsidRPr="00B47131">
          <w:rPr>
            <w:rtl/>
            <w:lang w:eastAsia="zh-TW"/>
          </w:rPr>
          <w:t>.</w:t>
        </w:r>
        <w:r w:rsidRPr="00B47131">
          <w:rPr>
            <w:rFonts w:cs="Times New Roman" w:hint="cs"/>
            <w:rtl/>
            <w:lang w:eastAsia="zh-TW"/>
          </w:rPr>
          <w:t>‬</w:t>
        </w:r>
        <w:r w:rsidRPr="00B47131">
          <w:rPr>
            <w:rtl/>
            <w:lang w:eastAsia="zh-TW"/>
          </w:rPr>
          <w:t xml:space="preserve"> </w:t>
        </w:r>
        <w:r w:rsidRPr="00B47131">
          <w:rPr>
            <w:rFonts w:ascii="Traditional Arabic" w:hAnsi="Traditional Arabic" w:hint="cs"/>
            <w:rtl/>
            <w:lang w:eastAsia="zh-TW"/>
          </w:rPr>
          <w:t>وعلاوة</w:t>
        </w:r>
        <w:r w:rsidRPr="00B47131">
          <w:rPr>
            <w:rtl/>
            <w:lang w:eastAsia="zh-TW"/>
          </w:rPr>
          <w:t xml:space="preserve"> </w:t>
        </w:r>
        <w:r w:rsidRPr="00B47131">
          <w:rPr>
            <w:rFonts w:ascii="Traditional Arabic" w:hAnsi="Traditional Arabic" w:hint="cs"/>
            <w:rtl/>
            <w:lang w:eastAsia="zh-TW"/>
          </w:rPr>
          <w:t>على</w:t>
        </w:r>
        <w:r w:rsidRPr="00B47131">
          <w:rPr>
            <w:rtl/>
            <w:lang w:eastAsia="zh-TW"/>
          </w:rPr>
          <w:t xml:space="preserve"> </w:t>
        </w:r>
        <w:r w:rsidRPr="00B47131">
          <w:rPr>
            <w:rFonts w:ascii="Traditional Arabic" w:hAnsi="Traditional Arabic" w:hint="cs"/>
            <w:rtl/>
            <w:lang w:eastAsia="zh-TW"/>
          </w:rPr>
          <w:t>ذلك،</w:t>
        </w:r>
        <w:r w:rsidRPr="00B47131">
          <w:rPr>
            <w:rtl/>
            <w:lang w:eastAsia="zh-TW"/>
          </w:rPr>
          <w:t xml:space="preserve"> </w:t>
        </w:r>
        <w:r w:rsidRPr="00B47131">
          <w:rPr>
            <w:rFonts w:ascii="Traditional Arabic" w:hAnsi="Traditional Arabic" w:hint="cs"/>
            <w:rtl/>
            <w:lang w:eastAsia="zh-TW"/>
          </w:rPr>
          <w:t>فإن</w:t>
        </w:r>
        <w:r w:rsidRPr="00B47131">
          <w:rPr>
            <w:rtl/>
            <w:lang w:eastAsia="zh-TW"/>
          </w:rPr>
          <w:t xml:space="preserve"> </w:t>
        </w:r>
        <w:r w:rsidRPr="00B47131">
          <w:rPr>
            <w:rFonts w:ascii="Traditional Arabic" w:hAnsi="Traditional Arabic" w:hint="cs"/>
            <w:rtl/>
            <w:lang w:eastAsia="zh-TW"/>
          </w:rPr>
          <w:t>الفقرة</w:t>
        </w:r>
        <w:r w:rsidRPr="00B47131">
          <w:rPr>
            <w:rtl/>
            <w:lang w:eastAsia="zh-TW"/>
          </w:rPr>
          <w:t xml:space="preserve"> 1 </w:t>
        </w:r>
        <w:r w:rsidRPr="00B47131">
          <w:rPr>
            <w:rFonts w:ascii="Traditional Arabic" w:hAnsi="Traditional Arabic" w:hint="cs"/>
            <w:rtl/>
            <w:lang w:eastAsia="zh-TW"/>
          </w:rPr>
          <w:t>من</w:t>
        </w:r>
        <w:r w:rsidRPr="00B47131">
          <w:rPr>
            <w:rtl/>
            <w:lang w:eastAsia="zh-TW"/>
          </w:rPr>
          <w:t xml:space="preserve"> </w:t>
        </w:r>
        <w:r w:rsidRPr="00B47131">
          <w:rPr>
            <w:rFonts w:ascii="Traditional Arabic" w:hAnsi="Traditional Arabic" w:hint="cs"/>
            <w:rtl/>
            <w:lang w:eastAsia="zh-TW"/>
          </w:rPr>
          <w:t>المادة</w:t>
        </w:r>
        <w:r w:rsidRPr="00B47131">
          <w:rPr>
            <w:rtl/>
            <w:lang w:eastAsia="zh-TW"/>
          </w:rPr>
          <w:t xml:space="preserve"> 5 </w:t>
        </w:r>
        <w:r w:rsidRPr="00B47131">
          <w:rPr>
            <w:rFonts w:ascii="Traditional Arabic" w:hAnsi="Traditional Arabic" w:hint="cs"/>
            <w:rtl/>
            <w:lang w:eastAsia="zh-TW"/>
          </w:rPr>
          <w:t>تنص</w:t>
        </w:r>
        <w:r w:rsidRPr="00B47131">
          <w:rPr>
            <w:rtl/>
            <w:lang w:eastAsia="zh-TW"/>
          </w:rPr>
          <w:t xml:space="preserve"> </w:t>
        </w:r>
        <w:r w:rsidRPr="00B47131">
          <w:rPr>
            <w:rFonts w:ascii="Traditional Arabic" w:hAnsi="Traditional Arabic" w:hint="cs"/>
            <w:rtl/>
            <w:lang w:eastAsia="zh-TW"/>
          </w:rPr>
          <w:t>على</w:t>
        </w:r>
        <w:r w:rsidRPr="00B47131">
          <w:rPr>
            <w:rtl/>
            <w:lang w:eastAsia="zh-TW"/>
          </w:rPr>
          <w:t xml:space="preserve"> </w:t>
        </w:r>
        <w:r w:rsidRPr="00B47131">
          <w:rPr>
            <w:rFonts w:ascii="Traditional Arabic" w:hAnsi="Traditional Arabic" w:hint="cs"/>
            <w:rtl/>
            <w:lang w:eastAsia="zh-TW"/>
          </w:rPr>
          <w:t>أن</w:t>
        </w:r>
        <w:r w:rsidRPr="00B47131">
          <w:rPr>
            <w:rtl/>
            <w:lang w:eastAsia="zh-TW"/>
          </w:rPr>
          <w:t xml:space="preserve"> </w:t>
        </w:r>
        <w:r w:rsidRPr="00B47131">
          <w:rPr>
            <w:rFonts w:ascii="Traditional Arabic" w:hAnsi="Traditional Arabic" w:hint="cs"/>
            <w:rtl/>
            <w:lang w:eastAsia="zh-TW"/>
          </w:rPr>
          <w:t>تكفل</w:t>
        </w:r>
        <w:r w:rsidRPr="00B47131">
          <w:rPr>
            <w:rtl/>
            <w:lang w:eastAsia="zh-TW"/>
          </w:rPr>
          <w:t xml:space="preserve"> </w:t>
        </w:r>
        <w:r w:rsidRPr="00B47131">
          <w:rPr>
            <w:rFonts w:ascii="Traditional Arabic" w:hAnsi="Traditional Arabic" w:hint="cs"/>
            <w:rtl/>
            <w:lang w:eastAsia="zh-TW"/>
          </w:rPr>
          <w:t>الدول</w:t>
        </w:r>
        <w:r w:rsidRPr="00B47131">
          <w:rPr>
            <w:rtl/>
            <w:lang w:eastAsia="zh-TW"/>
          </w:rPr>
          <w:t xml:space="preserve"> </w:t>
        </w:r>
        <w:r w:rsidRPr="00B47131">
          <w:rPr>
            <w:rFonts w:ascii="Traditional Arabic" w:hAnsi="Traditional Arabic" w:hint="cs"/>
            <w:rtl/>
            <w:lang w:eastAsia="zh-TW"/>
          </w:rPr>
          <w:t>الأطراف</w:t>
        </w:r>
        <w:r w:rsidRPr="00B47131">
          <w:rPr>
            <w:rtl/>
            <w:lang w:eastAsia="zh-TW"/>
          </w:rPr>
          <w:t xml:space="preserve"> </w:t>
        </w:r>
        <w:r w:rsidRPr="00B47131">
          <w:rPr>
            <w:rFonts w:ascii="Traditional Arabic" w:hAnsi="Traditional Arabic" w:hint="cs"/>
            <w:rtl/>
            <w:lang w:eastAsia="zh-TW"/>
          </w:rPr>
          <w:t>مساواة</w:t>
        </w:r>
        <w:r w:rsidRPr="00B47131">
          <w:rPr>
            <w:rtl/>
            <w:lang w:eastAsia="zh-TW"/>
          </w:rPr>
          <w:t xml:space="preserve"> </w:t>
        </w:r>
        <w:r w:rsidRPr="00B47131">
          <w:rPr>
            <w:rFonts w:ascii="Traditional Arabic" w:hAnsi="Traditional Arabic" w:hint="cs"/>
            <w:rtl/>
            <w:lang w:eastAsia="zh-TW"/>
          </w:rPr>
          <w:t>جميع</w:t>
        </w:r>
        <w:r w:rsidRPr="00B47131">
          <w:rPr>
            <w:rtl/>
            <w:lang w:eastAsia="zh-TW"/>
          </w:rPr>
          <w:t xml:space="preserve"> </w:t>
        </w:r>
        <w:r w:rsidRPr="00B47131">
          <w:rPr>
            <w:rFonts w:ascii="Traditional Arabic" w:hAnsi="Traditional Arabic" w:hint="cs"/>
            <w:rtl/>
            <w:lang w:eastAsia="zh-TW"/>
          </w:rPr>
          <w:t>الأشخاص</w:t>
        </w:r>
        <w:r w:rsidRPr="00B47131">
          <w:rPr>
            <w:rtl/>
            <w:lang w:eastAsia="zh-TW"/>
          </w:rPr>
          <w:t xml:space="preserve"> </w:t>
        </w:r>
        <w:r w:rsidRPr="00B47131">
          <w:rPr>
            <w:rFonts w:ascii="Traditional Arabic" w:hAnsi="Traditional Arabic" w:hint="cs"/>
            <w:rtl/>
            <w:lang w:eastAsia="zh-TW"/>
          </w:rPr>
          <w:t>أمام</w:t>
        </w:r>
        <w:r w:rsidRPr="00B47131">
          <w:rPr>
            <w:rtl/>
            <w:lang w:eastAsia="zh-TW"/>
          </w:rPr>
          <w:t xml:space="preserve"> </w:t>
        </w:r>
        <w:r w:rsidRPr="00B47131">
          <w:rPr>
            <w:rFonts w:ascii="Traditional Arabic" w:hAnsi="Traditional Arabic" w:hint="cs"/>
            <w:rtl/>
            <w:lang w:eastAsia="zh-TW"/>
          </w:rPr>
          <w:t>القانون</w:t>
        </w:r>
        <w:r w:rsidRPr="00B47131">
          <w:rPr>
            <w:rtl/>
            <w:lang w:eastAsia="zh-TW"/>
          </w:rPr>
          <w:t xml:space="preserve"> </w:t>
        </w:r>
        <w:r w:rsidRPr="00B47131">
          <w:rPr>
            <w:rFonts w:ascii="Traditional Arabic" w:hAnsi="Traditional Arabic" w:hint="cs"/>
            <w:rtl/>
            <w:lang w:eastAsia="zh-TW"/>
          </w:rPr>
          <w:t>وبمقتضاه</w:t>
        </w:r>
        <w:r w:rsidRPr="00B47131">
          <w:rPr>
            <w:rtl/>
            <w:lang w:eastAsia="zh-TW"/>
          </w:rPr>
          <w:t xml:space="preserve"> </w:t>
        </w:r>
        <w:r w:rsidRPr="00B47131">
          <w:rPr>
            <w:rFonts w:ascii="Traditional Arabic" w:hAnsi="Traditional Arabic" w:hint="cs"/>
            <w:rtl/>
            <w:lang w:eastAsia="zh-TW"/>
          </w:rPr>
          <w:t>وأن</w:t>
        </w:r>
        <w:r w:rsidRPr="00B47131">
          <w:rPr>
            <w:rtl/>
            <w:lang w:eastAsia="zh-TW"/>
          </w:rPr>
          <w:t xml:space="preserve"> </w:t>
        </w:r>
        <w:r w:rsidRPr="00B47131">
          <w:rPr>
            <w:rFonts w:ascii="Traditional Arabic" w:hAnsi="Traditional Arabic" w:hint="cs"/>
            <w:rtl/>
            <w:lang w:eastAsia="zh-TW"/>
          </w:rPr>
          <w:t>تُقر</w:t>
        </w:r>
        <w:r w:rsidRPr="00B47131">
          <w:rPr>
            <w:rtl/>
            <w:lang w:eastAsia="zh-TW"/>
          </w:rPr>
          <w:t xml:space="preserve"> </w:t>
        </w:r>
        <w:r w:rsidRPr="00B47131">
          <w:rPr>
            <w:rFonts w:ascii="Traditional Arabic" w:hAnsi="Traditional Arabic" w:hint="cs"/>
            <w:rtl/>
            <w:lang w:eastAsia="zh-TW"/>
          </w:rPr>
          <w:t>بأن</w:t>
        </w:r>
        <w:r w:rsidRPr="00B47131">
          <w:rPr>
            <w:rtl/>
            <w:lang w:eastAsia="zh-TW"/>
          </w:rPr>
          <w:t xml:space="preserve"> </w:t>
        </w:r>
        <w:r w:rsidRPr="00B47131">
          <w:rPr>
            <w:rFonts w:ascii="Traditional Arabic" w:hAnsi="Traditional Arabic" w:hint="cs"/>
            <w:rtl/>
            <w:lang w:eastAsia="zh-TW"/>
          </w:rPr>
          <w:t>لهم</w:t>
        </w:r>
        <w:r w:rsidRPr="00B47131">
          <w:rPr>
            <w:rtl/>
            <w:lang w:eastAsia="zh-TW"/>
          </w:rPr>
          <w:t xml:space="preserve"> </w:t>
        </w:r>
        <w:r w:rsidRPr="00B47131">
          <w:rPr>
            <w:rFonts w:ascii="Traditional Arabic" w:hAnsi="Traditional Arabic" w:hint="cs"/>
            <w:rtl/>
            <w:lang w:eastAsia="zh-TW"/>
          </w:rPr>
          <w:t>الحق</w:t>
        </w:r>
        <w:r w:rsidRPr="00B47131">
          <w:rPr>
            <w:rtl/>
            <w:lang w:eastAsia="zh-TW"/>
          </w:rPr>
          <w:t xml:space="preserve"> </w:t>
        </w:r>
        <w:r w:rsidRPr="00B47131">
          <w:rPr>
            <w:rFonts w:ascii="Traditional Arabic" w:hAnsi="Traditional Arabic" w:hint="cs"/>
            <w:rtl/>
            <w:lang w:eastAsia="zh-TW"/>
          </w:rPr>
          <w:t>دون</w:t>
        </w:r>
        <w:r w:rsidRPr="00B47131">
          <w:rPr>
            <w:rtl/>
            <w:lang w:eastAsia="zh-TW"/>
          </w:rPr>
          <w:t xml:space="preserve"> </w:t>
        </w:r>
        <w:r w:rsidRPr="00B47131">
          <w:rPr>
            <w:rFonts w:ascii="Traditional Arabic" w:hAnsi="Traditional Arabic" w:hint="cs"/>
            <w:rtl/>
            <w:lang w:eastAsia="zh-TW"/>
          </w:rPr>
          <w:t>أي</w:t>
        </w:r>
        <w:r w:rsidRPr="00B47131">
          <w:rPr>
            <w:rtl/>
            <w:lang w:eastAsia="zh-TW"/>
          </w:rPr>
          <w:t xml:space="preserve"> </w:t>
        </w:r>
        <w:r w:rsidRPr="00B47131">
          <w:rPr>
            <w:rFonts w:ascii="Traditional Arabic" w:hAnsi="Traditional Arabic" w:hint="cs"/>
            <w:rtl/>
            <w:lang w:eastAsia="zh-TW"/>
          </w:rPr>
          <w:t>تمييز</w:t>
        </w:r>
        <w:r w:rsidRPr="00B47131">
          <w:rPr>
            <w:rtl/>
            <w:lang w:eastAsia="zh-TW"/>
          </w:rPr>
          <w:t xml:space="preserve"> </w:t>
        </w:r>
        <w:r w:rsidRPr="00B47131">
          <w:rPr>
            <w:rFonts w:ascii="Traditional Arabic" w:hAnsi="Traditional Arabic" w:hint="cs"/>
            <w:rtl/>
            <w:lang w:eastAsia="zh-TW"/>
          </w:rPr>
          <w:t>وعلى</w:t>
        </w:r>
        <w:r w:rsidRPr="00B47131">
          <w:rPr>
            <w:rtl/>
            <w:lang w:eastAsia="zh-TW"/>
          </w:rPr>
          <w:t xml:space="preserve"> </w:t>
        </w:r>
        <w:r w:rsidRPr="00B47131">
          <w:rPr>
            <w:rFonts w:ascii="Traditional Arabic" w:hAnsi="Traditional Arabic" w:hint="cs"/>
            <w:rtl/>
            <w:lang w:eastAsia="zh-TW"/>
          </w:rPr>
          <w:t>قدم</w:t>
        </w:r>
        <w:r w:rsidRPr="00B47131">
          <w:rPr>
            <w:rtl/>
            <w:lang w:eastAsia="zh-TW"/>
          </w:rPr>
          <w:t xml:space="preserve"> </w:t>
        </w:r>
        <w:r w:rsidRPr="00B47131">
          <w:rPr>
            <w:rFonts w:ascii="Traditional Arabic" w:hAnsi="Traditional Arabic" w:hint="cs"/>
            <w:rtl/>
            <w:lang w:eastAsia="zh-TW"/>
          </w:rPr>
          <w:t>المساواة</w:t>
        </w:r>
        <w:r w:rsidRPr="00B47131">
          <w:rPr>
            <w:rtl/>
            <w:lang w:eastAsia="zh-TW"/>
          </w:rPr>
          <w:t xml:space="preserve"> </w:t>
        </w:r>
        <w:r w:rsidRPr="00B47131">
          <w:rPr>
            <w:rFonts w:ascii="Traditional Arabic" w:hAnsi="Traditional Arabic" w:hint="cs"/>
            <w:rtl/>
            <w:lang w:eastAsia="zh-TW"/>
          </w:rPr>
          <w:t>في</w:t>
        </w:r>
        <w:r w:rsidRPr="00B47131">
          <w:rPr>
            <w:rtl/>
            <w:lang w:eastAsia="zh-TW"/>
          </w:rPr>
          <w:t xml:space="preserve"> </w:t>
        </w:r>
        <w:r w:rsidRPr="00B47131">
          <w:rPr>
            <w:rFonts w:ascii="Traditional Arabic" w:hAnsi="Traditional Arabic" w:hint="cs"/>
            <w:rtl/>
            <w:lang w:eastAsia="zh-TW"/>
          </w:rPr>
          <w:t>الحماية</w:t>
        </w:r>
        <w:r w:rsidRPr="00B47131">
          <w:rPr>
            <w:rtl/>
            <w:lang w:eastAsia="zh-TW"/>
          </w:rPr>
          <w:t xml:space="preserve"> </w:t>
        </w:r>
        <w:r w:rsidRPr="00B47131">
          <w:rPr>
            <w:rFonts w:ascii="Traditional Arabic" w:hAnsi="Traditional Arabic" w:hint="cs"/>
            <w:rtl/>
            <w:lang w:eastAsia="zh-TW"/>
          </w:rPr>
          <w:t>والفائدة</w:t>
        </w:r>
        <w:r w:rsidRPr="00B47131">
          <w:rPr>
            <w:rtl/>
            <w:lang w:eastAsia="zh-TW"/>
          </w:rPr>
          <w:t xml:space="preserve"> </w:t>
        </w:r>
        <w:r w:rsidRPr="00B47131">
          <w:rPr>
            <w:rFonts w:ascii="Traditional Arabic" w:hAnsi="Traditional Arabic" w:hint="cs"/>
            <w:rtl/>
            <w:lang w:eastAsia="zh-TW"/>
          </w:rPr>
          <w:t>اللتين</w:t>
        </w:r>
        <w:r w:rsidRPr="00B47131">
          <w:rPr>
            <w:rtl/>
            <w:lang w:eastAsia="zh-TW"/>
          </w:rPr>
          <w:t xml:space="preserve"> </w:t>
        </w:r>
        <w:r w:rsidRPr="00B47131">
          <w:rPr>
            <w:rFonts w:ascii="Traditional Arabic" w:hAnsi="Traditional Arabic" w:hint="cs"/>
            <w:rtl/>
            <w:lang w:eastAsia="zh-TW"/>
          </w:rPr>
          <w:t>يوفرهما</w:t>
        </w:r>
        <w:r w:rsidRPr="00B47131">
          <w:rPr>
            <w:rtl/>
            <w:lang w:eastAsia="zh-TW"/>
          </w:rPr>
          <w:t xml:space="preserve"> </w:t>
        </w:r>
        <w:r w:rsidRPr="00B47131">
          <w:rPr>
            <w:rFonts w:ascii="Traditional Arabic" w:hAnsi="Traditional Arabic" w:hint="cs"/>
            <w:rtl/>
            <w:lang w:eastAsia="zh-TW"/>
          </w:rPr>
          <w:t>القانون،</w:t>
        </w:r>
        <w:r w:rsidRPr="00B47131">
          <w:rPr>
            <w:rtl/>
            <w:lang w:eastAsia="zh-TW"/>
          </w:rPr>
          <w:t xml:space="preserve"> </w:t>
        </w:r>
        <w:r w:rsidRPr="00B47131">
          <w:rPr>
            <w:rFonts w:ascii="Traditional Arabic" w:hAnsi="Traditional Arabic" w:hint="cs"/>
            <w:rtl/>
            <w:lang w:eastAsia="zh-TW"/>
          </w:rPr>
          <w:t>كما</w:t>
        </w:r>
        <w:r w:rsidR="00740F4F">
          <w:rPr>
            <w:rFonts w:hint="cs"/>
            <w:rtl/>
            <w:lang w:eastAsia="zh-TW"/>
          </w:rPr>
          <w:t> </w:t>
        </w:r>
        <w:r w:rsidRPr="00B47131">
          <w:rPr>
            <w:rFonts w:ascii="Traditional Arabic" w:hAnsi="Traditional Arabic" w:hint="cs"/>
            <w:rtl/>
            <w:lang w:eastAsia="zh-TW"/>
          </w:rPr>
          <w:t>تنص</w:t>
        </w:r>
        <w:r w:rsidRPr="00B47131">
          <w:rPr>
            <w:rtl/>
            <w:lang w:eastAsia="zh-TW"/>
          </w:rPr>
          <w:t xml:space="preserve"> </w:t>
        </w:r>
        <w:r w:rsidRPr="00B47131">
          <w:rPr>
            <w:rFonts w:ascii="Traditional Arabic" w:hAnsi="Traditional Arabic" w:hint="cs"/>
            <w:rtl/>
            <w:lang w:eastAsia="zh-TW"/>
          </w:rPr>
          <w:t>الفقر</w:t>
        </w:r>
        <w:r w:rsidRPr="00B47131">
          <w:rPr>
            <w:rtl/>
            <w:lang w:eastAsia="zh-TW"/>
          </w:rPr>
          <w:t>ة 3 من المادة 5 على أن تتخذ الدول الأطراف، سعي</w:t>
        </w:r>
        <w:r w:rsidR="005E3DFA">
          <w:rPr>
            <w:rtl/>
            <w:lang w:eastAsia="zh-TW"/>
          </w:rPr>
          <w:t xml:space="preserve">اً </w:t>
        </w:r>
        <w:r w:rsidRPr="00B47131">
          <w:rPr>
            <w:rtl/>
            <w:lang w:eastAsia="zh-TW"/>
          </w:rPr>
          <w:t>لتعزيز المساواة والقضاء على التمييز، جميع الخطوات المناسبة لكفالة</w:t>
        </w:r>
        <w:r w:rsidR="0086606C">
          <w:rPr>
            <w:rtl/>
            <w:lang w:eastAsia="zh-TW"/>
          </w:rPr>
          <w:t xml:space="preserve"> </w:t>
        </w:r>
        <w:r>
          <w:rPr>
            <w:rFonts w:hint="cs"/>
            <w:rtl/>
            <w:lang w:eastAsia="zh-TW"/>
          </w:rPr>
          <w:t>إتاحة</w:t>
        </w:r>
        <w:r w:rsidRPr="00B47131">
          <w:rPr>
            <w:rtl/>
            <w:lang w:eastAsia="zh-TW"/>
          </w:rPr>
          <w:t xml:space="preserve"> الترتيبات </w:t>
        </w:r>
        <w:proofErr w:type="spellStart"/>
        <w:r w:rsidRPr="00B47131">
          <w:rPr>
            <w:rtl/>
            <w:lang w:eastAsia="zh-TW"/>
          </w:rPr>
          <w:t>التيسيرية</w:t>
        </w:r>
        <w:proofErr w:type="spellEnd"/>
        <w:r w:rsidRPr="00B47131">
          <w:rPr>
            <w:rtl/>
            <w:lang w:eastAsia="zh-TW"/>
          </w:rPr>
          <w:t xml:space="preserve"> المعقولة.</w:t>
        </w:r>
        <w:r w:rsidR="0087267B">
          <w:t>‬</w:t>
        </w:r>
        <w:r w:rsidR="000C45CA">
          <w:t>‬</w:t>
        </w:r>
        <w:r w:rsidR="00A168C8">
          <w:t>‬</w:t>
        </w:r>
        <w:r w:rsidR="00821257">
          <w:t>‬</w:t>
        </w:r>
      </w:dir>
    </w:p>
    <w:p w:rsidR="0081736E" w:rsidRPr="00B47131" w:rsidRDefault="0081736E" w:rsidP="0086606C">
      <w:pPr>
        <w:pStyle w:val="SingleTxtGA"/>
        <w:rPr>
          <w:rtl/>
          <w:lang w:eastAsia="zh-TW"/>
        </w:rPr>
      </w:pPr>
      <w:r>
        <w:rPr>
          <w:rtl/>
          <w:lang w:eastAsia="zh-TW"/>
        </w:rPr>
        <w:t>٨-٤</w:t>
      </w:r>
      <w:r>
        <w:rPr>
          <w:rFonts w:hint="cs"/>
          <w:rtl/>
          <w:lang w:eastAsia="zh-TW"/>
        </w:rPr>
        <w:tab/>
      </w:r>
      <w:dir w:val="rtl">
        <w:r w:rsidRPr="00B47131">
          <w:rPr>
            <w:rFonts w:ascii="Traditional Arabic" w:hAnsi="Traditional Arabic" w:hint="cs"/>
            <w:rtl/>
            <w:lang w:eastAsia="zh-TW"/>
          </w:rPr>
          <w:t>وتذكر</w:t>
        </w:r>
        <w:r w:rsidRPr="00B47131">
          <w:rPr>
            <w:rtl/>
            <w:lang w:eastAsia="zh-TW"/>
          </w:rPr>
          <w:t xml:space="preserve"> </w:t>
        </w:r>
        <w:r w:rsidRPr="00B47131">
          <w:rPr>
            <w:rFonts w:ascii="Traditional Arabic" w:hAnsi="Traditional Arabic" w:hint="cs"/>
            <w:rtl/>
            <w:lang w:eastAsia="zh-TW"/>
          </w:rPr>
          <w:t>اللجنة</w:t>
        </w:r>
        <w:r w:rsidRPr="00B47131">
          <w:rPr>
            <w:rtl/>
            <w:lang w:eastAsia="zh-TW"/>
          </w:rPr>
          <w:t xml:space="preserve"> </w:t>
        </w:r>
        <w:r w:rsidRPr="00B47131">
          <w:rPr>
            <w:rFonts w:ascii="Traditional Arabic" w:hAnsi="Traditional Arabic" w:hint="cs"/>
            <w:rtl/>
            <w:lang w:eastAsia="zh-TW"/>
          </w:rPr>
          <w:t>كذلك</w:t>
        </w:r>
        <w:r w:rsidRPr="00B47131">
          <w:rPr>
            <w:rtl/>
            <w:lang w:eastAsia="zh-TW"/>
          </w:rPr>
          <w:t xml:space="preserve"> </w:t>
        </w:r>
        <w:r w:rsidRPr="00B47131">
          <w:rPr>
            <w:rFonts w:ascii="Traditional Arabic" w:hAnsi="Traditional Arabic" w:hint="cs"/>
            <w:rtl/>
            <w:lang w:eastAsia="zh-TW"/>
          </w:rPr>
          <w:t>بأن</w:t>
        </w:r>
        <w:r w:rsidRPr="00B47131">
          <w:rPr>
            <w:rtl/>
            <w:lang w:eastAsia="zh-TW"/>
          </w:rPr>
          <w:t xml:space="preserve"> </w:t>
        </w:r>
        <w:r w:rsidRPr="00B47131">
          <w:rPr>
            <w:rFonts w:ascii="Traditional Arabic" w:hAnsi="Traditional Arabic" w:hint="cs"/>
            <w:rtl/>
            <w:lang w:eastAsia="zh-TW"/>
          </w:rPr>
          <w:t>المادة</w:t>
        </w:r>
        <w:r w:rsidRPr="00B47131">
          <w:rPr>
            <w:rtl/>
            <w:lang w:eastAsia="zh-TW"/>
          </w:rPr>
          <w:t xml:space="preserve"> 2 </w:t>
        </w:r>
        <w:r w:rsidRPr="00B47131">
          <w:rPr>
            <w:rFonts w:ascii="Traditional Arabic" w:hAnsi="Traditional Arabic" w:hint="cs"/>
            <w:rtl/>
            <w:lang w:eastAsia="zh-TW"/>
          </w:rPr>
          <w:t>من</w:t>
        </w:r>
        <w:r w:rsidRPr="00B47131">
          <w:rPr>
            <w:rtl/>
            <w:lang w:eastAsia="zh-TW"/>
          </w:rPr>
          <w:t xml:space="preserve"> </w:t>
        </w:r>
        <w:r w:rsidRPr="00B47131">
          <w:rPr>
            <w:rFonts w:ascii="Traditional Arabic" w:hAnsi="Traditional Arabic" w:hint="cs"/>
            <w:rtl/>
            <w:lang w:eastAsia="zh-TW"/>
          </w:rPr>
          <w:t>الاتفاقية</w:t>
        </w:r>
        <w:r w:rsidRPr="00B47131">
          <w:rPr>
            <w:rtl/>
            <w:lang w:eastAsia="zh-TW"/>
          </w:rPr>
          <w:t xml:space="preserve"> </w:t>
        </w:r>
        <w:r w:rsidRPr="00B47131">
          <w:rPr>
            <w:rFonts w:ascii="Traditional Arabic" w:hAnsi="Traditional Arabic" w:hint="cs"/>
            <w:rtl/>
            <w:lang w:eastAsia="zh-TW"/>
          </w:rPr>
          <w:t>تنص</w:t>
        </w:r>
        <w:r w:rsidRPr="00B47131">
          <w:rPr>
            <w:rtl/>
            <w:lang w:eastAsia="zh-TW"/>
          </w:rPr>
          <w:t xml:space="preserve"> </w:t>
        </w:r>
        <w:r w:rsidRPr="00B47131">
          <w:rPr>
            <w:rFonts w:ascii="Traditional Arabic" w:hAnsi="Traditional Arabic" w:hint="cs"/>
            <w:rtl/>
            <w:lang w:eastAsia="zh-TW"/>
          </w:rPr>
          <w:t>على</w:t>
        </w:r>
        <w:r w:rsidRPr="00B47131">
          <w:rPr>
            <w:rtl/>
            <w:lang w:eastAsia="zh-TW"/>
          </w:rPr>
          <w:t xml:space="preserve"> </w:t>
        </w:r>
        <w:r w:rsidRPr="00B47131">
          <w:rPr>
            <w:rFonts w:ascii="Traditional Arabic" w:hAnsi="Traditional Arabic" w:hint="cs"/>
            <w:rtl/>
            <w:lang w:eastAsia="zh-TW"/>
          </w:rPr>
          <w:t>أن</w:t>
        </w:r>
        <w:r w:rsidRPr="00B47131">
          <w:rPr>
            <w:rtl/>
            <w:lang w:eastAsia="zh-TW"/>
          </w:rPr>
          <w:t xml:space="preserve"> </w:t>
        </w:r>
        <w:r w:rsidR="0086606C">
          <w:rPr>
            <w:rtl/>
            <w:lang w:eastAsia="zh-TW"/>
          </w:rPr>
          <w:t>"</w:t>
        </w:r>
        <w:r w:rsidRPr="00B47131">
          <w:rPr>
            <w:rFonts w:ascii="Traditional Arabic" w:hAnsi="Traditional Arabic" w:hint="cs"/>
            <w:rtl/>
            <w:lang w:eastAsia="zh-TW"/>
          </w:rPr>
          <w:t>الترتيبات</w:t>
        </w:r>
        <w:r w:rsidRPr="00B47131">
          <w:rPr>
            <w:rtl/>
            <w:lang w:eastAsia="zh-TW"/>
          </w:rPr>
          <w:t xml:space="preserve"> </w:t>
        </w:r>
        <w:proofErr w:type="spellStart"/>
        <w:r w:rsidRPr="00B47131">
          <w:rPr>
            <w:rFonts w:ascii="Traditional Arabic" w:hAnsi="Traditional Arabic" w:hint="cs"/>
            <w:rtl/>
            <w:lang w:eastAsia="zh-TW"/>
          </w:rPr>
          <w:t>التيسيرية</w:t>
        </w:r>
        <w:proofErr w:type="spellEnd"/>
        <w:r w:rsidRPr="00B47131">
          <w:rPr>
            <w:rtl/>
            <w:lang w:eastAsia="zh-TW"/>
          </w:rPr>
          <w:t xml:space="preserve"> </w:t>
        </w:r>
        <w:r w:rsidRPr="00B47131">
          <w:rPr>
            <w:rFonts w:ascii="Traditional Arabic" w:hAnsi="Traditional Arabic" w:hint="cs"/>
            <w:rtl/>
            <w:lang w:eastAsia="zh-TW"/>
          </w:rPr>
          <w:t>المعقولة</w:t>
        </w:r>
        <w:r w:rsidR="0086606C">
          <w:rPr>
            <w:rtl/>
            <w:lang w:eastAsia="zh-TW"/>
          </w:rPr>
          <w:t>"</w:t>
        </w:r>
        <w:r w:rsidRPr="00B47131">
          <w:rPr>
            <w:rtl/>
            <w:lang w:eastAsia="zh-TW"/>
          </w:rPr>
          <w:t xml:space="preserve"> </w:t>
        </w:r>
        <w:r w:rsidRPr="00B47131">
          <w:rPr>
            <w:rFonts w:ascii="Traditional Arabic" w:hAnsi="Traditional Arabic" w:hint="cs"/>
            <w:rtl/>
            <w:lang w:eastAsia="zh-TW"/>
          </w:rPr>
          <w:t>تعني</w:t>
        </w:r>
        <w:r w:rsidRPr="00B47131">
          <w:rPr>
            <w:rtl/>
            <w:lang w:eastAsia="zh-TW"/>
          </w:rPr>
          <w:t xml:space="preserve"> </w:t>
        </w:r>
        <w:r w:rsidRPr="00B47131">
          <w:rPr>
            <w:rFonts w:ascii="Traditional Arabic" w:hAnsi="Traditional Arabic" w:hint="cs"/>
            <w:rtl/>
            <w:lang w:eastAsia="zh-TW"/>
          </w:rPr>
          <w:t>التع</w:t>
        </w:r>
        <w:r w:rsidRPr="00B47131">
          <w:rPr>
            <w:rtl/>
            <w:lang w:eastAsia="zh-TW"/>
          </w:rPr>
          <w:t>ديلات والترتيبات اللازمة والمناسبة التي لا تفرض عبئاً غير متناسب أو غير ضروري، والتي تكون هناك حاجة إليها في حالة محددة، لكفالة تمتع الأشخاص ذوي الإعاقة على أساس المساواة مع الآخرين بجميع حقوق الإن</w:t>
        </w:r>
        <w:r w:rsidR="0086606C">
          <w:rPr>
            <w:rtl/>
            <w:lang w:eastAsia="zh-TW"/>
          </w:rPr>
          <w:t>سان والحريات الأساسية وممارستها</w:t>
        </w:r>
        <w:r w:rsidRPr="0086606C">
          <w:rPr>
            <w:vertAlign w:val="superscript"/>
            <w:rtl/>
            <w:lang w:eastAsia="zh-TW"/>
          </w:rPr>
          <w:t>(</w:t>
        </w:r>
        <w:r w:rsidRPr="0086606C">
          <w:rPr>
            <w:rStyle w:val="FootnoteReference"/>
            <w:sz w:val="20"/>
            <w:szCs w:val="30"/>
            <w:rtl/>
            <w:lang w:eastAsia="zh-TW"/>
          </w:rPr>
          <w:footnoteReference w:id="42"/>
        </w:r>
        <w:r w:rsidRPr="0086606C">
          <w:rPr>
            <w:vertAlign w:val="superscript"/>
            <w:rtl/>
            <w:lang w:eastAsia="zh-TW"/>
          </w:rPr>
          <w:t>)</w:t>
        </w:r>
        <w:r w:rsidRPr="00B47131">
          <w:rPr>
            <w:rtl/>
            <w:lang w:eastAsia="zh-TW"/>
          </w:rPr>
          <w:t>.</w:t>
        </w:r>
        <w:r w:rsidRPr="00B47131">
          <w:rPr>
            <w:rFonts w:cs="Times New Roman" w:hint="cs"/>
            <w:rtl/>
            <w:lang w:eastAsia="zh-TW"/>
          </w:rPr>
          <w:t>‬</w:t>
        </w:r>
        <w:r w:rsidRPr="00B47131">
          <w:rPr>
            <w:rtl/>
            <w:lang w:eastAsia="zh-TW"/>
          </w:rPr>
          <w:t xml:space="preserve"> </w:t>
        </w:r>
        <w:r w:rsidRPr="00B47131">
          <w:rPr>
            <w:rFonts w:ascii="Traditional Arabic" w:hAnsi="Traditional Arabic" w:hint="cs"/>
            <w:rtl/>
            <w:lang w:eastAsia="zh-TW"/>
          </w:rPr>
          <w:t>وترى</w:t>
        </w:r>
        <w:r w:rsidRPr="00B47131">
          <w:rPr>
            <w:rtl/>
            <w:lang w:eastAsia="zh-TW"/>
          </w:rPr>
          <w:t xml:space="preserve"> </w:t>
        </w:r>
        <w:r w:rsidRPr="00B47131">
          <w:rPr>
            <w:rFonts w:ascii="Traditional Arabic" w:hAnsi="Traditional Arabic" w:hint="cs"/>
            <w:rtl/>
            <w:lang w:eastAsia="zh-TW"/>
          </w:rPr>
          <w:t>اللجنة</w:t>
        </w:r>
        <w:r w:rsidRPr="00B47131">
          <w:rPr>
            <w:rtl/>
            <w:lang w:eastAsia="zh-TW"/>
          </w:rPr>
          <w:t xml:space="preserve"> </w:t>
        </w:r>
        <w:r w:rsidRPr="00B47131">
          <w:rPr>
            <w:rFonts w:ascii="Traditional Arabic" w:hAnsi="Traditional Arabic" w:hint="cs"/>
            <w:rtl/>
            <w:lang w:eastAsia="zh-TW"/>
          </w:rPr>
          <w:t>أن</w:t>
        </w:r>
        <w:r w:rsidRPr="00B47131">
          <w:rPr>
            <w:rtl/>
            <w:lang w:eastAsia="zh-TW"/>
          </w:rPr>
          <w:t xml:space="preserve"> </w:t>
        </w:r>
        <w:r w:rsidRPr="00B47131">
          <w:rPr>
            <w:rFonts w:ascii="Traditional Arabic" w:hAnsi="Traditional Arabic" w:hint="cs"/>
            <w:rtl/>
            <w:lang w:eastAsia="zh-TW"/>
          </w:rPr>
          <w:t>الدول</w:t>
        </w:r>
        <w:r w:rsidRPr="00B47131">
          <w:rPr>
            <w:rtl/>
            <w:lang w:eastAsia="zh-TW"/>
          </w:rPr>
          <w:t xml:space="preserve"> الأطراف تتمتع بهامش تقدير</w:t>
        </w:r>
        <w:r>
          <w:rPr>
            <w:rFonts w:hint="cs"/>
            <w:rtl/>
            <w:lang w:eastAsia="zh-TW"/>
          </w:rPr>
          <w:t>ي</w:t>
        </w:r>
        <w:r w:rsidRPr="00B47131">
          <w:rPr>
            <w:rtl/>
            <w:lang w:eastAsia="zh-TW"/>
          </w:rPr>
          <w:t xml:space="preserve"> معين عند تقييم مدى معقولية التدابير </w:t>
        </w:r>
        <w:proofErr w:type="spellStart"/>
        <w:r w:rsidRPr="00B47131">
          <w:rPr>
            <w:rtl/>
            <w:lang w:eastAsia="zh-TW"/>
          </w:rPr>
          <w:t>التيسيرية</w:t>
        </w:r>
        <w:proofErr w:type="spellEnd"/>
        <w:r w:rsidRPr="00B47131">
          <w:rPr>
            <w:rtl/>
            <w:lang w:eastAsia="zh-TW"/>
          </w:rPr>
          <w:t xml:space="preserve"> وتناسبها</w:t>
        </w:r>
        <w:r w:rsidRPr="0086606C">
          <w:rPr>
            <w:vertAlign w:val="superscript"/>
            <w:rtl/>
            <w:lang w:eastAsia="zh-TW"/>
          </w:rPr>
          <w:t>(</w:t>
        </w:r>
        <w:r w:rsidRPr="0086606C">
          <w:rPr>
            <w:rStyle w:val="FootnoteReference"/>
            <w:sz w:val="20"/>
            <w:szCs w:val="30"/>
            <w:rtl/>
            <w:lang w:eastAsia="zh-TW"/>
          </w:rPr>
          <w:footnoteReference w:id="43"/>
        </w:r>
        <w:r w:rsidRPr="0086606C">
          <w:rPr>
            <w:vertAlign w:val="superscript"/>
            <w:rtl/>
            <w:lang w:eastAsia="zh-TW"/>
          </w:rPr>
          <w:t>)</w:t>
        </w:r>
        <w:r w:rsidR="0086606C">
          <w:rPr>
            <w:rtl/>
            <w:lang w:eastAsia="zh-TW"/>
          </w:rPr>
          <w:t>.</w:t>
        </w:r>
        <w:r w:rsidRPr="00B47131">
          <w:rPr>
            <w:rFonts w:cs="Times New Roman" w:hint="cs"/>
            <w:rtl/>
            <w:lang w:eastAsia="zh-TW"/>
          </w:rPr>
          <w:t>‬</w:t>
        </w:r>
        <w:r w:rsidRPr="00B47131">
          <w:rPr>
            <w:rtl/>
            <w:lang w:eastAsia="zh-TW"/>
          </w:rPr>
          <w:t xml:space="preserve"> </w:t>
        </w:r>
        <w:r w:rsidRPr="00B47131">
          <w:rPr>
            <w:rFonts w:ascii="Traditional Arabic" w:hAnsi="Traditional Arabic" w:hint="cs"/>
            <w:rtl/>
            <w:lang w:eastAsia="zh-TW"/>
          </w:rPr>
          <w:t>غير</w:t>
        </w:r>
        <w:r w:rsidRPr="00B47131">
          <w:rPr>
            <w:rtl/>
            <w:lang w:eastAsia="zh-TW"/>
          </w:rPr>
          <w:t xml:space="preserve"> </w:t>
        </w:r>
        <w:r w:rsidRPr="00B47131">
          <w:rPr>
            <w:rFonts w:ascii="Traditional Arabic" w:hAnsi="Traditional Arabic" w:hint="cs"/>
            <w:rtl/>
            <w:lang w:eastAsia="zh-TW"/>
          </w:rPr>
          <w:t>أن</w:t>
        </w:r>
        <w:r w:rsidRPr="00B47131">
          <w:rPr>
            <w:rtl/>
            <w:lang w:eastAsia="zh-TW"/>
          </w:rPr>
          <w:t xml:space="preserve"> </w:t>
        </w:r>
        <w:r w:rsidRPr="00B47131">
          <w:rPr>
            <w:rFonts w:ascii="Traditional Arabic" w:hAnsi="Traditional Arabic" w:hint="cs"/>
            <w:rtl/>
            <w:lang w:eastAsia="zh-TW"/>
          </w:rPr>
          <w:t>الدول</w:t>
        </w:r>
        <w:r w:rsidRPr="00B47131">
          <w:rPr>
            <w:rtl/>
            <w:lang w:eastAsia="zh-TW"/>
          </w:rPr>
          <w:t xml:space="preserve"> </w:t>
        </w:r>
        <w:r w:rsidRPr="00B47131">
          <w:rPr>
            <w:rFonts w:ascii="Traditional Arabic" w:hAnsi="Traditional Arabic" w:hint="cs"/>
            <w:rtl/>
            <w:lang w:eastAsia="zh-TW"/>
          </w:rPr>
          <w:t>الأطراف</w:t>
        </w:r>
        <w:r w:rsidRPr="00B47131">
          <w:rPr>
            <w:rtl/>
            <w:lang w:eastAsia="zh-TW"/>
          </w:rPr>
          <w:t xml:space="preserve"> </w:t>
        </w:r>
        <w:r w:rsidRPr="00B47131">
          <w:rPr>
            <w:rFonts w:ascii="Traditional Arabic" w:hAnsi="Traditional Arabic" w:hint="cs"/>
            <w:rtl/>
            <w:lang w:eastAsia="zh-TW"/>
          </w:rPr>
          <w:t>يجب</w:t>
        </w:r>
        <w:r w:rsidRPr="00B47131">
          <w:rPr>
            <w:rtl/>
            <w:lang w:eastAsia="zh-TW"/>
          </w:rPr>
          <w:t xml:space="preserve"> </w:t>
        </w:r>
        <w:r w:rsidRPr="00B47131">
          <w:rPr>
            <w:rFonts w:ascii="Traditional Arabic" w:hAnsi="Traditional Arabic" w:hint="cs"/>
            <w:rtl/>
            <w:lang w:eastAsia="zh-TW"/>
          </w:rPr>
          <w:t>عليها</w:t>
        </w:r>
        <w:r w:rsidRPr="00B47131">
          <w:rPr>
            <w:rtl/>
            <w:lang w:eastAsia="zh-TW"/>
          </w:rPr>
          <w:t xml:space="preserve"> </w:t>
        </w:r>
        <w:r w:rsidRPr="00B47131">
          <w:rPr>
            <w:rFonts w:ascii="Traditional Arabic" w:hAnsi="Traditional Arabic" w:hint="cs"/>
            <w:rtl/>
            <w:lang w:eastAsia="zh-TW"/>
          </w:rPr>
          <w:t>أن</w:t>
        </w:r>
        <w:r w:rsidRPr="00B47131">
          <w:rPr>
            <w:rtl/>
            <w:lang w:eastAsia="zh-TW"/>
          </w:rPr>
          <w:t xml:space="preserve"> </w:t>
        </w:r>
        <w:r w:rsidRPr="00B47131">
          <w:rPr>
            <w:rFonts w:ascii="Traditional Arabic" w:hAnsi="Traditional Arabic" w:hint="cs"/>
            <w:rtl/>
            <w:lang w:eastAsia="zh-TW"/>
          </w:rPr>
          <w:t>تكفل</w:t>
        </w:r>
        <w:r w:rsidRPr="00B47131">
          <w:rPr>
            <w:rtl/>
            <w:lang w:eastAsia="zh-TW"/>
          </w:rPr>
          <w:t xml:space="preserve"> </w:t>
        </w:r>
        <w:r w:rsidRPr="00B47131">
          <w:rPr>
            <w:rFonts w:ascii="Traditional Arabic" w:hAnsi="Traditional Arabic" w:hint="cs"/>
            <w:rtl/>
            <w:lang w:eastAsia="zh-TW"/>
          </w:rPr>
          <w:t>إجراء</w:t>
        </w:r>
        <w:r w:rsidRPr="00B47131">
          <w:rPr>
            <w:rtl/>
            <w:lang w:eastAsia="zh-TW"/>
          </w:rPr>
          <w:t xml:space="preserve"> </w:t>
        </w:r>
        <w:r w:rsidRPr="00B47131">
          <w:rPr>
            <w:rFonts w:ascii="Traditional Arabic" w:hAnsi="Traditional Arabic" w:hint="cs"/>
            <w:rtl/>
            <w:lang w:eastAsia="zh-TW"/>
          </w:rPr>
          <w:t>هذا</w:t>
        </w:r>
        <w:r w:rsidRPr="00B47131">
          <w:rPr>
            <w:rtl/>
            <w:lang w:eastAsia="zh-TW"/>
          </w:rPr>
          <w:t xml:space="preserve"> </w:t>
        </w:r>
        <w:r w:rsidRPr="00B47131">
          <w:rPr>
            <w:rFonts w:ascii="Traditional Arabic" w:hAnsi="Traditional Arabic" w:hint="cs"/>
            <w:rtl/>
            <w:lang w:eastAsia="zh-TW"/>
          </w:rPr>
          <w:t>التقييم</w:t>
        </w:r>
        <w:r w:rsidRPr="00B47131">
          <w:rPr>
            <w:rtl/>
            <w:lang w:eastAsia="zh-TW"/>
          </w:rPr>
          <w:t xml:space="preserve"> </w:t>
        </w:r>
        <w:r w:rsidRPr="00B47131">
          <w:rPr>
            <w:rFonts w:ascii="Traditional Arabic" w:hAnsi="Traditional Arabic" w:hint="cs"/>
            <w:rtl/>
            <w:lang w:eastAsia="zh-TW"/>
          </w:rPr>
          <w:t>بأسلوب</w:t>
        </w:r>
        <w:r w:rsidRPr="00B47131">
          <w:rPr>
            <w:rtl/>
            <w:lang w:eastAsia="zh-TW"/>
          </w:rPr>
          <w:t xml:space="preserve"> </w:t>
        </w:r>
        <w:r w:rsidRPr="00B47131">
          <w:rPr>
            <w:rFonts w:ascii="Traditional Arabic" w:hAnsi="Traditional Arabic" w:hint="cs"/>
            <w:rtl/>
            <w:lang w:eastAsia="zh-TW"/>
          </w:rPr>
          <w:t>دقيق</w:t>
        </w:r>
        <w:r w:rsidRPr="00B47131">
          <w:rPr>
            <w:rtl/>
            <w:lang w:eastAsia="zh-TW"/>
          </w:rPr>
          <w:t xml:space="preserve"> </w:t>
        </w:r>
        <w:r w:rsidRPr="00B47131">
          <w:rPr>
            <w:rFonts w:ascii="Traditional Arabic" w:hAnsi="Traditional Arabic" w:hint="cs"/>
            <w:rtl/>
            <w:lang w:eastAsia="zh-TW"/>
          </w:rPr>
          <w:t>وموضوعي</w:t>
        </w:r>
        <w:r w:rsidRPr="00B47131">
          <w:rPr>
            <w:rtl/>
            <w:lang w:eastAsia="zh-TW"/>
          </w:rPr>
          <w:t xml:space="preserve"> </w:t>
        </w:r>
        <w:r w:rsidRPr="00B47131">
          <w:rPr>
            <w:rFonts w:ascii="Traditional Arabic" w:hAnsi="Traditional Arabic" w:hint="cs"/>
            <w:rtl/>
            <w:lang w:eastAsia="zh-TW"/>
          </w:rPr>
          <w:t>يشمل</w:t>
        </w:r>
        <w:r w:rsidRPr="00B47131">
          <w:rPr>
            <w:rtl/>
            <w:lang w:eastAsia="zh-TW"/>
          </w:rPr>
          <w:t xml:space="preserve"> </w:t>
        </w:r>
        <w:r w:rsidRPr="00B47131">
          <w:rPr>
            <w:rFonts w:ascii="Traditional Arabic" w:hAnsi="Traditional Arabic" w:hint="cs"/>
            <w:rtl/>
            <w:lang w:eastAsia="zh-TW"/>
          </w:rPr>
          <w:t>جميع</w:t>
        </w:r>
        <w:r w:rsidRPr="00B47131">
          <w:rPr>
            <w:rtl/>
            <w:lang w:eastAsia="zh-TW"/>
          </w:rPr>
          <w:t xml:space="preserve"> </w:t>
        </w:r>
        <w:r w:rsidRPr="00B47131">
          <w:rPr>
            <w:rFonts w:ascii="Traditional Arabic" w:hAnsi="Traditional Arabic" w:hint="cs"/>
            <w:rtl/>
            <w:lang w:eastAsia="zh-TW"/>
          </w:rPr>
          <w:t>العناصر</w:t>
        </w:r>
        <w:r w:rsidRPr="00B47131">
          <w:rPr>
            <w:rtl/>
            <w:lang w:eastAsia="zh-TW"/>
          </w:rPr>
          <w:t xml:space="preserve"> </w:t>
        </w:r>
        <w:r w:rsidRPr="00B47131">
          <w:rPr>
            <w:rFonts w:ascii="Traditional Arabic" w:hAnsi="Traditional Arabic" w:hint="cs"/>
            <w:rtl/>
            <w:lang w:eastAsia="zh-TW"/>
          </w:rPr>
          <w:t>ذات</w:t>
        </w:r>
        <w:r w:rsidRPr="00B47131">
          <w:rPr>
            <w:rtl/>
            <w:lang w:eastAsia="zh-TW"/>
          </w:rPr>
          <w:t xml:space="preserve"> </w:t>
        </w:r>
        <w:r w:rsidRPr="00B47131">
          <w:rPr>
            <w:rFonts w:ascii="Traditional Arabic" w:hAnsi="Traditional Arabic" w:hint="cs"/>
            <w:rtl/>
            <w:lang w:eastAsia="zh-TW"/>
          </w:rPr>
          <w:t>الصلة،</w:t>
        </w:r>
        <w:r w:rsidRPr="00B47131">
          <w:rPr>
            <w:rtl/>
            <w:lang w:eastAsia="zh-TW"/>
          </w:rPr>
          <w:t xml:space="preserve"> </w:t>
        </w:r>
        <w:r w:rsidRPr="00B47131">
          <w:rPr>
            <w:rFonts w:ascii="Traditional Arabic" w:hAnsi="Traditional Arabic" w:hint="cs"/>
            <w:rtl/>
            <w:lang w:eastAsia="zh-TW"/>
          </w:rPr>
          <w:t>قبل</w:t>
        </w:r>
        <w:r w:rsidRPr="00B47131">
          <w:rPr>
            <w:rtl/>
            <w:lang w:eastAsia="zh-TW"/>
          </w:rPr>
          <w:t xml:space="preserve"> </w:t>
        </w:r>
        <w:r w:rsidRPr="00B47131">
          <w:rPr>
            <w:rFonts w:ascii="Traditional Arabic" w:hAnsi="Traditional Arabic" w:hint="cs"/>
            <w:rtl/>
            <w:lang w:eastAsia="zh-TW"/>
          </w:rPr>
          <w:t>التوصل</w:t>
        </w:r>
        <w:r w:rsidRPr="00B47131">
          <w:rPr>
            <w:rtl/>
            <w:lang w:eastAsia="zh-TW"/>
          </w:rPr>
          <w:t xml:space="preserve"> </w:t>
        </w:r>
        <w:r w:rsidRPr="00B47131">
          <w:rPr>
            <w:rFonts w:ascii="Traditional Arabic" w:hAnsi="Traditional Arabic" w:hint="cs"/>
            <w:rtl/>
            <w:lang w:eastAsia="zh-TW"/>
          </w:rPr>
          <w:t>إلى</w:t>
        </w:r>
        <w:r w:rsidRPr="00B47131">
          <w:rPr>
            <w:rtl/>
            <w:lang w:eastAsia="zh-TW"/>
          </w:rPr>
          <w:t xml:space="preserve"> </w:t>
        </w:r>
        <w:r>
          <w:rPr>
            <w:rFonts w:hint="cs"/>
            <w:rtl/>
            <w:lang w:eastAsia="zh-TW"/>
          </w:rPr>
          <w:t>ال</w:t>
        </w:r>
        <w:r w:rsidRPr="00B47131">
          <w:rPr>
            <w:rtl/>
            <w:lang w:eastAsia="zh-TW"/>
          </w:rPr>
          <w:t>استنتاج</w:t>
        </w:r>
        <w:r w:rsidR="0086606C">
          <w:rPr>
            <w:rtl/>
            <w:lang w:eastAsia="zh-TW"/>
          </w:rPr>
          <w:t xml:space="preserve"> </w:t>
        </w:r>
        <w:r w:rsidRPr="00B47131">
          <w:rPr>
            <w:rtl/>
            <w:lang w:eastAsia="zh-TW"/>
          </w:rPr>
          <w:t>أن تدابير الدعم والتكييف المعنية ستشكل عبئ</w:t>
        </w:r>
        <w:r w:rsidR="005E3DFA">
          <w:rPr>
            <w:rtl/>
            <w:lang w:eastAsia="zh-TW"/>
          </w:rPr>
          <w:t xml:space="preserve">اً </w:t>
        </w:r>
        <w:r w:rsidRPr="00B47131">
          <w:rPr>
            <w:rtl/>
            <w:lang w:eastAsia="zh-TW"/>
          </w:rPr>
          <w:t>غير متناسب أو غير ضروري على الدولة الطرف</w:t>
        </w:r>
        <w:r w:rsidRPr="0086606C">
          <w:rPr>
            <w:vertAlign w:val="superscript"/>
            <w:rtl/>
            <w:lang w:eastAsia="zh-TW"/>
          </w:rPr>
          <w:t>(</w:t>
        </w:r>
        <w:r w:rsidRPr="0086606C">
          <w:rPr>
            <w:rStyle w:val="FootnoteReference"/>
            <w:sz w:val="20"/>
            <w:szCs w:val="30"/>
            <w:rtl/>
            <w:lang w:eastAsia="zh-TW"/>
          </w:rPr>
          <w:footnoteReference w:id="44"/>
        </w:r>
        <w:r w:rsidRPr="0086606C">
          <w:rPr>
            <w:vertAlign w:val="superscript"/>
            <w:rtl/>
            <w:lang w:eastAsia="zh-TW"/>
          </w:rPr>
          <w:t>)</w:t>
        </w:r>
        <w:r w:rsidRPr="00B47131">
          <w:rPr>
            <w:rtl/>
            <w:lang w:eastAsia="zh-TW"/>
          </w:rPr>
          <w:t xml:space="preserve">. </w:t>
        </w:r>
        <w:r w:rsidR="0087267B">
          <w:t>‬</w:t>
        </w:r>
        <w:r w:rsidR="000C45CA">
          <w:t>‬</w:t>
        </w:r>
        <w:r w:rsidR="00A168C8">
          <w:t>‬</w:t>
        </w:r>
        <w:r w:rsidR="00821257">
          <w:t>‬</w:t>
        </w:r>
      </w:dir>
    </w:p>
    <w:p w:rsidR="0081736E" w:rsidRPr="00B47131" w:rsidRDefault="0081736E" w:rsidP="00740F4F">
      <w:pPr>
        <w:pStyle w:val="SingleTxtGA"/>
        <w:rPr>
          <w:rtl/>
          <w:lang w:eastAsia="zh-TW"/>
        </w:rPr>
      </w:pPr>
      <w:r>
        <w:rPr>
          <w:rtl/>
          <w:lang w:eastAsia="zh-TW"/>
        </w:rPr>
        <w:t>٨-٥</w:t>
      </w:r>
      <w:r>
        <w:rPr>
          <w:rFonts w:hint="cs"/>
          <w:rtl/>
          <w:lang w:eastAsia="zh-TW"/>
        </w:rPr>
        <w:tab/>
      </w:r>
      <w:r w:rsidRPr="00B47131">
        <w:rPr>
          <w:rtl/>
          <w:lang w:eastAsia="zh-TW"/>
        </w:rPr>
        <w:t xml:space="preserve">وفي هذه القضية، </w:t>
      </w:r>
      <w:r>
        <w:rPr>
          <w:rFonts w:hint="cs"/>
          <w:rtl/>
          <w:lang w:eastAsia="zh-TW"/>
        </w:rPr>
        <w:t>تشير</w:t>
      </w:r>
      <w:r w:rsidRPr="00B47131">
        <w:rPr>
          <w:rtl/>
          <w:lang w:eastAsia="zh-TW"/>
        </w:rPr>
        <w:t xml:space="preserve"> اللجنة </w:t>
      </w:r>
      <w:r>
        <w:rPr>
          <w:rFonts w:hint="cs"/>
          <w:rtl/>
          <w:lang w:eastAsia="zh-TW"/>
        </w:rPr>
        <w:t xml:space="preserve">إلى </w:t>
      </w:r>
      <w:r w:rsidRPr="00B47131">
        <w:rPr>
          <w:rtl/>
          <w:lang w:eastAsia="zh-TW"/>
        </w:rPr>
        <w:t xml:space="preserve">أن التعديلات التي وفرتها الدولة الطرف للأشخاص ذوي الإعاقات السمعية لن تمكن صاحبة البلاغ من المشاركة في هيئة محلفين على قدم المساواة مع غيرها. </w:t>
      </w:r>
      <w:r>
        <w:rPr>
          <w:rFonts w:hint="cs"/>
          <w:rtl/>
          <w:lang w:eastAsia="zh-TW"/>
        </w:rPr>
        <w:t>وتشير</w:t>
      </w:r>
      <w:r w:rsidRPr="00B47131">
        <w:rPr>
          <w:rtl/>
          <w:lang w:eastAsia="zh-TW"/>
        </w:rPr>
        <w:t xml:space="preserve"> اللجنة أيض</w:t>
      </w:r>
      <w:r w:rsidR="005E3DFA">
        <w:rPr>
          <w:rtl/>
          <w:lang w:eastAsia="zh-TW"/>
        </w:rPr>
        <w:t xml:space="preserve">اً </w:t>
      </w:r>
      <w:r>
        <w:rPr>
          <w:rFonts w:hint="cs"/>
          <w:rtl/>
          <w:lang w:eastAsia="zh-TW"/>
        </w:rPr>
        <w:t>إلى</w:t>
      </w:r>
      <w:r w:rsidRPr="00B47131">
        <w:rPr>
          <w:rtl/>
          <w:lang w:eastAsia="zh-TW"/>
        </w:rPr>
        <w:t xml:space="preserve"> أن الدولة الطرف، رغم احتجاجها بأن استخدام مترجمين بلغة الإشارة الأسترالية يؤثر على تعقيد المحاكمات وتكلفتها ومدتها، فإنها لا تقدم أي بيانات أو تحليلات تثبت أن ذلك سيشكل عبئ</w:t>
      </w:r>
      <w:r w:rsidR="005E3DFA">
        <w:rPr>
          <w:rtl/>
          <w:lang w:eastAsia="zh-TW"/>
        </w:rPr>
        <w:t xml:space="preserve">اً </w:t>
      </w:r>
      <w:r w:rsidRPr="00B47131">
        <w:rPr>
          <w:rtl/>
          <w:lang w:eastAsia="zh-TW"/>
        </w:rPr>
        <w:t>غير متناسب أو غير ضروري عليها. وعلاوة على ذلك، ورغم وجوب مراعاة مبدأ سرية مداولات هيئة المحلفين</w:t>
      </w:r>
      <w:r w:rsidR="0086606C">
        <w:rPr>
          <w:rtl/>
          <w:lang w:eastAsia="zh-TW"/>
        </w:rPr>
        <w:t xml:space="preserve"> </w:t>
      </w:r>
      <w:r w:rsidRPr="00B47131">
        <w:rPr>
          <w:rtl/>
          <w:lang w:eastAsia="zh-TW"/>
        </w:rPr>
        <w:t>فإن الدولة الطرف لم تقدم أي</w:t>
      </w:r>
      <w:r w:rsidR="00740F4F">
        <w:rPr>
          <w:rFonts w:hint="cs"/>
          <w:rtl/>
          <w:lang w:eastAsia="zh-TW"/>
        </w:rPr>
        <w:t> </w:t>
      </w:r>
      <w:r w:rsidRPr="00B47131">
        <w:rPr>
          <w:rtl/>
          <w:lang w:eastAsia="zh-TW"/>
        </w:rPr>
        <w:t xml:space="preserve">حجة تبرر تعذر إدخال أي تعديل قانوني، مثل أداء اليمين أمام المحكمة، لتمكين المترجمين بلغة الإشارة الأسترالية من أداء مهامهم بدون التأثير على مداولات هيئة المحلفين. </w:t>
      </w:r>
      <w:r>
        <w:rPr>
          <w:rFonts w:hint="cs"/>
          <w:rtl/>
          <w:lang w:eastAsia="zh-TW"/>
        </w:rPr>
        <w:t>وتشير</w:t>
      </w:r>
      <w:r w:rsidRPr="00B47131">
        <w:rPr>
          <w:rtl/>
          <w:lang w:eastAsia="zh-TW"/>
        </w:rPr>
        <w:t xml:space="preserve"> اللجنة في الختام </w:t>
      </w:r>
      <w:r>
        <w:rPr>
          <w:rFonts w:hint="cs"/>
          <w:rtl/>
          <w:lang w:eastAsia="zh-TW"/>
        </w:rPr>
        <w:t xml:space="preserve">إلى </w:t>
      </w:r>
      <w:r w:rsidRPr="00B47131">
        <w:rPr>
          <w:rtl/>
          <w:lang w:eastAsia="zh-TW"/>
        </w:rPr>
        <w:t>أن الترجمة بلغة الإشارة الأسترالية هي ترتيب تيسيري شائع يستخدمه الصم الأستراليون على نطاق واسع في حياتهم اليومية</w:t>
      </w:r>
      <w:r w:rsidRPr="0086606C">
        <w:rPr>
          <w:vertAlign w:val="superscript"/>
          <w:rtl/>
          <w:lang w:eastAsia="zh-TW"/>
        </w:rPr>
        <w:t>(</w:t>
      </w:r>
      <w:r w:rsidRPr="0086606C">
        <w:rPr>
          <w:rStyle w:val="FootnoteReference"/>
          <w:sz w:val="20"/>
          <w:szCs w:val="30"/>
          <w:rtl/>
          <w:lang w:eastAsia="zh-TW"/>
        </w:rPr>
        <w:footnoteReference w:id="45"/>
      </w:r>
      <w:r w:rsidRPr="0086606C">
        <w:rPr>
          <w:vertAlign w:val="superscript"/>
          <w:rtl/>
          <w:lang w:eastAsia="zh-TW"/>
        </w:rPr>
        <w:t>)</w:t>
      </w:r>
      <w:r w:rsidRPr="00B47131">
        <w:rPr>
          <w:rtl/>
          <w:lang w:eastAsia="zh-TW"/>
        </w:rPr>
        <w:t>. وترى اللجنة، استناد</w:t>
      </w:r>
      <w:r w:rsidR="005E3DFA">
        <w:rPr>
          <w:rtl/>
          <w:lang w:eastAsia="zh-TW"/>
        </w:rPr>
        <w:t xml:space="preserve">اً </w:t>
      </w:r>
      <w:r w:rsidRPr="00B47131">
        <w:rPr>
          <w:rtl/>
          <w:lang w:eastAsia="zh-TW"/>
        </w:rPr>
        <w:t xml:space="preserve">إلى المعلومات المعروضة عليها، أن الدولة الطرف لم تتخذ الخطوات اللازمة لكفالة توفير ترتيبات </w:t>
      </w:r>
      <w:proofErr w:type="spellStart"/>
      <w:r w:rsidRPr="00B47131">
        <w:rPr>
          <w:rtl/>
          <w:lang w:eastAsia="zh-TW"/>
        </w:rPr>
        <w:t>تيسيرية</w:t>
      </w:r>
      <w:proofErr w:type="spellEnd"/>
      <w:r w:rsidRPr="00B47131">
        <w:rPr>
          <w:rtl/>
          <w:lang w:eastAsia="zh-TW"/>
        </w:rPr>
        <w:t xml:space="preserve"> معقولة</w:t>
      </w:r>
      <w:r w:rsidR="0086606C">
        <w:rPr>
          <w:rtl/>
          <w:lang w:eastAsia="zh-TW"/>
        </w:rPr>
        <w:t xml:space="preserve"> </w:t>
      </w:r>
      <w:r w:rsidRPr="00B47131">
        <w:rPr>
          <w:rtl/>
          <w:lang w:eastAsia="zh-TW"/>
        </w:rPr>
        <w:t xml:space="preserve">لصاحبة البلاغ، وتخلص إلى أن رفض توفير خدمات الترجمة بلغة الإشارة الأسترالية </w:t>
      </w:r>
      <w:r w:rsidRPr="00B47131">
        <w:rPr>
          <w:rtl/>
          <w:lang w:eastAsia="zh-TW"/>
        </w:rPr>
        <w:lastRenderedPageBreak/>
        <w:t>أو</w:t>
      </w:r>
      <w:r w:rsidR="00740F4F">
        <w:rPr>
          <w:rFonts w:hint="cs"/>
          <w:rtl/>
          <w:lang w:eastAsia="zh-TW"/>
        </w:rPr>
        <w:t> </w:t>
      </w:r>
      <w:r w:rsidRPr="00B47131">
        <w:rPr>
          <w:rtl/>
          <w:lang w:eastAsia="zh-TW"/>
        </w:rPr>
        <w:t>الاختزال النصي الآني، بدون إجراء تقييم شامل ل</w:t>
      </w:r>
      <w:r>
        <w:rPr>
          <w:rFonts w:hint="cs"/>
          <w:rtl/>
          <w:lang w:eastAsia="zh-TW"/>
        </w:rPr>
        <w:t xml:space="preserve">معرفة </w:t>
      </w:r>
      <w:r w:rsidRPr="00B47131">
        <w:rPr>
          <w:rtl/>
          <w:lang w:eastAsia="zh-TW"/>
        </w:rPr>
        <w:t>ما</w:t>
      </w:r>
      <w:r w:rsidR="0086606C">
        <w:rPr>
          <w:rtl/>
          <w:lang w:eastAsia="zh-TW"/>
        </w:rPr>
        <w:t xml:space="preserve"> </w:t>
      </w:r>
      <w:r w:rsidRPr="00B47131">
        <w:rPr>
          <w:rtl/>
          <w:lang w:eastAsia="zh-TW"/>
        </w:rPr>
        <w:t>إذا كان توفير تلك الخدمات سيشكل عبئ</w:t>
      </w:r>
      <w:r w:rsidR="005E3DFA">
        <w:rPr>
          <w:rtl/>
          <w:lang w:eastAsia="zh-TW"/>
        </w:rPr>
        <w:t xml:space="preserve">اً </w:t>
      </w:r>
      <w:r w:rsidRPr="00B47131">
        <w:rPr>
          <w:rtl/>
          <w:lang w:eastAsia="zh-TW"/>
        </w:rPr>
        <w:t xml:space="preserve">غير متناسب أو غير ضروري، هو بمثابة تمييز على أساس الإعاقة، وفي ذلك انتهاك لحقوق صاحبة البلاغ المكفولة بموجب الفقرتين 1 و3 من المادة 5 من الاتفاقية. </w:t>
      </w:r>
    </w:p>
    <w:p w:rsidR="0081736E" w:rsidRPr="00740F4F" w:rsidRDefault="0081736E" w:rsidP="00740F4F">
      <w:pPr>
        <w:pStyle w:val="SingleTxtGA"/>
        <w:spacing w:after="100" w:line="376" w:lineRule="exact"/>
        <w:rPr>
          <w:spacing w:val="-2"/>
          <w:rtl/>
          <w:lang w:eastAsia="zh-TW"/>
        </w:rPr>
      </w:pPr>
      <w:r>
        <w:rPr>
          <w:rtl/>
          <w:lang w:eastAsia="zh-TW"/>
        </w:rPr>
        <w:t>٨-٦</w:t>
      </w:r>
      <w:r>
        <w:rPr>
          <w:rFonts w:hint="cs"/>
          <w:rtl/>
          <w:lang w:eastAsia="zh-TW"/>
        </w:rPr>
        <w:tab/>
      </w:r>
      <w:r w:rsidRPr="00B47131">
        <w:rPr>
          <w:rtl/>
          <w:lang w:eastAsia="zh-TW"/>
        </w:rPr>
        <w:t xml:space="preserve">وفيما يتعلق بادعاء صاحبة البلاغ بموجب الفقرة 1 من المادة 9 من الاتفاقية، تذكر اللجنة بأن الدول الأطراف ملزمة، بموجب أحكام تلك الفقرة، بأن تتخذ التدابير المناسبة </w:t>
      </w:r>
      <w:r w:rsidR="0086606C">
        <w:rPr>
          <w:rtl/>
          <w:lang w:eastAsia="zh-TW"/>
        </w:rPr>
        <w:t>"</w:t>
      </w:r>
      <w:r w:rsidRPr="00B47131">
        <w:rPr>
          <w:rtl/>
          <w:lang w:eastAsia="zh-TW"/>
        </w:rPr>
        <w:t>لتمكين الأشخاص ذوي الإعاقة من العيش في استقلالية والمشاركة بشكل كامل في جميع جوانب الحياة</w:t>
      </w:r>
      <w:r w:rsidR="0086606C">
        <w:rPr>
          <w:rtl/>
          <w:lang w:eastAsia="zh-TW"/>
        </w:rPr>
        <w:t>"</w:t>
      </w:r>
      <w:r w:rsidRPr="00B47131">
        <w:rPr>
          <w:rtl/>
          <w:lang w:eastAsia="zh-TW"/>
        </w:rPr>
        <w:t>. وفي هذا الصدد، تلاحظ اللجنة أن أداء الواجب في هيئة محلفين هو جانب هام من جوانب الحياة المدنية بالمعنى المقصود في الفقرة 1 من</w:t>
      </w:r>
      <w:r w:rsidR="0086606C">
        <w:rPr>
          <w:rtl/>
          <w:lang w:eastAsia="zh-TW"/>
        </w:rPr>
        <w:t xml:space="preserve"> </w:t>
      </w:r>
      <w:r w:rsidRPr="00B47131">
        <w:rPr>
          <w:rtl/>
          <w:lang w:eastAsia="zh-TW"/>
        </w:rPr>
        <w:t>المادة 9، لأنه يعدّ مظهر</w:t>
      </w:r>
      <w:r w:rsidR="005E3DFA">
        <w:rPr>
          <w:rtl/>
          <w:lang w:eastAsia="zh-TW"/>
        </w:rPr>
        <w:t xml:space="preserve">اً </w:t>
      </w:r>
      <w:r w:rsidRPr="00B47131">
        <w:rPr>
          <w:rtl/>
          <w:lang w:eastAsia="zh-TW"/>
        </w:rPr>
        <w:t>من مظاهر المواطنة النشطة. وتلاحظ اللجنة كذلك دفع الدولة الطرف بأنها</w:t>
      </w:r>
      <w:r w:rsidR="0086606C">
        <w:rPr>
          <w:rtl/>
          <w:lang w:eastAsia="zh-TW"/>
        </w:rPr>
        <w:t xml:space="preserve"> </w:t>
      </w:r>
      <w:r w:rsidRPr="00B47131">
        <w:rPr>
          <w:rtl/>
          <w:lang w:eastAsia="zh-TW"/>
        </w:rPr>
        <w:t>تكرس قدراً كبيراً من الجهود والموارد لكفالة تمتع الأشخاص ذوي الإعاقة تمتعاً كاملاً بجميع حقوق الإنسان على قدم المساواة مع الآخرين. وتذكر اللجنة أيض</w:t>
      </w:r>
      <w:r w:rsidR="005E3DFA">
        <w:rPr>
          <w:rtl/>
          <w:lang w:eastAsia="zh-TW"/>
        </w:rPr>
        <w:t xml:space="preserve">اً </w:t>
      </w:r>
      <w:r w:rsidRPr="00B47131">
        <w:rPr>
          <w:rtl/>
          <w:lang w:eastAsia="zh-TW"/>
        </w:rPr>
        <w:t>بأن</w:t>
      </w:r>
      <w:r w:rsidR="00740F4F">
        <w:rPr>
          <w:rtl/>
          <w:lang w:eastAsia="zh-TW"/>
        </w:rPr>
        <w:t>ها خلصت، في تعليقها العام رقم 2</w:t>
      </w:r>
      <w:r w:rsidRPr="00B47131">
        <w:rPr>
          <w:rtl/>
          <w:lang w:eastAsia="zh-TW"/>
        </w:rPr>
        <w:t>(2014) بشأن المادة 9: إمكانية الوصول، إلى أن الالتزام بإتاحة إمكانية الوصول ليس مرهوناً بشرط</w:t>
      </w:r>
      <w:r w:rsidRPr="0086606C">
        <w:rPr>
          <w:vertAlign w:val="superscript"/>
          <w:rtl/>
          <w:lang w:eastAsia="zh-TW"/>
        </w:rPr>
        <w:t>(</w:t>
      </w:r>
      <w:r w:rsidRPr="0086606C">
        <w:rPr>
          <w:rStyle w:val="FootnoteReference"/>
          <w:sz w:val="20"/>
          <w:szCs w:val="30"/>
          <w:rtl/>
          <w:lang w:eastAsia="zh-TW"/>
        </w:rPr>
        <w:footnoteReference w:id="46"/>
      </w:r>
      <w:r w:rsidRPr="0086606C">
        <w:rPr>
          <w:vertAlign w:val="superscript"/>
          <w:rtl/>
          <w:lang w:eastAsia="zh-TW"/>
        </w:rPr>
        <w:t>)</w:t>
      </w:r>
      <w:r w:rsidRPr="00B47131">
        <w:rPr>
          <w:rtl/>
          <w:lang w:eastAsia="zh-TW"/>
        </w:rPr>
        <w:t>، وأن من المهم تناول إمكانية الوصول بكل تعقيداتها، بما فيها وسائل الاتصال. وينبغي أيضاً كفالة إمكانية الوصول على قدم المساواة مع الآخرين وعلى نحو فعال، وفق</w:t>
      </w:r>
      <w:r w:rsidR="005E3DFA">
        <w:rPr>
          <w:rtl/>
          <w:lang w:eastAsia="zh-TW"/>
        </w:rPr>
        <w:t xml:space="preserve">اً </w:t>
      </w:r>
      <w:r w:rsidRPr="00B47131">
        <w:rPr>
          <w:rtl/>
          <w:lang w:eastAsia="zh-TW"/>
        </w:rPr>
        <w:t>للأحكام التي تحظر التمييز، كما ينبغي اعتبار الحرمان م</w:t>
      </w:r>
      <w:r w:rsidR="0086606C">
        <w:rPr>
          <w:rtl/>
          <w:lang w:eastAsia="zh-TW"/>
        </w:rPr>
        <w:t>ن إمكانية الوصول فعلاً تمييزياً</w:t>
      </w:r>
      <w:r w:rsidRPr="0086606C">
        <w:rPr>
          <w:vertAlign w:val="superscript"/>
          <w:rtl/>
          <w:lang w:eastAsia="zh-TW"/>
        </w:rPr>
        <w:t>(</w:t>
      </w:r>
      <w:r w:rsidRPr="0086606C">
        <w:rPr>
          <w:rStyle w:val="FootnoteReference"/>
          <w:sz w:val="20"/>
          <w:szCs w:val="30"/>
          <w:rtl/>
          <w:lang w:eastAsia="zh-TW"/>
        </w:rPr>
        <w:footnoteReference w:id="47"/>
      </w:r>
      <w:r w:rsidRPr="0086606C">
        <w:rPr>
          <w:vertAlign w:val="superscript"/>
          <w:rtl/>
          <w:lang w:eastAsia="zh-TW"/>
        </w:rPr>
        <w:t>)</w:t>
      </w:r>
      <w:r w:rsidRPr="00B47131">
        <w:rPr>
          <w:rtl/>
          <w:lang w:eastAsia="zh-TW"/>
        </w:rPr>
        <w:t>. وفي هذه القضية، فإن الدولة الطرف، برفضها توفير خدمات الترجمة بلغة الإشارة الأسترالية، لم</w:t>
      </w:r>
      <w:r w:rsidR="00740F4F">
        <w:rPr>
          <w:rFonts w:hint="cs"/>
          <w:rtl/>
          <w:lang w:eastAsia="zh-TW"/>
        </w:rPr>
        <w:t> </w:t>
      </w:r>
      <w:r w:rsidRPr="00B47131">
        <w:rPr>
          <w:rtl/>
          <w:lang w:eastAsia="zh-TW"/>
        </w:rPr>
        <w:t xml:space="preserve">تتخذ التدابير المناسبة لتمكين صاحبة البلاغ من أداء واجبها في هيئة محلفين، ومنعتها بذلك من المشاركة في جانب </w:t>
      </w:r>
      <w:r w:rsidRPr="00740F4F">
        <w:rPr>
          <w:spacing w:val="-2"/>
          <w:rtl/>
          <w:lang w:eastAsia="zh-TW"/>
        </w:rPr>
        <w:t xml:space="preserve">واضح من </w:t>
      </w:r>
      <w:r w:rsidR="0086606C" w:rsidRPr="00740F4F">
        <w:rPr>
          <w:spacing w:val="-2"/>
          <w:rtl/>
          <w:lang w:eastAsia="zh-TW"/>
        </w:rPr>
        <w:t>"</w:t>
      </w:r>
      <w:r w:rsidRPr="00740F4F">
        <w:rPr>
          <w:spacing w:val="-2"/>
          <w:rtl/>
          <w:lang w:eastAsia="zh-TW"/>
        </w:rPr>
        <w:t>جوانب الحياة</w:t>
      </w:r>
      <w:r w:rsidR="0086606C" w:rsidRPr="00740F4F">
        <w:rPr>
          <w:spacing w:val="-2"/>
          <w:rtl/>
          <w:lang w:eastAsia="zh-TW"/>
        </w:rPr>
        <w:t>"</w:t>
      </w:r>
      <w:r w:rsidRPr="00740F4F">
        <w:rPr>
          <w:spacing w:val="-2"/>
          <w:rtl/>
          <w:lang w:eastAsia="zh-TW"/>
        </w:rPr>
        <w:t>، وهو ما يشكل انتهاك</w:t>
      </w:r>
      <w:r w:rsidR="005E3DFA">
        <w:rPr>
          <w:spacing w:val="-2"/>
          <w:rtl/>
          <w:lang w:eastAsia="zh-TW"/>
        </w:rPr>
        <w:t xml:space="preserve">اً </w:t>
      </w:r>
      <w:r w:rsidRPr="00740F4F">
        <w:rPr>
          <w:spacing w:val="-2"/>
          <w:rtl/>
          <w:lang w:eastAsia="zh-TW"/>
        </w:rPr>
        <w:t>لحقوقها المكفولة بموجب الفقرة 1 من المادة</w:t>
      </w:r>
      <w:r w:rsidR="00740F4F" w:rsidRPr="00740F4F">
        <w:rPr>
          <w:rFonts w:hint="cs"/>
          <w:spacing w:val="-2"/>
          <w:rtl/>
          <w:lang w:eastAsia="zh-TW"/>
        </w:rPr>
        <w:t> </w:t>
      </w:r>
      <w:r w:rsidRPr="00740F4F">
        <w:rPr>
          <w:spacing w:val="-2"/>
          <w:rtl/>
          <w:lang w:eastAsia="zh-TW"/>
        </w:rPr>
        <w:t>9، مقروءة بمفردها وبالاقتران مع المادتين 2 و4 والفقرتين 1 و3 من المادة 5 من الاتفاقية.</w:t>
      </w:r>
    </w:p>
    <w:p w:rsidR="0081736E" w:rsidRPr="00740F4F" w:rsidRDefault="0081736E" w:rsidP="00740F4F">
      <w:pPr>
        <w:pStyle w:val="SingleTxtGA"/>
        <w:spacing w:after="100" w:line="376" w:lineRule="exact"/>
        <w:rPr>
          <w:spacing w:val="-2"/>
          <w:rtl/>
          <w:lang w:eastAsia="zh-TW"/>
        </w:rPr>
      </w:pPr>
      <w:r w:rsidRPr="00740F4F">
        <w:rPr>
          <w:spacing w:val="-2"/>
          <w:rtl/>
          <w:lang w:eastAsia="zh-TW"/>
        </w:rPr>
        <w:t>٨-٧</w:t>
      </w:r>
      <w:r w:rsidRPr="00740F4F">
        <w:rPr>
          <w:rFonts w:hint="cs"/>
          <w:spacing w:val="-2"/>
          <w:rtl/>
          <w:lang w:eastAsia="zh-TW"/>
        </w:rPr>
        <w:tab/>
      </w:r>
      <w:r w:rsidRPr="00740F4F">
        <w:rPr>
          <w:spacing w:val="-2"/>
          <w:rtl/>
          <w:lang w:eastAsia="zh-TW"/>
        </w:rPr>
        <w:t>وفيما يتعلق بادعاء صاحبة البلاغ بموجب المادة 21 من الاتفاقية،</w:t>
      </w:r>
      <w:r w:rsidR="0086606C" w:rsidRPr="00740F4F">
        <w:rPr>
          <w:spacing w:val="-2"/>
          <w:rtl/>
          <w:lang w:eastAsia="zh-TW"/>
        </w:rPr>
        <w:t xml:space="preserve"> </w:t>
      </w:r>
      <w:r w:rsidRPr="00740F4F">
        <w:rPr>
          <w:rFonts w:hint="cs"/>
          <w:spacing w:val="-2"/>
          <w:rtl/>
          <w:lang w:eastAsia="zh-TW"/>
        </w:rPr>
        <w:t>تلاحظ اللجنة</w:t>
      </w:r>
      <w:r w:rsidR="0086606C" w:rsidRPr="00740F4F">
        <w:rPr>
          <w:spacing w:val="-2"/>
          <w:rtl/>
          <w:lang w:eastAsia="zh-TW"/>
        </w:rPr>
        <w:t xml:space="preserve"> </w:t>
      </w:r>
      <w:r w:rsidRPr="00740F4F">
        <w:rPr>
          <w:spacing w:val="-2"/>
          <w:rtl/>
          <w:lang w:eastAsia="zh-TW"/>
        </w:rPr>
        <w:t xml:space="preserve">حجة الدولة الطرف بأن ولاية نيو ساوث ويلز قد استوفت معيار </w:t>
      </w:r>
      <w:r w:rsidR="0086606C" w:rsidRPr="00740F4F">
        <w:rPr>
          <w:spacing w:val="-2"/>
          <w:rtl/>
          <w:lang w:eastAsia="zh-TW"/>
        </w:rPr>
        <w:t>"</w:t>
      </w:r>
      <w:r w:rsidRPr="00740F4F">
        <w:rPr>
          <w:spacing w:val="-2"/>
          <w:rtl/>
          <w:lang w:eastAsia="zh-TW"/>
        </w:rPr>
        <w:t>قبول</w:t>
      </w:r>
      <w:r w:rsidR="0086606C" w:rsidRPr="00740F4F">
        <w:rPr>
          <w:spacing w:val="-2"/>
          <w:rtl/>
          <w:lang w:eastAsia="zh-TW"/>
        </w:rPr>
        <w:t xml:space="preserve"> </w:t>
      </w:r>
      <w:r w:rsidR="00740F4F">
        <w:rPr>
          <w:spacing w:val="-2"/>
          <w:rtl/>
          <w:lang w:eastAsia="zh-TW"/>
        </w:rPr>
        <w:t>وتيسير استعمال لغات الإشارة</w:t>
      </w:r>
      <w:r w:rsidR="0086606C" w:rsidRPr="00740F4F">
        <w:rPr>
          <w:spacing w:val="-2"/>
          <w:rtl/>
          <w:lang w:eastAsia="zh-TW"/>
        </w:rPr>
        <w:t>"</w:t>
      </w:r>
      <w:r w:rsidRPr="00740F4F">
        <w:rPr>
          <w:spacing w:val="-2"/>
          <w:rtl/>
          <w:lang w:eastAsia="zh-TW"/>
        </w:rPr>
        <w:t xml:space="preserve"> وغيرها من وسائل الاتصال في هذه القضية، وبأن</w:t>
      </w:r>
      <w:r w:rsidR="0086606C" w:rsidRPr="00740F4F">
        <w:rPr>
          <w:spacing w:val="-2"/>
          <w:rtl/>
          <w:lang w:eastAsia="zh-TW"/>
        </w:rPr>
        <w:t xml:space="preserve"> </w:t>
      </w:r>
      <w:r w:rsidRPr="00740F4F">
        <w:rPr>
          <w:spacing w:val="-2"/>
          <w:rtl/>
          <w:lang w:eastAsia="zh-TW"/>
        </w:rPr>
        <w:t>الالتزامات المنصوص عليها في المادة 21 هي التزامات من المقرر الوفاء بها تدريجيا</w:t>
      </w:r>
      <w:r w:rsidR="005E3DFA">
        <w:rPr>
          <w:rFonts w:hint="cs"/>
          <w:spacing w:val="-2"/>
          <w:rtl/>
          <w:lang w:eastAsia="zh-TW"/>
        </w:rPr>
        <w:t>ً</w:t>
      </w:r>
      <w:r w:rsidRPr="00740F4F">
        <w:rPr>
          <w:spacing w:val="-2"/>
          <w:rtl/>
          <w:lang w:eastAsia="zh-TW"/>
        </w:rPr>
        <w:t>. وتحيط اللجنة علم</w:t>
      </w:r>
      <w:r w:rsidR="005E3DFA">
        <w:rPr>
          <w:spacing w:val="-2"/>
          <w:rtl/>
          <w:lang w:eastAsia="zh-TW"/>
        </w:rPr>
        <w:t xml:space="preserve">اً </w:t>
      </w:r>
      <w:r w:rsidRPr="00740F4F">
        <w:rPr>
          <w:spacing w:val="-2"/>
          <w:rtl/>
          <w:lang w:eastAsia="zh-TW"/>
        </w:rPr>
        <w:t xml:space="preserve">أيضاً بادعاء صاحبة البلاغ أن المادة 21 لا تتضمن حقوقاً والتزامات تخضع للإعمال التدريجي، وأن التدابير التي تزعم الدولة الطرف أنها اتخذتها لتمكين الصم من المشاركة في هيئة محلفين لا تلائم احتياجات صاحبة البلاغ. </w:t>
      </w:r>
    </w:p>
    <w:p w:rsidR="0081736E" w:rsidRPr="00B47131" w:rsidRDefault="0081736E" w:rsidP="00740F4F">
      <w:pPr>
        <w:pStyle w:val="SingleTxtGA"/>
        <w:spacing w:after="100" w:line="376" w:lineRule="exact"/>
        <w:rPr>
          <w:rtl/>
          <w:lang w:eastAsia="zh-TW"/>
        </w:rPr>
      </w:pPr>
      <w:r>
        <w:rPr>
          <w:rtl/>
          <w:lang w:eastAsia="zh-TW"/>
        </w:rPr>
        <w:t>٨-٨</w:t>
      </w:r>
      <w:r>
        <w:rPr>
          <w:rFonts w:hint="cs"/>
          <w:rtl/>
          <w:lang w:eastAsia="zh-TW"/>
        </w:rPr>
        <w:tab/>
      </w:r>
      <w:r w:rsidRPr="00B47131">
        <w:rPr>
          <w:rtl/>
          <w:lang w:eastAsia="zh-TW"/>
        </w:rPr>
        <w:t>وتذكّر اللجنة بأن الفقرة (ب) من المادة 21 تنص على أن تتخذ الدول الأطراف جميع التدابير المناسبة التي تكفل ممارسة الأشخاص ذوي الإعاقة</w:t>
      </w:r>
      <w:r w:rsidR="0086606C">
        <w:rPr>
          <w:rtl/>
          <w:lang w:eastAsia="zh-TW"/>
        </w:rPr>
        <w:t xml:space="preserve"> </w:t>
      </w:r>
      <w:r w:rsidRPr="00B47131">
        <w:rPr>
          <w:rtl/>
          <w:lang w:eastAsia="zh-TW"/>
        </w:rPr>
        <w:t>حقهم في حرية التعبير والرأي، بما في ذلك الحق في</w:t>
      </w:r>
      <w:r w:rsidR="0086606C">
        <w:rPr>
          <w:rtl/>
          <w:lang w:eastAsia="zh-TW"/>
        </w:rPr>
        <w:t xml:space="preserve"> </w:t>
      </w:r>
      <w:r>
        <w:rPr>
          <w:rFonts w:hint="cs"/>
          <w:rtl/>
          <w:lang w:eastAsia="zh-TW"/>
        </w:rPr>
        <w:t>التماس</w:t>
      </w:r>
      <w:r w:rsidRPr="00B47131">
        <w:rPr>
          <w:rtl/>
          <w:lang w:eastAsia="zh-TW"/>
        </w:rPr>
        <w:t xml:space="preserve"> المعلومات والأفكار وتلقيها و</w:t>
      </w:r>
      <w:r>
        <w:rPr>
          <w:rFonts w:hint="cs"/>
          <w:rtl/>
          <w:lang w:eastAsia="zh-TW"/>
        </w:rPr>
        <w:t>نقلها</w:t>
      </w:r>
      <w:r w:rsidR="0086606C">
        <w:rPr>
          <w:rFonts w:hint="cs"/>
          <w:rtl/>
          <w:lang w:eastAsia="zh-TW"/>
        </w:rPr>
        <w:t xml:space="preserve"> </w:t>
      </w:r>
      <w:r w:rsidRPr="00B47131">
        <w:rPr>
          <w:rtl/>
          <w:lang w:eastAsia="zh-TW"/>
        </w:rPr>
        <w:t>على قدم المساواة مع الآخرين وعن طريق جميع وسائل الاتصال التي يختارونها بأنفسهم.</w:t>
      </w:r>
      <w:r w:rsidRPr="00B47131">
        <w:rPr>
          <w:rFonts w:cs="Times New Roman" w:hint="cs"/>
          <w:rtl/>
          <w:lang w:eastAsia="zh-TW"/>
        </w:rPr>
        <w:t>‬</w:t>
      </w:r>
      <w:r w:rsidRPr="00B47131">
        <w:rPr>
          <w:rtl/>
          <w:lang w:eastAsia="zh-TW"/>
        </w:rPr>
        <w:t xml:space="preserve"> </w:t>
      </w:r>
      <w:r w:rsidRPr="00B47131">
        <w:rPr>
          <w:rFonts w:ascii="Traditional Arabic" w:hAnsi="Traditional Arabic" w:hint="cs"/>
          <w:rtl/>
          <w:lang w:eastAsia="zh-TW"/>
        </w:rPr>
        <w:t>وتذكر</w:t>
      </w:r>
      <w:r w:rsidRPr="00B47131">
        <w:rPr>
          <w:rtl/>
          <w:lang w:eastAsia="zh-TW"/>
        </w:rPr>
        <w:t xml:space="preserve"> </w:t>
      </w:r>
      <w:r w:rsidRPr="00B47131">
        <w:rPr>
          <w:rFonts w:ascii="Traditional Arabic" w:hAnsi="Traditional Arabic" w:hint="cs"/>
          <w:rtl/>
          <w:lang w:eastAsia="zh-TW"/>
        </w:rPr>
        <w:t>اللجنة</w:t>
      </w:r>
      <w:r w:rsidRPr="00B47131">
        <w:rPr>
          <w:rtl/>
          <w:lang w:eastAsia="zh-TW"/>
        </w:rPr>
        <w:t xml:space="preserve"> </w:t>
      </w:r>
      <w:r w:rsidRPr="00B47131">
        <w:rPr>
          <w:rFonts w:ascii="Traditional Arabic" w:hAnsi="Traditional Arabic" w:hint="cs"/>
          <w:rtl/>
          <w:lang w:eastAsia="zh-TW"/>
        </w:rPr>
        <w:t>كذلك</w:t>
      </w:r>
      <w:r w:rsidR="0086606C">
        <w:rPr>
          <w:rtl/>
          <w:lang w:eastAsia="zh-TW"/>
        </w:rPr>
        <w:t xml:space="preserve"> </w:t>
      </w:r>
      <w:r w:rsidRPr="00B47131">
        <w:rPr>
          <w:rFonts w:ascii="Traditional Arabic" w:hAnsi="Traditional Arabic" w:hint="cs"/>
          <w:rtl/>
          <w:lang w:eastAsia="zh-TW"/>
        </w:rPr>
        <w:t>بأن</w:t>
      </w:r>
      <w:r w:rsidRPr="00B47131">
        <w:rPr>
          <w:rtl/>
          <w:lang w:eastAsia="zh-TW"/>
        </w:rPr>
        <w:t xml:space="preserve"> </w:t>
      </w:r>
      <w:r w:rsidRPr="00B47131">
        <w:rPr>
          <w:rFonts w:ascii="Traditional Arabic" w:hAnsi="Traditional Arabic" w:hint="cs"/>
          <w:rtl/>
          <w:lang w:eastAsia="zh-TW"/>
        </w:rPr>
        <w:t>المادة</w:t>
      </w:r>
      <w:r w:rsidRPr="00B47131">
        <w:rPr>
          <w:rtl/>
          <w:lang w:eastAsia="zh-TW"/>
        </w:rPr>
        <w:t xml:space="preserve"> 2 </w:t>
      </w:r>
      <w:r w:rsidRPr="00B47131">
        <w:rPr>
          <w:rFonts w:ascii="Traditional Arabic" w:hAnsi="Traditional Arabic" w:hint="cs"/>
          <w:rtl/>
          <w:lang w:eastAsia="zh-TW"/>
        </w:rPr>
        <w:t>م</w:t>
      </w:r>
      <w:r w:rsidRPr="00B47131">
        <w:rPr>
          <w:rtl/>
          <w:lang w:eastAsia="zh-TW"/>
        </w:rPr>
        <w:t xml:space="preserve">ن الاتفاقية تنص على أن الاتصال يشمل اللغات وأساليب ووسائل وأشكال الاتصال البديلة، </w:t>
      </w:r>
      <w:r w:rsidRPr="00B47131">
        <w:rPr>
          <w:rtl/>
          <w:lang w:eastAsia="zh-TW"/>
        </w:rPr>
        <w:lastRenderedPageBreak/>
        <w:t>ووسائل وأشكال الاتصال، وهو تعريف يشمل بطبيعة الحال الترجمة بلغة الإشارة الأسترالية والتدوين الحرفي بالاختزال. وفي هذا السياق،</w:t>
      </w:r>
      <w:r w:rsidR="0086606C">
        <w:rPr>
          <w:rtl/>
          <w:lang w:eastAsia="zh-TW"/>
        </w:rPr>
        <w:t xml:space="preserve"> </w:t>
      </w:r>
      <w:r>
        <w:rPr>
          <w:rFonts w:hint="cs"/>
          <w:rtl/>
          <w:lang w:eastAsia="zh-TW"/>
        </w:rPr>
        <w:t>تلاحظ</w:t>
      </w:r>
      <w:r w:rsidRPr="00B47131">
        <w:rPr>
          <w:rtl/>
          <w:lang w:eastAsia="zh-TW"/>
        </w:rPr>
        <w:t xml:space="preserve"> اللجنة</w:t>
      </w:r>
      <w:r w:rsidR="0086606C">
        <w:rPr>
          <w:rtl/>
          <w:lang w:eastAsia="zh-TW"/>
        </w:rPr>
        <w:t xml:space="preserve"> </w:t>
      </w:r>
      <w:r w:rsidRPr="00B47131">
        <w:rPr>
          <w:rtl/>
          <w:lang w:eastAsia="zh-TW"/>
        </w:rPr>
        <w:t xml:space="preserve">احتجاج صاحبة البلاغ بأن المحلف هو شخص يتولى مسؤولية عامة في مجال إقامة العدل </w:t>
      </w:r>
      <w:r w:rsidR="0086606C">
        <w:rPr>
          <w:rtl/>
          <w:lang w:eastAsia="zh-TW"/>
        </w:rPr>
        <w:t>"</w:t>
      </w:r>
      <w:r w:rsidRPr="00B47131">
        <w:rPr>
          <w:rtl/>
          <w:lang w:eastAsia="zh-TW"/>
        </w:rPr>
        <w:t>في تفاعله مع</w:t>
      </w:r>
      <w:r w:rsidR="0086606C">
        <w:rPr>
          <w:rtl/>
          <w:lang w:eastAsia="zh-TW"/>
        </w:rPr>
        <w:t xml:space="preserve"> </w:t>
      </w:r>
      <w:r w:rsidRPr="00B47131">
        <w:rPr>
          <w:rtl/>
          <w:lang w:eastAsia="zh-TW"/>
        </w:rPr>
        <w:t>الآخرين</w:t>
      </w:r>
      <w:r w:rsidR="0086606C">
        <w:rPr>
          <w:rtl/>
          <w:lang w:eastAsia="zh-TW"/>
        </w:rPr>
        <w:t>"</w:t>
      </w:r>
      <w:r w:rsidRPr="00B47131">
        <w:rPr>
          <w:rtl/>
          <w:lang w:eastAsia="zh-TW"/>
        </w:rPr>
        <w:t xml:space="preserve">، بمن فيهم المحلفون الآخرون والموظفون القضائيون، وبأن هذه التفاعلات تعد، من ثم، </w:t>
      </w:r>
      <w:r w:rsidR="0086606C">
        <w:rPr>
          <w:rtl/>
          <w:lang w:eastAsia="zh-TW"/>
        </w:rPr>
        <w:t>"</w:t>
      </w:r>
      <w:r w:rsidRPr="00B47131">
        <w:rPr>
          <w:rtl/>
          <w:lang w:eastAsia="zh-TW"/>
        </w:rPr>
        <w:t>معاملات رسمية</w:t>
      </w:r>
      <w:r w:rsidR="0086606C">
        <w:rPr>
          <w:rtl/>
          <w:lang w:eastAsia="zh-TW"/>
        </w:rPr>
        <w:t>"</w:t>
      </w:r>
      <w:r w:rsidRPr="00B47131">
        <w:rPr>
          <w:rtl/>
          <w:lang w:eastAsia="zh-TW"/>
        </w:rPr>
        <w:t xml:space="preserve"> بالمعنى المقصود في المادة 21. وفي ضوء ما تقدم، ترى اللجنة أن رفض تزويد صاحبة البلاغ بشكل الاتصال الذي تحتاج إليه لتتمكن من أداء واجبها في هيئة محلفين، ومن ثم للتعبير عن نفسها في إطار تفاعل رسمي، يشكل انتهاك</w:t>
      </w:r>
      <w:r w:rsidR="005E3DFA">
        <w:rPr>
          <w:rtl/>
          <w:lang w:eastAsia="zh-TW"/>
        </w:rPr>
        <w:t xml:space="preserve">اً </w:t>
      </w:r>
      <w:r w:rsidRPr="00B47131">
        <w:rPr>
          <w:rtl/>
          <w:lang w:eastAsia="zh-TW"/>
        </w:rPr>
        <w:t>للفقرة (ب) من المادة 21، مقروءة بمفردها وبالاقتران مع المادتين 2</w:t>
      </w:r>
      <w:r w:rsidR="00F05419">
        <w:rPr>
          <w:rtl/>
          <w:lang w:eastAsia="zh-TW"/>
        </w:rPr>
        <w:t xml:space="preserve"> و</w:t>
      </w:r>
      <w:r w:rsidRPr="00B47131">
        <w:rPr>
          <w:rtl/>
          <w:lang w:eastAsia="zh-TW"/>
        </w:rPr>
        <w:t xml:space="preserve">4 والفقرتين 1 و3 من المادة 5 من الاتفاقية. </w:t>
      </w:r>
    </w:p>
    <w:p w:rsidR="0081736E" w:rsidRPr="00B47131" w:rsidRDefault="0081736E" w:rsidP="000C45CA">
      <w:pPr>
        <w:pStyle w:val="SingleTxtGA"/>
        <w:rPr>
          <w:rtl/>
          <w:lang w:eastAsia="zh-TW"/>
        </w:rPr>
      </w:pPr>
      <w:r>
        <w:rPr>
          <w:rtl/>
          <w:lang w:eastAsia="zh-TW"/>
        </w:rPr>
        <w:t>٨-٩</w:t>
      </w:r>
      <w:r>
        <w:rPr>
          <w:rFonts w:hint="cs"/>
          <w:rtl/>
          <w:lang w:eastAsia="zh-TW"/>
        </w:rPr>
        <w:tab/>
      </w:r>
      <w:r w:rsidRPr="00B47131">
        <w:rPr>
          <w:rtl/>
          <w:lang w:eastAsia="zh-TW"/>
        </w:rPr>
        <w:t>وفيما يتعلق بادعاءات صاحب</w:t>
      </w:r>
      <w:r>
        <w:rPr>
          <w:rFonts w:hint="cs"/>
          <w:rtl/>
          <w:lang w:eastAsia="zh-TW"/>
        </w:rPr>
        <w:t>ة</w:t>
      </w:r>
      <w:r w:rsidRPr="00B47131">
        <w:rPr>
          <w:rtl/>
          <w:lang w:eastAsia="zh-TW"/>
        </w:rPr>
        <w:t xml:space="preserve"> البلاغ بموجب الفقرة 1 من المادة 13 والمادة 29 من الاتفاقية،</w:t>
      </w:r>
      <w:r w:rsidR="0086606C">
        <w:rPr>
          <w:rtl/>
          <w:lang w:eastAsia="zh-TW"/>
        </w:rPr>
        <w:t xml:space="preserve"> </w:t>
      </w:r>
      <w:r>
        <w:rPr>
          <w:rFonts w:hint="cs"/>
          <w:rtl/>
          <w:lang w:eastAsia="zh-TW"/>
        </w:rPr>
        <w:t>تلاحظ</w:t>
      </w:r>
      <w:r w:rsidRPr="00B47131">
        <w:rPr>
          <w:rtl/>
          <w:lang w:eastAsia="zh-TW"/>
        </w:rPr>
        <w:t xml:space="preserve"> اللجنة</w:t>
      </w:r>
      <w:r w:rsidR="0086606C">
        <w:rPr>
          <w:rtl/>
          <w:lang w:eastAsia="zh-TW"/>
        </w:rPr>
        <w:t xml:space="preserve"> </w:t>
      </w:r>
      <w:r w:rsidRPr="00B47131">
        <w:rPr>
          <w:rtl/>
          <w:lang w:eastAsia="zh-TW"/>
        </w:rPr>
        <w:t xml:space="preserve">احتجاج الدولة الطرف بأن هذا الادعاء لا يستند إلى أي أساس موضوعي، لأنها تعتبر أن </w:t>
      </w:r>
      <w:r w:rsidR="0086606C">
        <w:rPr>
          <w:rtl/>
          <w:lang w:eastAsia="zh-TW"/>
        </w:rPr>
        <w:t>"</w:t>
      </w:r>
      <w:r w:rsidRPr="00B47131">
        <w:rPr>
          <w:rtl/>
          <w:lang w:eastAsia="zh-TW"/>
        </w:rPr>
        <w:t>كفالة السبل الفعالة للجوء إلى القضاء</w:t>
      </w:r>
      <w:r w:rsidR="0086606C">
        <w:rPr>
          <w:rtl/>
          <w:lang w:eastAsia="zh-TW"/>
        </w:rPr>
        <w:t>"</w:t>
      </w:r>
      <w:r w:rsidRPr="00B47131">
        <w:rPr>
          <w:rtl/>
          <w:lang w:eastAsia="zh-TW"/>
        </w:rPr>
        <w:t xml:space="preserve"> تشير إلى إمكانية</w:t>
      </w:r>
      <w:r w:rsidR="0086606C">
        <w:rPr>
          <w:rtl/>
          <w:lang w:eastAsia="zh-TW"/>
        </w:rPr>
        <w:t xml:space="preserve"> </w:t>
      </w:r>
      <w:r>
        <w:rPr>
          <w:rFonts w:hint="cs"/>
          <w:rtl/>
          <w:lang w:eastAsia="zh-TW"/>
        </w:rPr>
        <w:t>اللجوء</w:t>
      </w:r>
      <w:r w:rsidRPr="00B47131">
        <w:rPr>
          <w:rtl/>
          <w:lang w:eastAsia="zh-TW"/>
        </w:rPr>
        <w:t xml:space="preserve"> إلى نظام العدالة، وأن مصطلحي المشاركة </w:t>
      </w:r>
      <w:r w:rsidR="0086606C">
        <w:rPr>
          <w:rtl/>
          <w:lang w:eastAsia="zh-TW"/>
        </w:rPr>
        <w:t>"</w:t>
      </w:r>
      <w:r w:rsidRPr="00B47131">
        <w:rPr>
          <w:rtl/>
          <w:lang w:eastAsia="zh-TW"/>
        </w:rPr>
        <w:t>المباشرة</w:t>
      </w:r>
      <w:r w:rsidR="0086606C">
        <w:rPr>
          <w:rtl/>
          <w:lang w:eastAsia="zh-TW"/>
        </w:rPr>
        <w:t>"</w:t>
      </w:r>
      <w:r w:rsidR="00F05419">
        <w:rPr>
          <w:rtl/>
          <w:lang w:eastAsia="zh-TW"/>
        </w:rPr>
        <w:t xml:space="preserve"> و</w:t>
      </w:r>
      <w:r w:rsidR="0086606C">
        <w:rPr>
          <w:rtl/>
          <w:lang w:eastAsia="zh-TW"/>
        </w:rPr>
        <w:t>"</w:t>
      </w:r>
      <w:r w:rsidRPr="00B47131">
        <w:rPr>
          <w:rtl/>
          <w:lang w:eastAsia="zh-TW"/>
        </w:rPr>
        <w:t>غير المباشرة</w:t>
      </w:r>
      <w:r w:rsidR="0086606C">
        <w:rPr>
          <w:rtl/>
          <w:lang w:eastAsia="zh-TW"/>
        </w:rPr>
        <w:t>"</w:t>
      </w:r>
      <w:r w:rsidRPr="00B47131">
        <w:rPr>
          <w:rtl/>
          <w:lang w:eastAsia="zh-TW"/>
        </w:rPr>
        <w:t xml:space="preserve"> لا يشملان مهام </w:t>
      </w:r>
      <w:r w:rsidR="000C45CA">
        <w:rPr>
          <w:rFonts w:hint="cs"/>
          <w:rtl/>
          <w:lang w:eastAsia="zh-TW"/>
        </w:rPr>
        <w:t>المحلفين</w:t>
      </w:r>
      <w:r w:rsidRPr="00B47131">
        <w:rPr>
          <w:rtl/>
          <w:lang w:eastAsia="zh-TW"/>
        </w:rPr>
        <w:t xml:space="preserve">. وتحتج الدولة الطرف كذلك بأن معيار </w:t>
      </w:r>
      <w:r w:rsidR="0086606C">
        <w:rPr>
          <w:rtl/>
          <w:lang w:eastAsia="zh-TW"/>
        </w:rPr>
        <w:t>"</w:t>
      </w:r>
      <w:r w:rsidRPr="00B47131">
        <w:rPr>
          <w:rtl/>
          <w:lang w:eastAsia="zh-TW"/>
        </w:rPr>
        <w:t xml:space="preserve">الترتيبات </w:t>
      </w:r>
      <w:proofErr w:type="spellStart"/>
      <w:r w:rsidRPr="00B47131">
        <w:rPr>
          <w:rtl/>
          <w:lang w:eastAsia="zh-TW"/>
        </w:rPr>
        <w:t>التيسيرية</w:t>
      </w:r>
      <w:proofErr w:type="spellEnd"/>
      <w:r w:rsidRPr="00B47131">
        <w:rPr>
          <w:rtl/>
          <w:lang w:eastAsia="zh-TW"/>
        </w:rPr>
        <w:t xml:space="preserve"> المعقولة</w:t>
      </w:r>
      <w:r w:rsidR="0086606C">
        <w:rPr>
          <w:rtl/>
          <w:lang w:eastAsia="zh-TW"/>
        </w:rPr>
        <w:t>"</w:t>
      </w:r>
      <w:r w:rsidRPr="00B47131">
        <w:rPr>
          <w:rtl/>
          <w:lang w:eastAsia="zh-TW"/>
        </w:rPr>
        <w:t xml:space="preserve"> لا تسري على المادة 13. وتؤكد صاحبة البلاغ بدورها أن مصطلح </w:t>
      </w:r>
      <w:r w:rsidR="0086606C">
        <w:rPr>
          <w:rtl/>
          <w:lang w:eastAsia="zh-TW"/>
        </w:rPr>
        <w:t>"</w:t>
      </w:r>
      <w:r w:rsidRPr="00B47131">
        <w:rPr>
          <w:rtl/>
          <w:lang w:eastAsia="zh-TW"/>
        </w:rPr>
        <w:t>المشاركة المباشرة وغير المباشرة</w:t>
      </w:r>
      <w:r w:rsidR="0086606C">
        <w:rPr>
          <w:rtl/>
          <w:lang w:eastAsia="zh-TW"/>
        </w:rPr>
        <w:t>"</w:t>
      </w:r>
      <w:r w:rsidRPr="00B47131">
        <w:rPr>
          <w:rtl/>
          <w:lang w:eastAsia="zh-TW"/>
        </w:rPr>
        <w:t xml:space="preserve"> يتعلق بالأفراد الذين يشاركون في النظام القانوني، وأن الالتزامات المنصوص عليها في المادة 5 والمتمثلة في كفالة توافر </w:t>
      </w:r>
      <w:r w:rsidR="0086606C">
        <w:rPr>
          <w:rtl/>
          <w:lang w:eastAsia="zh-TW"/>
        </w:rPr>
        <w:t>"</w:t>
      </w:r>
      <w:r w:rsidRPr="00B47131">
        <w:rPr>
          <w:rtl/>
          <w:lang w:eastAsia="zh-TW"/>
        </w:rPr>
        <w:t xml:space="preserve">الترتيبات </w:t>
      </w:r>
      <w:proofErr w:type="spellStart"/>
      <w:r w:rsidRPr="00B47131">
        <w:rPr>
          <w:rtl/>
          <w:lang w:eastAsia="zh-TW"/>
        </w:rPr>
        <w:t>التيسيرية</w:t>
      </w:r>
      <w:proofErr w:type="spellEnd"/>
      <w:r w:rsidRPr="00B47131">
        <w:rPr>
          <w:rtl/>
          <w:lang w:eastAsia="zh-TW"/>
        </w:rPr>
        <w:t xml:space="preserve"> المعقولة</w:t>
      </w:r>
      <w:r w:rsidR="0086606C">
        <w:rPr>
          <w:rtl/>
          <w:lang w:eastAsia="zh-TW"/>
        </w:rPr>
        <w:t>"</w:t>
      </w:r>
      <w:r w:rsidRPr="00B47131">
        <w:rPr>
          <w:rtl/>
          <w:lang w:eastAsia="zh-TW"/>
        </w:rPr>
        <w:t xml:space="preserve"> تسري على إعمال هذه الحقوق. وتذكّر اللجنة بأن الدول الأطراف ملزمة، عمل</w:t>
      </w:r>
      <w:r w:rsidR="005E3DFA">
        <w:rPr>
          <w:rtl/>
          <w:lang w:eastAsia="zh-TW"/>
        </w:rPr>
        <w:t xml:space="preserve">اً </w:t>
      </w:r>
      <w:r w:rsidRPr="00B47131">
        <w:rPr>
          <w:rtl/>
          <w:lang w:eastAsia="zh-TW"/>
        </w:rPr>
        <w:t xml:space="preserve">بالمادة 13، بأن تكفل سبلاً فعالة للأشخاص ذوي الإعاقة للجوء إلى القضاء على قدم المساواة مع الآخرين، بغرض تيسر دورهم الفعال في </w:t>
      </w:r>
      <w:r w:rsidR="0086606C">
        <w:rPr>
          <w:rtl/>
          <w:lang w:eastAsia="zh-TW"/>
        </w:rPr>
        <w:t>"</w:t>
      </w:r>
      <w:r w:rsidRPr="00B47131">
        <w:rPr>
          <w:rtl/>
          <w:lang w:eastAsia="zh-TW"/>
        </w:rPr>
        <w:t>المشاركة المباشرة وغير المباشرة في جميع مراحل الإجراءات القانونية</w:t>
      </w:r>
      <w:r w:rsidR="0086606C">
        <w:rPr>
          <w:rtl/>
          <w:lang w:eastAsia="zh-TW"/>
        </w:rPr>
        <w:t>"</w:t>
      </w:r>
      <w:r w:rsidRPr="00B47131">
        <w:rPr>
          <w:rtl/>
          <w:lang w:eastAsia="zh-TW"/>
        </w:rPr>
        <w:t xml:space="preserve">، بما في ذلك من خلال توفير </w:t>
      </w:r>
      <w:proofErr w:type="spellStart"/>
      <w:r w:rsidRPr="00B47131">
        <w:rPr>
          <w:rtl/>
          <w:lang w:eastAsia="zh-TW"/>
        </w:rPr>
        <w:t>التيسيرات</w:t>
      </w:r>
      <w:proofErr w:type="spellEnd"/>
      <w:r w:rsidRPr="00B47131">
        <w:rPr>
          <w:rtl/>
          <w:lang w:eastAsia="zh-TW"/>
        </w:rPr>
        <w:t xml:space="preserve"> الإجرائية التي تتناسب مع أعمارهم. وتشير اللجنة إلى أن أداء الواجب في هيئة محلفين جزء لا يتجزأ من النظام القضائي الأسترالي، وبناء على ذلك، فإنه يعدّ بمثابة </w:t>
      </w:r>
      <w:r w:rsidR="0086606C">
        <w:rPr>
          <w:rtl/>
          <w:lang w:eastAsia="zh-TW"/>
        </w:rPr>
        <w:t>"</w:t>
      </w:r>
      <w:r w:rsidRPr="00B47131">
        <w:rPr>
          <w:rtl/>
          <w:lang w:eastAsia="zh-TW"/>
        </w:rPr>
        <w:t>مشاركة</w:t>
      </w:r>
      <w:r w:rsidR="0086606C">
        <w:rPr>
          <w:rtl/>
          <w:lang w:eastAsia="zh-TW"/>
        </w:rPr>
        <w:t>"</w:t>
      </w:r>
      <w:r w:rsidRPr="00B47131">
        <w:rPr>
          <w:rtl/>
          <w:lang w:eastAsia="zh-TW"/>
        </w:rPr>
        <w:t xml:space="preserve"> في الإجراءات القانونية. وتذكر اللجنة أيض</w:t>
      </w:r>
      <w:r w:rsidR="005E3DFA">
        <w:rPr>
          <w:rtl/>
          <w:lang w:eastAsia="zh-TW"/>
        </w:rPr>
        <w:t xml:space="preserve">اً </w:t>
      </w:r>
      <w:r w:rsidRPr="00B47131">
        <w:rPr>
          <w:rtl/>
          <w:lang w:eastAsia="zh-TW"/>
        </w:rPr>
        <w:t xml:space="preserve">بأن الفقرة (ب) من المادة 29 تقضي بأن </w:t>
      </w:r>
      <w:r w:rsidR="0086606C">
        <w:rPr>
          <w:rtl/>
          <w:lang w:eastAsia="zh-TW"/>
        </w:rPr>
        <w:t>"</w:t>
      </w:r>
      <w:r w:rsidRPr="00B47131">
        <w:rPr>
          <w:rtl/>
          <w:lang w:eastAsia="zh-TW"/>
        </w:rPr>
        <w:t>تعمل الدول على نحو فعال من أجل تهيئة بيئة يتسنى فيها للأشخاص ذوي الإعاقة أن يشاركوا مشاركة فعلية وكاملة في تسيير الشؤون العامة، دون تمييز وعلى قدم المساواة مع الآخرين، وأن تشجع مشاركتهم في الشؤون العامة</w:t>
      </w:r>
      <w:r w:rsidR="0086606C">
        <w:rPr>
          <w:rtl/>
          <w:lang w:eastAsia="zh-TW"/>
        </w:rPr>
        <w:t>"</w:t>
      </w:r>
      <w:r w:rsidRPr="00B47131">
        <w:rPr>
          <w:rtl/>
          <w:lang w:eastAsia="zh-TW"/>
        </w:rPr>
        <w:t>. ولذا، يجب إيلاء الاهتمام لمشاركة الأشخاص ذوي الإعاقة في النظام القضائي، لا</w:t>
      </w:r>
      <w:r w:rsidR="00B75A64">
        <w:rPr>
          <w:rFonts w:hint="cs"/>
          <w:rtl/>
          <w:lang w:eastAsia="zh-TW"/>
        </w:rPr>
        <w:t> </w:t>
      </w:r>
      <w:r w:rsidRPr="00B47131">
        <w:rPr>
          <w:rtl/>
          <w:lang w:eastAsia="zh-TW"/>
        </w:rPr>
        <w:t>بصفتهم مدعين أو ضحايا أو مدعى عليهم فحسب، وإنما</w:t>
      </w:r>
      <w:r w:rsidR="0086606C">
        <w:rPr>
          <w:rtl/>
          <w:lang w:eastAsia="zh-TW"/>
        </w:rPr>
        <w:t xml:space="preserve"> </w:t>
      </w:r>
      <w:r>
        <w:rPr>
          <w:rFonts w:hint="cs"/>
          <w:rtl/>
          <w:lang w:eastAsia="zh-TW"/>
        </w:rPr>
        <w:t xml:space="preserve">بصفتهم </w:t>
      </w:r>
      <w:r w:rsidRPr="00B47131">
        <w:rPr>
          <w:rtl/>
          <w:lang w:eastAsia="zh-TW"/>
        </w:rPr>
        <w:t xml:space="preserve">محلفين أيضاً، على قدم المساواة مع الآخرين. وفي ضوء ما تقدم، ترى اللجنة أن قرار </w:t>
      </w:r>
      <w:proofErr w:type="spellStart"/>
      <w:r w:rsidRPr="00B47131">
        <w:rPr>
          <w:rtl/>
          <w:lang w:eastAsia="zh-TW"/>
        </w:rPr>
        <w:t>والية</w:t>
      </w:r>
      <w:proofErr w:type="spellEnd"/>
      <w:r w:rsidRPr="00B47131">
        <w:rPr>
          <w:rtl/>
          <w:lang w:eastAsia="zh-TW"/>
        </w:rPr>
        <w:t xml:space="preserve"> القضاء عدم توفير خدمات الترجمة بلغة الإشارة الأسترالية يشكل انتهاك</w:t>
      </w:r>
      <w:r w:rsidR="005E3DFA">
        <w:rPr>
          <w:rtl/>
          <w:lang w:eastAsia="zh-TW"/>
        </w:rPr>
        <w:t xml:space="preserve">اً </w:t>
      </w:r>
      <w:r w:rsidRPr="00B47131">
        <w:rPr>
          <w:rtl/>
          <w:lang w:eastAsia="zh-TW"/>
        </w:rPr>
        <w:t>للفقرة 1 من المادة 13، مقروءة بمفردها وبالاقتران مع المادة 3 والفقرة 1 من المادة 5 والفقرة (ب) من المادة 29 من الاتفاقية.</w:t>
      </w:r>
    </w:p>
    <w:p w:rsidR="0081736E" w:rsidRPr="00960C79" w:rsidRDefault="0081736E" w:rsidP="0081736E">
      <w:pPr>
        <w:pStyle w:val="H1GA"/>
        <w:rPr>
          <w:rtl/>
          <w:lang w:eastAsia="zh-TW"/>
        </w:rPr>
      </w:pPr>
      <w:r>
        <w:rPr>
          <w:rFonts w:hint="cs"/>
          <w:rtl/>
          <w:lang w:eastAsia="zh-TW"/>
        </w:rPr>
        <w:tab/>
      </w:r>
      <w:r>
        <w:rPr>
          <w:rtl/>
          <w:lang w:eastAsia="zh-TW"/>
        </w:rPr>
        <w:t>جيم-</w:t>
      </w:r>
      <w:r>
        <w:rPr>
          <w:rFonts w:hint="cs"/>
          <w:rtl/>
          <w:lang w:eastAsia="zh-TW"/>
        </w:rPr>
        <w:tab/>
      </w:r>
      <w:r w:rsidRPr="00960C79">
        <w:rPr>
          <w:rFonts w:hint="cs"/>
          <w:rtl/>
          <w:lang w:eastAsia="zh-TW"/>
        </w:rPr>
        <w:t>الاستنتاجات</w:t>
      </w:r>
      <w:r w:rsidRPr="00960C79">
        <w:rPr>
          <w:rtl/>
          <w:lang w:eastAsia="zh-TW"/>
        </w:rPr>
        <w:t xml:space="preserve"> </w:t>
      </w:r>
      <w:r w:rsidRPr="00960C79">
        <w:rPr>
          <w:rFonts w:hint="cs"/>
          <w:rtl/>
          <w:lang w:eastAsia="zh-TW"/>
        </w:rPr>
        <w:t>والتوصيات</w:t>
      </w:r>
      <w:r w:rsidRPr="00960C79">
        <w:rPr>
          <w:rFonts w:cs="Times New Roman" w:hint="cs"/>
          <w:rtl/>
          <w:lang w:eastAsia="zh-TW"/>
        </w:rPr>
        <w:t>‬</w:t>
      </w:r>
    </w:p>
    <w:p w:rsidR="0081736E" w:rsidRPr="00B47131" w:rsidRDefault="0081736E" w:rsidP="00B75A64">
      <w:pPr>
        <w:pStyle w:val="SingleTxtGA"/>
        <w:rPr>
          <w:rtl/>
          <w:lang w:eastAsia="zh-TW"/>
        </w:rPr>
      </w:pPr>
      <w:r>
        <w:rPr>
          <w:rtl/>
          <w:lang w:eastAsia="zh-TW"/>
        </w:rPr>
        <w:t>٩-</w:t>
      </w:r>
      <w:r>
        <w:rPr>
          <w:rFonts w:hint="cs"/>
          <w:rtl/>
          <w:lang w:eastAsia="zh-TW"/>
        </w:rPr>
        <w:tab/>
      </w:r>
      <w:r w:rsidRPr="00B47131">
        <w:rPr>
          <w:rtl/>
          <w:lang w:eastAsia="zh-TW"/>
        </w:rPr>
        <w:t xml:space="preserve">إن اللجنة المعنية بحقوق الأشخاص ذوي الإعاقة، إذ تتصرف بموجب المادة 5 من البروتوكول الاختياري، ترى أن الدولة الطرف لم تف بالتزاماتها بموجب الفقرتين 1 و3 من </w:t>
      </w:r>
      <w:r w:rsidRPr="00B47131">
        <w:rPr>
          <w:rtl/>
          <w:lang w:eastAsia="zh-TW"/>
        </w:rPr>
        <w:lastRenderedPageBreak/>
        <w:t>المادة</w:t>
      </w:r>
      <w:r w:rsidR="00B75A64">
        <w:rPr>
          <w:rFonts w:hint="cs"/>
          <w:rtl/>
          <w:lang w:eastAsia="zh-TW"/>
        </w:rPr>
        <w:t> </w:t>
      </w:r>
      <w:r w:rsidRPr="00B47131">
        <w:rPr>
          <w:rtl/>
          <w:lang w:eastAsia="zh-TW"/>
        </w:rPr>
        <w:t>5؛ والفقرة 1 من المادة 9؛ والفقرة 1 من 13 مقروءة بمفردها وبالاقتران مع المادة</w:t>
      </w:r>
      <w:r w:rsidR="0086606C">
        <w:rPr>
          <w:rtl/>
          <w:lang w:eastAsia="zh-TW"/>
        </w:rPr>
        <w:t xml:space="preserve"> </w:t>
      </w:r>
      <w:r w:rsidRPr="00B47131">
        <w:rPr>
          <w:rtl/>
          <w:lang w:eastAsia="zh-TW"/>
        </w:rPr>
        <w:t xml:space="preserve">3 والفقرة 1 من المادة 5 والفقرة (ب) من المادة 29؛ والفقرة (ب) من المادة 21 مقروءة بمفردها وبالاقتران مع المادتين 2 و4 والفقرتين 1 و3 من المادة 5 من الاتفاقية. </w:t>
      </w:r>
      <w:dir w:val="rtl">
        <w:r w:rsidRPr="00B47131">
          <w:rPr>
            <w:rFonts w:ascii="Traditional Arabic" w:hAnsi="Traditional Arabic" w:hint="cs"/>
            <w:rtl/>
            <w:lang w:eastAsia="zh-TW"/>
          </w:rPr>
          <w:t>وبناء</w:t>
        </w:r>
        <w:r w:rsidRPr="00B47131">
          <w:rPr>
            <w:rtl/>
            <w:lang w:eastAsia="zh-TW"/>
          </w:rPr>
          <w:t xml:space="preserve"> </w:t>
        </w:r>
        <w:r w:rsidRPr="00B47131">
          <w:rPr>
            <w:rFonts w:ascii="Traditional Arabic" w:hAnsi="Traditional Arabic" w:hint="cs"/>
            <w:rtl/>
            <w:lang w:eastAsia="zh-TW"/>
          </w:rPr>
          <w:t>على</w:t>
        </w:r>
        <w:r w:rsidRPr="00B47131">
          <w:rPr>
            <w:rtl/>
            <w:lang w:eastAsia="zh-TW"/>
          </w:rPr>
          <w:t xml:space="preserve"> </w:t>
        </w:r>
        <w:r w:rsidRPr="00B47131">
          <w:rPr>
            <w:rFonts w:ascii="Traditional Arabic" w:hAnsi="Traditional Arabic" w:hint="cs"/>
            <w:rtl/>
            <w:lang w:eastAsia="zh-TW"/>
          </w:rPr>
          <w:t>ذلك،</w:t>
        </w:r>
        <w:r w:rsidRPr="00B47131">
          <w:rPr>
            <w:rtl/>
            <w:lang w:eastAsia="zh-TW"/>
          </w:rPr>
          <w:t xml:space="preserve"> </w:t>
        </w:r>
        <w:r w:rsidRPr="00B47131">
          <w:rPr>
            <w:rFonts w:ascii="Traditional Arabic" w:hAnsi="Traditional Arabic" w:hint="cs"/>
            <w:rtl/>
            <w:lang w:eastAsia="zh-TW"/>
          </w:rPr>
          <w:t>تقدم</w:t>
        </w:r>
        <w:r w:rsidRPr="00B47131">
          <w:rPr>
            <w:rtl/>
            <w:lang w:eastAsia="zh-TW"/>
          </w:rPr>
          <w:t xml:space="preserve"> </w:t>
        </w:r>
        <w:r w:rsidRPr="00B47131">
          <w:rPr>
            <w:rFonts w:ascii="Traditional Arabic" w:hAnsi="Traditional Arabic" w:hint="cs"/>
            <w:rtl/>
            <w:lang w:eastAsia="zh-TW"/>
          </w:rPr>
          <w:t>اللجنة</w:t>
        </w:r>
        <w:r w:rsidRPr="00B47131">
          <w:rPr>
            <w:rtl/>
            <w:lang w:eastAsia="zh-TW"/>
          </w:rPr>
          <w:t xml:space="preserve"> </w:t>
        </w:r>
        <w:r w:rsidRPr="00B47131">
          <w:rPr>
            <w:rFonts w:ascii="Traditional Arabic" w:hAnsi="Traditional Arabic" w:hint="cs"/>
            <w:rtl/>
            <w:lang w:eastAsia="zh-TW"/>
          </w:rPr>
          <w:t>إلى</w:t>
        </w:r>
        <w:r w:rsidRPr="00B47131">
          <w:rPr>
            <w:rtl/>
            <w:lang w:eastAsia="zh-TW"/>
          </w:rPr>
          <w:t xml:space="preserve"> </w:t>
        </w:r>
        <w:r w:rsidRPr="00B47131">
          <w:rPr>
            <w:rFonts w:ascii="Traditional Arabic" w:hAnsi="Traditional Arabic" w:hint="cs"/>
            <w:rtl/>
            <w:lang w:eastAsia="zh-TW"/>
          </w:rPr>
          <w:t>الدولة</w:t>
        </w:r>
        <w:r w:rsidRPr="00B47131">
          <w:rPr>
            <w:rtl/>
            <w:lang w:eastAsia="zh-TW"/>
          </w:rPr>
          <w:t xml:space="preserve"> </w:t>
        </w:r>
        <w:r w:rsidRPr="00B47131">
          <w:rPr>
            <w:rFonts w:ascii="Traditional Arabic" w:hAnsi="Traditional Arabic" w:hint="cs"/>
            <w:rtl/>
            <w:lang w:eastAsia="zh-TW"/>
          </w:rPr>
          <w:t>الطرف</w:t>
        </w:r>
        <w:r w:rsidRPr="00B47131">
          <w:rPr>
            <w:rtl/>
            <w:lang w:eastAsia="zh-TW"/>
          </w:rPr>
          <w:t xml:space="preserve"> </w:t>
        </w:r>
        <w:r w:rsidRPr="00B47131">
          <w:rPr>
            <w:rFonts w:ascii="Traditional Arabic" w:hAnsi="Traditional Arabic" w:hint="cs"/>
            <w:rtl/>
            <w:lang w:eastAsia="zh-TW"/>
          </w:rPr>
          <w:t>التوصيات</w:t>
        </w:r>
        <w:r w:rsidRPr="00B47131">
          <w:rPr>
            <w:rtl/>
            <w:lang w:eastAsia="zh-TW"/>
          </w:rPr>
          <w:t xml:space="preserve"> </w:t>
        </w:r>
        <w:r w:rsidRPr="00B47131">
          <w:rPr>
            <w:rFonts w:ascii="Traditional Arabic" w:hAnsi="Traditional Arabic" w:hint="cs"/>
            <w:rtl/>
            <w:lang w:eastAsia="zh-TW"/>
          </w:rPr>
          <w:t>التالية</w:t>
        </w:r>
        <w:r w:rsidRPr="00B47131">
          <w:rPr>
            <w:rtl/>
            <w:lang w:eastAsia="zh-TW"/>
          </w:rPr>
          <w:t>:</w:t>
        </w:r>
        <w:r w:rsidRPr="00B47131">
          <w:rPr>
            <w:rFonts w:cs="Times New Roman" w:hint="cs"/>
            <w:rtl/>
            <w:lang w:eastAsia="zh-TW"/>
          </w:rPr>
          <w:t>‬</w:t>
        </w:r>
        <w:r w:rsidRPr="00B47131">
          <w:rPr>
            <w:rFonts w:cs="Times New Roman" w:hint="cs"/>
            <w:rtl/>
            <w:lang w:eastAsia="zh-TW"/>
          </w:rPr>
          <w:t>‬</w:t>
        </w:r>
        <w:r w:rsidR="0087267B">
          <w:t>‬</w:t>
        </w:r>
        <w:r w:rsidR="000C45CA">
          <w:t>‬</w:t>
        </w:r>
        <w:r w:rsidR="00A168C8">
          <w:t>‬</w:t>
        </w:r>
        <w:r w:rsidR="00821257">
          <w:t>‬</w:t>
        </w:r>
      </w:dir>
    </w:p>
    <w:p w:rsidR="0081736E" w:rsidRPr="00B47131" w:rsidRDefault="0081736E" w:rsidP="0081736E">
      <w:pPr>
        <w:pStyle w:val="SingleTxtGA"/>
        <w:rPr>
          <w:rtl/>
          <w:lang w:eastAsia="zh-TW"/>
        </w:rPr>
      </w:pPr>
      <w:r>
        <w:rPr>
          <w:rFonts w:hint="cs"/>
          <w:rtl/>
          <w:lang w:eastAsia="zh-TW"/>
        </w:rPr>
        <w:tab/>
      </w:r>
      <w:r>
        <w:rPr>
          <w:rtl/>
          <w:lang w:eastAsia="zh-TW"/>
        </w:rPr>
        <w:t>(أ)</w:t>
      </w:r>
      <w:r>
        <w:rPr>
          <w:rFonts w:hint="cs"/>
          <w:rtl/>
          <w:lang w:eastAsia="zh-TW"/>
        </w:rPr>
        <w:tab/>
      </w:r>
      <w:r w:rsidRPr="00B47131">
        <w:rPr>
          <w:rtl/>
          <w:lang w:eastAsia="zh-TW"/>
        </w:rPr>
        <w:t>فيما يتعلق بصاحبة البلاغ، تلتزم الدولة الطرف بما يلي:</w:t>
      </w:r>
    </w:p>
    <w:p w:rsidR="0081736E" w:rsidRPr="00B47131" w:rsidRDefault="0081736E" w:rsidP="0086606C">
      <w:pPr>
        <w:pStyle w:val="Roman1GA"/>
        <w:tabs>
          <w:tab w:val="clear" w:pos="2310"/>
          <w:tab w:val="left" w:pos="2556"/>
        </w:tabs>
        <w:bidi/>
        <w:ind w:left="2551" w:hanging="340"/>
        <w:rPr>
          <w:rtl/>
          <w:lang w:eastAsia="zh-TW"/>
        </w:rPr>
      </w:pPr>
      <w:r w:rsidRPr="00B47131">
        <w:rPr>
          <w:rtl/>
          <w:lang w:eastAsia="zh-TW"/>
        </w:rPr>
        <w:t>أن توفر لها سبيل انتصاف فعالاً، بما يشمل ردّ أي</w:t>
      </w:r>
      <w:r w:rsidR="0086606C">
        <w:rPr>
          <w:rtl/>
          <w:lang w:eastAsia="zh-TW"/>
        </w:rPr>
        <w:t xml:space="preserve"> </w:t>
      </w:r>
      <w:r w:rsidRPr="00B47131">
        <w:rPr>
          <w:rtl/>
          <w:lang w:eastAsia="zh-TW"/>
        </w:rPr>
        <w:t xml:space="preserve">تكاليف قانونية </w:t>
      </w:r>
      <w:proofErr w:type="spellStart"/>
      <w:r w:rsidRPr="00B47131">
        <w:rPr>
          <w:rtl/>
          <w:lang w:eastAsia="zh-TW"/>
        </w:rPr>
        <w:t>تكبدتها</w:t>
      </w:r>
      <w:proofErr w:type="spellEnd"/>
      <w:r w:rsidRPr="00B47131">
        <w:rPr>
          <w:rtl/>
          <w:lang w:eastAsia="zh-TW"/>
        </w:rPr>
        <w:t xml:space="preserve">، إلى جانب دفع تعويض إليها؛ </w:t>
      </w:r>
    </w:p>
    <w:p w:rsidR="0081736E" w:rsidRPr="00B47131" w:rsidRDefault="0081736E" w:rsidP="0086606C">
      <w:pPr>
        <w:pStyle w:val="Roman1GA"/>
        <w:tabs>
          <w:tab w:val="clear" w:pos="2310"/>
          <w:tab w:val="left" w:pos="2556"/>
        </w:tabs>
        <w:bidi/>
        <w:ind w:left="2551" w:hanging="340"/>
        <w:rPr>
          <w:rtl/>
          <w:lang w:eastAsia="zh-TW"/>
        </w:rPr>
      </w:pPr>
      <w:r w:rsidRPr="00B47131">
        <w:rPr>
          <w:rtl/>
          <w:lang w:eastAsia="zh-TW"/>
        </w:rPr>
        <w:t>أن تمكنها من المشاركة في هيئة محلفين، وأن توفر لها</w:t>
      </w:r>
      <w:r w:rsidR="0086606C">
        <w:rPr>
          <w:rtl/>
          <w:lang w:eastAsia="zh-TW"/>
        </w:rPr>
        <w:t xml:space="preserve"> </w:t>
      </w:r>
      <w:r w:rsidRPr="00B47131">
        <w:rPr>
          <w:rtl/>
          <w:lang w:eastAsia="zh-TW"/>
        </w:rPr>
        <w:t xml:space="preserve">ترتيبات </w:t>
      </w:r>
      <w:proofErr w:type="spellStart"/>
      <w:r w:rsidRPr="00B47131">
        <w:rPr>
          <w:rtl/>
          <w:lang w:eastAsia="zh-TW"/>
        </w:rPr>
        <w:t>تيسيرية</w:t>
      </w:r>
      <w:proofErr w:type="spellEnd"/>
      <w:r w:rsidRPr="00B47131">
        <w:rPr>
          <w:rtl/>
          <w:lang w:eastAsia="zh-TW"/>
        </w:rPr>
        <w:t xml:space="preserve"> معقولة في شكل خدمات ترجمة بلغة الإشارة الأسترالية بطريقة تحترم</w:t>
      </w:r>
      <w:r w:rsidR="0086606C">
        <w:rPr>
          <w:rtl/>
          <w:lang w:eastAsia="zh-TW"/>
        </w:rPr>
        <w:t xml:space="preserve"> </w:t>
      </w:r>
      <w:r w:rsidRPr="00B47131">
        <w:rPr>
          <w:rtl/>
          <w:lang w:eastAsia="zh-TW"/>
        </w:rPr>
        <w:t xml:space="preserve">سرية الإجراءات في جميع مراحل اختيار المحلفين وإجراءات المحاكمة. </w:t>
      </w:r>
    </w:p>
    <w:p w:rsidR="0081736E" w:rsidRPr="00B47131" w:rsidRDefault="0081736E" w:rsidP="0086606C">
      <w:pPr>
        <w:pStyle w:val="SingleTxtGA"/>
        <w:rPr>
          <w:rtl/>
          <w:lang w:eastAsia="zh-TW"/>
        </w:rPr>
      </w:pPr>
      <w:r>
        <w:rPr>
          <w:rFonts w:hint="cs"/>
          <w:rtl/>
          <w:lang w:eastAsia="zh-TW"/>
        </w:rPr>
        <w:tab/>
      </w:r>
      <w:r>
        <w:rPr>
          <w:rtl/>
          <w:lang w:eastAsia="zh-TW"/>
        </w:rPr>
        <w:t>(ب)</w:t>
      </w:r>
      <w:r>
        <w:rPr>
          <w:rFonts w:hint="cs"/>
          <w:rtl/>
          <w:lang w:eastAsia="zh-TW"/>
        </w:rPr>
        <w:tab/>
      </w:r>
      <w:dir w:val="rtl">
        <w:r w:rsidRPr="00B47131">
          <w:rPr>
            <w:rFonts w:hint="cs"/>
            <w:rtl/>
            <w:lang w:eastAsia="zh-TW"/>
          </w:rPr>
          <w:t>وبوجه</w:t>
        </w:r>
        <w:r w:rsidRPr="00B47131">
          <w:rPr>
            <w:rtl/>
            <w:lang w:eastAsia="zh-TW"/>
          </w:rPr>
          <w:t xml:space="preserve"> </w:t>
        </w:r>
        <w:r w:rsidRPr="00B47131">
          <w:rPr>
            <w:rFonts w:hint="cs"/>
            <w:rtl/>
            <w:lang w:eastAsia="zh-TW"/>
          </w:rPr>
          <w:t>عام،</w:t>
        </w:r>
        <w:r w:rsidRPr="00B47131">
          <w:rPr>
            <w:rtl/>
            <w:lang w:eastAsia="zh-TW"/>
          </w:rPr>
          <w:t xml:space="preserve"> </w:t>
        </w:r>
        <w:r w:rsidRPr="00B47131">
          <w:rPr>
            <w:rFonts w:hint="cs"/>
            <w:rtl/>
            <w:lang w:eastAsia="zh-TW"/>
          </w:rPr>
          <w:t>يقع</w:t>
        </w:r>
        <w:r w:rsidRPr="00B47131">
          <w:rPr>
            <w:rtl/>
            <w:lang w:eastAsia="zh-TW"/>
          </w:rPr>
          <w:t xml:space="preserve"> </w:t>
        </w:r>
        <w:r w:rsidRPr="00B47131">
          <w:rPr>
            <w:rFonts w:hint="cs"/>
            <w:rtl/>
            <w:lang w:eastAsia="zh-TW"/>
          </w:rPr>
          <w:t>على</w:t>
        </w:r>
        <w:r w:rsidRPr="00B47131">
          <w:rPr>
            <w:rtl/>
            <w:lang w:eastAsia="zh-TW"/>
          </w:rPr>
          <w:t xml:space="preserve"> </w:t>
        </w:r>
        <w:r w:rsidRPr="00B47131">
          <w:rPr>
            <w:rFonts w:hint="cs"/>
            <w:rtl/>
            <w:lang w:eastAsia="zh-TW"/>
          </w:rPr>
          <w:t>الدولة</w:t>
        </w:r>
        <w:r w:rsidRPr="00B47131">
          <w:rPr>
            <w:rtl/>
            <w:lang w:eastAsia="zh-TW"/>
          </w:rPr>
          <w:t xml:space="preserve"> </w:t>
        </w:r>
        <w:r w:rsidRPr="00B47131">
          <w:rPr>
            <w:rFonts w:hint="cs"/>
            <w:rtl/>
            <w:lang w:eastAsia="zh-TW"/>
          </w:rPr>
          <w:t>الطرف</w:t>
        </w:r>
        <w:r w:rsidRPr="00B47131">
          <w:rPr>
            <w:rtl/>
            <w:lang w:eastAsia="zh-TW"/>
          </w:rPr>
          <w:t xml:space="preserve"> </w:t>
        </w:r>
        <w:r w:rsidRPr="00B47131">
          <w:rPr>
            <w:rFonts w:hint="cs"/>
            <w:rtl/>
            <w:lang w:eastAsia="zh-TW"/>
          </w:rPr>
          <w:t>التزام</w:t>
        </w:r>
        <w:r w:rsidRPr="00B47131">
          <w:rPr>
            <w:rtl/>
            <w:lang w:eastAsia="zh-TW"/>
          </w:rPr>
          <w:t xml:space="preserve"> </w:t>
        </w:r>
        <w:r w:rsidRPr="00B47131">
          <w:rPr>
            <w:rFonts w:hint="cs"/>
            <w:rtl/>
            <w:lang w:eastAsia="zh-TW"/>
          </w:rPr>
          <w:t>باتخاذ</w:t>
        </w:r>
        <w:r w:rsidRPr="00B47131">
          <w:rPr>
            <w:rtl/>
            <w:lang w:eastAsia="zh-TW"/>
          </w:rPr>
          <w:t xml:space="preserve"> </w:t>
        </w:r>
        <w:r w:rsidRPr="00B47131">
          <w:rPr>
            <w:rFonts w:hint="cs"/>
            <w:rtl/>
            <w:lang w:eastAsia="zh-TW"/>
          </w:rPr>
          <w:t>تدابير</w:t>
        </w:r>
        <w:r w:rsidRPr="00B47131">
          <w:rPr>
            <w:rtl/>
            <w:lang w:eastAsia="zh-TW"/>
          </w:rPr>
          <w:t xml:space="preserve"> </w:t>
        </w:r>
        <w:r w:rsidRPr="00B47131">
          <w:rPr>
            <w:rFonts w:hint="cs"/>
            <w:rtl/>
            <w:lang w:eastAsia="zh-TW"/>
          </w:rPr>
          <w:t>لمنع</w:t>
        </w:r>
        <w:r w:rsidRPr="00B47131">
          <w:rPr>
            <w:rtl/>
            <w:lang w:eastAsia="zh-TW"/>
          </w:rPr>
          <w:t xml:space="preserve"> </w:t>
        </w:r>
        <w:r w:rsidRPr="00B47131">
          <w:rPr>
            <w:rFonts w:hint="cs"/>
            <w:rtl/>
            <w:lang w:eastAsia="zh-TW"/>
          </w:rPr>
          <w:t>حدوث</w:t>
        </w:r>
        <w:r w:rsidRPr="00B47131">
          <w:rPr>
            <w:rtl/>
            <w:lang w:eastAsia="zh-TW"/>
          </w:rPr>
          <w:t xml:space="preserve"> </w:t>
        </w:r>
        <w:r w:rsidRPr="00B47131">
          <w:rPr>
            <w:rFonts w:hint="cs"/>
            <w:rtl/>
            <w:lang w:eastAsia="zh-TW"/>
          </w:rPr>
          <w:t>انتهاكات</w:t>
        </w:r>
        <w:r w:rsidRPr="00B47131">
          <w:rPr>
            <w:rtl/>
            <w:lang w:eastAsia="zh-TW"/>
          </w:rPr>
          <w:t xml:space="preserve"> </w:t>
        </w:r>
        <w:r w:rsidRPr="00B47131">
          <w:rPr>
            <w:rFonts w:hint="cs"/>
            <w:rtl/>
            <w:lang w:eastAsia="zh-TW"/>
          </w:rPr>
          <w:t>مماثلة</w:t>
        </w:r>
        <w:r w:rsidRPr="00B47131">
          <w:rPr>
            <w:rtl/>
            <w:lang w:eastAsia="zh-TW"/>
          </w:rPr>
          <w:t xml:space="preserve"> </w:t>
        </w:r>
        <w:r w:rsidRPr="00B47131">
          <w:rPr>
            <w:rFonts w:hint="cs"/>
            <w:rtl/>
            <w:lang w:eastAsia="zh-TW"/>
          </w:rPr>
          <w:t>في</w:t>
        </w:r>
        <w:r w:rsidRPr="00B47131">
          <w:rPr>
            <w:rtl/>
            <w:lang w:eastAsia="zh-TW"/>
          </w:rPr>
          <w:t xml:space="preserve"> </w:t>
        </w:r>
        <w:r w:rsidRPr="00B47131">
          <w:rPr>
            <w:rFonts w:hint="cs"/>
            <w:rtl/>
            <w:lang w:eastAsia="zh-TW"/>
          </w:rPr>
          <w:t>المستقبل،</w:t>
        </w:r>
        <w:r w:rsidRPr="00B47131">
          <w:rPr>
            <w:rtl/>
            <w:lang w:eastAsia="zh-TW"/>
          </w:rPr>
          <w:t xml:space="preserve"> </w:t>
        </w:r>
        <w:r w:rsidRPr="00B47131">
          <w:rPr>
            <w:rFonts w:hint="cs"/>
            <w:rtl/>
            <w:lang w:eastAsia="zh-TW"/>
          </w:rPr>
          <w:t>بسبل</w:t>
        </w:r>
        <w:r w:rsidRPr="00B47131">
          <w:rPr>
            <w:rtl/>
            <w:lang w:eastAsia="zh-TW"/>
          </w:rPr>
          <w:t xml:space="preserve"> </w:t>
        </w:r>
        <w:r w:rsidRPr="00B47131">
          <w:rPr>
            <w:rFonts w:hint="cs"/>
            <w:rtl/>
            <w:lang w:eastAsia="zh-TW"/>
          </w:rPr>
          <w:t>منها</w:t>
        </w:r>
        <w:r w:rsidRPr="00B47131">
          <w:rPr>
            <w:rtl/>
            <w:lang w:eastAsia="zh-TW"/>
          </w:rPr>
          <w:t xml:space="preserve"> </w:t>
        </w:r>
        <w:r w:rsidRPr="00B47131">
          <w:rPr>
            <w:rFonts w:hint="cs"/>
            <w:rtl/>
            <w:lang w:eastAsia="zh-TW"/>
          </w:rPr>
          <w:t>ما</w:t>
        </w:r>
        <w:r w:rsidRPr="00B47131">
          <w:rPr>
            <w:rtl/>
            <w:lang w:eastAsia="zh-TW"/>
          </w:rPr>
          <w:t xml:space="preserve"> </w:t>
        </w:r>
        <w:r w:rsidRPr="00B47131">
          <w:rPr>
            <w:rFonts w:hint="cs"/>
            <w:rtl/>
            <w:lang w:eastAsia="zh-TW"/>
          </w:rPr>
          <w:t>يلي</w:t>
        </w:r>
        <w:r w:rsidRPr="00B47131">
          <w:rPr>
            <w:rtl/>
            <w:lang w:eastAsia="zh-TW"/>
          </w:rPr>
          <w:t>:</w:t>
        </w:r>
        <w:r w:rsidRPr="00B47131">
          <w:rPr>
            <w:rFonts w:cs="Times New Roman" w:hint="cs"/>
            <w:rtl/>
            <w:lang w:eastAsia="zh-TW"/>
          </w:rPr>
          <w:t>‬</w:t>
        </w:r>
        <w:r w:rsidR="0087267B">
          <w:t>‬</w:t>
        </w:r>
        <w:r w:rsidR="000C45CA">
          <w:t>‬</w:t>
        </w:r>
        <w:r w:rsidR="00A168C8">
          <w:t>‬</w:t>
        </w:r>
        <w:r w:rsidR="00821257">
          <w:t>‬</w:t>
        </w:r>
      </w:dir>
    </w:p>
    <w:p w:rsidR="0081736E" w:rsidRPr="00B47131" w:rsidRDefault="0081736E" w:rsidP="0086606C">
      <w:pPr>
        <w:pStyle w:val="Roman1GA"/>
        <w:numPr>
          <w:ilvl w:val="0"/>
          <w:numId w:val="13"/>
        </w:numPr>
        <w:tabs>
          <w:tab w:val="clear" w:pos="2310"/>
          <w:tab w:val="left" w:pos="2556"/>
        </w:tabs>
        <w:bidi/>
        <w:ind w:left="2551" w:hanging="340"/>
        <w:rPr>
          <w:rtl/>
          <w:lang w:eastAsia="zh-TW"/>
        </w:rPr>
      </w:pPr>
      <w:r w:rsidRPr="00B47131">
        <w:rPr>
          <w:rtl/>
          <w:lang w:eastAsia="zh-TW"/>
        </w:rPr>
        <w:t>أن تكفل، في كل مرة يتم فيها استدعاء شخص من ذوي الإعاقة لأداء</w:t>
      </w:r>
      <w:r w:rsidR="0086606C">
        <w:rPr>
          <w:rtl/>
          <w:lang w:eastAsia="zh-TW"/>
        </w:rPr>
        <w:t xml:space="preserve"> </w:t>
      </w:r>
      <w:r w:rsidRPr="00B47131">
        <w:rPr>
          <w:rtl/>
          <w:lang w:eastAsia="zh-TW"/>
        </w:rPr>
        <w:t>الواجب في هيئة محلفين، إجراء تقييم دقيق وموضوعي وشامل لتقييم أي طلب يقدمه لإدخال تعديلات</w:t>
      </w:r>
      <w:r w:rsidR="0086606C">
        <w:rPr>
          <w:rtl/>
          <w:lang w:eastAsia="zh-TW"/>
        </w:rPr>
        <w:t xml:space="preserve"> </w:t>
      </w:r>
      <w:r w:rsidRPr="00B47131">
        <w:rPr>
          <w:rtl/>
          <w:lang w:eastAsia="zh-TW"/>
        </w:rPr>
        <w:t xml:space="preserve">وتوفير جميع الترتيبات </w:t>
      </w:r>
      <w:proofErr w:type="spellStart"/>
      <w:r w:rsidRPr="00B47131">
        <w:rPr>
          <w:rtl/>
          <w:lang w:eastAsia="zh-TW"/>
        </w:rPr>
        <w:t>التيسيرية</w:t>
      </w:r>
      <w:proofErr w:type="spellEnd"/>
      <w:r w:rsidRPr="00B47131">
        <w:rPr>
          <w:rtl/>
          <w:lang w:eastAsia="zh-TW"/>
        </w:rPr>
        <w:t xml:space="preserve"> المعقولة له على النحو الواجب</w:t>
      </w:r>
      <w:r w:rsidR="0086606C">
        <w:rPr>
          <w:rtl/>
          <w:lang w:eastAsia="zh-TW"/>
        </w:rPr>
        <w:t xml:space="preserve"> </w:t>
      </w:r>
      <w:r w:rsidRPr="00B47131">
        <w:rPr>
          <w:rtl/>
          <w:lang w:eastAsia="zh-TW"/>
        </w:rPr>
        <w:t xml:space="preserve">لتمكنيه من المشاركة الكاملة؛ </w:t>
      </w:r>
    </w:p>
    <w:p w:rsidR="0081736E" w:rsidRPr="00B47131" w:rsidRDefault="0081736E" w:rsidP="0086606C">
      <w:pPr>
        <w:pStyle w:val="Roman1GA"/>
        <w:tabs>
          <w:tab w:val="clear" w:pos="2310"/>
          <w:tab w:val="left" w:pos="2556"/>
        </w:tabs>
        <w:bidi/>
        <w:ind w:left="2551" w:hanging="340"/>
        <w:rPr>
          <w:rtl/>
          <w:lang w:eastAsia="zh-TW"/>
        </w:rPr>
      </w:pPr>
      <w:r w:rsidRPr="00B47131">
        <w:rPr>
          <w:rtl/>
          <w:lang w:eastAsia="zh-TW"/>
        </w:rPr>
        <w:t>أن تعتمد ما يلزم من تعديلات للقوانين واللوائح</w:t>
      </w:r>
      <w:r w:rsidR="0086606C">
        <w:rPr>
          <w:rtl/>
          <w:lang w:eastAsia="zh-TW"/>
        </w:rPr>
        <w:t xml:space="preserve"> </w:t>
      </w:r>
      <w:r w:rsidRPr="00B47131">
        <w:rPr>
          <w:rtl/>
          <w:lang w:eastAsia="zh-TW"/>
        </w:rPr>
        <w:t>والسياسات والبرامج ذات الصلة، بالتشاور الوثيق مع الأشخاص ذوي الإعاقة</w:t>
      </w:r>
      <w:r w:rsidR="0086606C">
        <w:rPr>
          <w:rtl/>
          <w:lang w:eastAsia="zh-TW"/>
        </w:rPr>
        <w:t xml:space="preserve"> </w:t>
      </w:r>
      <w:r w:rsidRPr="00B47131">
        <w:rPr>
          <w:rtl/>
          <w:lang w:eastAsia="zh-TW"/>
        </w:rPr>
        <w:t xml:space="preserve">والمنظمات التي تمثلهم؛ </w:t>
      </w:r>
    </w:p>
    <w:p w:rsidR="0081736E" w:rsidRPr="00B47131" w:rsidRDefault="0081736E" w:rsidP="0086606C">
      <w:pPr>
        <w:pStyle w:val="Roman1GA"/>
        <w:tabs>
          <w:tab w:val="clear" w:pos="2310"/>
          <w:tab w:val="left" w:pos="2556"/>
        </w:tabs>
        <w:bidi/>
        <w:ind w:left="2551" w:hanging="340"/>
        <w:rPr>
          <w:rtl/>
          <w:lang w:eastAsia="zh-TW"/>
        </w:rPr>
      </w:pPr>
      <w:r w:rsidRPr="00B47131">
        <w:rPr>
          <w:rtl/>
          <w:lang w:eastAsia="zh-TW"/>
        </w:rPr>
        <w:t>أن تكفل توفير التدريب الملائم والمنتظم بشأن نطاق الاتفاقية</w:t>
      </w:r>
      <w:r w:rsidR="0086606C">
        <w:rPr>
          <w:rtl/>
          <w:lang w:eastAsia="zh-TW"/>
        </w:rPr>
        <w:t xml:space="preserve"> </w:t>
      </w:r>
      <w:r w:rsidRPr="00B47131">
        <w:rPr>
          <w:rtl/>
          <w:lang w:eastAsia="zh-TW"/>
        </w:rPr>
        <w:t>والبروتوكول الاختياري الملحق بها، بما في ذلك بشأن إمكانية وصول الأشخاص ذوي الإعاقة، لفائدة السلطات المحلية، كوالي القضاء وضباط إنف</w:t>
      </w:r>
      <w:r w:rsidR="0086606C">
        <w:rPr>
          <w:rtl/>
          <w:lang w:eastAsia="zh-TW"/>
        </w:rPr>
        <w:t xml:space="preserve">اذ القانون والموظفين القضائيين </w:t>
      </w:r>
      <w:r w:rsidRPr="00B47131">
        <w:rPr>
          <w:rtl/>
          <w:lang w:eastAsia="zh-TW"/>
        </w:rPr>
        <w:t>المعنيين بتيسير عمل الجهاز القضائي.</w:t>
      </w:r>
    </w:p>
    <w:p w:rsidR="0081736E" w:rsidRPr="00B47131" w:rsidRDefault="0081736E" w:rsidP="0086606C">
      <w:pPr>
        <w:pStyle w:val="SingleTxtGA"/>
        <w:rPr>
          <w:rtl/>
          <w:lang w:eastAsia="zh-TW"/>
        </w:rPr>
      </w:pPr>
      <w:r>
        <w:rPr>
          <w:rtl/>
          <w:lang w:eastAsia="zh-TW"/>
        </w:rPr>
        <w:t>١٠-</w:t>
      </w:r>
      <w:r>
        <w:rPr>
          <w:rFonts w:hint="cs"/>
          <w:rtl/>
          <w:lang w:eastAsia="zh-TW"/>
        </w:rPr>
        <w:tab/>
      </w:r>
      <w:r w:rsidRPr="00B47131">
        <w:rPr>
          <w:rtl/>
          <w:lang w:eastAsia="zh-TW"/>
        </w:rPr>
        <w:t xml:space="preserve">ووفقاً للمادة 5 من البروتوكول الاختياري والمادة 75 من </w:t>
      </w:r>
      <w:r>
        <w:rPr>
          <w:rFonts w:hint="cs"/>
          <w:rtl/>
          <w:lang w:eastAsia="zh-TW"/>
        </w:rPr>
        <w:t>ال</w:t>
      </w:r>
      <w:r w:rsidRPr="00B47131">
        <w:rPr>
          <w:rtl/>
          <w:lang w:eastAsia="zh-TW"/>
        </w:rPr>
        <w:t>نظام</w:t>
      </w:r>
      <w:r w:rsidR="0086606C">
        <w:rPr>
          <w:rtl/>
          <w:lang w:eastAsia="zh-TW"/>
        </w:rPr>
        <w:t xml:space="preserve"> </w:t>
      </w:r>
      <w:r w:rsidRPr="00B47131">
        <w:rPr>
          <w:rtl/>
          <w:lang w:eastAsia="zh-TW"/>
        </w:rPr>
        <w:t>الداخلي</w:t>
      </w:r>
      <w:r>
        <w:rPr>
          <w:rFonts w:hint="cs"/>
          <w:rtl/>
          <w:lang w:eastAsia="zh-TW"/>
        </w:rPr>
        <w:t xml:space="preserve"> للجنة</w:t>
      </w:r>
      <w:r w:rsidRPr="00B47131">
        <w:rPr>
          <w:rtl/>
          <w:lang w:eastAsia="zh-TW"/>
        </w:rPr>
        <w:t xml:space="preserve">، ينبغي للدولة الطرف أن تقدم إلى اللجنة، في ظرف ستة أشهر، رداً خطياً يتضمن معلومات عن الإجراءات المتخذة في ضوء آراء اللجنة وتوصياتها </w:t>
      </w:r>
      <w:r>
        <w:rPr>
          <w:rFonts w:hint="cs"/>
          <w:rtl/>
          <w:lang w:eastAsia="zh-TW"/>
        </w:rPr>
        <w:t>هذه</w:t>
      </w:r>
      <w:r w:rsidR="0086606C">
        <w:rPr>
          <w:rFonts w:hint="cs"/>
          <w:rtl/>
          <w:lang w:eastAsia="zh-TW"/>
        </w:rPr>
        <w:t>.</w:t>
      </w:r>
      <w:r w:rsidRPr="00B47131">
        <w:rPr>
          <w:rFonts w:cs="Times New Roman" w:hint="cs"/>
          <w:rtl/>
          <w:lang w:eastAsia="zh-TW"/>
        </w:rPr>
        <w:t>‬</w:t>
      </w:r>
      <w:r w:rsidRPr="00B47131">
        <w:rPr>
          <w:rtl/>
          <w:lang w:eastAsia="zh-TW"/>
        </w:rPr>
        <w:t xml:space="preserve"> </w:t>
      </w:r>
      <w:dir w:val="rtl">
        <w:r w:rsidRPr="00B47131">
          <w:rPr>
            <w:rFonts w:ascii="Traditional Arabic" w:hAnsi="Traditional Arabic" w:hint="cs"/>
            <w:rtl/>
            <w:lang w:eastAsia="zh-TW"/>
          </w:rPr>
          <w:t>و</w:t>
        </w:r>
        <w:r w:rsidRPr="00B47131">
          <w:rPr>
            <w:rtl/>
            <w:lang w:eastAsia="zh-TW"/>
          </w:rPr>
          <w:t xml:space="preserve">الدولة الطرف </w:t>
        </w:r>
        <w:r>
          <w:rPr>
            <w:rFonts w:hint="cs"/>
            <w:rtl/>
            <w:lang w:eastAsia="zh-TW"/>
          </w:rPr>
          <w:t xml:space="preserve">مطالبة </w:t>
        </w:r>
        <w:r w:rsidRPr="00B47131">
          <w:rPr>
            <w:rtl/>
            <w:lang w:eastAsia="zh-TW"/>
          </w:rPr>
          <w:t xml:space="preserve">أيضاً </w:t>
        </w:r>
        <w:r>
          <w:rPr>
            <w:rFonts w:hint="cs"/>
            <w:rtl/>
            <w:lang w:eastAsia="zh-TW"/>
          </w:rPr>
          <w:t>ب</w:t>
        </w:r>
        <w:r w:rsidRPr="00B47131">
          <w:rPr>
            <w:rtl/>
            <w:lang w:eastAsia="zh-TW"/>
          </w:rPr>
          <w:t>نشر آراء اللجنة وترجمتها إلى اللغة الرسمية للدولة الطرف وتعميمها على نطاق واسع، بأشكال يسهل الاطلاع عليها، لكي تصل إلى جميع فئات السكان.</w:t>
        </w:r>
        <w:r w:rsidRPr="00B47131">
          <w:rPr>
            <w:rFonts w:cs="Times New Roman" w:hint="cs"/>
            <w:rtl/>
            <w:lang w:eastAsia="zh-TW"/>
          </w:rPr>
          <w:t>‬</w:t>
        </w:r>
        <w:r w:rsidR="0087267B">
          <w:t>‬</w:t>
        </w:r>
        <w:r w:rsidR="000C45CA">
          <w:t>‬</w:t>
        </w:r>
        <w:r w:rsidR="00A168C8">
          <w:t>‬</w:t>
        </w:r>
        <w:r w:rsidR="00821257">
          <w:t>‬</w:t>
        </w:r>
      </w:dir>
    </w:p>
    <w:p w:rsidR="00173565" w:rsidRPr="00A168C8" w:rsidRDefault="0086606C" w:rsidP="0086606C">
      <w:pPr>
        <w:spacing w:before="120"/>
        <w:jc w:val="center"/>
        <w:rPr>
          <w:u w:val="single"/>
          <w:lang w:eastAsia="ar-SA"/>
        </w:rPr>
      </w:pPr>
      <w:r>
        <w:rPr>
          <w:u w:val="single"/>
          <w:rtl/>
          <w:lang w:val="en-GB" w:eastAsia="ar-SA"/>
        </w:rPr>
        <w:tab/>
      </w:r>
      <w:r>
        <w:rPr>
          <w:u w:val="single"/>
          <w:rtl/>
          <w:lang w:val="en-GB" w:eastAsia="ar-SA"/>
        </w:rPr>
        <w:tab/>
      </w:r>
      <w:r>
        <w:rPr>
          <w:u w:val="single"/>
          <w:rtl/>
          <w:lang w:val="en-GB" w:eastAsia="ar-SA"/>
        </w:rPr>
        <w:tab/>
      </w:r>
    </w:p>
    <w:sectPr w:rsidR="00173565" w:rsidRPr="00A168C8" w:rsidSect="00286236">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29E" w:rsidRPr="002901D9" w:rsidRDefault="007A129E" w:rsidP="002901D9">
      <w:pPr>
        <w:spacing w:after="60" w:line="240" w:lineRule="auto"/>
        <w:rPr>
          <w:i/>
          <w:iCs/>
        </w:rPr>
      </w:pPr>
      <w:r>
        <w:rPr>
          <w:rFonts w:hint="cs"/>
          <w:i/>
          <w:iCs/>
          <w:rtl/>
        </w:rPr>
        <w:t>الحواشي</w:t>
      </w:r>
    </w:p>
  </w:endnote>
  <w:endnote w:type="continuationSeparator" w:id="0">
    <w:p w:rsidR="007A129E" w:rsidRDefault="007A129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9E" w:rsidRPr="0081736E" w:rsidRDefault="007A129E" w:rsidP="0081736E">
    <w:pPr>
      <w:pStyle w:val="Footer"/>
      <w:tabs>
        <w:tab w:val="right" w:pos="9598"/>
      </w:tabs>
      <w:rPr>
        <w:sz w:val="17"/>
      </w:rPr>
    </w:pPr>
    <w:r>
      <w:rPr>
        <w:sz w:val="17"/>
      </w:rPr>
      <w:t>GE.16-08383</w:t>
    </w:r>
    <w:r>
      <w:rPr>
        <w:sz w:val="17"/>
      </w:rPr>
      <w:tab/>
    </w:r>
    <w:r w:rsidRPr="0081736E">
      <w:rPr>
        <w:b/>
        <w:sz w:val="18"/>
      </w:rPr>
      <w:fldChar w:fldCharType="begin"/>
    </w:r>
    <w:r w:rsidRPr="0081736E">
      <w:rPr>
        <w:b/>
        <w:sz w:val="18"/>
      </w:rPr>
      <w:instrText xml:space="preserve"> PAGE  \* MERGEFORMAT </w:instrText>
    </w:r>
    <w:r w:rsidRPr="0081736E">
      <w:rPr>
        <w:b/>
        <w:sz w:val="18"/>
      </w:rPr>
      <w:fldChar w:fldCharType="separate"/>
    </w:r>
    <w:r w:rsidR="004731C7">
      <w:rPr>
        <w:b/>
        <w:noProof/>
        <w:sz w:val="18"/>
      </w:rPr>
      <w:t>2</w:t>
    </w:r>
    <w:r w:rsidRPr="0081736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9E" w:rsidRPr="0081736E" w:rsidRDefault="007A129E" w:rsidP="006959B0">
    <w:pPr>
      <w:pStyle w:val="Footer"/>
      <w:tabs>
        <w:tab w:val="right" w:pos="9599"/>
      </w:tabs>
      <w:jc w:val="left"/>
      <w:rPr>
        <w:b/>
        <w:sz w:val="18"/>
        <w:lang w:val="en-US"/>
      </w:rPr>
    </w:pPr>
    <w:r w:rsidRPr="0081736E">
      <w:rPr>
        <w:b/>
        <w:sz w:val="18"/>
        <w:lang w:val="en-US"/>
      </w:rPr>
      <w:fldChar w:fldCharType="begin"/>
    </w:r>
    <w:r w:rsidRPr="0081736E">
      <w:rPr>
        <w:b/>
        <w:sz w:val="18"/>
        <w:lang w:val="en-US"/>
      </w:rPr>
      <w:instrText xml:space="preserve"> PAGE  \* MERGEFORMAT </w:instrText>
    </w:r>
    <w:r w:rsidRPr="0081736E">
      <w:rPr>
        <w:b/>
        <w:sz w:val="18"/>
        <w:lang w:val="en-US"/>
      </w:rPr>
      <w:fldChar w:fldCharType="separate"/>
    </w:r>
    <w:r w:rsidR="00DD3247">
      <w:rPr>
        <w:b/>
        <w:noProof/>
        <w:sz w:val="18"/>
        <w:lang w:val="en-US"/>
      </w:rPr>
      <w:t>23</w:t>
    </w:r>
    <w:r w:rsidRPr="0081736E">
      <w:rPr>
        <w:b/>
        <w:sz w:val="18"/>
        <w:lang w:val="en-US"/>
      </w:rPr>
      <w:fldChar w:fldCharType="end"/>
    </w:r>
    <w:r>
      <w:rPr>
        <w:b/>
        <w:sz w:val="18"/>
        <w:lang w:val="en-US"/>
      </w:rPr>
      <w:tab/>
    </w:r>
    <w:r>
      <w:rPr>
        <w:sz w:val="17"/>
        <w:lang w:val="en-US"/>
      </w:rPr>
      <w:t>GE.16-08383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9E" w:rsidRDefault="007A129E" w:rsidP="00FD4BC9">
    <w:pPr>
      <w:pStyle w:val="Footer"/>
      <w:jc w:val="right"/>
      <w:rPr>
        <w:sz w:val="20"/>
        <w:szCs w:val="20"/>
      </w:rPr>
    </w:pPr>
    <w:r>
      <w:rPr>
        <w:sz w:val="20"/>
        <w:szCs w:val="20"/>
      </w:rPr>
      <w:t>GE.16-08383</w:t>
    </w:r>
    <w:r>
      <w:rPr>
        <w:noProof/>
        <w:lang w:val="en-US"/>
      </w:rPr>
      <w:drawing>
        <wp:anchor distT="0" distB="0" distL="114300" distR="114300" simplePos="0" relativeHeight="251659264" behindDoc="1" locked="1" layoutInCell="0" allowOverlap="1" wp14:anchorId="70501AFD" wp14:editId="4C28616F">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7A129E" w:rsidRPr="00286236" w:rsidRDefault="007A129E" w:rsidP="00286236">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18E41D6A" wp14:editId="02491D1D">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RPD/C/15/D/11/2013&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15/D/11/2013&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29E" w:rsidRPr="0054762C" w:rsidRDefault="007A129E" w:rsidP="00173565">
      <w:pPr>
        <w:pStyle w:val="Footer"/>
        <w:bidi/>
        <w:spacing w:after="80" w:line="200" w:lineRule="exact"/>
        <w:ind w:left="680"/>
      </w:pPr>
      <w:r>
        <w:rPr>
          <w:rtl/>
        </w:rPr>
        <w:t>__________</w:t>
      </w:r>
    </w:p>
  </w:footnote>
  <w:footnote w:type="continuationSeparator" w:id="0">
    <w:p w:rsidR="007A129E" w:rsidRDefault="007A129E" w:rsidP="00656392">
      <w:pPr>
        <w:spacing w:line="240" w:lineRule="auto"/>
      </w:pPr>
      <w:r>
        <w:continuationSeparator/>
      </w:r>
    </w:p>
  </w:footnote>
  <w:footnote w:id="1">
    <w:p w:rsidR="00CD7E9A" w:rsidRPr="00CD7E9A" w:rsidRDefault="00CD7E9A" w:rsidP="00391927">
      <w:pPr>
        <w:pStyle w:val="FootnoteText1"/>
        <w:rPr>
          <w:rFonts w:hint="cs"/>
        </w:rPr>
      </w:pPr>
      <w:r>
        <w:rPr>
          <w:rtl/>
        </w:rPr>
        <w:t>*</w:t>
      </w:r>
      <w:r>
        <w:rPr>
          <w:rtl/>
        </w:rPr>
        <w:tab/>
      </w:r>
      <w:r>
        <w:rPr>
          <w:rFonts w:hint="cs"/>
          <w:rtl/>
        </w:rPr>
        <w:t xml:space="preserve">أعيد إصدارها لأسباب فنية في </w:t>
      </w:r>
      <w:r w:rsidR="00391927">
        <w:rPr>
          <w:rFonts w:hint="cs"/>
          <w:rtl/>
        </w:rPr>
        <w:t xml:space="preserve">2 آب/أغسطس </w:t>
      </w:r>
      <w:r>
        <w:rPr>
          <w:rFonts w:hint="cs"/>
          <w:rtl/>
        </w:rPr>
        <w:t>2016</w:t>
      </w:r>
      <w:r>
        <w:rPr>
          <w:rFonts w:hint="cs"/>
          <w:rtl/>
        </w:rPr>
        <w:t>.</w:t>
      </w:r>
    </w:p>
  </w:footnote>
  <w:footnote w:id="2">
    <w:p w:rsidR="00CD7E9A" w:rsidRPr="00CD7E9A" w:rsidRDefault="00CD7E9A" w:rsidP="00CD7E9A">
      <w:pPr>
        <w:pStyle w:val="FootnoteText1"/>
        <w:rPr>
          <w:rFonts w:hint="cs"/>
          <w:rtl/>
        </w:rPr>
      </w:pPr>
      <w:r>
        <w:rPr>
          <w:rtl/>
        </w:rPr>
        <w:t>**</w:t>
      </w:r>
      <w:r>
        <w:rPr>
          <w:rtl/>
        </w:rPr>
        <w:tab/>
      </w:r>
      <w:r w:rsidRPr="0081736E">
        <w:rPr>
          <w:rtl/>
          <w:lang w:val="en-GB" w:eastAsia="zh-TW"/>
        </w:rPr>
        <w:t>اعتمدتها اللجنة في دورتها الخامسة عشرة (29 آذار/مارس - 21 نيسان/أبريل 2016).</w:t>
      </w:r>
      <w:r w:rsidRPr="0081736E">
        <w:rPr>
          <w:rFonts w:cs="Times New Roman" w:hint="cs"/>
          <w:rtl/>
          <w:lang w:val="en-GB" w:eastAsia="zh-TW"/>
        </w:rPr>
        <w:t>‬</w:t>
      </w:r>
    </w:p>
  </w:footnote>
  <w:footnote w:id="3">
    <w:p w:rsidR="00CD7E9A" w:rsidRPr="00CD7E9A" w:rsidRDefault="00CD7E9A" w:rsidP="00CD7E9A">
      <w:pPr>
        <w:pStyle w:val="FootnoteText1"/>
        <w:rPr>
          <w:rFonts w:hint="cs"/>
        </w:rPr>
      </w:pPr>
      <w:r>
        <w:rPr>
          <w:rFonts w:hint="cs"/>
          <w:sz w:val="20"/>
          <w:rtl/>
        </w:rPr>
        <w:t>***</w:t>
      </w:r>
      <w:r>
        <w:rPr>
          <w:rFonts w:hint="cs"/>
          <w:rtl/>
        </w:rPr>
        <w:tab/>
      </w:r>
      <w:r w:rsidRPr="0081736E">
        <w:rPr>
          <w:rtl/>
          <w:lang w:val="en-GB" w:eastAsia="zh-TW"/>
        </w:rPr>
        <w:t xml:space="preserve">شارك في النظر في هذا البلاغ أعضاء اللجنة التالية أسماؤهم: محمد </w:t>
      </w:r>
      <w:proofErr w:type="spellStart"/>
      <w:r w:rsidRPr="0081736E">
        <w:rPr>
          <w:rtl/>
          <w:lang w:val="en-GB" w:eastAsia="zh-TW"/>
        </w:rPr>
        <w:t>الطراونه</w:t>
      </w:r>
      <w:proofErr w:type="spellEnd"/>
      <w:r w:rsidRPr="0081736E">
        <w:rPr>
          <w:rtl/>
          <w:lang w:val="en-GB" w:eastAsia="zh-TW"/>
        </w:rPr>
        <w:t xml:space="preserve">، ومارتين </w:t>
      </w:r>
      <w:proofErr w:type="spellStart"/>
      <w:r w:rsidRPr="0081736E">
        <w:rPr>
          <w:rtl/>
          <w:lang w:val="en-GB" w:eastAsia="zh-TW"/>
        </w:rPr>
        <w:t>مويسيغوا</w:t>
      </w:r>
      <w:proofErr w:type="spellEnd"/>
      <w:r w:rsidRPr="0081736E">
        <w:rPr>
          <w:rtl/>
          <w:lang w:val="en-GB" w:eastAsia="zh-TW"/>
        </w:rPr>
        <w:t xml:space="preserve"> </w:t>
      </w:r>
      <w:proofErr w:type="spellStart"/>
      <w:r w:rsidRPr="0081736E">
        <w:rPr>
          <w:rtl/>
          <w:lang w:val="en-GB" w:eastAsia="zh-TW"/>
        </w:rPr>
        <w:t>بابو</w:t>
      </w:r>
      <w:proofErr w:type="spellEnd"/>
      <w:r w:rsidRPr="0081736E">
        <w:rPr>
          <w:rtl/>
          <w:lang w:val="en-GB" w:eastAsia="zh-TW"/>
        </w:rPr>
        <w:t xml:space="preserve">، </w:t>
      </w:r>
      <w:proofErr w:type="spellStart"/>
      <w:r w:rsidRPr="0081736E">
        <w:rPr>
          <w:rtl/>
          <w:lang w:val="en-GB" w:eastAsia="zh-TW"/>
        </w:rPr>
        <w:t>ودانلامي</w:t>
      </w:r>
      <w:proofErr w:type="spellEnd"/>
      <w:r w:rsidRPr="0081736E">
        <w:rPr>
          <w:rtl/>
          <w:lang w:val="en-GB" w:eastAsia="zh-TW"/>
        </w:rPr>
        <w:t xml:space="preserve"> </w:t>
      </w:r>
      <w:proofErr w:type="spellStart"/>
      <w:r w:rsidRPr="0081736E">
        <w:rPr>
          <w:rtl/>
          <w:lang w:val="en-GB" w:eastAsia="zh-TW"/>
        </w:rPr>
        <w:t>أومارو</w:t>
      </w:r>
      <w:proofErr w:type="spellEnd"/>
      <w:r w:rsidRPr="0081736E">
        <w:rPr>
          <w:rtl/>
          <w:lang w:val="en-GB" w:eastAsia="zh-TW"/>
        </w:rPr>
        <w:t xml:space="preserve"> </w:t>
      </w:r>
      <w:proofErr w:type="spellStart"/>
      <w:r w:rsidRPr="0081736E">
        <w:rPr>
          <w:rtl/>
          <w:lang w:val="en-GB" w:eastAsia="zh-TW"/>
        </w:rPr>
        <w:t>باشارو</w:t>
      </w:r>
      <w:proofErr w:type="spellEnd"/>
      <w:r w:rsidRPr="0081736E">
        <w:rPr>
          <w:rtl/>
          <w:lang w:val="en-GB" w:eastAsia="zh-TW"/>
        </w:rPr>
        <w:t xml:space="preserve">، </w:t>
      </w:r>
      <w:proofErr w:type="spellStart"/>
      <w:r w:rsidRPr="0081736E">
        <w:rPr>
          <w:rtl/>
          <w:lang w:val="en-GB" w:eastAsia="zh-TW"/>
        </w:rPr>
        <w:t>ومونتيان</w:t>
      </w:r>
      <w:proofErr w:type="spellEnd"/>
      <w:r w:rsidRPr="0081736E">
        <w:rPr>
          <w:rtl/>
          <w:lang w:val="en-GB" w:eastAsia="zh-TW"/>
        </w:rPr>
        <w:t xml:space="preserve"> بونتان، وماريا </w:t>
      </w:r>
      <w:proofErr w:type="spellStart"/>
      <w:r w:rsidRPr="0081736E">
        <w:rPr>
          <w:rtl/>
          <w:lang w:val="en-GB" w:eastAsia="zh-TW"/>
        </w:rPr>
        <w:t>سوليداد</w:t>
      </w:r>
      <w:proofErr w:type="spellEnd"/>
      <w:r w:rsidRPr="0081736E">
        <w:rPr>
          <w:rtl/>
          <w:lang w:val="en-GB" w:eastAsia="zh-TW"/>
        </w:rPr>
        <w:t xml:space="preserve"> </w:t>
      </w:r>
      <w:proofErr w:type="spellStart"/>
      <w:r w:rsidRPr="0081736E">
        <w:rPr>
          <w:rtl/>
          <w:lang w:val="en-GB" w:eastAsia="zh-TW"/>
        </w:rPr>
        <w:t>ثيستيراس</w:t>
      </w:r>
      <w:proofErr w:type="spellEnd"/>
      <w:r w:rsidRPr="0081736E">
        <w:rPr>
          <w:rtl/>
          <w:lang w:val="en-GB" w:eastAsia="zh-TW"/>
        </w:rPr>
        <w:t xml:space="preserve"> </w:t>
      </w:r>
      <w:proofErr w:type="spellStart"/>
      <w:r w:rsidRPr="0081736E">
        <w:rPr>
          <w:rtl/>
          <w:lang w:val="en-GB" w:eastAsia="zh-TW"/>
        </w:rPr>
        <w:t>رييس</w:t>
      </w:r>
      <w:proofErr w:type="spellEnd"/>
      <w:r w:rsidRPr="0081736E">
        <w:rPr>
          <w:rtl/>
          <w:lang w:val="en-GB" w:eastAsia="zh-TW"/>
        </w:rPr>
        <w:t xml:space="preserve">، </w:t>
      </w:r>
      <w:proofErr w:type="spellStart"/>
      <w:r w:rsidRPr="0081736E">
        <w:rPr>
          <w:rtl/>
          <w:lang w:val="en-GB" w:eastAsia="zh-TW"/>
        </w:rPr>
        <w:t>وتيريزيا</w:t>
      </w:r>
      <w:proofErr w:type="spellEnd"/>
      <w:r w:rsidRPr="0081736E">
        <w:rPr>
          <w:rtl/>
          <w:lang w:val="en-GB" w:eastAsia="zh-TW"/>
        </w:rPr>
        <w:t xml:space="preserve"> </w:t>
      </w:r>
      <w:proofErr w:type="spellStart"/>
      <w:r w:rsidRPr="0081736E">
        <w:rPr>
          <w:rtl/>
          <w:lang w:val="en-GB" w:eastAsia="zh-TW"/>
        </w:rPr>
        <w:t>ديجينر</w:t>
      </w:r>
      <w:proofErr w:type="spellEnd"/>
      <w:r w:rsidRPr="0081736E">
        <w:rPr>
          <w:rtl/>
          <w:lang w:val="en-GB" w:eastAsia="zh-TW"/>
        </w:rPr>
        <w:t xml:space="preserve">، وكيم </w:t>
      </w:r>
      <w:proofErr w:type="spellStart"/>
      <w:r w:rsidRPr="0081736E">
        <w:rPr>
          <w:rtl/>
          <w:lang w:val="en-GB" w:eastAsia="zh-TW"/>
        </w:rPr>
        <w:t>هيونغ</w:t>
      </w:r>
      <w:proofErr w:type="spellEnd"/>
      <w:r w:rsidRPr="0081736E">
        <w:rPr>
          <w:rtl/>
          <w:lang w:val="en-GB" w:eastAsia="zh-TW"/>
        </w:rPr>
        <w:t xml:space="preserve"> شيك، وديان </w:t>
      </w:r>
      <w:proofErr w:type="spellStart"/>
      <w:r w:rsidRPr="0081736E">
        <w:rPr>
          <w:rtl/>
          <w:lang w:val="en-GB" w:eastAsia="zh-TW"/>
        </w:rPr>
        <w:t>كينغستون</w:t>
      </w:r>
      <w:proofErr w:type="spellEnd"/>
      <w:r w:rsidRPr="0081736E">
        <w:rPr>
          <w:rtl/>
          <w:lang w:val="en-GB" w:eastAsia="zh-TW"/>
        </w:rPr>
        <w:t xml:space="preserve">، وشتيك </w:t>
      </w:r>
      <w:proofErr w:type="spellStart"/>
      <w:r w:rsidRPr="0081736E">
        <w:rPr>
          <w:rtl/>
          <w:lang w:val="en-GB" w:eastAsia="zh-TW"/>
        </w:rPr>
        <w:t>لانغفات</w:t>
      </w:r>
      <w:proofErr w:type="spellEnd"/>
      <w:r w:rsidRPr="0081736E">
        <w:rPr>
          <w:rtl/>
          <w:lang w:val="en-GB" w:eastAsia="zh-TW"/>
        </w:rPr>
        <w:t xml:space="preserve">، </w:t>
      </w:r>
      <w:proofErr w:type="spellStart"/>
      <w:r w:rsidRPr="0081736E">
        <w:rPr>
          <w:rtl/>
          <w:lang w:val="en-GB" w:eastAsia="zh-TW"/>
        </w:rPr>
        <w:t>ولاسلو</w:t>
      </w:r>
      <w:proofErr w:type="spellEnd"/>
      <w:r w:rsidRPr="0081736E">
        <w:rPr>
          <w:rtl/>
          <w:lang w:val="en-GB" w:eastAsia="zh-TW"/>
        </w:rPr>
        <w:t xml:space="preserve"> </w:t>
      </w:r>
      <w:proofErr w:type="spellStart"/>
      <w:r w:rsidRPr="0081736E">
        <w:rPr>
          <w:rtl/>
          <w:lang w:val="en-GB" w:eastAsia="zh-TW"/>
        </w:rPr>
        <w:t>غابور</w:t>
      </w:r>
      <w:proofErr w:type="spellEnd"/>
      <w:r w:rsidRPr="0081736E">
        <w:rPr>
          <w:rtl/>
          <w:lang w:val="en-GB" w:eastAsia="zh-TW"/>
        </w:rPr>
        <w:t xml:space="preserve"> </w:t>
      </w:r>
      <w:proofErr w:type="spellStart"/>
      <w:r w:rsidRPr="0081736E">
        <w:rPr>
          <w:rtl/>
          <w:lang w:val="en-GB" w:eastAsia="zh-TW"/>
        </w:rPr>
        <w:t>لوفاسي</w:t>
      </w:r>
      <w:proofErr w:type="spellEnd"/>
      <w:r w:rsidRPr="0081736E">
        <w:rPr>
          <w:rtl/>
          <w:lang w:val="en-GB" w:eastAsia="zh-TW"/>
        </w:rPr>
        <w:t xml:space="preserve">، وكارلوس ألبيرتو بارا </w:t>
      </w:r>
      <w:proofErr w:type="spellStart"/>
      <w:r w:rsidRPr="0081736E">
        <w:rPr>
          <w:rtl/>
          <w:lang w:val="en-GB" w:eastAsia="zh-TW"/>
        </w:rPr>
        <w:t>دوسان</w:t>
      </w:r>
      <w:proofErr w:type="spellEnd"/>
      <w:r w:rsidRPr="0081736E">
        <w:rPr>
          <w:rtl/>
          <w:lang w:val="en-GB" w:eastAsia="zh-TW"/>
        </w:rPr>
        <w:t xml:space="preserve">، </w:t>
      </w:r>
      <w:proofErr w:type="spellStart"/>
      <w:r w:rsidRPr="0081736E">
        <w:rPr>
          <w:rtl/>
          <w:lang w:val="en-GB" w:eastAsia="zh-TW"/>
        </w:rPr>
        <w:t>وكومارافيل</w:t>
      </w:r>
      <w:proofErr w:type="spellEnd"/>
      <w:r w:rsidRPr="0081736E">
        <w:rPr>
          <w:rtl/>
          <w:lang w:val="en-GB" w:eastAsia="zh-TW"/>
        </w:rPr>
        <w:t xml:space="preserve"> </w:t>
      </w:r>
      <w:proofErr w:type="spellStart"/>
      <w:r w:rsidRPr="0081736E">
        <w:rPr>
          <w:rtl/>
          <w:lang w:val="en-GB" w:eastAsia="zh-TW"/>
        </w:rPr>
        <w:t>بيانياندي</w:t>
      </w:r>
      <w:proofErr w:type="spellEnd"/>
      <w:r w:rsidRPr="0081736E">
        <w:rPr>
          <w:rtl/>
          <w:lang w:val="en-GB" w:eastAsia="zh-TW"/>
        </w:rPr>
        <w:t xml:space="preserve">، وسيلفيا </w:t>
      </w:r>
      <w:proofErr w:type="spellStart"/>
      <w:r w:rsidRPr="0081736E">
        <w:rPr>
          <w:rtl/>
          <w:lang w:val="en-GB" w:eastAsia="zh-TW"/>
        </w:rPr>
        <w:t>جوديث</w:t>
      </w:r>
      <w:proofErr w:type="spellEnd"/>
      <w:r w:rsidRPr="0081736E">
        <w:rPr>
          <w:rtl/>
          <w:lang w:val="en-GB" w:eastAsia="zh-TW"/>
        </w:rPr>
        <w:t xml:space="preserve"> كوان - تشانغ، </w:t>
      </w:r>
      <w:proofErr w:type="spellStart"/>
      <w:r w:rsidRPr="0081736E">
        <w:rPr>
          <w:rtl/>
          <w:lang w:val="en-GB" w:eastAsia="zh-TW"/>
        </w:rPr>
        <w:t>وجوناس</w:t>
      </w:r>
      <w:proofErr w:type="spellEnd"/>
      <w:r w:rsidRPr="0081736E">
        <w:rPr>
          <w:rtl/>
          <w:lang w:val="en-GB" w:eastAsia="zh-TW"/>
        </w:rPr>
        <w:t xml:space="preserve"> </w:t>
      </w:r>
      <w:proofErr w:type="spellStart"/>
      <w:r w:rsidRPr="0081736E">
        <w:rPr>
          <w:rtl/>
          <w:lang w:val="en-GB" w:eastAsia="zh-TW"/>
        </w:rPr>
        <w:t>رسكس</w:t>
      </w:r>
      <w:proofErr w:type="spellEnd"/>
      <w:r w:rsidRPr="0081736E">
        <w:rPr>
          <w:rtl/>
          <w:lang w:val="en-GB" w:eastAsia="zh-TW"/>
        </w:rPr>
        <w:t xml:space="preserve">، </w:t>
      </w:r>
      <w:proofErr w:type="spellStart"/>
      <w:r w:rsidRPr="0081736E">
        <w:rPr>
          <w:rtl/>
          <w:lang w:val="en-GB" w:eastAsia="zh-TW"/>
        </w:rPr>
        <w:t>وداميان</w:t>
      </w:r>
      <w:proofErr w:type="spellEnd"/>
      <w:r w:rsidRPr="0081736E">
        <w:rPr>
          <w:rtl/>
          <w:lang w:val="en-GB" w:eastAsia="zh-TW"/>
        </w:rPr>
        <w:t xml:space="preserve"> </w:t>
      </w:r>
      <w:proofErr w:type="spellStart"/>
      <w:r w:rsidRPr="0081736E">
        <w:rPr>
          <w:rtl/>
          <w:lang w:val="en-GB" w:eastAsia="zh-TW"/>
        </w:rPr>
        <w:t>تاتيتش</w:t>
      </w:r>
      <w:proofErr w:type="spellEnd"/>
      <w:r w:rsidRPr="0081736E">
        <w:rPr>
          <w:rtl/>
          <w:lang w:val="en-GB" w:eastAsia="zh-TW"/>
        </w:rPr>
        <w:t xml:space="preserve">، </w:t>
      </w:r>
      <w:proofErr w:type="spellStart"/>
      <w:r w:rsidRPr="0081736E">
        <w:rPr>
          <w:rtl/>
          <w:lang w:val="en-GB" w:eastAsia="zh-TW"/>
        </w:rPr>
        <w:t>ويو</w:t>
      </w:r>
      <w:proofErr w:type="spellEnd"/>
      <w:r w:rsidRPr="0081736E">
        <w:rPr>
          <w:rtl/>
          <w:lang w:val="en-GB" w:eastAsia="zh-TW"/>
        </w:rPr>
        <w:t xml:space="preserve"> ليانغ.</w:t>
      </w:r>
      <w:r w:rsidRPr="0081736E">
        <w:rPr>
          <w:rFonts w:cs="Times New Roman" w:hint="cs"/>
          <w:rtl/>
          <w:lang w:val="en-GB" w:eastAsia="zh-TW"/>
        </w:rPr>
        <w:t>‬</w:t>
      </w:r>
    </w:p>
  </w:footnote>
  <w:footnote w:id="4">
    <w:p w:rsidR="007A129E" w:rsidRPr="00F05419" w:rsidRDefault="007A129E" w:rsidP="0081736E">
      <w:pPr>
        <w:pStyle w:val="FootnoteText"/>
        <w:widowControl w:val="0"/>
        <w:spacing w:after="60" w:line="300" w:lineRule="exact"/>
        <w:ind w:left="1247" w:right="1247" w:hanging="567"/>
        <w:textDirection w:val="tbRlV"/>
        <w:rPr>
          <w:spacing w:val="-2"/>
          <w:sz w:val="18"/>
          <w:szCs w:val="26"/>
          <w:rtl/>
          <w:lang w:val="en-GB" w:eastAsia="zh-TW"/>
        </w:rPr>
      </w:pPr>
      <w:r w:rsidRPr="00F05419">
        <w:rPr>
          <w:rFonts w:hint="cs"/>
          <w:spacing w:val="-2"/>
          <w:sz w:val="18"/>
          <w:szCs w:val="26"/>
          <w:rtl/>
          <w:lang w:val="en-GB" w:eastAsia="zh-TW"/>
        </w:rPr>
        <w:t>(</w:t>
      </w:r>
      <w:r w:rsidRPr="00F05419">
        <w:rPr>
          <w:rStyle w:val="FootnoteReference"/>
          <w:spacing w:val="-2"/>
          <w:szCs w:val="26"/>
          <w:vertAlign w:val="baseline"/>
          <w:rtl/>
          <w:lang w:val="en-GB" w:eastAsia="zh-TW"/>
        </w:rPr>
        <w:footnoteRef/>
      </w:r>
      <w:r w:rsidRPr="00F05419">
        <w:rPr>
          <w:rFonts w:hint="cs"/>
          <w:spacing w:val="-2"/>
          <w:sz w:val="18"/>
          <w:szCs w:val="26"/>
          <w:rtl/>
          <w:lang w:val="en-GB" w:eastAsia="zh-TW"/>
        </w:rPr>
        <w:t>)</w:t>
      </w:r>
      <w:r w:rsidRPr="00F05419">
        <w:rPr>
          <w:rFonts w:hint="cs"/>
          <w:spacing w:val="-2"/>
          <w:sz w:val="18"/>
          <w:szCs w:val="26"/>
          <w:rtl/>
          <w:lang w:val="en-GB" w:eastAsia="zh-TW"/>
        </w:rPr>
        <w:tab/>
      </w:r>
      <w:r w:rsidRPr="00F05419">
        <w:rPr>
          <w:spacing w:val="-2"/>
          <w:sz w:val="18"/>
          <w:szCs w:val="26"/>
          <w:rtl/>
          <w:lang w:val="en-GB" w:eastAsia="zh-TW"/>
        </w:rPr>
        <w:t>في نيو ساوث ويلز، يتم اختيار المحلفين وتعيينهم من قبل والي قضاء الولاية، وهو موظف قانوني في حكومة ولاية نيو ساوث ويلز يعمل في شعبة إدارة شؤون المدعي العام والعدالة. وينص قانون المحلفين لعام 1977 وقانون المحلفين المعدّل لعام 2010، على أن مكتب والي القضاء مكلف بتقديم الخدمات الإدارية والتنظيمية للمحلفين.</w:t>
      </w:r>
      <w:r w:rsidRPr="00F05419">
        <w:rPr>
          <w:rFonts w:cs="Times New Roman" w:hint="cs"/>
          <w:spacing w:val="-2"/>
          <w:sz w:val="18"/>
          <w:szCs w:val="26"/>
          <w:rtl/>
          <w:lang w:val="en-GB" w:eastAsia="zh-TW"/>
        </w:rPr>
        <w:t>‬</w:t>
      </w:r>
      <w:r w:rsidRPr="00F05419">
        <w:rPr>
          <w:spacing w:val="-2"/>
          <w:sz w:val="18"/>
          <w:szCs w:val="26"/>
          <w:rtl/>
          <w:lang w:val="en-GB" w:eastAsia="zh-TW"/>
        </w:rPr>
        <w:t xml:space="preserve"> </w:t>
      </w:r>
    </w:p>
  </w:footnote>
  <w:footnote w:id="5">
    <w:p w:rsidR="007A129E" w:rsidRPr="0081736E" w:rsidRDefault="007A129E" w:rsidP="00F05419">
      <w:pPr>
        <w:pStyle w:val="FootnoteText"/>
        <w:widowControl w:val="0"/>
        <w:spacing w:after="60" w:line="240" w:lineRule="exact"/>
        <w:ind w:left="1247" w:right="1247" w:hanging="567"/>
        <w:textDirection w:val="tbRlV"/>
        <w:rPr>
          <w:sz w:val="18"/>
          <w:szCs w:val="26"/>
          <w:rtl/>
          <w:lang w:val="en-GB" w:eastAsia="zh-TW"/>
        </w:rPr>
      </w:pPr>
      <w:r w:rsidRPr="0081736E">
        <w:rPr>
          <w:rFonts w:hint="cs"/>
          <w:sz w:val="18"/>
          <w:szCs w:val="26"/>
          <w:rtl/>
          <w:lang w:val="en-GB" w:eastAsia="zh-TW"/>
        </w:rPr>
        <w:t>(</w:t>
      </w:r>
      <w:r w:rsidRPr="0081736E">
        <w:rPr>
          <w:rStyle w:val="FootnoteReference"/>
          <w:szCs w:val="26"/>
          <w:vertAlign w:val="baseline"/>
          <w:rtl/>
          <w:lang w:val="en-GB" w:eastAsia="zh-TW"/>
        </w:rPr>
        <w:footnoteRef/>
      </w:r>
      <w:r w:rsidRPr="0081736E">
        <w:rPr>
          <w:rFonts w:hint="cs"/>
          <w:sz w:val="18"/>
          <w:szCs w:val="26"/>
          <w:rtl/>
          <w:lang w:val="en-GB" w:eastAsia="zh-TW"/>
        </w:rPr>
        <w:t>)</w:t>
      </w:r>
      <w:r w:rsidRPr="0081736E">
        <w:rPr>
          <w:rFonts w:hint="cs"/>
          <w:sz w:val="18"/>
          <w:szCs w:val="26"/>
          <w:rtl/>
          <w:lang w:val="en-GB" w:eastAsia="zh-TW"/>
        </w:rPr>
        <w:tab/>
      </w:r>
      <w:r w:rsidRPr="0081736E">
        <w:rPr>
          <w:sz w:val="18"/>
          <w:szCs w:val="26"/>
          <w:lang w:val="en-GB" w:eastAsia="zh-TW"/>
        </w:rPr>
        <w:t>Section 14 (4) of the Jury Act 1977 (NSW)</w:t>
      </w:r>
      <w:r w:rsidRPr="0081736E">
        <w:rPr>
          <w:rFonts w:hint="cs"/>
          <w:sz w:val="18"/>
          <w:szCs w:val="26"/>
          <w:rtl/>
          <w:lang w:val="en-GB" w:eastAsia="zh-TW"/>
        </w:rPr>
        <w:t>.</w:t>
      </w:r>
    </w:p>
  </w:footnote>
  <w:footnote w:id="6">
    <w:p w:rsidR="007A129E" w:rsidRPr="003D0BF9" w:rsidRDefault="00821257" w:rsidP="003D0BF9">
      <w:pPr>
        <w:pStyle w:val="FootnoteText"/>
        <w:widowControl w:val="0"/>
        <w:spacing w:after="60" w:line="300" w:lineRule="exact"/>
        <w:ind w:left="1247" w:right="1247" w:hanging="567"/>
        <w:textDirection w:val="tbRlV"/>
        <w:rPr>
          <w:sz w:val="18"/>
          <w:szCs w:val="26"/>
          <w:rtl/>
          <w:lang w:eastAsia="zh-TW"/>
        </w:rPr>
      </w:pPr>
      <w:dir w:val="rtl">
        <w:r w:rsidR="007A129E">
          <w:rPr>
            <w:sz w:val="18"/>
            <w:szCs w:val="26"/>
            <w:rtl/>
            <w:lang w:val="en-GB" w:eastAsia="zh-TW"/>
          </w:rPr>
          <w:t>(</w:t>
        </w:r>
        <w:r w:rsidR="007A129E" w:rsidRPr="0081736E">
          <w:rPr>
            <w:rStyle w:val="FootnoteReference"/>
            <w:szCs w:val="26"/>
            <w:vertAlign w:val="baseline"/>
            <w:rtl/>
            <w:lang w:val="en-GB" w:eastAsia="zh-TW"/>
          </w:rPr>
          <w:footnoteRef/>
        </w:r>
        <w:r w:rsidR="007A129E" w:rsidRPr="0081736E">
          <w:rPr>
            <w:sz w:val="18"/>
            <w:szCs w:val="26"/>
            <w:rtl/>
            <w:lang w:val="en-GB" w:eastAsia="zh-TW"/>
          </w:rPr>
          <w:t>)</w:t>
        </w:r>
        <w:r w:rsidR="007A129E" w:rsidRPr="0081736E">
          <w:rPr>
            <w:rFonts w:hint="cs"/>
            <w:sz w:val="18"/>
            <w:szCs w:val="26"/>
            <w:rtl/>
            <w:lang w:val="en-GB" w:eastAsia="zh-TW"/>
          </w:rPr>
          <w:tab/>
        </w:r>
        <w:r w:rsidR="003D0BF9">
          <w:rPr>
            <w:sz w:val="18"/>
            <w:szCs w:val="26"/>
            <w:rtl/>
            <w:lang w:val="en-GB" w:eastAsia="zh-TW"/>
          </w:rPr>
          <w:t>ينص البيان التفسيري 2</w:t>
        </w:r>
        <w:r w:rsidR="007A129E" w:rsidRPr="0081736E">
          <w:rPr>
            <w:sz w:val="18"/>
            <w:szCs w:val="26"/>
            <w:rtl/>
            <w:lang w:val="en-GB" w:eastAsia="zh-TW"/>
          </w:rPr>
          <w:t xml:space="preserve">(12) لقانون المحلفين لعام 1977 على أن عبارة غير مؤهل تشير إلى </w:t>
        </w:r>
        <w:r w:rsidR="003D0BF9">
          <w:rPr>
            <w:rFonts w:hint="cs"/>
            <w:sz w:val="18"/>
            <w:szCs w:val="26"/>
            <w:rtl/>
            <w:lang w:val="en-GB" w:eastAsia="zh-TW"/>
          </w:rPr>
          <w:t>"</w:t>
        </w:r>
        <w:r w:rsidR="007A129E" w:rsidRPr="0081736E">
          <w:rPr>
            <w:sz w:val="18"/>
            <w:szCs w:val="26"/>
            <w:rtl/>
            <w:lang w:val="en-GB" w:eastAsia="zh-TW"/>
          </w:rPr>
          <w:t>الأشخاص العاجزين عن أداء واجبات ا</w:t>
        </w:r>
        <w:r w:rsidR="003D0BF9">
          <w:rPr>
            <w:sz w:val="18"/>
            <w:szCs w:val="26"/>
            <w:rtl/>
            <w:lang w:val="en-GB" w:eastAsia="zh-TW"/>
          </w:rPr>
          <w:t>لمحلف بسبب مرض أو عاهة أو إعاقة</w:t>
        </w:r>
        <w:r w:rsidR="003D0BF9">
          <w:rPr>
            <w:rFonts w:hint="cs"/>
            <w:sz w:val="18"/>
            <w:szCs w:val="26"/>
            <w:rtl/>
            <w:lang w:val="en-GB" w:eastAsia="zh-TW"/>
          </w:rPr>
          <w:t>"</w:t>
        </w:r>
        <w:r w:rsidR="007A129E" w:rsidRPr="0081736E">
          <w:rPr>
            <w:sz w:val="18"/>
            <w:szCs w:val="26"/>
            <w:rtl/>
            <w:lang w:val="en-GB" w:eastAsia="zh-TW"/>
          </w:rPr>
          <w:t>.</w:t>
        </w:r>
        <w:r w:rsidR="007A129E" w:rsidRPr="0081736E">
          <w:rPr>
            <w:rFonts w:cs="Times New Roman" w:hint="cs"/>
            <w:sz w:val="18"/>
            <w:szCs w:val="26"/>
            <w:rtl/>
            <w:lang w:val="en-GB" w:eastAsia="zh-TW"/>
          </w:rPr>
          <w:t>‬</w:t>
        </w:r>
        <w:r w:rsidR="007A129E" w:rsidRPr="0081736E">
          <w:rPr>
            <w:sz w:val="18"/>
            <w:szCs w:val="26"/>
            <w:rtl/>
            <w:lang w:val="en-GB" w:eastAsia="zh-TW"/>
          </w:rPr>
          <w:t xml:space="preserve"> </w:t>
        </w:r>
        <w:r w:rsidR="0087267B">
          <w:t>‬</w:t>
        </w:r>
        <w:r w:rsidR="000C45CA">
          <w:t>‬</w:t>
        </w:r>
        <w:r w:rsidR="00A168C8">
          <w:t>‬</w:t>
        </w:r>
        <w:r>
          <w:t>‬</w:t>
        </w:r>
      </w:dir>
    </w:p>
  </w:footnote>
  <w:footnote w:id="7">
    <w:p w:rsidR="007A129E" w:rsidRPr="0081736E" w:rsidRDefault="007A129E" w:rsidP="00F05419">
      <w:pPr>
        <w:pStyle w:val="FootnoteText"/>
        <w:widowControl w:val="0"/>
        <w:spacing w:after="60" w:line="300" w:lineRule="exact"/>
        <w:ind w:left="1247" w:right="1247" w:hanging="567"/>
        <w:textDirection w:val="tbRlV"/>
        <w:rPr>
          <w:sz w:val="18"/>
          <w:szCs w:val="26"/>
          <w:rtl/>
          <w:lang w:val="en-GB" w:eastAsia="zh-TW"/>
        </w:rPr>
      </w:pPr>
      <w:r w:rsidRPr="0081736E">
        <w:rPr>
          <w:rFonts w:hint="cs"/>
          <w:sz w:val="18"/>
          <w:szCs w:val="26"/>
          <w:rtl/>
          <w:lang w:val="en-GB" w:eastAsia="zh-TW"/>
        </w:rPr>
        <w:t>(</w:t>
      </w:r>
      <w:r w:rsidRPr="0081736E">
        <w:rPr>
          <w:rStyle w:val="FootnoteReference"/>
          <w:szCs w:val="26"/>
          <w:vertAlign w:val="baseline"/>
          <w:rtl/>
          <w:lang w:val="en-GB" w:eastAsia="zh-TW"/>
        </w:rPr>
        <w:footnoteRef/>
      </w:r>
      <w:r w:rsidRPr="0081736E">
        <w:rPr>
          <w:rFonts w:hint="cs"/>
          <w:sz w:val="18"/>
          <w:szCs w:val="26"/>
          <w:rtl/>
          <w:lang w:val="en-GB" w:eastAsia="zh-TW"/>
        </w:rPr>
        <w:t>)</w:t>
      </w:r>
      <w:r w:rsidRPr="0081736E">
        <w:rPr>
          <w:rFonts w:hint="cs"/>
          <w:sz w:val="18"/>
          <w:szCs w:val="26"/>
          <w:rtl/>
          <w:lang w:val="en-GB" w:eastAsia="zh-TW"/>
        </w:rPr>
        <w:tab/>
      </w:r>
      <w:r w:rsidRPr="0081736E">
        <w:rPr>
          <w:sz w:val="18"/>
          <w:szCs w:val="26"/>
          <w:rtl/>
          <w:lang w:val="en-GB" w:eastAsia="zh-TW"/>
        </w:rPr>
        <w:t xml:space="preserve">تشير عبارة </w:t>
      </w:r>
      <w:r>
        <w:rPr>
          <w:rFonts w:hint="cs"/>
          <w:sz w:val="18"/>
          <w:szCs w:val="26"/>
          <w:rtl/>
          <w:lang w:val="en-GB" w:eastAsia="zh-TW"/>
        </w:rPr>
        <w:t>"</w:t>
      </w:r>
      <w:r w:rsidRPr="0081736E">
        <w:rPr>
          <w:sz w:val="18"/>
          <w:szCs w:val="26"/>
          <w:rtl/>
          <w:lang w:val="en-GB" w:eastAsia="zh-TW"/>
        </w:rPr>
        <w:t>قانون مناهضة التمييز على أساس الإعاقة</w:t>
      </w:r>
      <w:r>
        <w:rPr>
          <w:rFonts w:hint="cs"/>
          <w:sz w:val="18"/>
          <w:szCs w:val="26"/>
          <w:rtl/>
          <w:lang w:val="en-GB" w:eastAsia="zh-TW"/>
        </w:rPr>
        <w:t>"</w:t>
      </w:r>
      <w:r w:rsidRPr="0081736E">
        <w:rPr>
          <w:sz w:val="18"/>
          <w:szCs w:val="26"/>
          <w:rtl/>
          <w:lang w:val="en-GB" w:eastAsia="zh-TW"/>
        </w:rPr>
        <w:t xml:space="preserve"> إلى القانون الوطني لمناهضة التمييز على أساس الإعاقة لعام 1992، ما لم يُذكر خلاف ذلك.</w:t>
      </w:r>
    </w:p>
  </w:footnote>
  <w:footnote w:id="8">
    <w:p w:rsidR="007A129E" w:rsidRPr="0081736E" w:rsidRDefault="007A129E" w:rsidP="00F05419">
      <w:pPr>
        <w:pStyle w:val="FootnoteText"/>
        <w:widowControl w:val="0"/>
        <w:spacing w:after="60" w:line="240" w:lineRule="exact"/>
        <w:ind w:left="1247" w:right="1247" w:hanging="567"/>
        <w:textDirection w:val="tbRlV"/>
        <w:rPr>
          <w:sz w:val="18"/>
          <w:szCs w:val="26"/>
          <w:rtl/>
          <w:lang w:val="en-GB" w:eastAsia="zh-TW"/>
        </w:rPr>
      </w:pPr>
      <w:r w:rsidRPr="0081736E">
        <w:rPr>
          <w:rFonts w:hint="cs"/>
          <w:sz w:val="18"/>
          <w:szCs w:val="26"/>
          <w:rtl/>
          <w:lang w:val="en-GB" w:eastAsia="zh-TW"/>
        </w:rPr>
        <w:t>(</w:t>
      </w:r>
      <w:r w:rsidRPr="0081736E">
        <w:rPr>
          <w:rStyle w:val="FootnoteReference"/>
          <w:szCs w:val="26"/>
          <w:vertAlign w:val="baseline"/>
          <w:rtl/>
          <w:lang w:val="en-GB" w:eastAsia="zh-TW"/>
        </w:rPr>
        <w:footnoteRef/>
      </w:r>
      <w:r w:rsidRPr="0081736E">
        <w:rPr>
          <w:rFonts w:hint="cs"/>
          <w:sz w:val="18"/>
          <w:szCs w:val="26"/>
          <w:rtl/>
          <w:lang w:val="en-GB" w:eastAsia="zh-TW"/>
        </w:rPr>
        <w:t>)</w:t>
      </w:r>
      <w:r w:rsidRPr="0081736E">
        <w:rPr>
          <w:rFonts w:hint="cs"/>
          <w:sz w:val="18"/>
          <w:szCs w:val="26"/>
          <w:rtl/>
          <w:lang w:val="en-GB" w:eastAsia="zh-TW"/>
        </w:rPr>
        <w:tab/>
      </w:r>
      <w:r w:rsidRPr="0081736E">
        <w:rPr>
          <w:sz w:val="18"/>
          <w:szCs w:val="26"/>
          <w:lang w:val="en-GB" w:eastAsia="zh-TW"/>
        </w:rPr>
        <w:t>NSW Law Reform Commission, “Report 114: Blind or Deaf Jurors” (2006)</w:t>
      </w:r>
      <w:r w:rsidRPr="0081736E">
        <w:rPr>
          <w:rFonts w:hint="cs"/>
          <w:sz w:val="18"/>
          <w:szCs w:val="26"/>
          <w:rtl/>
          <w:lang w:val="en-GB" w:eastAsia="zh-TW"/>
        </w:rPr>
        <w:t>.</w:t>
      </w:r>
    </w:p>
  </w:footnote>
  <w:footnote w:id="9">
    <w:p w:rsidR="007A129E" w:rsidRPr="0081736E" w:rsidRDefault="007A129E" w:rsidP="00F05419">
      <w:pPr>
        <w:pStyle w:val="FootnoteText"/>
        <w:widowControl w:val="0"/>
        <w:spacing w:after="60" w:line="300" w:lineRule="exact"/>
        <w:ind w:left="1247" w:right="1247" w:hanging="567"/>
        <w:jc w:val="left"/>
        <w:textDirection w:val="tbRlV"/>
        <w:rPr>
          <w:sz w:val="18"/>
          <w:szCs w:val="26"/>
          <w:rtl/>
          <w:lang w:val="en-GB" w:eastAsia="zh-TW"/>
        </w:rPr>
      </w:pPr>
      <w:r w:rsidRPr="0081736E">
        <w:rPr>
          <w:rFonts w:hint="cs"/>
          <w:sz w:val="18"/>
          <w:szCs w:val="26"/>
          <w:rtl/>
          <w:lang w:val="en-GB" w:eastAsia="zh-TW"/>
        </w:rPr>
        <w:t>(</w:t>
      </w:r>
      <w:r w:rsidRPr="0081736E">
        <w:rPr>
          <w:rStyle w:val="FootnoteReference"/>
          <w:szCs w:val="26"/>
          <w:vertAlign w:val="baseline"/>
          <w:rtl/>
          <w:lang w:val="en-GB" w:eastAsia="zh-TW"/>
        </w:rPr>
        <w:footnoteRef/>
      </w:r>
      <w:r w:rsidRPr="0081736E">
        <w:rPr>
          <w:rFonts w:hint="cs"/>
          <w:sz w:val="18"/>
          <w:szCs w:val="26"/>
          <w:rtl/>
          <w:lang w:val="en-GB" w:eastAsia="zh-TW"/>
        </w:rPr>
        <w:t>)</w:t>
      </w:r>
      <w:r w:rsidRPr="0081736E">
        <w:rPr>
          <w:rFonts w:hint="cs"/>
          <w:sz w:val="18"/>
          <w:szCs w:val="26"/>
          <w:rtl/>
          <w:lang w:val="en-GB" w:eastAsia="zh-TW"/>
        </w:rPr>
        <w:tab/>
      </w:r>
      <w:r w:rsidRPr="0081736E">
        <w:rPr>
          <w:sz w:val="18"/>
          <w:szCs w:val="26"/>
          <w:rtl/>
          <w:lang w:val="en-GB" w:eastAsia="zh-TW"/>
        </w:rPr>
        <w:t>حكومة نيو ساوث ويلز،</w:t>
      </w:r>
      <w:r w:rsidRPr="0081736E">
        <w:rPr>
          <w:sz w:val="18"/>
          <w:szCs w:val="26"/>
          <w:lang w:val="en-GB" w:eastAsia="zh-TW"/>
        </w:rPr>
        <w:t>“Response to the NSW Law Reform Commission ‘Report 114: Blind or Deaf Jurors’” (June 2010)</w:t>
      </w:r>
      <w:r w:rsidRPr="0081736E">
        <w:rPr>
          <w:sz w:val="18"/>
          <w:szCs w:val="26"/>
          <w:rtl/>
          <w:lang w:val="en-GB" w:eastAsia="zh-TW"/>
        </w:rPr>
        <w:t>،</w:t>
      </w:r>
      <w:r w:rsidRPr="0081736E">
        <w:rPr>
          <w:sz w:val="18"/>
          <w:szCs w:val="26"/>
          <w:lang w:val="en-GB" w:eastAsia="zh-TW"/>
        </w:rPr>
        <w:t xml:space="preserve"> </w:t>
      </w:r>
      <w:r w:rsidRPr="0081736E">
        <w:rPr>
          <w:sz w:val="18"/>
          <w:szCs w:val="26"/>
          <w:rtl/>
          <w:lang w:val="en-GB" w:eastAsia="zh-TW"/>
        </w:rPr>
        <w:t>متاح</w:t>
      </w:r>
      <w:r w:rsidRPr="0081736E">
        <w:rPr>
          <w:sz w:val="18"/>
          <w:szCs w:val="26"/>
          <w:lang w:val="en-GB" w:eastAsia="zh-TW"/>
        </w:rPr>
        <w:t xml:space="preserve"> </w:t>
      </w:r>
      <w:r w:rsidRPr="0081736E">
        <w:rPr>
          <w:sz w:val="18"/>
          <w:szCs w:val="26"/>
          <w:rtl/>
          <w:lang w:val="en-GB" w:eastAsia="zh-TW"/>
        </w:rPr>
        <w:t>على</w:t>
      </w:r>
      <w:r w:rsidRPr="0081736E">
        <w:rPr>
          <w:sz w:val="18"/>
          <w:szCs w:val="26"/>
          <w:lang w:val="en-GB" w:eastAsia="zh-TW"/>
        </w:rPr>
        <w:t xml:space="preserve"> </w:t>
      </w:r>
      <w:r w:rsidRPr="0081736E">
        <w:rPr>
          <w:sz w:val="18"/>
          <w:szCs w:val="26"/>
          <w:rtl/>
          <w:lang w:val="en-GB" w:eastAsia="zh-TW"/>
        </w:rPr>
        <w:t>الرابط</w:t>
      </w:r>
      <w:r w:rsidRPr="0081736E">
        <w:rPr>
          <w:sz w:val="18"/>
          <w:szCs w:val="26"/>
          <w:lang w:val="en-GB" w:eastAsia="zh-TW"/>
        </w:rPr>
        <w:t xml:space="preserve"> </w:t>
      </w:r>
      <w:r w:rsidRPr="0081736E">
        <w:rPr>
          <w:sz w:val="18"/>
          <w:szCs w:val="26"/>
          <w:rtl/>
          <w:lang w:val="en-GB" w:eastAsia="zh-TW"/>
        </w:rPr>
        <w:t>التالي</w:t>
      </w:r>
      <w:r w:rsidRPr="0081736E">
        <w:rPr>
          <w:sz w:val="18"/>
          <w:szCs w:val="26"/>
          <w:lang w:val="en-GB" w:eastAsia="zh-TW"/>
        </w:rPr>
        <w:t>: //www.parliament.nsw.gov.au/la/papers/Pages/tabledpaperprofiles/government-response-to-the-new-south-wal_47367.aspx</w:t>
      </w:r>
      <w:r w:rsidRPr="0081736E">
        <w:rPr>
          <w:sz w:val="18"/>
          <w:szCs w:val="26"/>
          <w:rtl/>
          <w:lang w:val="en-GB" w:eastAsia="zh-TW"/>
        </w:rPr>
        <w:t xml:space="preserve">. </w:t>
      </w:r>
    </w:p>
  </w:footnote>
  <w:footnote w:id="10">
    <w:p w:rsidR="007A129E" w:rsidRPr="0081736E" w:rsidRDefault="007A129E" w:rsidP="00F05419">
      <w:pPr>
        <w:pStyle w:val="FootnoteText"/>
        <w:spacing w:after="60" w:line="300" w:lineRule="exact"/>
        <w:ind w:left="1247" w:right="1247" w:hanging="567"/>
        <w:textDirection w:val="tbRlV"/>
        <w:rPr>
          <w:sz w:val="18"/>
          <w:szCs w:val="26"/>
          <w:rtl/>
          <w:lang w:val="en-GB" w:eastAsia="zh-TW"/>
        </w:rPr>
      </w:pPr>
      <w:r w:rsidRPr="0081736E">
        <w:rPr>
          <w:rFonts w:hint="cs"/>
          <w:sz w:val="18"/>
          <w:szCs w:val="26"/>
          <w:rtl/>
          <w:lang w:val="en-GB" w:eastAsia="zh-TW"/>
        </w:rPr>
        <w:t>(</w:t>
      </w:r>
      <w:r w:rsidRPr="0081736E">
        <w:rPr>
          <w:rStyle w:val="FootnoteReference"/>
          <w:szCs w:val="26"/>
          <w:vertAlign w:val="baseline"/>
          <w:rtl/>
          <w:lang w:val="en-GB" w:eastAsia="zh-TW"/>
        </w:rPr>
        <w:footnoteRef/>
      </w:r>
      <w:r w:rsidRPr="0081736E">
        <w:rPr>
          <w:rFonts w:hint="cs"/>
          <w:sz w:val="18"/>
          <w:szCs w:val="26"/>
          <w:rtl/>
          <w:lang w:val="en-GB" w:eastAsia="zh-TW"/>
        </w:rPr>
        <w:t>)</w:t>
      </w:r>
      <w:r w:rsidRPr="0081736E">
        <w:rPr>
          <w:rFonts w:hint="cs"/>
          <w:sz w:val="18"/>
          <w:szCs w:val="26"/>
          <w:rtl/>
          <w:lang w:val="en-GB" w:eastAsia="zh-TW"/>
        </w:rPr>
        <w:tab/>
      </w:r>
      <w:r w:rsidRPr="0081736E">
        <w:rPr>
          <w:sz w:val="18"/>
          <w:szCs w:val="26"/>
          <w:rtl/>
          <w:lang w:val="en-GB" w:eastAsia="zh-TW"/>
        </w:rPr>
        <w:t xml:space="preserve">تشير عبارة </w:t>
      </w:r>
      <w:r>
        <w:rPr>
          <w:rFonts w:hint="cs"/>
          <w:sz w:val="18"/>
          <w:szCs w:val="26"/>
          <w:rtl/>
          <w:lang w:val="en-GB" w:eastAsia="zh-TW"/>
        </w:rPr>
        <w:t>"</w:t>
      </w:r>
      <w:r>
        <w:rPr>
          <w:sz w:val="18"/>
          <w:szCs w:val="26"/>
          <w:rtl/>
          <w:lang w:val="en-GB" w:eastAsia="zh-TW"/>
        </w:rPr>
        <w:t>قانون مناهضة التمييز</w:t>
      </w:r>
      <w:r>
        <w:rPr>
          <w:rFonts w:hint="cs"/>
          <w:sz w:val="18"/>
          <w:szCs w:val="26"/>
          <w:rtl/>
          <w:lang w:val="en-GB" w:eastAsia="zh-TW"/>
        </w:rPr>
        <w:t>"</w:t>
      </w:r>
      <w:r w:rsidRPr="0081736E">
        <w:rPr>
          <w:sz w:val="18"/>
          <w:szCs w:val="26"/>
          <w:rtl/>
          <w:lang w:val="en-GB" w:eastAsia="zh-TW"/>
        </w:rPr>
        <w:t xml:space="preserve"> إلى قانون ولاية نيو ساوث ويلز لعام 1977، ما لم يُذكر خلاف ذلك. </w:t>
      </w:r>
    </w:p>
  </w:footnote>
  <w:footnote w:id="11">
    <w:p w:rsidR="007A129E" w:rsidRPr="0081736E" w:rsidRDefault="007A129E" w:rsidP="005C3AD7">
      <w:pPr>
        <w:pStyle w:val="FootnoteText"/>
        <w:widowControl w:val="0"/>
        <w:spacing w:after="60" w:line="300" w:lineRule="exact"/>
        <w:ind w:left="1247" w:right="1247" w:hanging="567"/>
        <w:textDirection w:val="tbRlV"/>
        <w:rPr>
          <w:sz w:val="18"/>
          <w:szCs w:val="26"/>
          <w:rtl/>
          <w:lang w:val="en-GB" w:eastAsia="zh-TW"/>
        </w:rPr>
      </w:pPr>
      <w:r w:rsidRPr="0081736E">
        <w:rPr>
          <w:rFonts w:hint="cs"/>
          <w:sz w:val="18"/>
          <w:szCs w:val="26"/>
          <w:rtl/>
          <w:lang w:val="en-GB" w:eastAsia="zh-TW"/>
        </w:rPr>
        <w:t>(</w:t>
      </w:r>
      <w:r w:rsidRPr="0081736E">
        <w:rPr>
          <w:rStyle w:val="FootnoteReference"/>
          <w:szCs w:val="26"/>
          <w:vertAlign w:val="baseline"/>
          <w:rtl/>
          <w:lang w:val="en-GB" w:eastAsia="zh-TW"/>
        </w:rPr>
        <w:footnoteRef/>
      </w:r>
      <w:r w:rsidRPr="0081736E">
        <w:rPr>
          <w:rFonts w:hint="cs"/>
          <w:sz w:val="18"/>
          <w:szCs w:val="26"/>
          <w:rtl/>
          <w:lang w:val="en-GB" w:eastAsia="zh-TW"/>
        </w:rPr>
        <w:t>)</w:t>
      </w:r>
      <w:r w:rsidRPr="0081736E">
        <w:rPr>
          <w:rFonts w:hint="cs"/>
          <w:sz w:val="18"/>
          <w:szCs w:val="26"/>
          <w:rtl/>
          <w:lang w:val="en-GB" w:eastAsia="zh-TW"/>
        </w:rPr>
        <w:tab/>
      </w:r>
      <w:r w:rsidRPr="0081736E">
        <w:rPr>
          <w:sz w:val="18"/>
          <w:szCs w:val="26"/>
          <w:rtl/>
          <w:lang w:val="en-GB" w:eastAsia="zh-TW"/>
        </w:rPr>
        <w:t xml:space="preserve">تشير صاحبة البلاغ إلى </w:t>
      </w:r>
      <w:r w:rsidRPr="0081736E">
        <w:rPr>
          <w:rFonts w:hint="cs"/>
          <w:sz w:val="18"/>
          <w:szCs w:val="26"/>
          <w:rtl/>
          <w:lang w:val="en-GB" w:eastAsia="zh-TW"/>
        </w:rPr>
        <w:t>قضية</w:t>
      </w:r>
      <w:r>
        <w:rPr>
          <w:rFonts w:hint="cs"/>
          <w:sz w:val="18"/>
          <w:szCs w:val="26"/>
          <w:rtl/>
          <w:lang w:val="en-GB" w:eastAsia="zh-TW"/>
        </w:rPr>
        <w:t xml:space="preserve"> </w:t>
      </w:r>
      <w:r w:rsidRPr="005C3AD7">
        <w:rPr>
          <w:i/>
          <w:iCs/>
          <w:sz w:val="18"/>
          <w:szCs w:val="26"/>
          <w:lang w:val="en-GB" w:eastAsia="zh-TW"/>
        </w:rPr>
        <w:t>Waters v. Public Transport Corporation</w:t>
      </w:r>
      <w:r w:rsidRPr="0081736E">
        <w:rPr>
          <w:sz w:val="18"/>
          <w:szCs w:val="26"/>
          <w:lang w:val="en-GB" w:eastAsia="zh-TW"/>
        </w:rPr>
        <w:t xml:space="preserve"> [1991] HCA 49</w:t>
      </w:r>
      <w:r w:rsidRPr="0081736E">
        <w:rPr>
          <w:sz w:val="18"/>
          <w:szCs w:val="26"/>
          <w:rtl/>
          <w:lang w:val="en-GB" w:eastAsia="zh-TW"/>
        </w:rPr>
        <w:t>؛</w:t>
      </w:r>
      <w:r>
        <w:rPr>
          <w:rFonts w:hint="cs"/>
          <w:sz w:val="18"/>
          <w:szCs w:val="26"/>
          <w:rtl/>
          <w:lang w:val="en-GB" w:eastAsia="zh-TW"/>
        </w:rPr>
        <w:t xml:space="preserve"> </w:t>
      </w:r>
      <w:r w:rsidRPr="0081736E">
        <w:rPr>
          <w:sz w:val="18"/>
          <w:szCs w:val="26"/>
          <w:lang w:val="en-GB" w:eastAsia="zh-TW"/>
        </w:rPr>
        <w:t>173 CLR 349</w:t>
      </w:r>
      <w:r w:rsidRPr="0081736E">
        <w:rPr>
          <w:sz w:val="18"/>
          <w:szCs w:val="26"/>
          <w:rtl/>
          <w:lang w:val="en-GB" w:eastAsia="zh-TW"/>
        </w:rPr>
        <w:t>؛</w:t>
      </w:r>
      <w:r w:rsidRPr="0081736E">
        <w:rPr>
          <w:sz w:val="18"/>
          <w:szCs w:val="26"/>
          <w:lang w:val="en-GB" w:eastAsia="zh-TW"/>
        </w:rPr>
        <w:t xml:space="preserve"> </w:t>
      </w:r>
      <w:r w:rsidRPr="0081736E">
        <w:rPr>
          <w:sz w:val="18"/>
          <w:szCs w:val="26"/>
          <w:rtl/>
          <w:lang w:val="en-GB" w:eastAsia="zh-TW"/>
        </w:rPr>
        <w:t>وقضية</w:t>
      </w:r>
      <w:r>
        <w:rPr>
          <w:rFonts w:hint="cs"/>
          <w:sz w:val="18"/>
          <w:szCs w:val="26"/>
          <w:rtl/>
          <w:lang w:val="en-GB" w:eastAsia="zh-TW"/>
        </w:rPr>
        <w:t xml:space="preserve"> </w:t>
      </w:r>
      <w:r w:rsidRPr="005C3AD7">
        <w:rPr>
          <w:i/>
          <w:iCs/>
          <w:sz w:val="18"/>
          <w:szCs w:val="26"/>
          <w:lang w:val="en-GB" w:eastAsia="zh-TW"/>
        </w:rPr>
        <w:t>IW v. City of Perth</w:t>
      </w:r>
      <w:r w:rsidRPr="0081736E">
        <w:rPr>
          <w:sz w:val="18"/>
          <w:szCs w:val="26"/>
          <w:lang w:val="en-GB" w:eastAsia="zh-TW"/>
        </w:rPr>
        <w:t xml:space="preserve"> [1997] HCA 30</w:t>
      </w:r>
      <w:r w:rsidRPr="0081736E">
        <w:rPr>
          <w:sz w:val="18"/>
          <w:szCs w:val="26"/>
          <w:rtl/>
          <w:lang w:val="en-GB" w:eastAsia="zh-TW"/>
        </w:rPr>
        <w:t>؛</w:t>
      </w:r>
      <w:r>
        <w:rPr>
          <w:sz w:val="18"/>
          <w:szCs w:val="26"/>
          <w:rtl/>
          <w:lang w:val="en-GB" w:eastAsia="zh-TW"/>
        </w:rPr>
        <w:t xml:space="preserve"> </w:t>
      </w:r>
      <w:r w:rsidRPr="0081736E">
        <w:rPr>
          <w:sz w:val="18"/>
          <w:szCs w:val="26"/>
          <w:lang w:val="en-GB" w:eastAsia="zh-TW"/>
        </w:rPr>
        <w:t>191 CLR 1</w:t>
      </w:r>
      <w:r w:rsidRPr="0081736E">
        <w:rPr>
          <w:sz w:val="18"/>
          <w:szCs w:val="26"/>
          <w:rtl/>
          <w:lang w:val="en-GB" w:eastAsia="zh-TW"/>
        </w:rPr>
        <w:t>؛</w:t>
      </w:r>
      <w:r w:rsidRPr="0081736E">
        <w:rPr>
          <w:sz w:val="18"/>
          <w:szCs w:val="26"/>
          <w:lang w:val="en-GB" w:eastAsia="zh-TW"/>
        </w:rPr>
        <w:t xml:space="preserve"> </w:t>
      </w:r>
      <w:r w:rsidRPr="0081736E">
        <w:rPr>
          <w:sz w:val="18"/>
          <w:szCs w:val="26"/>
          <w:rtl/>
          <w:lang w:val="en-GB" w:eastAsia="zh-TW"/>
        </w:rPr>
        <w:t>وقضية</w:t>
      </w:r>
      <w:r>
        <w:rPr>
          <w:rFonts w:hint="cs"/>
          <w:sz w:val="18"/>
          <w:szCs w:val="26"/>
          <w:rtl/>
          <w:lang w:val="en-GB" w:eastAsia="zh-TW"/>
        </w:rPr>
        <w:t xml:space="preserve"> </w:t>
      </w:r>
      <w:r w:rsidRPr="005C3AD7">
        <w:rPr>
          <w:i/>
          <w:iCs/>
          <w:sz w:val="18"/>
          <w:szCs w:val="26"/>
          <w:lang w:val="en-GB" w:eastAsia="zh-TW"/>
        </w:rPr>
        <w:t>Rainsford v. Victoria</w:t>
      </w:r>
      <w:r w:rsidRPr="0081736E">
        <w:rPr>
          <w:sz w:val="18"/>
          <w:szCs w:val="26"/>
          <w:lang w:val="en-GB" w:eastAsia="zh-TW"/>
        </w:rPr>
        <w:t xml:space="preserve"> (No.2) (2004) 184 FLR 110</w:t>
      </w:r>
      <w:r w:rsidRPr="0081736E">
        <w:rPr>
          <w:sz w:val="18"/>
          <w:szCs w:val="26"/>
          <w:rtl/>
          <w:lang w:val="en-GB" w:eastAsia="zh-TW"/>
        </w:rPr>
        <w:t>؛</w:t>
      </w:r>
      <w:r w:rsidRPr="0081736E">
        <w:rPr>
          <w:sz w:val="18"/>
          <w:szCs w:val="26"/>
          <w:lang w:val="en-GB" w:eastAsia="zh-TW"/>
        </w:rPr>
        <w:t xml:space="preserve"> </w:t>
      </w:r>
      <w:r w:rsidRPr="0081736E">
        <w:rPr>
          <w:sz w:val="18"/>
          <w:szCs w:val="26"/>
          <w:rtl/>
          <w:lang w:val="en-GB" w:eastAsia="zh-TW"/>
        </w:rPr>
        <w:t>وقضية</w:t>
      </w:r>
      <w:r>
        <w:rPr>
          <w:rFonts w:hint="cs"/>
          <w:sz w:val="18"/>
          <w:szCs w:val="26"/>
          <w:rtl/>
          <w:lang w:val="en-GB" w:eastAsia="zh-TW"/>
        </w:rPr>
        <w:t xml:space="preserve"> </w:t>
      </w:r>
      <w:r w:rsidRPr="005C3AD7">
        <w:rPr>
          <w:i/>
          <w:iCs/>
          <w:sz w:val="18"/>
          <w:szCs w:val="26"/>
          <w:lang w:val="en-GB" w:eastAsia="zh-TW"/>
        </w:rPr>
        <w:t>AB v. Registrar of Births</w:t>
      </w:r>
      <w:r w:rsidRPr="0081736E">
        <w:rPr>
          <w:sz w:val="18"/>
          <w:szCs w:val="26"/>
          <w:lang w:val="en-GB" w:eastAsia="zh-TW"/>
        </w:rPr>
        <w:t>, Deaths and Marriages (2006) FCA 1071</w:t>
      </w:r>
      <w:r w:rsidRPr="0081736E">
        <w:rPr>
          <w:sz w:val="18"/>
          <w:szCs w:val="26"/>
          <w:rtl/>
          <w:lang w:val="en-GB" w:eastAsia="zh-TW"/>
        </w:rPr>
        <w:t>؛</w:t>
      </w:r>
      <w:r w:rsidRPr="0081736E">
        <w:rPr>
          <w:sz w:val="18"/>
          <w:szCs w:val="26"/>
          <w:lang w:val="en-GB" w:eastAsia="zh-TW"/>
        </w:rPr>
        <w:t xml:space="preserve"> </w:t>
      </w:r>
      <w:r w:rsidRPr="0081736E">
        <w:rPr>
          <w:sz w:val="18"/>
          <w:szCs w:val="26"/>
          <w:rtl/>
          <w:lang w:val="en-GB" w:eastAsia="zh-TW"/>
        </w:rPr>
        <w:t>وقضية</w:t>
      </w:r>
      <w:r w:rsidR="005C3AD7">
        <w:rPr>
          <w:rFonts w:hint="cs"/>
          <w:sz w:val="18"/>
          <w:szCs w:val="26"/>
          <w:rtl/>
          <w:lang w:val="en-GB" w:eastAsia="zh-TW"/>
        </w:rPr>
        <w:t xml:space="preserve"> </w:t>
      </w:r>
      <w:r w:rsidRPr="005C3AD7">
        <w:rPr>
          <w:i/>
          <w:iCs/>
          <w:sz w:val="18"/>
          <w:szCs w:val="26"/>
          <w:lang w:val="en-GB" w:eastAsia="zh-TW"/>
        </w:rPr>
        <w:t>AB v. Registrar of Births</w:t>
      </w:r>
      <w:r w:rsidRPr="0081736E">
        <w:rPr>
          <w:sz w:val="18"/>
          <w:szCs w:val="26"/>
          <w:lang w:val="en-GB" w:eastAsia="zh-TW"/>
        </w:rPr>
        <w:t>, Deaths and Marriages (2007) 162 FCR 528</w:t>
      </w:r>
      <w:r w:rsidRPr="0081736E">
        <w:rPr>
          <w:sz w:val="18"/>
          <w:szCs w:val="26"/>
          <w:rtl/>
          <w:lang w:val="en-GB" w:eastAsia="zh-TW"/>
        </w:rPr>
        <w:t>؛</w:t>
      </w:r>
      <w:r w:rsidRPr="0081736E">
        <w:rPr>
          <w:sz w:val="18"/>
          <w:szCs w:val="26"/>
          <w:lang w:val="en-GB" w:eastAsia="zh-TW"/>
        </w:rPr>
        <w:t xml:space="preserve"> </w:t>
      </w:r>
      <w:r w:rsidRPr="0081736E">
        <w:rPr>
          <w:sz w:val="18"/>
          <w:szCs w:val="26"/>
          <w:rtl/>
          <w:lang w:val="en-GB" w:eastAsia="zh-TW"/>
        </w:rPr>
        <w:t>وقضية</w:t>
      </w:r>
      <w:r>
        <w:rPr>
          <w:sz w:val="18"/>
          <w:szCs w:val="26"/>
          <w:rtl/>
          <w:lang w:val="en-GB" w:eastAsia="zh-TW"/>
        </w:rPr>
        <w:t xml:space="preserve"> </w:t>
      </w:r>
      <w:r w:rsidRPr="005C3AD7">
        <w:rPr>
          <w:i/>
          <w:iCs/>
          <w:sz w:val="18"/>
          <w:szCs w:val="26"/>
          <w:lang w:val="en-GB" w:eastAsia="zh-TW"/>
        </w:rPr>
        <w:t>Secretary of the Department of Justice and Industrial Relations v. Anti-Discrimination Commissioner</w:t>
      </w:r>
      <w:r w:rsidRPr="0081736E">
        <w:rPr>
          <w:sz w:val="18"/>
          <w:szCs w:val="26"/>
          <w:lang w:val="en-GB" w:eastAsia="zh-TW"/>
        </w:rPr>
        <w:t xml:space="preserve"> (2003) 11 </w:t>
      </w:r>
      <w:proofErr w:type="spellStart"/>
      <w:r w:rsidRPr="0081736E">
        <w:rPr>
          <w:sz w:val="18"/>
          <w:szCs w:val="26"/>
          <w:lang w:val="en-GB" w:eastAsia="zh-TW"/>
        </w:rPr>
        <w:t>Tas</w:t>
      </w:r>
      <w:proofErr w:type="spellEnd"/>
      <w:r w:rsidRPr="0081736E">
        <w:rPr>
          <w:sz w:val="18"/>
          <w:szCs w:val="26"/>
          <w:lang w:val="en-GB" w:eastAsia="zh-TW"/>
        </w:rPr>
        <w:t xml:space="preserve"> R 324</w:t>
      </w:r>
      <w:r w:rsidRPr="0081736E">
        <w:rPr>
          <w:sz w:val="18"/>
          <w:szCs w:val="26"/>
          <w:rtl/>
          <w:lang w:val="en-GB" w:eastAsia="zh-TW"/>
        </w:rPr>
        <w:t>؛</w:t>
      </w:r>
      <w:r w:rsidRPr="0081736E">
        <w:rPr>
          <w:sz w:val="18"/>
          <w:szCs w:val="26"/>
          <w:lang w:val="en-GB" w:eastAsia="zh-TW"/>
        </w:rPr>
        <w:t xml:space="preserve"> </w:t>
      </w:r>
      <w:r w:rsidRPr="0081736E">
        <w:rPr>
          <w:sz w:val="18"/>
          <w:szCs w:val="26"/>
          <w:rtl/>
          <w:lang w:val="en-GB" w:eastAsia="zh-TW"/>
        </w:rPr>
        <w:t>وقضية</w:t>
      </w:r>
      <w:r>
        <w:rPr>
          <w:rFonts w:hint="cs"/>
          <w:sz w:val="18"/>
          <w:szCs w:val="26"/>
          <w:rtl/>
          <w:lang w:val="en-GB" w:eastAsia="zh-TW"/>
        </w:rPr>
        <w:t xml:space="preserve"> </w:t>
      </w:r>
      <w:r w:rsidRPr="005C3AD7">
        <w:rPr>
          <w:i/>
          <w:iCs/>
          <w:sz w:val="18"/>
          <w:szCs w:val="26"/>
          <w:lang w:val="en-GB" w:eastAsia="zh-TW"/>
        </w:rPr>
        <w:t>Commissioner for Police v. Mohamed</w:t>
      </w:r>
      <w:r w:rsidRPr="0081736E">
        <w:rPr>
          <w:sz w:val="18"/>
          <w:szCs w:val="26"/>
          <w:lang w:val="en-GB" w:eastAsia="zh-TW"/>
        </w:rPr>
        <w:t xml:space="preserve"> [2009] NSWCA 432</w:t>
      </w:r>
      <w:r w:rsidR="005C3AD7">
        <w:rPr>
          <w:rFonts w:hint="cs"/>
          <w:sz w:val="18"/>
          <w:szCs w:val="26"/>
          <w:rtl/>
          <w:lang w:val="en-GB" w:eastAsia="zh-TW"/>
        </w:rPr>
        <w:t>.</w:t>
      </w:r>
    </w:p>
  </w:footnote>
  <w:footnote w:id="12">
    <w:p w:rsidR="007A129E" w:rsidRPr="0081736E" w:rsidRDefault="007A129E" w:rsidP="0081736E">
      <w:pPr>
        <w:pStyle w:val="FootnoteText"/>
        <w:widowControl w:val="0"/>
        <w:spacing w:after="60" w:line="300" w:lineRule="exact"/>
        <w:ind w:left="1247" w:right="1247" w:hanging="567"/>
        <w:textDirection w:val="tbRlV"/>
        <w:rPr>
          <w:sz w:val="18"/>
          <w:szCs w:val="26"/>
          <w:rtl/>
          <w:lang w:val="en-GB" w:eastAsia="zh-TW"/>
        </w:rPr>
      </w:pPr>
      <w:r w:rsidRPr="0081736E">
        <w:rPr>
          <w:rFonts w:hint="cs"/>
          <w:sz w:val="18"/>
          <w:szCs w:val="26"/>
          <w:rtl/>
          <w:lang w:val="en-GB" w:eastAsia="zh-TW"/>
        </w:rPr>
        <w:t>(</w:t>
      </w:r>
      <w:r w:rsidRPr="0081736E">
        <w:rPr>
          <w:rStyle w:val="FootnoteReference"/>
          <w:szCs w:val="26"/>
          <w:vertAlign w:val="baseline"/>
          <w:rtl/>
          <w:lang w:val="en-GB" w:eastAsia="zh-TW"/>
        </w:rPr>
        <w:footnoteRef/>
      </w:r>
      <w:r w:rsidRPr="0081736E">
        <w:rPr>
          <w:rFonts w:hint="cs"/>
          <w:sz w:val="18"/>
          <w:szCs w:val="26"/>
          <w:rtl/>
          <w:lang w:val="en-GB" w:eastAsia="zh-TW"/>
        </w:rPr>
        <w:t>)</w:t>
      </w:r>
      <w:r w:rsidRPr="0081736E">
        <w:rPr>
          <w:rFonts w:hint="cs"/>
          <w:sz w:val="18"/>
          <w:szCs w:val="26"/>
          <w:rtl/>
          <w:lang w:val="en-GB" w:eastAsia="zh-TW"/>
        </w:rPr>
        <w:tab/>
      </w:r>
      <w:r w:rsidRPr="0081736E">
        <w:rPr>
          <w:sz w:val="18"/>
          <w:szCs w:val="26"/>
          <w:rtl/>
          <w:lang w:val="en-GB" w:eastAsia="zh-TW"/>
        </w:rPr>
        <w:t xml:space="preserve">تشير صاحبة البلاغ إلى </w:t>
      </w:r>
      <w:r w:rsidRPr="0081736E">
        <w:rPr>
          <w:rFonts w:hint="cs"/>
          <w:sz w:val="18"/>
          <w:szCs w:val="26"/>
          <w:rtl/>
          <w:lang w:val="en-GB" w:eastAsia="zh-TW"/>
        </w:rPr>
        <w:t>قضية</w:t>
      </w:r>
      <w:r>
        <w:rPr>
          <w:rFonts w:hint="cs"/>
          <w:sz w:val="18"/>
          <w:szCs w:val="26"/>
          <w:rtl/>
          <w:lang w:val="en-GB" w:eastAsia="zh-TW"/>
        </w:rPr>
        <w:t xml:space="preserve"> </w:t>
      </w:r>
      <w:r w:rsidRPr="005C3AD7">
        <w:rPr>
          <w:i/>
          <w:iCs/>
          <w:sz w:val="18"/>
          <w:szCs w:val="26"/>
          <w:lang w:val="en-GB" w:eastAsia="zh-TW"/>
        </w:rPr>
        <w:t>Purvis v. State of New South Wales (Department of Education and Training)</w:t>
      </w:r>
      <w:r w:rsidRPr="0081736E">
        <w:rPr>
          <w:sz w:val="18"/>
          <w:szCs w:val="26"/>
          <w:lang w:val="en-GB" w:eastAsia="zh-TW"/>
        </w:rPr>
        <w:t xml:space="preserve"> (2003) 217 CLR 92</w:t>
      </w:r>
      <w:r w:rsidRPr="0081736E">
        <w:rPr>
          <w:sz w:val="18"/>
          <w:szCs w:val="26"/>
          <w:rtl/>
          <w:lang w:val="en-GB" w:eastAsia="zh-TW"/>
        </w:rPr>
        <w:t xml:space="preserve">. </w:t>
      </w:r>
    </w:p>
  </w:footnote>
  <w:footnote w:id="13">
    <w:p w:rsidR="007A129E" w:rsidRPr="0081736E" w:rsidRDefault="007A129E" w:rsidP="0081736E">
      <w:pPr>
        <w:pStyle w:val="FootnoteText"/>
        <w:widowControl w:val="0"/>
        <w:spacing w:after="60" w:line="300" w:lineRule="exact"/>
        <w:ind w:left="1247" w:right="1247" w:hanging="567"/>
        <w:textDirection w:val="tbRlV"/>
        <w:rPr>
          <w:sz w:val="18"/>
          <w:szCs w:val="26"/>
          <w:rtl/>
          <w:lang w:val="en-GB" w:eastAsia="zh-TW"/>
        </w:rPr>
      </w:pPr>
      <w:r w:rsidRPr="0081736E">
        <w:rPr>
          <w:rFonts w:hint="cs"/>
          <w:sz w:val="18"/>
          <w:szCs w:val="26"/>
          <w:rtl/>
          <w:lang w:val="en-GB" w:eastAsia="zh-TW"/>
        </w:rPr>
        <w:t>(</w:t>
      </w:r>
      <w:r w:rsidRPr="0081736E">
        <w:rPr>
          <w:rStyle w:val="FootnoteReference"/>
          <w:szCs w:val="26"/>
          <w:vertAlign w:val="baseline"/>
          <w:rtl/>
          <w:lang w:val="en-GB" w:eastAsia="zh-TW"/>
        </w:rPr>
        <w:footnoteRef/>
      </w:r>
      <w:r w:rsidRPr="0081736E">
        <w:rPr>
          <w:rFonts w:hint="cs"/>
          <w:sz w:val="18"/>
          <w:szCs w:val="26"/>
          <w:rtl/>
          <w:lang w:val="en-GB" w:eastAsia="zh-TW"/>
        </w:rPr>
        <w:t>)</w:t>
      </w:r>
      <w:r w:rsidRPr="0081736E">
        <w:rPr>
          <w:rFonts w:hint="cs"/>
          <w:sz w:val="18"/>
          <w:szCs w:val="26"/>
          <w:rtl/>
          <w:lang w:val="en-GB" w:eastAsia="zh-TW"/>
        </w:rPr>
        <w:tab/>
      </w:r>
      <w:r w:rsidRPr="0081736E">
        <w:rPr>
          <w:sz w:val="18"/>
          <w:szCs w:val="26"/>
          <w:rtl/>
          <w:lang w:val="en-GB" w:eastAsia="zh-TW"/>
        </w:rPr>
        <w:t xml:space="preserve">ما </w:t>
      </w:r>
      <w:r w:rsidRPr="0081736E">
        <w:rPr>
          <w:rFonts w:hint="cs"/>
          <w:sz w:val="18"/>
          <w:szCs w:val="26"/>
          <w:rtl/>
          <w:lang w:val="en-GB" w:eastAsia="zh-TW"/>
        </w:rPr>
        <w:t>بين</w:t>
      </w:r>
      <w:r>
        <w:rPr>
          <w:sz w:val="18"/>
          <w:szCs w:val="26"/>
          <w:rtl/>
          <w:lang w:val="en-GB" w:eastAsia="zh-TW"/>
        </w:rPr>
        <w:t xml:space="preserve"> </w:t>
      </w:r>
      <w:r w:rsidRPr="0081736E">
        <w:rPr>
          <w:rFonts w:hint="cs"/>
          <w:sz w:val="18"/>
          <w:szCs w:val="26"/>
          <w:rtl/>
          <w:lang w:val="en-GB" w:eastAsia="zh-TW"/>
        </w:rPr>
        <w:t>300 35</w:t>
      </w:r>
      <w:r w:rsidRPr="0081736E">
        <w:rPr>
          <w:sz w:val="18"/>
          <w:szCs w:val="26"/>
          <w:rtl/>
          <w:lang w:val="en-GB" w:eastAsia="zh-TW"/>
        </w:rPr>
        <w:t xml:space="preserve"> دولار أمريكي و600 70 دولار أمريكي تقريباً. </w:t>
      </w:r>
    </w:p>
  </w:footnote>
  <w:footnote w:id="14">
    <w:p w:rsidR="007A129E" w:rsidRPr="0081736E" w:rsidRDefault="007A129E" w:rsidP="00F05419">
      <w:pPr>
        <w:pStyle w:val="FootnoteText"/>
        <w:widowControl w:val="0"/>
        <w:spacing w:after="60" w:line="300" w:lineRule="exact"/>
        <w:ind w:left="1247" w:right="1247" w:hanging="567"/>
        <w:textDirection w:val="tbRlV"/>
        <w:rPr>
          <w:sz w:val="18"/>
          <w:szCs w:val="26"/>
          <w:rtl/>
          <w:lang w:val="en-GB" w:eastAsia="zh-TW"/>
        </w:rPr>
      </w:pPr>
      <w:r w:rsidRPr="0081736E">
        <w:rPr>
          <w:rFonts w:hint="cs"/>
          <w:sz w:val="18"/>
          <w:szCs w:val="26"/>
          <w:rtl/>
          <w:lang w:val="en-GB" w:eastAsia="zh-TW"/>
        </w:rPr>
        <w:t>(</w:t>
      </w:r>
      <w:r w:rsidRPr="0081736E">
        <w:rPr>
          <w:rStyle w:val="FootnoteReference"/>
          <w:szCs w:val="26"/>
          <w:vertAlign w:val="baseline"/>
          <w:rtl/>
          <w:lang w:val="en-GB" w:eastAsia="zh-TW"/>
        </w:rPr>
        <w:footnoteRef/>
      </w:r>
      <w:r w:rsidRPr="0081736E">
        <w:rPr>
          <w:rFonts w:hint="cs"/>
          <w:sz w:val="18"/>
          <w:szCs w:val="26"/>
          <w:rtl/>
          <w:lang w:val="en-GB" w:eastAsia="zh-TW"/>
        </w:rPr>
        <w:t>)</w:t>
      </w:r>
      <w:r w:rsidRPr="0081736E">
        <w:rPr>
          <w:rFonts w:hint="cs"/>
          <w:sz w:val="18"/>
          <w:szCs w:val="26"/>
          <w:rtl/>
          <w:lang w:val="en-GB" w:eastAsia="zh-TW"/>
        </w:rPr>
        <w:tab/>
      </w:r>
      <w:r w:rsidRPr="0081736E">
        <w:rPr>
          <w:sz w:val="18"/>
          <w:szCs w:val="26"/>
          <w:rtl/>
          <w:lang w:val="en-GB" w:eastAsia="zh-TW"/>
        </w:rPr>
        <w:t xml:space="preserve">حكومة نيو ساوث ويلز، </w:t>
      </w:r>
      <w:r w:rsidRPr="0081736E">
        <w:rPr>
          <w:sz w:val="18"/>
          <w:szCs w:val="26"/>
          <w:lang w:val="en-GB" w:eastAsia="zh-TW"/>
        </w:rPr>
        <w:t>“Response to the NSW Law Reform Commission</w:t>
      </w:r>
      <w:r>
        <w:t>”</w:t>
      </w:r>
      <w:r w:rsidRPr="0081736E">
        <w:rPr>
          <w:sz w:val="18"/>
          <w:szCs w:val="26"/>
          <w:rtl/>
          <w:lang w:val="en-GB" w:eastAsia="zh-TW"/>
        </w:rPr>
        <w:t>،</w:t>
      </w:r>
      <w:r w:rsidRPr="0081736E">
        <w:rPr>
          <w:sz w:val="18"/>
          <w:szCs w:val="26"/>
          <w:lang w:val="en-GB" w:eastAsia="zh-TW"/>
        </w:rPr>
        <w:t xml:space="preserve"> </w:t>
      </w:r>
      <w:r w:rsidRPr="0081736E">
        <w:rPr>
          <w:sz w:val="18"/>
          <w:szCs w:val="26"/>
          <w:rtl/>
          <w:lang w:val="en-GB" w:eastAsia="zh-TW"/>
        </w:rPr>
        <w:t xml:space="preserve">الفقرة 3. </w:t>
      </w:r>
    </w:p>
  </w:footnote>
  <w:footnote w:id="15">
    <w:p w:rsidR="007A129E" w:rsidRPr="007A129E" w:rsidRDefault="007A129E" w:rsidP="007A129E">
      <w:pPr>
        <w:pStyle w:val="FootnoteText"/>
        <w:widowControl w:val="0"/>
        <w:spacing w:after="60" w:line="300" w:lineRule="exact"/>
        <w:ind w:left="1247" w:right="1247" w:hanging="567"/>
        <w:textDirection w:val="tbRlV"/>
        <w:rPr>
          <w:sz w:val="18"/>
          <w:szCs w:val="26"/>
          <w:rtl/>
          <w:lang w:val="en-GB" w:eastAsia="zh-TW"/>
        </w:rPr>
      </w:pPr>
      <w:r w:rsidRPr="0081736E">
        <w:rPr>
          <w:rFonts w:hint="cs"/>
          <w:sz w:val="18"/>
          <w:szCs w:val="26"/>
          <w:rtl/>
          <w:lang w:val="en-GB" w:eastAsia="zh-TW"/>
        </w:rPr>
        <w:t>(</w:t>
      </w:r>
      <w:r w:rsidRPr="0081736E">
        <w:rPr>
          <w:rStyle w:val="FootnoteReference"/>
          <w:szCs w:val="26"/>
          <w:vertAlign w:val="baseline"/>
          <w:rtl/>
          <w:lang w:val="en-GB" w:eastAsia="zh-TW"/>
        </w:rPr>
        <w:footnoteRef/>
      </w:r>
      <w:r w:rsidRPr="0081736E">
        <w:rPr>
          <w:rFonts w:hint="cs"/>
          <w:sz w:val="18"/>
          <w:szCs w:val="26"/>
          <w:rtl/>
          <w:lang w:val="en-GB" w:eastAsia="zh-TW"/>
        </w:rPr>
        <w:t>)</w:t>
      </w:r>
      <w:r w:rsidRPr="0081736E">
        <w:rPr>
          <w:rFonts w:hint="cs"/>
          <w:sz w:val="18"/>
          <w:szCs w:val="26"/>
          <w:rtl/>
          <w:lang w:val="en-GB" w:eastAsia="zh-TW"/>
        </w:rPr>
        <w:tab/>
      </w:r>
      <w:r w:rsidRPr="0081736E">
        <w:rPr>
          <w:sz w:val="18"/>
          <w:szCs w:val="26"/>
          <w:rtl/>
          <w:lang w:val="en-GB" w:eastAsia="zh-TW"/>
        </w:rPr>
        <w:t>حكومة نيو ساوث ويلز،</w:t>
      </w:r>
      <w:r>
        <w:rPr>
          <w:rFonts w:hint="cs"/>
          <w:sz w:val="18"/>
          <w:szCs w:val="26"/>
          <w:rtl/>
          <w:lang w:val="en-GB" w:eastAsia="zh-TW"/>
        </w:rPr>
        <w:t xml:space="preserve"> </w:t>
      </w:r>
      <w:r w:rsidRPr="007A129E">
        <w:rPr>
          <w:sz w:val="18"/>
          <w:szCs w:val="26"/>
          <w:lang w:val="en-GB" w:eastAsia="zh-TW"/>
        </w:rPr>
        <w:t>“NSW 2021: a plan to make NSW No. 1” (2011), p. 3</w:t>
      </w:r>
      <w:r>
        <w:rPr>
          <w:rFonts w:hint="cs"/>
          <w:sz w:val="18"/>
          <w:szCs w:val="26"/>
          <w:rtl/>
          <w:lang w:val="en-GB" w:eastAsia="zh-TW"/>
        </w:rPr>
        <w:t>.</w:t>
      </w:r>
    </w:p>
  </w:footnote>
  <w:footnote w:id="16">
    <w:p w:rsidR="007A129E" w:rsidRPr="0081736E" w:rsidRDefault="007A129E" w:rsidP="0081736E">
      <w:pPr>
        <w:pStyle w:val="FootnoteText"/>
        <w:widowControl w:val="0"/>
        <w:spacing w:after="60" w:line="300" w:lineRule="exact"/>
        <w:ind w:left="1247" w:right="1247" w:hanging="567"/>
        <w:textDirection w:val="tbRlV"/>
        <w:rPr>
          <w:sz w:val="18"/>
          <w:szCs w:val="26"/>
          <w:rtl/>
          <w:lang w:val="en-GB" w:eastAsia="zh-TW"/>
        </w:rPr>
      </w:pPr>
      <w:r w:rsidRPr="0081736E">
        <w:rPr>
          <w:sz w:val="18"/>
          <w:szCs w:val="26"/>
          <w:rtl/>
          <w:lang w:val="en-GB" w:eastAsia="zh-TW"/>
        </w:rPr>
        <w:t>(</w:t>
      </w:r>
      <w:r w:rsidRPr="0081736E">
        <w:rPr>
          <w:rStyle w:val="FootnoteReference"/>
          <w:szCs w:val="26"/>
          <w:vertAlign w:val="baseline"/>
          <w:rtl/>
          <w:lang w:val="en-GB" w:eastAsia="zh-TW"/>
        </w:rPr>
        <w:footnoteRef/>
      </w:r>
      <w:r w:rsidRPr="0081736E">
        <w:rPr>
          <w:sz w:val="18"/>
          <w:szCs w:val="26"/>
          <w:rtl/>
          <w:lang w:val="en-GB" w:eastAsia="zh-TW"/>
        </w:rPr>
        <w:t>)</w:t>
      </w:r>
      <w:r w:rsidRPr="0081736E">
        <w:rPr>
          <w:rFonts w:hint="cs"/>
          <w:sz w:val="18"/>
          <w:szCs w:val="26"/>
          <w:rtl/>
          <w:lang w:val="en-GB" w:eastAsia="zh-TW"/>
        </w:rPr>
        <w:tab/>
      </w:r>
      <w:r w:rsidRPr="0081736E">
        <w:rPr>
          <w:sz w:val="18"/>
          <w:szCs w:val="26"/>
          <w:rtl/>
          <w:lang w:val="en-GB" w:eastAsia="zh-TW"/>
        </w:rPr>
        <w:t xml:space="preserve">المذكرة التوضيحية لقانون المحلفين المعدل لعام 2010. </w:t>
      </w:r>
    </w:p>
  </w:footnote>
  <w:footnote w:id="17">
    <w:p w:rsidR="007A129E" w:rsidRPr="0081736E" w:rsidRDefault="007A129E" w:rsidP="007A129E">
      <w:pPr>
        <w:pStyle w:val="FootnoteText"/>
        <w:widowControl w:val="0"/>
        <w:spacing w:after="60" w:line="300" w:lineRule="exact"/>
        <w:ind w:left="1247" w:right="1247" w:hanging="567"/>
        <w:textDirection w:val="tbRlV"/>
        <w:rPr>
          <w:sz w:val="18"/>
          <w:szCs w:val="26"/>
          <w:rtl/>
          <w:lang w:val="en-GB" w:eastAsia="zh-TW"/>
        </w:rPr>
      </w:pPr>
      <w:r w:rsidRPr="0081736E">
        <w:rPr>
          <w:sz w:val="18"/>
          <w:szCs w:val="26"/>
          <w:rtl/>
          <w:lang w:val="en-GB" w:eastAsia="zh-TW"/>
        </w:rPr>
        <w:t>(</w:t>
      </w:r>
      <w:r w:rsidRPr="0081736E">
        <w:rPr>
          <w:rStyle w:val="FootnoteReference"/>
          <w:szCs w:val="26"/>
          <w:vertAlign w:val="baseline"/>
          <w:rtl/>
          <w:lang w:val="en-GB" w:eastAsia="zh-TW"/>
        </w:rPr>
        <w:footnoteRef/>
      </w:r>
      <w:r w:rsidRPr="0081736E">
        <w:rPr>
          <w:sz w:val="18"/>
          <w:szCs w:val="26"/>
          <w:rtl/>
          <w:lang w:val="en-GB" w:eastAsia="zh-TW"/>
        </w:rPr>
        <w:t>)</w:t>
      </w:r>
      <w:r w:rsidRPr="0081736E">
        <w:rPr>
          <w:rFonts w:hint="cs"/>
          <w:sz w:val="18"/>
          <w:szCs w:val="26"/>
          <w:rtl/>
          <w:lang w:val="en-GB" w:eastAsia="zh-TW"/>
        </w:rPr>
        <w:tab/>
      </w:r>
      <w:r w:rsidRPr="0081736E">
        <w:rPr>
          <w:sz w:val="18"/>
          <w:szCs w:val="26"/>
          <w:rtl/>
          <w:lang w:val="en-GB" w:eastAsia="zh-TW"/>
        </w:rPr>
        <w:t>انظر</w:t>
      </w:r>
      <w:r>
        <w:rPr>
          <w:sz w:val="18"/>
          <w:szCs w:val="26"/>
          <w:rtl/>
          <w:lang w:val="en-GB" w:eastAsia="zh-TW"/>
        </w:rPr>
        <w:t xml:space="preserve"> </w:t>
      </w:r>
      <w:r w:rsidRPr="0081736E">
        <w:rPr>
          <w:sz w:val="18"/>
          <w:szCs w:val="26"/>
          <w:lang w:val="en-GB" w:eastAsia="zh-TW"/>
        </w:rPr>
        <w:t>A/64/40</w:t>
      </w:r>
      <w:r w:rsidRPr="007A129E">
        <w:rPr>
          <w:sz w:val="18"/>
          <w:szCs w:val="26"/>
          <w:rtl/>
          <w:lang w:val="en-GB" w:eastAsia="zh-TW"/>
        </w:rPr>
        <w:t>، الفقرة 118، و</w:t>
      </w:r>
      <w:r w:rsidRPr="007A129E">
        <w:rPr>
          <w:sz w:val="18"/>
          <w:szCs w:val="26"/>
          <w:lang w:val="en-GB" w:eastAsia="zh-TW"/>
        </w:rPr>
        <w:t>A/63/40</w:t>
      </w:r>
      <w:r w:rsidRPr="007A129E">
        <w:rPr>
          <w:sz w:val="18"/>
          <w:szCs w:val="26"/>
          <w:rtl/>
          <w:lang w:val="en-GB" w:eastAsia="zh-TW"/>
        </w:rPr>
        <w:t>، الفقرة 108، و</w:t>
      </w:r>
      <w:r w:rsidRPr="007A129E">
        <w:rPr>
          <w:sz w:val="18"/>
          <w:szCs w:val="26"/>
          <w:lang w:val="en-GB" w:eastAsia="zh-TW"/>
        </w:rPr>
        <w:t>A/62/40</w:t>
      </w:r>
      <w:r w:rsidRPr="007A129E">
        <w:rPr>
          <w:sz w:val="18"/>
          <w:szCs w:val="26"/>
          <w:rtl/>
          <w:lang w:val="en-GB" w:eastAsia="zh-TW"/>
        </w:rPr>
        <w:t>، الفقرة 119، و</w:t>
      </w:r>
      <w:r w:rsidRPr="007A129E">
        <w:rPr>
          <w:sz w:val="18"/>
          <w:szCs w:val="26"/>
          <w:lang w:val="en-GB" w:eastAsia="zh-TW"/>
        </w:rPr>
        <w:t>A/61/40</w:t>
      </w:r>
      <w:r w:rsidRPr="007A129E">
        <w:rPr>
          <w:sz w:val="18"/>
          <w:szCs w:val="26"/>
          <w:rtl/>
          <w:lang w:val="en-GB" w:eastAsia="zh-TW"/>
        </w:rPr>
        <w:t>، الفقرة 115.</w:t>
      </w:r>
    </w:p>
  </w:footnote>
  <w:footnote w:id="18">
    <w:p w:rsidR="007A129E" w:rsidRPr="0081736E" w:rsidRDefault="007A129E" w:rsidP="007A129E">
      <w:pPr>
        <w:pStyle w:val="FootnoteText"/>
        <w:widowControl w:val="0"/>
        <w:spacing w:after="60" w:line="300" w:lineRule="exact"/>
        <w:ind w:left="1247" w:right="1247" w:hanging="567"/>
        <w:textDirection w:val="tbRlV"/>
        <w:rPr>
          <w:sz w:val="18"/>
          <w:szCs w:val="26"/>
          <w:rtl/>
          <w:lang w:val="en-GB" w:eastAsia="zh-TW"/>
        </w:rPr>
      </w:pPr>
      <w:r w:rsidRPr="0081736E">
        <w:rPr>
          <w:rFonts w:hint="cs"/>
          <w:sz w:val="18"/>
          <w:szCs w:val="26"/>
          <w:rtl/>
          <w:lang w:val="en-GB" w:eastAsia="zh-TW"/>
        </w:rPr>
        <w:t>(</w:t>
      </w:r>
      <w:r w:rsidRPr="0081736E">
        <w:rPr>
          <w:rStyle w:val="FootnoteReference"/>
          <w:szCs w:val="26"/>
          <w:vertAlign w:val="baseline"/>
          <w:rtl/>
          <w:lang w:val="en-GB" w:eastAsia="zh-TW"/>
        </w:rPr>
        <w:footnoteRef/>
      </w:r>
      <w:r w:rsidRPr="0081736E">
        <w:rPr>
          <w:rFonts w:hint="cs"/>
          <w:sz w:val="18"/>
          <w:szCs w:val="26"/>
          <w:rtl/>
          <w:lang w:val="en-GB" w:eastAsia="zh-TW"/>
        </w:rPr>
        <w:t>)</w:t>
      </w:r>
      <w:r w:rsidRPr="0081736E">
        <w:rPr>
          <w:rFonts w:hint="cs"/>
          <w:sz w:val="18"/>
          <w:szCs w:val="26"/>
          <w:rtl/>
          <w:lang w:val="en-GB" w:eastAsia="zh-TW"/>
        </w:rPr>
        <w:tab/>
      </w:r>
      <w:r w:rsidRPr="0081736E">
        <w:rPr>
          <w:sz w:val="18"/>
          <w:szCs w:val="26"/>
          <w:rtl/>
          <w:lang w:val="en-GB" w:eastAsia="zh-TW"/>
        </w:rPr>
        <w:t xml:space="preserve">انظر تعليق اللجنة العام </w:t>
      </w:r>
      <w:r>
        <w:rPr>
          <w:sz w:val="18"/>
          <w:szCs w:val="26"/>
          <w:rtl/>
          <w:lang w:val="en-GB" w:eastAsia="zh-TW"/>
        </w:rPr>
        <w:t>رقم 1</w:t>
      </w:r>
      <w:r w:rsidRPr="007A129E">
        <w:rPr>
          <w:sz w:val="18"/>
          <w:szCs w:val="26"/>
          <w:rtl/>
          <w:lang w:val="en-GB" w:eastAsia="zh-TW"/>
        </w:rPr>
        <w:t>(2014) بشأن المادة 12: الاعتراف بالأشخاص ذوي الإعاقة على قدم المساواة مع الآخرين أمام القانون، الفقرة 1.</w:t>
      </w:r>
    </w:p>
  </w:footnote>
  <w:footnote w:id="19">
    <w:p w:rsidR="007A129E" w:rsidRPr="007A129E" w:rsidRDefault="007A129E" w:rsidP="007A129E">
      <w:pPr>
        <w:pStyle w:val="FootnoteText"/>
        <w:widowControl w:val="0"/>
        <w:spacing w:after="60" w:line="300" w:lineRule="exact"/>
        <w:ind w:left="1247" w:right="1247" w:hanging="567"/>
        <w:textDirection w:val="tbRlV"/>
        <w:rPr>
          <w:spacing w:val="-4"/>
          <w:sz w:val="18"/>
          <w:szCs w:val="26"/>
          <w:rtl/>
          <w:lang w:val="en-GB" w:eastAsia="zh-TW"/>
        </w:rPr>
      </w:pPr>
      <w:r w:rsidRPr="007A129E">
        <w:rPr>
          <w:rFonts w:hint="cs"/>
          <w:spacing w:val="-4"/>
          <w:sz w:val="18"/>
          <w:szCs w:val="26"/>
          <w:rtl/>
          <w:lang w:val="en-GB" w:eastAsia="zh-TW"/>
        </w:rPr>
        <w:t>(</w:t>
      </w:r>
      <w:r w:rsidRPr="007A129E">
        <w:rPr>
          <w:rStyle w:val="FootnoteReference"/>
          <w:spacing w:val="-4"/>
          <w:szCs w:val="26"/>
          <w:vertAlign w:val="baseline"/>
          <w:rtl/>
          <w:lang w:val="en-GB" w:eastAsia="zh-TW"/>
        </w:rPr>
        <w:footnoteRef/>
      </w:r>
      <w:r w:rsidRPr="007A129E">
        <w:rPr>
          <w:rFonts w:hint="cs"/>
          <w:spacing w:val="-4"/>
          <w:sz w:val="18"/>
          <w:szCs w:val="26"/>
          <w:rtl/>
          <w:lang w:val="en-GB" w:eastAsia="zh-TW"/>
        </w:rPr>
        <w:t>)</w:t>
      </w:r>
      <w:r w:rsidRPr="007A129E">
        <w:rPr>
          <w:rFonts w:hint="cs"/>
          <w:spacing w:val="-4"/>
          <w:sz w:val="18"/>
          <w:szCs w:val="26"/>
          <w:rtl/>
          <w:lang w:val="en-GB" w:eastAsia="zh-TW"/>
        </w:rPr>
        <w:tab/>
      </w:r>
      <w:r w:rsidRPr="007A129E">
        <w:rPr>
          <w:spacing w:val="-4"/>
          <w:sz w:val="18"/>
          <w:szCs w:val="26"/>
          <w:rtl/>
          <w:lang w:val="en-GB" w:eastAsia="zh-TW"/>
        </w:rPr>
        <w:t>حكومة نيو ساوث ويلز،</w:t>
      </w:r>
      <w:r w:rsidRPr="007A129E">
        <w:rPr>
          <w:rFonts w:hint="cs"/>
          <w:spacing w:val="-4"/>
          <w:sz w:val="18"/>
          <w:szCs w:val="26"/>
          <w:rtl/>
          <w:lang w:val="en-GB" w:eastAsia="zh-TW"/>
        </w:rPr>
        <w:t xml:space="preserve"> </w:t>
      </w:r>
      <w:r w:rsidRPr="007A129E">
        <w:rPr>
          <w:spacing w:val="-4"/>
          <w:sz w:val="18"/>
          <w:szCs w:val="26"/>
        </w:rPr>
        <w:t>“Response to the NSW Law Reform Commission”</w:t>
      </w:r>
      <w:r w:rsidRPr="007A129E">
        <w:rPr>
          <w:spacing w:val="-4"/>
          <w:sz w:val="18"/>
          <w:szCs w:val="26"/>
          <w:rtl/>
          <w:lang w:val="en-GB" w:eastAsia="zh-TW"/>
        </w:rPr>
        <w:t xml:space="preserve"> انظر أيض</w:t>
      </w:r>
      <w:r w:rsidR="005E3DFA">
        <w:rPr>
          <w:spacing w:val="-4"/>
          <w:sz w:val="18"/>
          <w:szCs w:val="26"/>
          <w:rtl/>
          <w:lang w:val="en-GB" w:eastAsia="zh-TW"/>
        </w:rPr>
        <w:t xml:space="preserve">اً </w:t>
      </w:r>
      <w:r w:rsidRPr="007A129E">
        <w:rPr>
          <w:spacing w:val="-4"/>
          <w:sz w:val="18"/>
          <w:szCs w:val="26"/>
          <w:rtl/>
          <w:lang w:val="en-GB" w:eastAsia="zh-TW"/>
        </w:rPr>
        <w:t>الفقرة 4-1 أعلاه</w:t>
      </w:r>
      <w:r w:rsidRPr="007A129E">
        <w:rPr>
          <w:spacing w:val="-4"/>
          <w:sz w:val="18"/>
          <w:szCs w:val="26"/>
          <w:lang w:val="en-GB" w:eastAsia="zh-TW"/>
        </w:rPr>
        <w:t>.</w:t>
      </w:r>
      <w:r w:rsidRPr="007A129E">
        <w:rPr>
          <w:spacing w:val="-4"/>
          <w:sz w:val="18"/>
          <w:szCs w:val="26"/>
          <w:rtl/>
          <w:lang w:val="en-GB" w:eastAsia="zh-TW"/>
        </w:rPr>
        <w:t xml:space="preserve"> </w:t>
      </w:r>
    </w:p>
  </w:footnote>
  <w:footnote w:id="20">
    <w:p w:rsidR="007A129E" w:rsidRPr="0081736E" w:rsidRDefault="007A129E" w:rsidP="007A129E">
      <w:pPr>
        <w:pStyle w:val="FootnoteText"/>
        <w:widowControl w:val="0"/>
        <w:spacing w:after="60" w:line="300" w:lineRule="exact"/>
        <w:ind w:left="1247" w:right="1247" w:hanging="567"/>
        <w:textDirection w:val="tbRlV"/>
        <w:rPr>
          <w:sz w:val="18"/>
          <w:szCs w:val="26"/>
          <w:rtl/>
          <w:lang w:val="en-GB" w:eastAsia="zh-TW"/>
        </w:rPr>
      </w:pPr>
      <w:r w:rsidRPr="0081736E">
        <w:rPr>
          <w:sz w:val="18"/>
          <w:szCs w:val="26"/>
          <w:rtl/>
          <w:lang w:val="en-GB" w:eastAsia="zh-TW"/>
        </w:rPr>
        <w:t>(</w:t>
      </w:r>
      <w:r w:rsidRPr="0081736E">
        <w:rPr>
          <w:rStyle w:val="FootnoteReference"/>
          <w:szCs w:val="26"/>
          <w:vertAlign w:val="baseline"/>
          <w:rtl/>
          <w:lang w:val="en-GB" w:eastAsia="zh-TW"/>
        </w:rPr>
        <w:footnoteRef/>
      </w:r>
      <w:r w:rsidRPr="0081736E">
        <w:rPr>
          <w:sz w:val="18"/>
          <w:szCs w:val="26"/>
          <w:rtl/>
          <w:lang w:val="en-GB" w:eastAsia="zh-TW"/>
        </w:rPr>
        <w:t>)</w:t>
      </w:r>
      <w:r w:rsidRPr="0081736E">
        <w:rPr>
          <w:rFonts w:hint="cs"/>
          <w:sz w:val="18"/>
          <w:szCs w:val="26"/>
          <w:rtl/>
          <w:lang w:val="en-GB" w:eastAsia="zh-TW"/>
        </w:rPr>
        <w:tab/>
      </w:r>
      <w:r w:rsidRPr="0081736E">
        <w:rPr>
          <w:sz w:val="18"/>
          <w:szCs w:val="26"/>
          <w:rtl/>
          <w:lang w:val="en-GB" w:eastAsia="zh-TW"/>
        </w:rPr>
        <w:t>انظر الموجز اليومي لمناقشات اللجنة المخصصة لوضع اتفاقية دولية شاملة ومتكاملة لحماية وتعزيز حقوق الأشخاص ذوي الإعاقة وكرامتهم في دورتها السابعة، المتاح على الرابط التالي</w:t>
      </w:r>
      <w:r>
        <w:rPr>
          <w:rFonts w:hint="cs"/>
          <w:sz w:val="18"/>
          <w:szCs w:val="26"/>
          <w:rtl/>
          <w:lang w:val="en-GB" w:eastAsia="zh-TW"/>
        </w:rPr>
        <w:t xml:space="preserve">: </w:t>
      </w:r>
      <w:r>
        <w:rPr>
          <w:sz w:val="18"/>
          <w:szCs w:val="26"/>
          <w:rtl/>
          <w:lang w:val="en-GB" w:eastAsia="zh-TW"/>
        </w:rPr>
        <w:tab/>
      </w:r>
      <w:r>
        <w:rPr>
          <w:rFonts w:hint="cs"/>
          <w:sz w:val="18"/>
          <w:szCs w:val="26"/>
          <w:rtl/>
          <w:lang w:val="en-GB" w:eastAsia="zh-TW"/>
        </w:rPr>
        <w:br/>
      </w:r>
      <w:r w:rsidRPr="0081736E">
        <w:rPr>
          <w:sz w:val="18"/>
          <w:szCs w:val="26"/>
          <w:lang w:val="en-GB" w:eastAsia="zh-TW"/>
        </w:rPr>
        <w:t>www.un.org/esa/socdev/enable/rights/adhoccom.htm, 18 January 2006, morning session, Chair</w:t>
      </w:r>
      <w:r w:rsidRPr="0081736E">
        <w:rPr>
          <w:sz w:val="18"/>
          <w:szCs w:val="26"/>
          <w:rtl/>
          <w:lang w:val="en-GB" w:eastAsia="zh-TW"/>
        </w:rPr>
        <w:t xml:space="preserve">. </w:t>
      </w:r>
    </w:p>
  </w:footnote>
  <w:footnote w:id="21">
    <w:p w:rsidR="007A129E" w:rsidRPr="0081736E" w:rsidRDefault="007A129E" w:rsidP="0081736E">
      <w:pPr>
        <w:pStyle w:val="FootnoteText"/>
        <w:widowControl w:val="0"/>
        <w:spacing w:after="60" w:line="300" w:lineRule="exact"/>
        <w:ind w:left="1247" w:right="1247" w:hanging="567"/>
        <w:textDirection w:val="tbRlV"/>
        <w:rPr>
          <w:sz w:val="18"/>
          <w:szCs w:val="26"/>
          <w:rtl/>
          <w:lang w:val="en-GB" w:eastAsia="zh-TW"/>
        </w:rPr>
      </w:pPr>
      <w:r w:rsidRPr="0081736E">
        <w:rPr>
          <w:sz w:val="18"/>
          <w:szCs w:val="26"/>
          <w:rtl/>
          <w:lang w:val="en-GB" w:eastAsia="zh-TW"/>
        </w:rPr>
        <w:t>(</w:t>
      </w:r>
      <w:r w:rsidRPr="0081736E">
        <w:rPr>
          <w:rStyle w:val="FootnoteReference"/>
          <w:szCs w:val="26"/>
          <w:vertAlign w:val="baseline"/>
          <w:rtl/>
          <w:lang w:val="en-GB" w:eastAsia="zh-TW"/>
        </w:rPr>
        <w:footnoteRef/>
      </w:r>
      <w:r w:rsidRPr="0081736E">
        <w:rPr>
          <w:sz w:val="18"/>
          <w:szCs w:val="26"/>
          <w:rtl/>
          <w:lang w:val="en-GB" w:eastAsia="zh-TW"/>
        </w:rPr>
        <w:t>)</w:t>
      </w:r>
      <w:r w:rsidRPr="0081736E">
        <w:rPr>
          <w:rFonts w:hint="cs"/>
          <w:sz w:val="18"/>
          <w:szCs w:val="26"/>
          <w:rtl/>
          <w:lang w:val="en-GB" w:eastAsia="zh-TW"/>
        </w:rPr>
        <w:tab/>
      </w:r>
      <w:r w:rsidRPr="0081736E">
        <w:rPr>
          <w:sz w:val="18"/>
          <w:szCs w:val="26"/>
          <w:rtl/>
          <w:lang w:val="en-GB" w:eastAsia="zh-TW"/>
        </w:rPr>
        <w:t xml:space="preserve">انظر الموجز اليومي لمناقشات الدورة الخامسة للجنة المخصصة، الجلسة المعقودة بعد ظهر يوم 25 كانون الثاني/يناير 2005، المنسق. </w:t>
      </w:r>
    </w:p>
  </w:footnote>
  <w:footnote w:id="22">
    <w:p w:rsidR="007A129E" w:rsidRPr="007A129E" w:rsidRDefault="007A129E" w:rsidP="007A129E">
      <w:pPr>
        <w:pStyle w:val="FootnoteText"/>
        <w:widowControl w:val="0"/>
        <w:spacing w:after="60" w:line="300" w:lineRule="exact"/>
        <w:ind w:left="1247" w:right="1247" w:hanging="567"/>
        <w:textDirection w:val="tbRlV"/>
        <w:rPr>
          <w:sz w:val="18"/>
          <w:szCs w:val="26"/>
          <w:rtl/>
          <w:lang w:val="en-GB" w:eastAsia="zh-TW"/>
        </w:rPr>
      </w:pPr>
      <w:r w:rsidRPr="007A129E">
        <w:rPr>
          <w:rFonts w:hint="cs"/>
          <w:sz w:val="18"/>
          <w:szCs w:val="26"/>
          <w:rtl/>
          <w:lang w:val="en-GB" w:eastAsia="zh-TW"/>
        </w:rPr>
        <w:t>(</w:t>
      </w:r>
      <w:r w:rsidRPr="007A129E">
        <w:rPr>
          <w:rStyle w:val="FootnoteReference"/>
          <w:szCs w:val="26"/>
          <w:vertAlign w:val="baseline"/>
          <w:rtl/>
          <w:lang w:val="en-GB" w:eastAsia="zh-TW"/>
        </w:rPr>
        <w:footnoteRef/>
      </w:r>
      <w:r w:rsidRPr="007A129E">
        <w:rPr>
          <w:rFonts w:hint="cs"/>
          <w:sz w:val="18"/>
          <w:szCs w:val="26"/>
          <w:rtl/>
          <w:lang w:val="en-GB" w:eastAsia="zh-TW"/>
        </w:rPr>
        <w:t>)</w:t>
      </w:r>
      <w:r w:rsidRPr="007A129E">
        <w:rPr>
          <w:rFonts w:hint="cs"/>
          <w:sz w:val="18"/>
          <w:szCs w:val="26"/>
          <w:rtl/>
          <w:lang w:val="en-GB" w:eastAsia="zh-TW"/>
        </w:rPr>
        <w:tab/>
      </w:r>
      <w:r w:rsidRPr="007A129E">
        <w:rPr>
          <w:sz w:val="18"/>
          <w:szCs w:val="26"/>
          <w:rtl/>
          <w:lang w:val="en-GB" w:eastAsia="zh-TW"/>
        </w:rPr>
        <w:t>حكومة نيو ساوث ويلز،</w:t>
      </w:r>
      <w:r w:rsidRPr="007A129E">
        <w:rPr>
          <w:rFonts w:hint="cs"/>
          <w:sz w:val="18"/>
          <w:szCs w:val="26"/>
          <w:rtl/>
          <w:lang w:val="en-GB" w:eastAsia="zh-TW"/>
        </w:rPr>
        <w:t xml:space="preserve"> </w:t>
      </w:r>
      <w:r w:rsidRPr="007A129E">
        <w:rPr>
          <w:sz w:val="18"/>
          <w:szCs w:val="26"/>
        </w:rPr>
        <w:t>“Response to the NSW Law Reform Commission”</w:t>
      </w:r>
      <w:r w:rsidRPr="007A129E">
        <w:rPr>
          <w:sz w:val="18"/>
          <w:szCs w:val="26"/>
          <w:rtl/>
          <w:lang w:val="en-GB" w:eastAsia="zh-TW"/>
        </w:rPr>
        <w:t xml:space="preserve">. </w:t>
      </w:r>
    </w:p>
  </w:footnote>
  <w:footnote w:id="23">
    <w:p w:rsidR="007A129E" w:rsidRPr="0081736E" w:rsidRDefault="007A129E" w:rsidP="0081736E">
      <w:pPr>
        <w:pStyle w:val="FootnoteText"/>
        <w:widowControl w:val="0"/>
        <w:spacing w:after="60" w:line="300" w:lineRule="exact"/>
        <w:ind w:left="1247" w:right="1247" w:hanging="567"/>
        <w:textDirection w:val="tbRlV"/>
        <w:rPr>
          <w:sz w:val="18"/>
          <w:szCs w:val="26"/>
          <w:rtl/>
          <w:lang w:val="en-GB" w:eastAsia="zh-TW"/>
        </w:rPr>
      </w:pPr>
      <w:r w:rsidRPr="0081736E">
        <w:rPr>
          <w:rFonts w:hint="cs"/>
          <w:sz w:val="18"/>
          <w:szCs w:val="26"/>
          <w:rtl/>
          <w:lang w:val="en-GB" w:eastAsia="zh-TW"/>
        </w:rPr>
        <w:t>(</w:t>
      </w:r>
      <w:r w:rsidRPr="0081736E">
        <w:rPr>
          <w:rStyle w:val="FootnoteReference"/>
          <w:szCs w:val="26"/>
          <w:vertAlign w:val="baseline"/>
          <w:rtl/>
          <w:lang w:val="en-GB" w:eastAsia="zh-TW"/>
        </w:rPr>
        <w:footnoteRef/>
      </w:r>
      <w:r w:rsidRPr="0081736E">
        <w:rPr>
          <w:rFonts w:hint="cs"/>
          <w:sz w:val="18"/>
          <w:szCs w:val="26"/>
          <w:rtl/>
          <w:lang w:val="en-GB" w:eastAsia="zh-TW"/>
        </w:rPr>
        <w:t>)</w:t>
      </w:r>
      <w:r w:rsidRPr="0081736E">
        <w:rPr>
          <w:rFonts w:hint="cs"/>
          <w:sz w:val="18"/>
          <w:szCs w:val="26"/>
          <w:rtl/>
          <w:lang w:val="en-GB" w:eastAsia="zh-TW"/>
        </w:rPr>
        <w:tab/>
      </w:r>
      <w:r w:rsidRPr="0081736E">
        <w:rPr>
          <w:sz w:val="18"/>
          <w:szCs w:val="26"/>
          <w:rtl/>
          <w:lang w:val="en-GB" w:eastAsia="zh-TW"/>
        </w:rPr>
        <w:t xml:space="preserve">الموجز اليومي للمناقشات التي أجرتها اللجنة المخصصة في دورتها الخامسة، الجلسة المعقودة بعد ظهر يوم 28 كانون الثاني/يناير 2005، شيلي، بالتعاون مع الاتحاد الروسي، وأستراليا، والبوسنة والهرسك٬ وكندا٬ وكوستاريكا٬ والمكسيك، وبعض المنظمات غير الحكومية. </w:t>
      </w:r>
    </w:p>
  </w:footnote>
  <w:footnote w:id="24">
    <w:p w:rsidR="007A129E" w:rsidRPr="0081736E" w:rsidRDefault="007A129E" w:rsidP="007A129E">
      <w:pPr>
        <w:pStyle w:val="FootnoteText"/>
        <w:widowControl w:val="0"/>
        <w:spacing w:after="60" w:line="300" w:lineRule="exact"/>
        <w:ind w:left="1247" w:right="1247" w:hanging="567"/>
        <w:textDirection w:val="tbRlV"/>
        <w:rPr>
          <w:sz w:val="18"/>
          <w:szCs w:val="26"/>
          <w:rtl/>
          <w:lang w:val="en-GB" w:eastAsia="zh-TW"/>
        </w:rPr>
      </w:pPr>
      <w:r w:rsidRPr="0081736E">
        <w:rPr>
          <w:sz w:val="18"/>
          <w:szCs w:val="26"/>
          <w:rtl/>
          <w:lang w:val="en-GB" w:eastAsia="zh-TW"/>
        </w:rPr>
        <w:t>(</w:t>
      </w:r>
      <w:r w:rsidRPr="0081736E">
        <w:rPr>
          <w:rStyle w:val="FootnoteReference"/>
          <w:szCs w:val="26"/>
          <w:vertAlign w:val="baseline"/>
          <w:rtl/>
          <w:lang w:val="en-GB" w:eastAsia="zh-TW"/>
        </w:rPr>
        <w:footnoteRef/>
      </w:r>
      <w:r w:rsidRPr="0081736E">
        <w:rPr>
          <w:sz w:val="18"/>
          <w:szCs w:val="26"/>
          <w:rtl/>
          <w:lang w:val="en-GB" w:eastAsia="zh-TW"/>
        </w:rPr>
        <w:t>)</w:t>
      </w:r>
      <w:r w:rsidRPr="0081736E">
        <w:rPr>
          <w:rFonts w:hint="cs"/>
          <w:sz w:val="18"/>
          <w:szCs w:val="26"/>
          <w:rtl/>
          <w:lang w:val="en-GB" w:eastAsia="zh-TW"/>
        </w:rPr>
        <w:tab/>
      </w:r>
      <w:r w:rsidRPr="0081736E">
        <w:rPr>
          <w:sz w:val="18"/>
          <w:szCs w:val="26"/>
          <w:rtl/>
          <w:lang w:val="en-GB" w:eastAsia="zh-TW"/>
        </w:rPr>
        <w:t>انظر الموجز اليومي للمناقشات التي أجرتها اللجنة المخصصة في دورتها السابعة، الجلسة المعقودة بعد ظهر يوم</w:t>
      </w:r>
      <w:r>
        <w:rPr>
          <w:rFonts w:hint="cs"/>
          <w:sz w:val="18"/>
          <w:szCs w:val="26"/>
          <w:rtl/>
          <w:lang w:val="en-GB" w:eastAsia="zh-TW"/>
        </w:rPr>
        <w:t> </w:t>
      </w:r>
      <w:r w:rsidRPr="0081736E">
        <w:rPr>
          <w:sz w:val="18"/>
          <w:szCs w:val="26"/>
          <w:rtl/>
          <w:lang w:val="en-GB" w:eastAsia="zh-TW"/>
        </w:rPr>
        <w:t xml:space="preserve">18 كانون الثاني/يناير 2006، إسرائيل والرئيس. </w:t>
      </w:r>
    </w:p>
  </w:footnote>
  <w:footnote w:id="25">
    <w:p w:rsidR="007A129E" w:rsidRPr="0081736E" w:rsidRDefault="007A129E" w:rsidP="0081736E">
      <w:pPr>
        <w:pStyle w:val="FootnoteText"/>
        <w:widowControl w:val="0"/>
        <w:spacing w:after="60" w:line="300" w:lineRule="exact"/>
        <w:ind w:left="1247" w:right="1247" w:hanging="567"/>
        <w:textDirection w:val="tbRlV"/>
        <w:rPr>
          <w:sz w:val="18"/>
          <w:szCs w:val="26"/>
          <w:rtl/>
          <w:lang w:val="en-GB" w:eastAsia="zh-TW"/>
        </w:rPr>
      </w:pPr>
      <w:r w:rsidRPr="0081736E">
        <w:rPr>
          <w:sz w:val="18"/>
          <w:szCs w:val="26"/>
          <w:rtl/>
          <w:lang w:val="en-GB" w:eastAsia="zh-TW"/>
        </w:rPr>
        <w:t>(</w:t>
      </w:r>
      <w:r w:rsidRPr="0081736E">
        <w:rPr>
          <w:rStyle w:val="FootnoteReference"/>
          <w:szCs w:val="26"/>
          <w:vertAlign w:val="baseline"/>
          <w:rtl/>
          <w:lang w:val="en-GB" w:eastAsia="zh-TW"/>
        </w:rPr>
        <w:footnoteRef/>
      </w:r>
      <w:r w:rsidRPr="0081736E">
        <w:rPr>
          <w:sz w:val="18"/>
          <w:szCs w:val="26"/>
          <w:rtl/>
          <w:lang w:val="en-GB" w:eastAsia="zh-TW"/>
        </w:rPr>
        <w:t>)</w:t>
      </w:r>
      <w:r w:rsidRPr="0081736E">
        <w:rPr>
          <w:rFonts w:hint="cs"/>
          <w:sz w:val="18"/>
          <w:szCs w:val="26"/>
          <w:rtl/>
          <w:lang w:val="en-GB" w:eastAsia="zh-TW"/>
        </w:rPr>
        <w:tab/>
      </w:r>
      <w:r w:rsidRPr="0081736E">
        <w:rPr>
          <w:sz w:val="18"/>
          <w:szCs w:val="26"/>
          <w:rtl/>
          <w:lang w:val="en-GB" w:eastAsia="zh-TW"/>
        </w:rPr>
        <w:t xml:space="preserve">انظر الموجز اليومي للمناقشات التي أجرتها اللجنة المخصصة في دورتها الخامسة، الجلسة المعقودة صباح يوم 25 كانون الثاني/يناير 2005، الاتحاد الأوروبي. </w:t>
      </w:r>
    </w:p>
  </w:footnote>
  <w:footnote w:id="26">
    <w:p w:rsidR="007A129E" w:rsidRPr="0081736E" w:rsidRDefault="007A129E" w:rsidP="0081736E">
      <w:pPr>
        <w:pStyle w:val="FootnoteText"/>
        <w:widowControl w:val="0"/>
        <w:spacing w:after="60" w:line="300" w:lineRule="exact"/>
        <w:ind w:left="1247" w:right="1247" w:hanging="567"/>
        <w:textDirection w:val="tbRlV"/>
        <w:rPr>
          <w:sz w:val="18"/>
          <w:szCs w:val="26"/>
          <w:rtl/>
          <w:lang w:val="en-GB" w:eastAsia="zh-TW"/>
        </w:rPr>
      </w:pPr>
      <w:r w:rsidRPr="0081736E">
        <w:rPr>
          <w:rFonts w:hint="cs"/>
          <w:sz w:val="18"/>
          <w:szCs w:val="26"/>
          <w:rtl/>
          <w:lang w:val="en-GB" w:eastAsia="zh-TW"/>
        </w:rPr>
        <w:t>(</w:t>
      </w:r>
      <w:r w:rsidRPr="0081736E">
        <w:rPr>
          <w:rStyle w:val="FootnoteReference"/>
          <w:szCs w:val="26"/>
          <w:vertAlign w:val="baseline"/>
          <w:rtl/>
          <w:lang w:val="en-GB" w:eastAsia="zh-TW"/>
        </w:rPr>
        <w:footnoteRef/>
      </w:r>
      <w:r w:rsidRPr="0081736E">
        <w:rPr>
          <w:rFonts w:hint="cs"/>
          <w:sz w:val="18"/>
          <w:szCs w:val="26"/>
          <w:rtl/>
          <w:lang w:val="en-GB" w:eastAsia="zh-TW"/>
        </w:rPr>
        <w:t>)</w:t>
      </w:r>
      <w:r w:rsidRPr="0081736E">
        <w:rPr>
          <w:rFonts w:hint="cs"/>
          <w:sz w:val="18"/>
          <w:szCs w:val="26"/>
          <w:rtl/>
          <w:lang w:val="en-GB" w:eastAsia="zh-TW"/>
        </w:rPr>
        <w:tab/>
      </w:r>
      <w:r w:rsidRPr="0081736E">
        <w:rPr>
          <w:sz w:val="18"/>
          <w:szCs w:val="26"/>
          <w:rtl/>
          <w:lang w:val="en-GB" w:eastAsia="zh-TW"/>
        </w:rPr>
        <w:t>انظر</w:t>
      </w:r>
      <w:r>
        <w:rPr>
          <w:sz w:val="18"/>
          <w:szCs w:val="26"/>
          <w:rtl/>
          <w:lang w:val="en-GB" w:eastAsia="zh-TW"/>
        </w:rPr>
        <w:t xml:space="preserve"> </w:t>
      </w:r>
      <w:r w:rsidRPr="0081736E">
        <w:rPr>
          <w:sz w:val="18"/>
          <w:szCs w:val="26"/>
          <w:lang w:val="en-GB" w:eastAsia="zh-TW"/>
        </w:rPr>
        <w:t xml:space="preserve">Sarah Joseph and Melissa </w:t>
      </w:r>
      <w:proofErr w:type="spellStart"/>
      <w:r w:rsidRPr="0081736E">
        <w:rPr>
          <w:sz w:val="18"/>
          <w:szCs w:val="26"/>
          <w:lang w:val="en-GB" w:eastAsia="zh-TW"/>
        </w:rPr>
        <w:t>Castan</w:t>
      </w:r>
      <w:proofErr w:type="spellEnd"/>
      <w:r w:rsidRPr="0081736E">
        <w:rPr>
          <w:sz w:val="18"/>
          <w:szCs w:val="26"/>
          <w:lang w:val="en-GB" w:eastAsia="zh-TW"/>
        </w:rPr>
        <w:t xml:space="preserve">, The International </w:t>
      </w:r>
      <w:r w:rsidRPr="005C3AD7">
        <w:rPr>
          <w:i/>
          <w:iCs/>
          <w:sz w:val="18"/>
          <w:szCs w:val="26"/>
          <w:lang w:val="en-GB" w:eastAsia="zh-TW"/>
        </w:rPr>
        <w:t>Covenant on Civil and Political Rights: Cases, Materials and Commentary</w:t>
      </w:r>
      <w:r w:rsidRPr="0081736E">
        <w:rPr>
          <w:sz w:val="18"/>
          <w:szCs w:val="26"/>
          <w:lang w:val="en-GB" w:eastAsia="zh-TW"/>
        </w:rPr>
        <w:t xml:space="preserve">, 3rd ed. (Oxford, Oxford University Press, 2013), p. 732, and Manfred Nowak, </w:t>
      </w:r>
      <w:r w:rsidRPr="005C3AD7">
        <w:rPr>
          <w:i/>
          <w:iCs/>
          <w:sz w:val="18"/>
          <w:szCs w:val="26"/>
          <w:lang w:val="en-GB" w:eastAsia="zh-TW"/>
        </w:rPr>
        <w:t>U.N. Covenant on Civil and Political Rights: CCPR Commentary</w:t>
      </w:r>
      <w:r w:rsidRPr="0081736E">
        <w:rPr>
          <w:sz w:val="18"/>
          <w:szCs w:val="26"/>
          <w:lang w:val="en-GB" w:eastAsia="zh-TW"/>
        </w:rPr>
        <w:t>, 2nd revised ed. (</w:t>
      </w:r>
      <w:proofErr w:type="spellStart"/>
      <w:r w:rsidRPr="0081736E">
        <w:rPr>
          <w:sz w:val="18"/>
          <w:szCs w:val="26"/>
          <w:lang w:val="en-GB" w:eastAsia="zh-TW"/>
        </w:rPr>
        <w:t>Kehl</w:t>
      </w:r>
      <w:proofErr w:type="spellEnd"/>
      <w:r w:rsidRPr="0081736E">
        <w:rPr>
          <w:sz w:val="18"/>
          <w:szCs w:val="26"/>
          <w:lang w:val="en-GB" w:eastAsia="zh-TW"/>
        </w:rPr>
        <w:t xml:space="preserve"> am </w:t>
      </w:r>
      <w:proofErr w:type="spellStart"/>
      <w:r w:rsidRPr="0081736E">
        <w:rPr>
          <w:sz w:val="18"/>
          <w:szCs w:val="26"/>
          <w:lang w:val="en-GB" w:eastAsia="zh-TW"/>
        </w:rPr>
        <w:t>Rhein</w:t>
      </w:r>
      <w:proofErr w:type="spellEnd"/>
      <w:r w:rsidRPr="0081736E">
        <w:rPr>
          <w:sz w:val="18"/>
          <w:szCs w:val="26"/>
          <w:lang w:val="en-GB" w:eastAsia="zh-TW"/>
        </w:rPr>
        <w:t>, N.P. Engel, 2005), p. 570</w:t>
      </w:r>
      <w:r w:rsidRPr="0081736E">
        <w:rPr>
          <w:sz w:val="18"/>
          <w:szCs w:val="26"/>
          <w:rtl/>
          <w:lang w:val="en-GB" w:eastAsia="zh-TW"/>
        </w:rPr>
        <w:t xml:space="preserve">. </w:t>
      </w:r>
    </w:p>
  </w:footnote>
  <w:footnote w:id="27">
    <w:p w:rsidR="007A129E" w:rsidRPr="0081736E" w:rsidRDefault="007A129E" w:rsidP="007A129E">
      <w:pPr>
        <w:pStyle w:val="FootnoteText"/>
        <w:widowControl w:val="0"/>
        <w:spacing w:after="60" w:line="300" w:lineRule="exact"/>
        <w:ind w:left="1247" w:right="1247" w:hanging="567"/>
        <w:textDirection w:val="tbRlV"/>
        <w:rPr>
          <w:sz w:val="18"/>
          <w:szCs w:val="26"/>
          <w:rtl/>
          <w:lang w:val="en-GB" w:eastAsia="zh-TW"/>
        </w:rPr>
      </w:pPr>
      <w:r w:rsidRPr="0081736E">
        <w:rPr>
          <w:sz w:val="18"/>
          <w:szCs w:val="26"/>
          <w:rtl/>
          <w:lang w:val="en-GB" w:eastAsia="zh-TW"/>
        </w:rPr>
        <w:t>(</w:t>
      </w:r>
      <w:r w:rsidRPr="0081736E">
        <w:rPr>
          <w:rStyle w:val="FootnoteReference"/>
          <w:szCs w:val="26"/>
          <w:vertAlign w:val="baseline"/>
          <w:rtl/>
          <w:lang w:val="en-GB" w:eastAsia="zh-TW"/>
        </w:rPr>
        <w:footnoteRef/>
      </w:r>
      <w:r w:rsidRPr="0081736E">
        <w:rPr>
          <w:sz w:val="18"/>
          <w:szCs w:val="26"/>
          <w:rtl/>
          <w:lang w:val="en-GB" w:eastAsia="zh-TW"/>
        </w:rPr>
        <w:t>)</w:t>
      </w:r>
      <w:r w:rsidRPr="0081736E">
        <w:rPr>
          <w:rFonts w:hint="cs"/>
          <w:sz w:val="18"/>
          <w:szCs w:val="26"/>
          <w:rtl/>
          <w:lang w:val="en-GB" w:eastAsia="zh-TW"/>
        </w:rPr>
        <w:tab/>
      </w:r>
      <w:r w:rsidRPr="0081736E">
        <w:rPr>
          <w:sz w:val="18"/>
          <w:szCs w:val="26"/>
          <w:rtl/>
          <w:lang w:val="en-GB" w:eastAsia="zh-TW"/>
        </w:rPr>
        <w:t>حكومة نيو ساوث ويلز،</w:t>
      </w:r>
      <w:r w:rsidRPr="0081736E">
        <w:rPr>
          <w:rFonts w:hint="cs"/>
          <w:sz w:val="18"/>
          <w:szCs w:val="26"/>
          <w:rtl/>
          <w:lang w:val="en-GB" w:eastAsia="zh-TW"/>
        </w:rPr>
        <w:t xml:space="preserve"> </w:t>
      </w:r>
      <w:r w:rsidRPr="007A129E">
        <w:rPr>
          <w:sz w:val="18"/>
          <w:szCs w:val="26"/>
        </w:rPr>
        <w:t>“Response to the NSW Law Reform Commission”</w:t>
      </w:r>
      <w:r w:rsidRPr="0081736E">
        <w:rPr>
          <w:sz w:val="18"/>
          <w:szCs w:val="26"/>
          <w:rtl/>
          <w:lang w:val="en-GB" w:eastAsia="zh-TW"/>
        </w:rPr>
        <w:t xml:space="preserve">. </w:t>
      </w:r>
    </w:p>
  </w:footnote>
  <w:footnote w:id="28">
    <w:p w:rsidR="007A129E" w:rsidRPr="0081736E" w:rsidRDefault="007A129E" w:rsidP="007A129E">
      <w:pPr>
        <w:pStyle w:val="FootnoteText"/>
        <w:widowControl w:val="0"/>
        <w:spacing w:after="60" w:line="300" w:lineRule="exact"/>
        <w:ind w:left="1247" w:right="1247" w:hanging="567"/>
        <w:textDirection w:val="tbRlV"/>
        <w:rPr>
          <w:sz w:val="18"/>
          <w:szCs w:val="26"/>
          <w:rtl/>
          <w:lang w:val="en-GB" w:eastAsia="zh-TW"/>
        </w:rPr>
      </w:pPr>
      <w:r w:rsidRPr="0081736E">
        <w:rPr>
          <w:sz w:val="18"/>
          <w:szCs w:val="26"/>
          <w:rtl/>
          <w:lang w:val="en-GB" w:eastAsia="zh-TW"/>
        </w:rPr>
        <w:t>(</w:t>
      </w:r>
      <w:r w:rsidRPr="0081736E">
        <w:rPr>
          <w:rStyle w:val="FootnoteReference"/>
          <w:szCs w:val="26"/>
          <w:vertAlign w:val="baseline"/>
          <w:rtl/>
          <w:lang w:val="en-GB" w:eastAsia="zh-TW"/>
        </w:rPr>
        <w:footnoteRef/>
      </w:r>
      <w:r w:rsidRPr="0081736E">
        <w:rPr>
          <w:sz w:val="18"/>
          <w:szCs w:val="26"/>
          <w:rtl/>
          <w:lang w:val="en-GB" w:eastAsia="zh-TW"/>
        </w:rPr>
        <w:t>)</w:t>
      </w:r>
      <w:r w:rsidRPr="0081736E">
        <w:rPr>
          <w:rFonts w:hint="cs"/>
          <w:sz w:val="18"/>
          <w:szCs w:val="26"/>
          <w:rtl/>
          <w:lang w:val="en-GB" w:eastAsia="zh-TW"/>
        </w:rPr>
        <w:tab/>
        <w:t>انظر</w:t>
      </w:r>
      <w:r w:rsidRPr="0081736E">
        <w:rPr>
          <w:sz w:val="18"/>
          <w:szCs w:val="26"/>
          <w:lang w:val="en-GB" w:eastAsia="zh-TW"/>
        </w:rPr>
        <w:t xml:space="preserve">Peter Bartlett, “The United Nations Convention on the Rights of Persons with Disabilities and Mental Health Law” </w:t>
      </w:r>
      <w:r w:rsidRPr="005C3AD7">
        <w:rPr>
          <w:i/>
          <w:iCs/>
          <w:sz w:val="18"/>
          <w:szCs w:val="26"/>
          <w:lang w:val="en-GB" w:eastAsia="zh-TW"/>
        </w:rPr>
        <w:t>Modern Law Review</w:t>
      </w:r>
      <w:r w:rsidRPr="0081736E">
        <w:rPr>
          <w:sz w:val="18"/>
          <w:szCs w:val="26"/>
          <w:lang w:val="en-GB" w:eastAsia="zh-TW"/>
        </w:rPr>
        <w:t>, vol. 75, No. 5 (September 2012)</w:t>
      </w:r>
      <w:r w:rsidRPr="0081736E">
        <w:rPr>
          <w:sz w:val="18"/>
          <w:szCs w:val="26"/>
          <w:rtl/>
          <w:lang w:val="en-GB" w:eastAsia="zh-TW"/>
        </w:rPr>
        <w:t>.</w:t>
      </w:r>
      <w:r>
        <w:rPr>
          <w:sz w:val="18"/>
          <w:szCs w:val="26"/>
          <w:rtl/>
          <w:lang w:val="en-GB" w:eastAsia="zh-TW"/>
        </w:rPr>
        <w:t xml:space="preserve"> </w:t>
      </w:r>
    </w:p>
  </w:footnote>
  <w:footnote w:id="29">
    <w:p w:rsidR="007A129E" w:rsidRPr="007A129E" w:rsidRDefault="007A129E" w:rsidP="007A129E">
      <w:pPr>
        <w:pStyle w:val="FootnoteText"/>
        <w:widowControl w:val="0"/>
        <w:spacing w:after="60" w:line="300" w:lineRule="exact"/>
        <w:ind w:left="1247" w:right="1247" w:hanging="567"/>
        <w:textDirection w:val="tbRlV"/>
        <w:rPr>
          <w:sz w:val="18"/>
          <w:szCs w:val="26"/>
          <w:rtl/>
          <w:lang w:val="en-GB" w:eastAsia="zh-TW"/>
        </w:rPr>
      </w:pPr>
      <w:r w:rsidRPr="007A129E">
        <w:rPr>
          <w:rFonts w:hint="cs"/>
          <w:sz w:val="18"/>
          <w:szCs w:val="26"/>
          <w:rtl/>
          <w:lang w:val="en-GB" w:eastAsia="zh-TW"/>
        </w:rPr>
        <w:t>(</w:t>
      </w:r>
      <w:r w:rsidRPr="007A129E">
        <w:rPr>
          <w:rStyle w:val="FootnoteReference"/>
          <w:szCs w:val="26"/>
          <w:vertAlign w:val="baseline"/>
          <w:rtl/>
          <w:lang w:val="en-GB" w:eastAsia="zh-TW"/>
        </w:rPr>
        <w:footnoteRef/>
      </w:r>
      <w:r w:rsidRPr="007A129E">
        <w:rPr>
          <w:rFonts w:hint="cs"/>
          <w:sz w:val="18"/>
          <w:szCs w:val="26"/>
          <w:rtl/>
          <w:lang w:val="en-GB" w:eastAsia="zh-TW"/>
        </w:rPr>
        <w:t>)</w:t>
      </w:r>
      <w:r w:rsidRPr="007A129E">
        <w:rPr>
          <w:rFonts w:hint="cs"/>
          <w:sz w:val="18"/>
          <w:szCs w:val="26"/>
          <w:rtl/>
          <w:lang w:val="en-GB" w:eastAsia="zh-TW"/>
        </w:rPr>
        <w:tab/>
      </w:r>
      <w:r w:rsidRPr="007A129E">
        <w:rPr>
          <w:sz w:val="18"/>
          <w:szCs w:val="26"/>
        </w:rPr>
        <w:t xml:space="preserve">W.A. McKean, “The meaning of discrimination in international and municipal law” </w:t>
      </w:r>
      <w:r w:rsidRPr="007A129E">
        <w:rPr>
          <w:i/>
          <w:sz w:val="18"/>
          <w:szCs w:val="26"/>
        </w:rPr>
        <w:t>British Yearbook of International Law</w:t>
      </w:r>
      <w:r w:rsidRPr="007A129E">
        <w:rPr>
          <w:sz w:val="18"/>
          <w:szCs w:val="26"/>
        </w:rPr>
        <w:t>, vol. 44 (1970)</w:t>
      </w:r>
      <w:r w:rsidRPr="007A129E">
        <w:rPr>
          <w:rFonts w:hint="cs"/>
          <w:sz w:val="18"/>
          <w:szCs w:val="26"/>
          <w:rtl/>
          <w:lang w:val="en-GB" w:eastAsia="zh-TW"/>
        </w:rPr>
        <w:t>.</w:t>
      </w:r>
      <w:r w:rsidRPr="007A129E">
        <w:rPr>
          <w:sz w:val="18"/>
          <w:szCs w:val="26"/>
          <w:rtl/>
          <w:lang w:val="en-GB" w:eastAsia="zh-TW"/>
        </w:rPr>
        <w:t xml:space="preserve"> </w:t>
      </w:r>
    </w:p>
  </w:footnote>
  <w:footnote w:id="30">
    <w:p w:rsidR="007A129E" w:rsidRPr="007A129E" w:rsidRDefault="007A129E" w:rsidP="007A129E">
      <w:pPr>
        <w:pStyle w:val="FootnoteText"/>
        <w:widowControl w:val="0"/>
        <w:spacing w:after="60" w:line="300" w:lineRule="exact"/>
        <w:ind w:left="1247" w:right="1247" w:hanging="567"/>
        <w:textDirection w:val="tbRlV"/>
        <w:rPr>
          <w:sz w:val="18"/>
          <w:szCs w:val="26"/>
          <w:rtl/>
          <w:lang w:val="en-GB" w:eastAsia="zh-TW"/>
        </w:rPr>
      </w:pPr>
      <w:r w:rsidRPr="007A129E">
        <w:rPr>
          <w:rFonts w:hint="cs"/>
          <w:sz w:val="18"/>
          <w:szCs w:val="26"/>
          <w:rtl/>
          <w:lang w:val="en-GB" w:eastAsia="zh-TW"/>
        </w:rPr>
        <w:t>(</w:t>
      </w:r>
      <w:r w:rsidRPr="007A129E">
        <w:rPr>
          <w:rStyle w:val="FootnoteReference"/>
          <w:szCs w:val="26"/>
          <w:vertAlign w:val="baseline"/>
          <w:rtl/>
          <w:lang w:val="en-GB" w:eastAsia="zh-TW"/>
        </w:rPr>
        <w:footnoteRef/>
      </w:r>
      <w:r w:rsidRPr="007A129E">
        <w:rPr>
          <w:rFonts w:hint="cs"/>
          <w:sz w:val="18"/>
          <w:szCs w:val="26"/>
          <w:rtl/>
          <w:lang w:val="en-GB" w:eastAsia="zh-TW"/>
        </w:rPr>
        <w:t>)</w:t>
      </w:r>
      <w:r w:rsidRPr="007A129E">
        <w:rPr>
          <w:rFonts w:hint="cs"/>
          <w:sz w:val="18"/>
          <w:szCs w:val="26"/>
          <w:rtl/>
          <w:lang w:val="en-GB" w:eastAsia="zh-TW"/>
        </w:rPr>
        <w:tab/>
      </w:r>
      <w:r w:rsidRPr="007A129E">
        <w:rPr>
          <w:sz w:val="18"/>
          <w:szCs w:val="26"/>
        </w:rPr>
        <w:t>Jury Act 1977, art. 14 A (b)</w:t>
      </w:r>
      <w:r w:rsidRPr="007A129E">
        <w:rPr>
          <w:sz w:val="18"/>
          <w:szCs w:val="26"/>
          <w:rtl/>
          <w:lang w:val="en-GB" w:eastAsia="zh-TW"/>
        </w:rPr>
        <w:t>.</w:t>
      </w:r>
      <w:r w:rsidRPr="007A129E">
        <w:rPr>
          <w:sz w:val="18"/>
          <w:szCs w:val="26"/>
          <w:lang w:val="en-GB" w:eastAsia="zh-TW"/>
        </w:rPr>
        <w:t xml:space="preserve"> </w:t>
      </w:r>
    </w:p>
  </w:footnote>
  <w:footnote w:id="31">
    <w:p w:rsidR="007A129E" w:rsidRPr="0081736E" w:rsidRDefault="007A129E" w:rsidP="0081736E">
      <w:pPr>
        <w:pStyle w:val="FootnoteText"/>
        <w:widowControl w:val="0"/>
        <w:spacing w:after="60" w:line="300" w:lineRule="exact"/>
        <w:ind w:left="1247" w:right="1247" w:hanging="567"/>
        <w:textDirection w:val="tbRlV"/>
        <w:rPr>
          <w:sz w:val="18"/>
          <w:szCs w:val="26"/>
          <w:rtl/>
          <w:lang w:val="en-GB" w:eastAsia="zh-TW"/>
        </w:rPr>
      </w:pPr>
      <w:r w:rsidRPr="0081736E">
        <w:rPr>
          <w:rFonts w:hint="cs"/>
          <w:sz w:val="18"/>
          <w:szCs w:val="26"/>
          <w:rtl/>
          <w:lang w:val="en-GB" w:eastAsia="zh-TW"/>
        </w:rPr>
        <w:t>(</w:t>
      </w:r>
      <w:r w:rsidRPr="0081736E">
        <w:rPr>
          <w:rStyle w:val="FootnoteReference"/>
          <w:szCs w:val="26"/>
          <w:vertAlign w:val="baseline"/>
          <w:rtl/>
          <w:lang w:val="en-GB" w:eastAsia="zh-TW"/>
        </w:rPr>
        <w:footnoteRef/>
      </w:r>
      <w:r w:rsidRPr="0081736E">
        <w:rPr>
          <w:rFonts w:hint="cs"/>
          <w:sz w:val="18"/>
          <w:szCs w:val="26"/>
          <w:rtl/>
          <w:lang w:val="en-GB" w:eastAsia="zh-TW"/>
        </w:rPr>
        <w:t>)</w:t>
      </w:r>
      <w:r w:rsidRPr="0081736E">
        <w:rPr>
          <w:rFonts w:hint="cs"/>
          <w:sz w:val="18"/>
          <w:szCs w:val="26"/>
          <w:rtl/>
          <w:lang w:val="en-GB" w:eastAsia="zh-TW"/>
        </w:rPr>
        <w:tab/>
      </w:r>
      <w:r w:rsidRPr="0081736E">
        <w:rPr>
          <w:sz w:val="18"/>
          <w:szCs w:val="26"/>
          <w:rtl/>
          <w:lang w:val="en-GB" w:eastAsia="zh-TW"/>
        </w:rPr>
        <w:t>تشير صاحبة</w:t>
      </w:r>
      <w:r>
        <w:rPr>
          <w:sz w:val="18"/>
          <w:szCs w:val="26"/>
          <w:rtl/>
          <w:lang w:val="en-GB" w:eastAsia="zh-TW"/>
        </w:rPr>
        <w:t xml:space="preserve"> </w:t>
      </w:r>
      <w:r w:rsidRPr="0081736E">
        <w:rPr>
          <w:sz w:val="18"/>
          <w:szCs w:val="26"/>
          <w:rtl/>
          <w:lang w:val="en-GB" w:eastAsia="zh-TW"/>
        </w:rPr>
        <w:t>البلاغ إلى الشكاوى التي قدمها أ.</w:t>
      </w:r>
      <w:r w:rsidR="005C3AD7">
        <w:rPr>
          <w:rFonts w:hint="cs"/>
          <w:sz w:val="18"/>
          <w:szCs w:val="26"/>
          <w:rtl/>
          <w:lang w:val="en-GB" w:eastAsia="zh-TW"/>
        </w:rPr>
        <w:t xml:space="preserve"> </w:t>
      </w:r>
      <w:r w:rsidRPr="0081736E">
        <w:rPr>
          <w:sz w:val="18"/>
          <w:szCs w:val="26"/>
          <w:rtl/>
          <w:lang w:val="en-GB" w:eastAsia="zh-TW"/>
        </w:rPr>
        <w:t>م</w:t>
      </w:r>
      <w:r w:rsidR="005C3AD7">
        <w:rPr>
          <w:rFonts w:hint="cs"/>
          <w:sz w:val="18"/>
          <w:szCs w:val="26"/>
          <w:rtl/>
          <w:lang w:val="en-GB" w:eastAsia="zh-TW"/>
        </w:rPr>
        <w:t>.</w:t>
      </w:r>
      <w:r w:rsidRPr="0081736E">
        <w:rPr>
          <w:sz w:val="18"/>
          <w:szCs w:val="26"/>
          <w:rtl/>
          <w:lang w:val="en-GB" w:eastAsia="zh-TW"/>
        </w:rPr>
        <w:t xml:space="preserve"> ومايكل لوكري، انظر</w:t>
      </w:r>
      <w:r>
        <w:rPr>
          <w:sz w:val="18"/>
          <w:szCs w:val="26"/>
          <w:rtl/>
          <w:lang w:val="en-GB" w:eastAsia="zh-TW"/>
        </w:rPr>
        <w:t xml:space="preserve"> </w:t>
      </w:r>
      <w:r w:rsidRPr="005E3DFA">
        <w:rPr>
          <w:i/>
          <w:iCs/>
          <w:sz w:val="18"/>
          <w:szCs w:val="26"/>
          <w:rtl/>
          <w:lang w:val="en-GB" w:eastAsia="zh-TW"/>
        </w:rPr>
        <w:t>أ. م. ضد أستراليا</w:t>
      </w:r>
      <w:r w:rsidRPr="0081736E">
        <w:rPr>
          <w:sz w:val="18"/>
          <w:szCs w:val="26"/>
          <w:rtl/>
          <w:lang w:val="en-GB" w:eastAsia="zh-TW"/>
        </w:rPr>
        <w:t xml:space="preserve">، قرار عدم المقبولية المعتمد في 27 آذار/مارس 2015، </w:t>
      </w:r>
      <w:r w:rsidRPr="005E3DFA">
        <w:rPr>
          <w:i/>
          <w:iCs/>
          <w:sz w:val="18"/>
          <w:szCs w:val="26"/>
          <w:rtl/>
          <w:lang w:val="en-GB" w:eastAsia="zh-TW"/>
        </w:rPr>
        <w:t>ولوكري ضد أستراليا</w:t>
      </w:r>
      <w:r w:rsidRPr="0081736E">
        <w:rPr>
          <w:sz w:val="18"/>
          <w:szCs w:val="26"/>
          <w:rtl/>
          <w:lang w:val="en-GB" w:eastAsia="zh-TW"/>
        </w:rPr>
        <w:t xml:space="preserve">، الآراء المعتمدة في 1 نيسان/أبريل 2016. </w:t>
      </w:r>
    </w:p>
  </w:footnote>
  <w:footnote w:id="32">
    <w:p w:rsidR="007A129E" w:rsidRPr="0081736E" w:rsidRDefault="007A129E" w:rsidP="0081736E">
      <w:pPr>
        <w:pStyle w:val="FootnoteText"/>
        <w:widowControl w:val="0"/>
        <w:spacing w:after="60" w:line="300" w:lineRule="exact"/>
        <w:ind w:left="1247" w:right="1247" w:hanging="567"/>
        <w:textDirection w:val="tbRlV"/>
        <w:rPr>
          <w:sz w:val="18"/>
          <w:szCs w:val="26"/>
          <w:rtl/>
          <w:lang w:val="en-GB" w:eastAsia="zh-TW"/>
        </w:rPr>
      </w:pPr>
      <w:r w:rsidRPr="0081736E">
        <w:rPr>
          <w:rFonts w:hint="cs"/>
          <w:sz w:val="18"/>
          <w:szCs w:val="26"/>
          <w:rtl/>
          <w:lang w:val="en-GB" w:eastAsia="zh-TW"/>
        </w:rPr>
        <w:t>(</w:t>
      </w:r>
      <w:r w:rsidRPr="0081736E">
        <w:rPr>
          <w:rStyle w:val="FootnoteReference"/>
          <w:szCs w:val="26"/>
          <w:vertAlign w:val="baseline"/>
          <w:rtl/>
          <w:lang w:val="en-GB" w:eastAsia="zh-TW"/>
        </w:rPr>
        <w:footnoteRef/>
      </w:r>
      <w:r w:rsidRPr="0081736E">
        <w:rPr>
          <w:rFonts w:hint="cs"/>
          <w:sz w:val="18"/>
          <w:szCs w:val="26"/>
          <w:rtl/>
          <w:lang w:val="en-GB" w:eastAsia="zh-TW"/>
        </w:rPr>
        <w:t>)</w:t>
      </w:r>
      <w:r w:rsidRPr="0081736E">
        <w:rPr>
          <w:rFonts w:hint="cs"/>
          <w:sz w:val="18"/>
          <w:szCs w:val="26"/>
          <w:rtl/>
          <w:lang w:val="en-GB" w:eastAsia="zh-TW"/>
        </w:rPr>
        <w:tab/>
      </w:r>
      <w:r w:rsidRPr="005C3AD7">
        <w:rPr>
          <w:i/>
          <w:iCs/>
          <w:sz w:val="18"/>
          <w:szCs w:val="26"/>
          <w:lang w:val="en-GB" w:eastAsia="zh-TW"/>
        </w:rPr>
        <w:t>Lyons v. State of Queensland</w:t>
      </w:r>
      <w:r w:rsidRPr="0081736E">
        <w:rPr>
          <w:sz w:val="18"/>
          <w:szCs w:val="26"/>
          <w:lang w:val="en-GB" w:eastAsia="zh-TW"/>
        </w:rPr>
        <w:t xml:space="preserve"> [2013] QCAT 731 (ADL075-12); </w:t>
      </w:r>
      <w:r w:rsidRPr="005C3AD7">
        <w:rPr>
          <w:i/>
          <w:iCs/>
          <w:sz w:val="18"/>
          <w:szCs w:val="26"/>
          <w:lang w:val="en-GB" w:eastAsia="zh-TW"/>
        </w:rPr>
        <w:t>Lyons v. State of Queensland</w:t>
      </w:r>
      <w:r w:rsidRPr="0081736E">
        <w:rPr>
          <w:sz w:val="18"/>
          <w:szCs w:val="26"/>
          <w:lang w:val="en-GB" w:eastAsia="zh-TW"/>
        </w:rPr>
        <w:t xml:space="preserve"> [2014] QCATA 302 (APL008-14)</w:t>
      </w:r>
      <w:r w:rsidRPr="0081736E">
        <w:rPr>
          <w:sz w:val="18"/>
          <w:szCs w:val="26"/>
          <w:rtl/>
          <w:lang w:val="en-GB" w:eastAsia="zh-TW"/>
        </w:rPr>
        <w:t xml:space="preserve">. </w:t>
      </w:r>
    </w:p>
  </w:footnote>
  <w:footnote w:id="33">
    <w:p w:rsidR="007A129E" w:rsidRPr="007A129E" w:rsidRDefault="007A129E" w:rsidP="0081736E">
      <w:pPr>
        <w:pStyle w:val="FootnoteText"/>
        <w:widowControl w:val="0"/>
        <w:spacing w:after="60" w:line="300" w:lineRule="exact"/>
        <w:ind w:left="1247" w:right="1247" w:hanging="567"/>
        <w:textDirection w:val="tbRlV"/>
        <w:rPr>
          <w:sz w:val="18"/>
          <w:szCs w:val="26"/>
          <w:rtl/>
          <w:lang w:eastAsia="zh-TW"/>
        </w:rPr>
      </w:pPr>
      <w:r w:rsidRPr="0081736E">
        <w:rPr>
          <w:rFonts w:hint="cs"/>
          <w:sz w:val="18"/>
          <w:szCs w:val="26"/>
          <w:rtl/>
          <w:lang w:val="en-GB" w:eastAsia="zh-TW"/>
        </w:rPr>
        <w:t>(</w:t>
      </w:r>
      <w:r w:rsidRPr="0081736E">
        <w:rPr>
          <w:rStyle w:val="FootnoteReference"/>
          <w:szCs w:val="26"/>
          <w:vertAlign w:val="baseline"/>
          <w:rtl/>
          <w:lang w:val="en-GB" w:eastAsia="zh-TW"/>
        </w:rPr>
        <w:footnoteRef/>
      </w:r>
      <w:r w:rsidRPr="0081736E">
        <w:rPr>
          <w:rFonts w:hint="cs"/>
          <w:sz w:val="18"/>
          <w:szCs w:val="26"/>
          <w:rtl/>
          <w:lang w:val="en-GB" w:eastAsia="zh-TW"/>
        </w:rPr>
        <w:t>)</w:t>
      </w:r>
      <w:r w:rsidRPr="0081736E">
        <w:rPr>
          <w:rFonts w:hint="cs"/>
          <w:sz w:val="18"/>
          <w:szCs w:val="26"/>
          <w:rtl/>
          <w:lang w:val="en-GB" w:eastAsia="zh-TW"/>
        </w:rPr>
        <w:tab/>
      </w:r>
      <w:r w:rsidRPr="0081736E">
        <w:rPr>
          <w:sz w:val="18"/>
          <w:szCs w:val="26"/>
          <w:rtl/>
          <w:lang w:val="en-GB" w:eastAsia="zh-TW"/>
        </w:rPr>
        <w:t xml:space="preserve">تشير صاحبة البلاغ إلى قرار محكمة </w:t>
      </w:r>
      <w:proofErr w:type="spellStart"/>
      <w:r w:rsidRPr="0081736E">
        <w:rPr>
          <w:sz w:val="18"/>
          <w:szCs w:val="26"/>
          <w:rtl/>
          <w:lang w:val="en-GB" w:eastAsia="zh-TW"/>
        </w:rPr>
        <w:t>كوينزلاند</w:t>
      </w:r>
      <w:proofErr w:type="spellEnd"/>
      <w:r w:rsidRPr="0081736E">
        <w:rPr>
          <w:sz w:val="18"/>
          <w:szCs w:val="26"/>
          <w:rtl/>
          <w:lang w:val="en-GB" w:eastAsia="zh-TW"/>
        </w:rPr>
        <w:t xml:space="preserve"> العليا في</w:t>
      </w:r>
      <w:r>
        <w:rPr>
          <w:sz w:val="18"/>
          <w:szCs w:val="26"/>
          <w:rtl/>
          <w:lang w:val="en-GB" w:eastAsia="zh-TW"/>
        </w:rPr>
        <w:t xml:space="preserve"> </w:t>
      </w:r>
      <w:r w:rsidRPr="005C3AD7">
        <w:rPr>
          <w:i/>
          <w:iCs/>
          <w:sz w:val="18"/>
          <w:szCs w:val="26"/>
          <w:lang w:val="en-GB" w:eastAsia="zh-TW"/>
        </w:rPr>
        <w:t>Re the Jury Act 1995 and an application by the Sheriff of Queensland</w:t>
      </w:r>
      <w:r>
        <w:rPr>
          <w:sz w:val="18"/>
          <w:szCs w:val="26"/>
          <w:lang w:val="en-GB" w:eastAsia="zh-TW"/>
        </w:rPr>
        <w:t xml:space="preserve"> [2014] QSC 113</w:t>
      </w:r>
      <w:r>
        <w:rPr>
          <w:rFonts w:hint="cs"/>
          <w:sz w:val="18"/>
          <w:szCs w:val="26"/>
          <w:rtl/>
          <w:lang w:eastAsia="zh-TW"/>
        </w:rPr>
        <w:t>.</w:t>
      </w:r>
    </w:p>
  </w:footnote>
  <w:footnote w:id="34">
    <w:p w:rsidR="007A129E" w:rsidRPr="0081736E" w:rsidRDefault="007A129E" w:rsidP="007A129E">
      <w:pPr>
        <w:pStyle w:val="FootnoteText"/>
        <w:widowControl w:val="0"/>
        <w:spacing w:after="60" w:line="240" w:lineRule="exact"/>
        <w:ind w:left="1247" w:right="1247" w:hanging="567"/>
        <w:textDirection w:val="tbRlV"/>
        <w:rPr>
          <w:sz w:val="18"/>
          <w:szCs w:val="26"/>
          <w:rtl/>
          <w:lang w:val="en-GB" w:eastAsia="zh-TW"/>
        </w:rPr>
      </w:pPr>
      <w:r w:rsidRPr="0081736E">
        <w:rPr>
          <w:rFonts w:hint="cs"/>
          <w:sz w:val="18"/>
          <w:szCs w:val="26"/>
          <w:rtl/>
          <w:lang w:val="en-GB" w:eastAsia="zh-TW"/>
        </w:rPr>
        <w:t>(</w:t>
      </w:r>
      <w:r w:rsidRPr="0081736E">
        <w:rPr>
          <w:rStyle w:val="FootnoteReference"/>
          <w:szCs w:val="26"/>
          <w:vertAlign w:val="baseline"/>
          <w:rtl/>
          <w:lang w:val="en-GB" w:eastAsia="zh-TW"/>
        </w:rPr>
        <w:footnoteRef/>
      </w:r>
      <w:r w:rsidRPr="0081736E">
        <w:rPr>
          <w:rFonts w:hint="cs"/>
          <w:sz w:val="18"/>
          <w:szCs w:val="26"/>
          <w:rtl/>
          <w:lang w:val="en-GB" w:eastAsia="zh-TW"/>
        </w:rPr>
        <w:t>)</w:t>
      </w:r>
      <w:r w:rsidRPr="0081736E">
        <w:rPr>
          <w:rFonts w:hint="cs"/>
          <w:sz w:val="18"/>
          <w:szCs w:val="26"/>
          <w:rtl/>
          <w:lang w:val="en-GB" w:eastAsia="zh-TW"/>
        </w:rPr>
        <w:tab/>
      </w:r>
      <w:r w:rsidRPr="005C3AD7">
        <w:rPr>
          <w:i/>
          <w:iCs/>
          <w:sz w:val="18"/>
          <w:szCs w:val="26"/>
          <w:lang w:val="en-GB" w:eastAsia="zh-TW"/>
        </w:rPr>
        <w:t>Flew v. Mirvac Parking Pty Limited</w:t>
      </w:r>
      <w:r w:rsidRPr="0081736E">
        <w:rPr>
          <w:sz w:val="18"/>
          <w:szCs w:val="26"/>
          <w:lang w:val="en-GB" w:eastAsia="zh-TW"/>
        </w:rPr>
        <w:t xml:space="preserve"> [2006] FMCA 1818 at [15]</w:t>
      </w:r>
      <w:r w:rsidRPr="0081736E">
        <w:rPr>
          <w:sz w:val="18"/>
          <w:szCs w:val="26"/>
          <w:rtl/>
          <w:lang w:val="en-GB" w:eastAsia="zh-TW"/>
        </w:rPr>
        <w:t xml:space="preserve">. </w:t>
      </w:r>
    </w:p>
  </w:footnote>
  <w:footnote w:id="35">
    <w:p w:rsidR="007A129E" w:rsidRPr="0081736E" w:rsidRDefault="007A129E" w:rsidP="007A129E">
      <w:pPr>
        <w:pStyle w:val="FootnoteText"/>
        <w:widowControl w:val="0"/>
        <w:spacing w:after="60" w:line="240" w:lineRule="exact"/>
        <w:ind w:left="1247" w:right="1247" w:hanging="567"/>
        <w:textDirection w:val="tbRlV"/>
        <w:rPr>
          <w:sz w:val="18"/>
          <w:szCs w:val="26"/>
          <w:rtl/>
          <w:lang w:val="en-GB" w:eastAsia="zh-TW"/>
        </w:rPr>
      </w:pPr>
      <w:r w:rsidRPr="0081736E">
        <w:rPr>
          <w:rFonts w:hint="cs"/>
          <w:sz w:val="18"/>
          <w:szCs w:val="26"/>
          <w:rtl/>
          <w:lang w:val="en-GB" w:eastAsia="zh-TW"/>
        </w:rPr>
        <w:t>(</w:t>
      </w:r>
      <w:r w:rsidRPr="0081736E">
        <w:rPr>
          <w:rStyle w:val="FootnoteReference"/>
          <w:szCs w:val="26"/>
          <w:vertAlign w:val="baseline"/>
          <w:rtl/>
          <w:lang w:val="en-GB" w:eastAsia="zh-TW"/>
        </w:rPr>
        <w:footnoteRef/>
      </w:r>
      <w:r w:rsidRPr="0081736E">
        <w:rPr>
          <w:rFonts w:hint="cs"/>
          <w:sz w:val="18"/>
          <w:szCs w:val="26"/>
          <w:rtl/>
          <w:lang w:val="en-GB" w:eastAsia="zh-TW"/>
        </w:rPr>
        <w:t>)</w:t>
      </w:r>
      <w:r w:rsidRPr="0081736E">
        <w:rPr>
          <w:rFonts w:hint="cs"/>
          <w:sz w:val="18"/>
          <w:szCs w:val="26"/>
          <w:rtl/>
          <w:lang w:val="en-GB" w:eastAsia="zh-TW"/>
        </w:rPr>
        <w:tab/>
      </w:r>
      <w:r w:rsidRPr="0081736E">
        <w:rPr>
          <w:sz w:val="18"/>
          <w:szCs w:val="26"/>
          <w:lang w:val="en-GB" w:eastAsia="zh-TW"/>
        </w:rPr>
        <w:t>Section 348 and chapter 4 of the Legal Profession Act 2004</w:t>
      </w:r>
      <w:r w:rsidRPr="0081736E">
        <w:rPr>
          <w:sz w:val="18"/>
          <w:szCs w:val="26"/>
          <w:rtl/>
          <w:lang w:val="en-GB" w:eastAsia="zh-TW"/>
        </w:rPr>
        <w:t xml:space="preserve">. </w:t>
      </w:r>
    </w:p>
  </w:footnote>
  <w:footnote w:id="36">
    <w:p w:rsidR="007A129E" w:rsidRPr="0081736E" w:rsidRDefault="007A129E" w:rsidP="005C3AD7">
      <w:pPr>
        <w:pStyle w:val="FootnoteText"/>
        <w:widowControl w:val="0"/>
        <w:spacing w:after="60" w:line="240" w:lineRule="exact"/>
        <w:ind w:left="1247" w:right="1247" w:hanging="567"/>
        <w:textDirection w:val="tbRlV"/>
        <w:rPr>
          <w:sz w:val="18"/>
          <w:szCs w:val="26"/>
          <w:rtl/>
          <w:lang w:val="en-GB" w:eastAsia="zh-TW"/>
        </w:rPr>
      </w:pPr>
      <w:r w:rsidRPr="0081736E">
        <w:rPr>
          <w:rFonts w:hint="cs"/>
          <w:sz w:val="18"/>
          <w:szCs w:val="26"/>
          <w:rtl/>
          <w:lang w:val="en-GB" w:eastAsia="zh-TW"/>
        </w:rPr>
        <w:t>(</w:t>
      </w:r>
      <w:r w:rsidRPr="0081736E">
        <w:rPr>
          <w:rStyle w:val="FootnoteReference"/>
          <w:szCs w:val="26"/>
          <w:vertAlign w:val="baseline"/>
          <w:rtl/>
          <w:lang w:val="en-GB" w:eastAsia="zh-TW"/>
        </w:rPr>
        <w:footnoteRef/>
      </w:r>
      <w:r w:rsidRPr="0081736E">
        <w:rPr>
          <w:rFonts w:hint="cs"/>
          <w:sz w:val="18"/>
          <w:szCs w:val="26"/>
          <w:rtl/>
          <w:lang w:val="en-GB" w:eastAsia="zh-TW"/>
        </w:rPr>
        <w:t>)</w:t>
      </w:r>
      <w:r w:rsidRPr="0081736E">
        <w:rPr>
          <w:rFonts w:hint="cs"/>
          <w:sz w:val="18"/>
          <w:szCs w:val="26"/>
          <w:rtl/>
          <w:lang w:val="en-GB" w:eastAsia="zh-TW"/>
        </w:rPr>
        <w:tab/>
      </w:r>
      <w:r w:rsidRPr="005C3AD7">
        <w:rPr>
          <w:i/>
          <w:iCs/>
          <w:sz w:val="18"/>
          <w:szCs w:val="26"/>
          <w:lang w:val="en-GB" w:eastAsia="zh-TW"/>
        </w:rPr>
        <w:t>Commonwealth v. Tasmania</w:t>
      </w:r>
      <w:r w:rsidRPr="0081736E">
        <w:rPr>
          <w:sz w:val="18"/>
          <w:szCs w:val="26"/>
          <w:lang w:val="en-GB" w:eastAsia="zh-TW"/>
        </w:rPr>
        <w:t xml:space="preserve"> (1983) 158 CLR</w:t>
      </w:r>
      <w:r w:rsidRPr="0081736E">
        <w:rPr>
          <w:sz w:val="18"/>
          <w:szCs w:val="26"/>
          <w:rtl/>
          <w:lang w:val="en-GB" w:eastAsia="zh-TW"/>
        </w:rPr>
        <w:t>؛</w:t>
      </w:r>
      <w:r>
        <w:rPr>
          <w:sz w:val="18"/>
          <w:szCs w:val="26"/>
          <w:rtl/>
          <w:lang w:val="en-GB" w:eastAsia="zh-TW"/>
        </w:rPr>
        <w:t xml:space="preserve"> </w:t>
      </w:r>
      <w:r w:rsidRPr="005C3AD7">
        <w:rPr>
          <w:i/>
          <w:iCs/>
          <w:sz w:val="18"/>
          <w:szCs w:val="26"/>
          <w:lang w:val="en-GB" w:eastAsia="zh-TW"/>
        </w:rPr>
        <w:t>Mabo and others v. Queensland</w:t>
      </w:r>
      <w:r w:rsidRPr="0081736E">
        <w:rPr>
          <w:sz w:val="18"/>
          <w:szCs w:val="26"/>
          <w:lang w:val="en-GB" w:eastAsia="zh-TW"/>
        </w:rPr>
        <w:t xml:space="preserve"> (No. 2) (1992) 175 CLR 1</w:t>
      </w:r>
      <w:r w:rsidRPr="0081736E">
        <w:rPr>
          <w:rFonts w:hint="cs"/>
          <w:sz w:val="18"/>
          <w:szCs w:val="26"/>
          <w:rtl/>
          <w:lang w:val="en-GB" w:eastAsia="zh-TW"/>
        </w:rPr>
        <w:t>.</w:t>
      </w:r>
      <w:r w:rsidRPr="0081736E">
        <w:rPr>
          <w:sz w:val="18"/>
          <w:szCs w:val="26"/>
          <w:rtl/>
          <w:lang w:val="en-GB" w:eastAsia="zh-TW"/>
        </w:rPr>
        <w:t xml:space="preserve"> </w:t>
      </w:r>
    </w:p>
  </w:footnote>
  <w:footnote w:id="37">
    <w:p w:rsidR="007A129E" w:rsidRPr="007A129E" w:rsidRDefault="007A129E" w:rsidP="0081736E">
      <w:pPr>
        <w:pStyle w:val="FootnoteText"/>
        <w:widowControl w:val="0"/>
        <w:spacing w:after="60" w:line="300" w:lineRule="exact"/>
        <w:ind w:left="1247" w:right="1247" w:hanging="567"/>
        <w:textDirection w:val="tbRlV"/>
        <w:rPr>
          <w:spacing w:val="-4"/>
          <w:sz w:val="18"/>
          <w:szCs w:val="26"/>
          <w:rtl/>
          <w:lang w:val="en-GB" w:eastAsia="zh-TW"/>
        </w:rPr>
      </w:pPr>
      <w:r w:rsidRPr="007A129E">
        <w:rPr>
          <w:spacing w:val="-4"/>
          <w:sz w:val="18"/>
          <w:szCs w:val="26"/>
          <w:rtl/>
          <w:lang w:val="en-GB" w:eastAsia="zh-TW"/>
        </w:rPr>
        <w:t>(</w:t>
      </w:r>
      <w:r w:rsidRPr="007A129E">
        <w:rPr>
          <w:rStyle w:val="FootnoteReference"/>
          <w:spacing w:val="-4"/>
          <w:szCs w:val="26"/>
          <w:vertAlign w:val="baseline"/>
          <w:rtl/>
          <w:lang w:val="en-GB" w:eastAsia="zh-TW"/>
        </w:rPr>
        <w:footnoteRef/>
      </w:r>
      <w:r w:rsidRPr="007A129E">
        <w:rPr>
          <w:spacing w:val="-4"/>
          <w:sz w:val="18"/>
          <w:szCs w:val="26"/>
          <w:rtl/>
          <w:lang w:val="en-GB" w:eastAsia="zh-TW"/>
        </w:rPr>
        <w:t>)</w:t>
      </w:r>
      <w:r w:rsidRPr="007A129E">
        <w:rPr>
          <w:rFonts w:hint="cs"/>
          <w:spacing w:val="-4"/>
          <w:sz w:val="18"/>
          <w:szCs w:val="26"/>
          <w:rtl/>
          <w:lang w:val="en-GB" w:eastAsia="zh-TW"/>
        </w:rPr>
        <w:tab/>
      </w:r>
      <w:r w:rsidRPr="007A129E">
        <w:rPr>
          <w:spacing w:val="-4"/>
          <w:sz w:val="18"/>
          <w:szCs w:val="26"/>
          <w:rtl/>
          <w:lang w:val="en-GB" w:eastAsia="zh-TW"/>
        </w:rPr>
        <w:t xml:space="preserve">انظر الموجز اليومي للمناقشات التي أجرتها اللجنة المخصصة في دورتها السابعة، في 18 كانون الثاني/يناير 2006. </w:t>
      </w:r>
    </w:p>
  </w:footnote>
  <w:footnote w:id="38">
    <w:p w:rsidR="007A129E" w:rsidRPr="0081736E" w:rsidRDefault="007A129E" w:rsidP="0081736E">
      <w:pPr>
        <w:pStyle w:val="FootnoteText"/>
        <w:widowControl w:val="0"/>
        <w:spacing w:after="60" w:line="300" w:lineRule="exact"/>
        <w:ind w:left="1247" w:right="1247" w:hanging="567"/>
        <w:textDirection w:val="tbRlV"/>
        <w:rPr>
          <w:sz w:val="18"/>
          <w:szCs w:val="26"/>
          <w:rtl/>
          <w:lang w:val="en-GB" w:eastAsia="zh-TW"/>
        </w:rPr>
      </w:pPr>
      <w:r w:rsidRPr="0081736E">
        <w:rPr>
          <w:rFonts w:hint="cs"/>
          <w:sz w:val="18"/>
          <w:szCs w:val="26"/>
          <w:rtl/>
          <w:lang w:val="en-GB" w:eastAsia="zh-TW"/>
        </w:rPr>
        <w:t>(</w:t>
      </w:r>
      <w:r w:rsidRPr="0081736E">
        <w:rPr>
          <w:rStyle w:val="FootnoteReference"/>
          <w:szCs w:val="26"/>
          <w:vertAlign w:val="baseline"/>
          <w:rtl/>
          <w:lang w:val="en-GB" w:eastAsia="zh-TW"/>
        </w:rPr>
        <w:footnoteRef/>
      </w:r>
      <w:r w:rsidRPr="0081736E">
        <w:rPr>
          <w:rFonts w:hint="cs"/>
          <w:sz w:val="18"/>
          <w:szCs w:val="26"/>
          <w:rtl/>
          <w:lang w:val="en-GB" w:eastAsia="zh-TW"/>
        </w:rPr>
        <w:t>)</w:t>
      </w:r>
      <w:r w:rsidRPr="0081736E">
        <w:rPr>
          <w:rFonts w:hint="cs"/>
          <w:sz w:val="18"/>
          <w:szCs w:val="26"/>
          <w:rtl/>
          <w:lang w:val="en-GB" w:eastAsia="zh-TW"/>
        </w:rPr>
        <w:tab/>
      </w:r>
      <w:r w:rsidRPr="0081736E">
        <w:rPr>
          <w:sz w:val="18"/>
          <w:szCs w:val="26"/>
          <w:rtl/>
          <w:lang w:val="en-GB" w:eastAsia="zh-TW"/>
        </w:rPr>
        <w:t xml:space="preserve">أرسلت الملاحظات الإضافية المقدمة من الدولة الطرف إلى صاحبة البلاغ في اليوم نفسه. ولم يرد أي تعليق آخر من صاحبة البلاغ. </w:t>
      </w:r>
    </w:p>
  </w:footnote>
  <w:footnote w:id="39">
    <w:p w:rsidR="007A129E" w:rsidRPr="0081736E" w:rsidRDefault="007A129E" w:rsidP="0081736E">
      <w:pPr>
        <w:pStyle w:val="FootnoteText"/>
        <w:widowControl w:val="0"/>
        <w:spacing w:after="60" w:line="300" w:lineRule="exact"/>
        <w:ind w:left="1247" w:right="1247" w:hanging="567"/>
        <w:textDirection w:val="tbRlV"/>
        <w:rPr>
          <w:sz w:val="18"/>
          <w:szCs w:val="26"/>
          <w:rtl/>
          <w:lang w:val="en-GB" w:eastAsia="zh-TW"/>
        </w:rPr>
      </w:pPr>
      <w:r w:rsidRPr="0081736E">
        <w:rPr>
          <w:rFonts w:hint="cs"/>
          <w:sz w:val="18"/>
          <w:szCs w:val="26"/>
          <w:rtl/>
          <w:lang w:val="en-GB" w:eastAsia="zh-TW"/>
        </w:rPr>
        <w:t>(</w:t>
      </w:r>
      <w:r w:rsidRPr="0081736E">
        <w:rPr>
          <w:rStyle w:val="FootnoteReference"/>
          <w:szCs w:val="26"/>
          <w:vertAlign w:val="baseline"/>
          <w:rtl/>
          <w:lang w:val="en-GB" w:eastAsia="zh-TW"/>
        </w:rPr>
        <w:footnoteRef/>
      </w:r>
      <w:r w:rsidRPr="0081736E">
        <w:rPr>
          <w:rFonts w:hint="cs"/>
          <w:sz w:val="18"/>
          <w:szCs w:val="26"/>
          <w:rtl/>
          <w:lang w:val="en-GB" w:eastAsia="zh-TW"/>
        </w:rPr>
        <w:t>)</w:t>
      </w:r>
      <w:r w:rsidRPr="0081736E">
        <w:rPr>
          <w:rFonts w:hint="cs"/>
          <w:sz w:val="18"/>
          <w:szCs w:val="26"/>
          <w:rtl/>
          <w:lang w:val="en-GB" w:eastAsia="zh-TW"/>
        </w:rPr>
        <w:tab/>
      </w:r>
      <w:r w:rsidRPr="0081736E">
        <w:rPr>
          <w:sz w:val="18"/>
          <w:szCs w:val="26"/>
          <w:rtl/>
          <w:lang w:val="en-GB" w:eastAsia="zh-TW"/>
        </w:rPr>
        <w:t xml:space="preserve">انظر البلاغ رقم 2012/8، </w:t>
      </w:r>
      <w:r w:rsidRPr="002248D5">
        <w:rPr>
          <w:i/>
          <w:iCs/>
          <w:sz w:val="18"/>
          <w:szCs w:val="26"/>
          <w:rtl/>
          <w:lang w:val="en-GB" w:eastAsia="zh-TW"/>
        </w:rPr>
        <w:t>س. ضد الأرجنتين</w:t>
      </w:r>
      <w:r w:rsidRPr="0081736E">
        <w:rPr>
          <w:sz w:val="18"/>
          <w:szCs w:val="26"/>
          <w:rtl/>
          <w:lang w:val="en-GB" w:eastAsia="zh-TW"/>
        </w:rPr>
        <w:t xml:space="preserve">، الآراء المعتمدة في 11 نيسان/أبريل 2014، الفقرة 7-٤. </w:t>
      </w:r>
    </w:p>
  </w:footnote>
  <w:footnote w:id="40">
    <w:p w:rsidR="007A129E" w:rsidRPr="0081736E" w:rsidRDefault="007A129E" w:rsidP="002248D5">
      <w:pPr>
        <w:pStyle w:val="FootnoteText"/>
        <w:widowControl w:val="0"/>
        <w:spacing w:after="60" w:line="300" w:lineRule="exact"/>
        <w:ind w:left="1247" w:right="1247" w:hanging="567"/>
        <w:textDirection w:val="tbRlV"/>
        <w:rPr>
          <w:sz w:val="18"/>
          <w:szCs w:val="26"/>
          <w:rtl/>
          <w:lang w:val="en-GB" w:eastAsia="zh-TW"/>
        </w:rPr>
      </w:pPr>
      <w:r w:rsidRPr="0081736E">
        <w:rPr>
          <w:sz w:val="18"/>
          <w:szCs w:val="26"/>
          <w:rtl/>
          <w:lang w:val="en-GB" w:eastAsia="zh-TW"/>
        </w:rPr>
        <w:t>(</w:t>
      </w:r>
      <w:r w:rsidRPr="0081736E">
        <w:rPr>
          <w:rStyle w:val="FootnoteReference"/>
          <w:szCs w:val="26"/>
          <w:vertAlign w:val="baseline"/>
          <w:rtl/>
          <w:lang w:val="en-GB" w:eastAsia="zh-TW"/>
        </w:rPr>
        <w:footnoteRef/>
      </w:r>
      <w:r w:rsidRPr="0081736E">
        <w:rPr>
          <w:sz w:val="18"/>
          <w:szCs w:val="26"/>
          <w:rtl/>
          <w:lang w:val="en-GB" w:eastAsia="zh-TW"/>
        </w:rPr>
        <w:t>)</w:t>
      </w:r>
      <w:r w:rsidRPr="0081736E">
        <w:rPr>
          <w:rFonts w:hint="cs"/>
          <w:sz w:val="18"/>
          <w:szCs w:val="26"/>
          <w:rtl/>
          <w:lang w:val="en-GB" w:eastAsia="zh-TW"/>
        </w:rPr>
        <w:tab/>
      </w:r>
      <w:r w:rsidRPr="0081736E">
        <w:rPr>
          <w:sz w:val="18"/>
          <w:szCs w:val="26"/>
          <w:rtl/>
          <w:lang w:val="en-GB" w:eastAsia="zh-TW"/>
        </w:rPr>
        <w:t xml:space="preserve">انظر البلاغ رقم 2011/3، </w:t>
      </w:r>
      <w:r w:rsidRPr="0081736E">
        <w:rPr>
          <w:i/>
          <w:iCs/>
          <w:sz w:val="18"/>
          <w:szCs w:val="26"/>
          <w:rtl/>
          <w:lang w:val="en-GB" w:eastAsia="zh-TW"/>
        </w:rPr>
        <w:t>ه. م. ضد السويد</w:t>
      </w:r>
      <w:r w:rsidRPr="0081736E">
        <w:rPr>
          <w:sz w:val="18"/>
          <w:szCs w:val="26"/>
          <w:rtl/>
          <w:lang w:val="en-GB" w:eastAsia="zh-TW"/>
        </w:rPr>
        <w:t xml:space="preserve">، الآراء المعتمدة في 19 نيسان/أبريل 2012، الفقرة 7-3، والبلاغ رقم 2/2010، </w:t>
      </w:r>
      <w:proofErr w:type="spellStart"/>
      <w:r w:rsidRPr="0081736E">
        <w:rPr>
          <w:i/>
          <w:iCs/>
          <w:sz w:val="18"/>
          <w:szCs w:val="26"/>
          <w:rtl/>
          <w:lang w:val="en-GB" w:eastAsia="zh-TW"/>
        </w:rPr>
        <w:t>غرونينغر</w:t>
      </w:r>
      <w:proofErr w:type="spellEnd"/>
      <w:r w:rsidRPr="0081736E">
        <w:rPr>
          <w:i/>
          <w:iCs/>
          <w:sz w:val="18"/>
          <w:szCs w:val="26"/>
          <w:rtl/>
          <w:lang w:val="en-GB" w:eastAsia="zh-TW"/>
        </w:rPr>
        <w:t xml:space="preserve"> ضد ألمانيا</w:t>
      </w:r>
      <w:r w:rsidRPr="0081736E">
        <w:rPr>
          <w:sz w:val="18"/>
          <w:szCs w:val="26"/>
          <w:rtl/>
          <w:lang w:val="en-GB" w:eastAsia="zh-TW"/>
        </w:rPr>
        <w:t xml:space="preserve">، الآراء المعتمدة في 4 نيسان/ أبريل 2014، الفقرة </w:t>
      </w:r>
      <w:r w:rsidR="002248D5">
        <w:rPr>
          <w:rFonts w:hint="cs"/>
          <w:sz w:val="18"/>
          <w:szCs w:val="26"/>
          <w:rtl/>
          <w:lang w:val="en-GB" w:eastAsia="zh-TW"/>
        </w:rPr>
        <w:t>6-2</w:t>
      </w:r>
      <w:r w:rsidRPr="0081736E">
        <w:rPr>
          <w:sz w:val="18"/>
          <w:szCs w:val="26"/>
          <w:rtl/>
          <w:lang w:val="en-GB" w:eastAsia="zh-TW"/>
        </w:rPr>
        <w:t xml:space="preserve">. </w:t>
      </w:r>
    </w:p>
  </w:footnote>
  <w:footnote w:id="41">
    <w:p w:rsidR="007A129E" w:rsidRPr="0081736E" w:rsidRDefault="00821257" w:rsidP="0081736E">
      <w:pPr>
        <w:pStyle w:val="FootnoteText"/>
        <w:widowControl w:val="0"/>
        <w:spacing w:after="60" w:line="300" w:lineRule="exact"/>
        <w:ind w:left="1247" w:right="1247" w:hanging="567"/>
        <w:textDirection w:val="tbRlV"/>
        <w:rPr>
          <w:sz w:val="18"/>
          <w:szCs w:val="26"/>
          <w:rtl/>
          <w:lang w:val="en-GB" w:eastAsia="zh-TW"/>
        </w:rPr>
      </w:pPr>
      <w:dir w:val="rtl">
        <w:r w:rsidR="007A129E" w:rsidRPr="00740F4F">
          <w:rPr>
            <w:spacing w:val="-4"/>
            <w:sz w:val="18"/>
            <w:szCs w:val="26"/>
            <w:rtl/>
            <w:lang w:val="en-GB" w:eastAsia="zh-TW"/>
          </w:rPr>
          <w:t>(</w:t>
        </w:r>
        <w:r w:rsidR="007A129E" w:rsidRPr="00740F4F">
          <w:rPr>
            <w:rStyle w:val="FootnoteReference"/>
            <w:spacing w:val="-4"/>
            <w:szCs w:val="26"/>
            <w:vertAlign w:val="baseline"/>
            <w:rtl/>
            <w:lang w:val="en-GB" w:eastAsia="zh-TW"/>
          </w:rPr>
          <w:footnoteRef/>
        </w:r>
        <w:r w:rsidR="007A129E" w:rsidRPr="00740F4F">
          <w:rPr>
            <w:spacing w:val="-4"/>
            <w:sz w:val="18"/>
            <w:szCs w:val="26"/>
            <w:rtl/>
            <w:lang w:val="en-GB" w:eastAsia="zh-TW"/>
          </w:rPr>
          <w:t>)</w:t>
        </w:r>
        <w:r w:rsidR="007A129E" w:rsidRPr="00740F4F">
          <w:rPr>
            <w:rFonts w:hint="cs"/>
            <w:spacing w:val="-4"/>
            <w:sz w:val="18"/>
            <w:szCs w:val="26"/>
            <w:rtl/>
            <w:lang w:val="en-GB" w:eastAsia="zh-TW"/>
          </w:rPr>
          <w:tab/>
        </w:r>
        <w:r w:rsidR="007A129E" w:rsidRPr="00740F4F">
          <w:rPr>
            <w:spacing w:val="-4"/>
            <w:sz w:val="18"/>
            <w:szCs w:val="26"/>
            <w:rtl/>
            <w:lang w:val="en-GB" w:eastAsia="zh-TW"/>
          </w:rPr>
          <w:t xml:space="preserve">انظر البلاغ رقم 2013/10، </w:t>
        </w:r>
        <w:r w:rsidR="007A129E" w:rsidRPr="00740F4F">
          <w:rPr>
            <w:i/>
            <w:iCs/>
            <w:spacing w:val="-4"/>
            <w:sz w:val="18"/>
            <w:szCs w:val="26"/>
            <w:rtl/>
            <w:lang w:val="en-GB" w:eastAsia="zh-TW"/>
          </w:rPr>
          <w:t>س. ك. ضد البرازيل</w:t>
        </w:r>
        <w:r w:rsidR="007A129E" w:rsidRPr="00740F4F">
          <w:rPr>
            <w:spacing w:val="-4"/>
            <w:sz w:val="18"/>
            <w:szCs w:val="26"/>
            <w:rtl/>
            <w:lang w:val="en-GB" w:eastAsia="zh-TW"/>
          </w:rPr>
          <w:t>، قرار عدم المق</w:t>
        </w:r>
        <w:r w:rsidR="00740F4F" w:rsidRPr="00740F4F">
          <w:rPr>
            <w:spacing w:val="-4"/>
            <w:sz w:val="18"/>
            <w:szCs w:val="26"/>
            <w:rtl/>
            <w:lang w:val="en-GB" w:eastAsia="zh-TW"/>
          </w:rPr>
          <w:t>بولية المعتمد في 2 تشرين الأول/</w:t>
        </w:r>
        <w:r w:rsidR="007A129E" w:rsidRPr="00740F4F">
          <w:rPr>
            <w:spacing w:val="-4"/>
            <w:sz w:val="18"/>
            <w:szCs w:val="26"/>
            <w:rtl/>
            <w:lang w:val="en-GB" w:eastAsia="zh-TW"/>
          </w:rPr>
          <w:t>أكتوبر 2014،</w:t>
        </w:r>
        <w:r w:rsidR="007A129E" w:rsidRPr="0081736E">
          <w:rPr>
            <w:sz w:val="18"/>
            <w:szCs w:val="26"/>
            <w:rtl/>
            <w:lang w:val="en-GB" w:eastAsia="zh-TW"/>
          </w:rPr>
          <w:t xml:space="preserve"> الفقرة 6-٤. </w:t>
        </w:r>
        <w:r w:rsidR="0087267B">
          <w:t>‬</w:t>
        </w:r>
        <w:r w:rsidR="000C45CA">
          <w:t>‬</w:t>
        </w:r>
        <w:r w:rsidR="00A168C8">
          <w:t>‬</w:t>
        </w:r>
        <w:r>
          <w:t>‬</w:t>
        </w:r>
      </w:dir>
    </w:p>
  </w:footnote>
  <w:footnote w:id="42">
    <w:p w:rsidR="007A129E" w:rsidRPr="00F05419" w:rsidRDefault="00821257" w:rsidP="0081736E">
      <w:pPr>
        <w:pStyle w:val="FootnoteText"/>
        <w:widowControl w:val="0"/>
        <w:spacing w:after="60" w:line="300" w:lineRule="exact"/>
        <w:ind w:left="1247" w:right="1247" w:hanging="567"/>
        <w:textDirection w:val="tbRlV"/>
        <w:rPr>
          <w:spacing w:val="-6"/>
          <w:sz w:val="18"/>
          <w:szCs w:val="26"/>
          <w:rtl/>
          <w:lang w:val="en-GB" w:eastAsia="zh-TW"/>
        </w:rPr>
      </w:pPr>
      <w:dir w:val="rtl">
        <w:r w:rsidR="007A129E" w:rsidRPr="00F05419">
          <w:rPr>
            <w:spacing w:val="-6"/>
            <w:sz w:val="18"/>
            <w:szCs w:val="26"/>
            <w:rtl/>
            <w:lang w:val="en-GB" w:eastAsia="zh-TW"/>
          </w:rPr>
          <w:t>(</w:t>
        </w:r>
        <w:r w:rsidR="007A129E" w:rsidRPr="00F05419">
          <w:rPr>
            <w:rStyle w:val="FootnoteReference"/>
            <w:spacing w:val="-6"/>
            <w:szCs w:val="26"/>
            <w:vertAlign w:val="baseline"/>
            <w:rtl/>
            <w:lang w:val="en-GB" w:eastAsia="zh-TW"/>
          </w:rPr>
          <w:footnoteRef/>
        </w:r>
        <w:r w:rsidR="007A129E" w:rsidRPr="00F05419">
          <w:rPr>
            <w:spacing w:val="-6"/>
            <w:sz w:val="18"/>
            <w:szCs w:val="26"/>
            <w:rtl/>
            <w:lang w:val="en-GB" w:eastAsia="zh-TW"/>
          </w:rPr>
          <w:t>)</w:t>
        </w:r>
        <w:r w:rsidR="007A129E" w:rsidRPr="00F05419">
          <w:rPr>
            <w:rFonts w:hint="cs"/>
            <w:spacing w:val="-6"/>
            <w:sz w:val="18"/>
            <w:szCs w:val="26"/>
            <w:rtl/>
            <w:lang w:val="en-GB" w:eastAsia="zh-TW"/>
          </w:rPr>
          <w:tab/>
        </w:r>
        <w:r w:rsidR="007A129E" w:rsidRPr="00F05419">
          <w:rPr>
            <w:spacing w:val="-6"/>
            <w:sz w:val="18"/>
            <w:szCs w:val="26"/>
            <w:rtl/>
            <w:lang w:val="en-GB" w:eastAsia="zh-TW"/>
          </w:rPr>
          <w:t xml:space="preserve">انظر البلاغ رقم 2011/5، </w:t>
        </w:r>
        <w:proofErr w:type="spellStart"/>
        <w:r w:rsidR="007A129E" w:rsidRPr="00F05419">
          <w:rPr>
            <w:i/>
            <w:iCs/>
            <w:spacing w:val="-6"/>
            <w:sz w:val="18"/>
            <w:szCs w:val="26"/>
            <w:rtl/>
            <w:lang w:val="en-GB" w:eastAsia="zh-TW"/>
          </w:rPr>
          <w:t>يونغلين</w:t>
        </w:r>
        <w:proofErr w:type="spellEnd"/>
        <w:r w:rsidR="007A129E" w:rsidRPr="00F05419">
          <w:rPr>
            <w:i/>
            <w:iCs/>
            <w:spacing w:val="-6"/>
            <w:sz w:val="18"/>
            <w:szCs w:val="26"/>
            <w:rtl/>
            <w:lang w:val="en-GB" w:eastAsia="zh-TW"/>
          </w:rPr>
          <w:t xml:space="preserve"> ضدّ السويد</w:t>
        </w:r>
        <w:r w:rsidR="007A129E" w:rsidRPr="00F05419">
          <w:rPr>
            <w:spacing w:val="-6"/>
            <w:sz w:val="18"/>
            <w:szCs w:val="26"/>
            <w:rtl/>
            <w:lang w:val="en-GB" w:eastAsia="zh-TW"/>
          </w:rPr>
          <w:t xml:space="preserve">، الآراء المعتمدة في 2 تشرين الأول/أكتوبر 2014، الفقرة 10-٤. </w:t>
        </w:r>
        <w:r w:rsidR="0087267B">
          <w:t>‬</w:t>
        </w:r>
        <w:r w:rsidR="000C45CA">
          <w:t>‬</w:t>
        </w:r>
        <w:r w:rsidR="00A168C8">
          <w:t>‬</w:t>
        </w:r>
        <w:r>
          <w:t>‬</w:t>
        </w:r>
      </w:dir>
    </w:p>
  </w:footnote>
  <w:footnote w:id="43">
    <w:p w:rsidR="007A129E" w:rsidRPr="0081736E" w:rsidRDefault="007A129E" w:rsidP="0081736E">
      <w:pPr>
        <w:pStyle w:val="FootnoteText"/>
        <w:widowControl w:val="0"/>
        <w:spacing w:after="60" w:line="300" w:lineRule="exact"/>
        <w:ind w:left="1247" w:right="1247" w:hanging="567"/>
        <w:textDirection w:val="tbRlV"/>
        <w:rPr>
          <w:sz w:val="18"/>
          <w:szCs w:val="26"/>
          <w:rtl/>
          <w:lang w:val="en-GB" w:eastAsia="zh-TW"/>
        </w:rPr>
      </w:pPr>
      <w:r w:rsidRPr="0081736E">
        <w:rPr>
          <w:sz w:val="18"/>
          <w:szCs w:val="26"/>
          <w:rtl/>
          <w:lang w:val="en-GB" w:eastAsia="zh-TW"/>
        </w:rPr>
        <w:t>(</w:t>
      </w:r>
      <w:r w:rsidRPr="0081736E">
        <w:rPr>
          <w:rStyle w:val="FootnoteReference"/>
          <w:szCs w:val="26"/>
          <w:vertAlign w:val="baseline"/>
          <w:rtl/>
          <w:lang w:val="en-GB" w:eastAsia="zh-TW"/>
        </w:rPr>
        <w:footnoteRef/>
      </w:r>
      <w:r w:rsidRPr="0081736E">
        <w:rPr>
          <w:sz w:val="18"/>
          <w:szCs w:val="26"/>
          <w:rtl/>
          <w:lang w:val="en-GB" w:eastAsia="zh-TW"/>
        </w:rPr>
        <w:t>)</w:t>
      </w:r>
      <w:r w:rsidRPr="0081736E">
        <w:rPr>
          <w:rFonts w:hint="cs"/>
          <w:sz w:val="18"/>
          <w:szCs w:val="26"/>
          <w:rtl/>
          <w:lang w:val="en-GB" w:eastAsia="zh-TW"/>
        </w:rPr>
        <w:tab/>
      </w:r>
      <w:r w:rsidRPr="0081736E">
        <w:rPr>
          <w:sz w:val="18"/>
          <w:szCs w:val="26"/>
          <w:rtl/>
          <w:lang w:val="en-GB" w:eastAsia="zh-TW"/>
        </w:rPr>
        <w:t>المرجع نفسه، الفقرة 10-٥.</w:t>
      </w:r>
    </w:p>
  </w:footnote>
  <w:footnote w:id="44">
    <w:p w:rsidR="007A129E" w:rsidRPr="0081736E" w:rsidRDefault="007A129E" w:rsidP="0081736E">
      <w:pPr>
        <w:pStyle w:val="FootnoteText"/>
        <w:widowControl w:val="0"/>
        <w:spacing w:after="60" w:line="300" w:lineRule="exact"/>
        <w:ind w:left="1247" w:right="1247" w:hanging="567"/>
        <w:textDirection w:val="tbRlV"/>
        <w:rPr>
          <w:sz w:val="18"/>
          <w:szCs w:val="26"/>
          <w:rtl/>
          <w:lang w:val="en-GB" w:eastAsia="zh-TW"/>
        </w:rPr>
      </w:pPr>
      <w:r w:rsidRPr="0081736E">
        <w:rPr>
          <w:sz w:val="18"/>
          <w:szCs w:val="26"/>
          <w:rtl/>
          <w:lang w:val="en-GB" w:eastAsia="zh-TW"/>
        </w:rPr>
        <w:t>(</w:t>
      </w:r>
      <w:r w:rsidRPr="0081736E">
        <w:rPr>
          <w:rStyle w:val="FootnoteReference"/>
          <w:szCs w:val="26"/>
          <w:vertAlign w:val="baseline"/>
          <w:rtl/>
          <w:lang w:val="en-GB" w:eastAsia="zh-TW"/>
        </w:rPr>
        <w:footnoteRef/>
      </w:r>
      <w:r w:rsidRPr="0081736E">
        <w:rPr>
          <w:sz w:val="18"/>
          <w:szCs w:val="26"/>
          <w:rtl/>
          <w:lang w:val="en-GB" w:eastAsia="zh-TW"/>
        </w:rPr>
        <w:t>)</w:t>
      </w:r>
      <w:r w:rsidRPr="0081736E">
        <w:rPr>
          <w:rFonts w:hint="cs"/>
          <w:sz w:val="18"/>
          <w:szCs w:val="26"/>
          <w:rtl/>
          <w:lang w:val="en-GB" w:eastAsia="zh-TW"/>
        </w:rPr>
        <w:tab/>
      </w:r>
      <w:r w:rsidRPr="0081736E">
        <w:rPr>
          <w:sz w:val="18"/>
          <w:szCs w:val="26"/>
          <w:rtl/>
          <w:lang w:val="en-GB" w:eastAsia="zh-TW"/>
        </w:rPr>
        <w:t xml:space="preserve">المرجع نفسه، الفقرة 10-٦. </w:t>
      </w:r>
    </w:p>
  </w:footnote>
  <w:footnote w:id="45">
    <w:p w:rsidR="007A129E" w:rsidRPr="00740F4F" w:rsidRDefault="007A129E" w:rsidP="00740F4F">
      <w:pPr>
        <w:pStyle w:val="FootnoteText"/>
        <w:widowControl w:val="0"/>
        <w:spacing w:after="60" w:line="300" w:lineRule="exact"/>
        <w:ind w:left="1247" w:right="1247" w:hanging="567"/>
        <w:textDirection w:val="tbRlV"/>
        <w:rPr>
          <w:spacing w:val="-2"/>
          <w:sz w:val="18"/>
          <w:szCs w:val="26"/>
          <w:rtl/>
          <w:lang w:val="en-GB" w:eastAsia="zh-TW"/>
        </w:rPr>
      </w:pPr>
      <w:r w:rsidRPr="00740F4F">
        <w:rPr>
          <w:spacing w:val="-2"/>
          <w:sz w:val="18"/>
          <w:szCs w:val="26"/>
          <w:rtl/>
          <w:lang w:val="en-GB" w:eastAsia="zh-TW"/>
        </w:rPr>
        <w:t>(</w:t>
      </w:r>
      <w:r w:rsidRPr="00740F4F">
        <w:rPr>
          <w:rStyle w:val="FootnoteReference"/>
          <w:spacing w:val="-2"/>
          <w:szCs w:val="26"/>
          <w:vertAlign w:val="baseline"/>
          <w:rtl/>
          <w:lang w:val="en-GB" w:eastAsia="zh-TW"/>
        </w:rPr>
        <w:footnoteRef/>
      </w:r>
      <w:r w:rsidRPr="00740F4F">
        <w:rPr>
          <w:spacing w:val="-2"/>
          <w:sz w:val="18"/>
          <w:szCs w:val="26"/>
          <w:rtl/>
          <w:lang w:val="en-GB" w:eastAsia="zh-TW"/>
        </w:rPr>
        <w:t>)</w:t>
      </w:r>
      <w:r w:rsidRPr="00740F4F">
        <w:rPr>
          <w:rFonts w:hint="cs"/>
          <w:spacing w:val="-2"/>
          <w:sz w:val="18"/>
          <w:szCs w:val="26"/>
          <w:rtl/>
          <w:lang w:val="en-GB" w:eastAsia="zh-TW"/>
        </w:rPr>
        <w:tab/>
        <w:t xml:space="preserve">انظر </w:t>
      </w:r>
      <w:r w:rsidRPr="00740F4F">
        <w:rPr>
          <w:spacing w:val="-2"/>
          <w:sz w:val="18"/>
          <w:szCs w:val="26"/>
          <w:lang w:val="en-GB" w:eastAsia="zh-TW"/>
        </w:rPr>
        <w:t xml:space="preserve">Department of Social Services, “Report on supply and demand for </w:t>
      </w:r>
      <w:proofErr w:type="spellStart"/>
      <w:r w:rsidRPr="00740F4F">
        <w:rPr>
          <w:spacing w:val="-2"/>
          <w:sz w:val="18"/>
          <w:szCs w:val="26"/>
          <w:lang w:val="en-GB" w:eastAsia="zh-TW"/>
        </w:rPr>
        <w:t>Auslan</w:t>
      </w:r>
      <w:proofErr w:type="spellEnd"/>
      <w:r w:rsidRPr="00740F4F">
        <w:rPr>
          <w:spacing w:val="-2"/>
          <w:sz w:val="18"/>
          <w:szCs w:val="26"/>
          <w:lang w:val="en-GB" w:eastAsia="zh-TW"/>
        </w:rPr>
        <w:t xml:space="preserve"> interpreters” (2004)</w:t>
      </w:r>
      <w:r w:rsidRPr="00740F4F">
        <w:rPr>
          <w:spacing w:val="-2"/>
          <w:sz w:val="18"/>
          <w:szCs w:val="26"/>
          <w:rtl/>
          <w:lang w:val="en-GB" w:eastAsia="zh-TW"/>
        </w:rPr>
        <w:t>،</w:t>
      </w:r>
      <w:r w:rsidR="00740F4F" w:rsidRPr="00740F4F">
        <w:rPr>
          <w:rFonts w:hint="cs"/>
          <w:spacing w:val="-2"/>
          <w:sz w:val="18"/>
          <w:szCs w:val="26"/>
          <w:rtl/>
          <w:lang w:val="en-GB" w:eastAsia="zh-TW"/>
        </w:rPr>
        <w:t xml:space="preserve"> </w:t>
      </w:r>
      <w:r w:rsidRPr="00740F4F">
        <w:rPr>
          <w:spacing w:val="-2"/>
          <w:sz w:val="18"/>
          <w:szCs w:val="26"/>
          <w:rtl/>
          <w:lang w:val="en-GB" w:eastAsia="zh-TW"/>
        </w:rPr>
        <w:t>متاح</w:t>
      </w:r>
      <w:r w:rsidR="00740F4F" w:rsidRPr="00740F4F">
        <w:rPr>
          <w:rFonts w:hint="cs"/>
          <w:spacing w:val="-2"/>
          <w:sz w:val="18"/>
          <w:szCs w:val="26"/>
          <w:rtl/>
          <w:lang w:val="en-GB" w:eastAsia="zh-TW"/>
        </w:rPr>
        <w:t xml:space="preserve"> </w:t>
      </w:r>
      <w:r w:rsidRPr="00740F4F">
        <w:rPr>
          <w:spacing w:val="-2"/>
          <w:sz w:val="18"/>
          <w:szCs w:val="26"/>
          <w:rtl/>
          <w:lang w:val="en-GB" w:eastAsia="zh-TW"/>
        </w:rPr>
        <w:t>على</w:t>
      </w:r>
      <w:r w:rsidR="00740F4F" w:rsidRPr="00740F4F">
        <w:rPr>
          <w:rFonts w:hint="cs"/>
          <w:spacing w:val="-2"/>
          <w:sz w:val="18"/>
          <w:szCs w:val="26"/>
          <w:rtl/>
          <w:lang w:val="en-GB" w:eastAsia="zh-TW"/>
        </w:rPr>
        <w:t xml:space="preserve"> </w:t>
      </w:r>
      <w:r w:rsidRPr="00740F4F">
        <w:rPr>
          <w:spacing w:val="-2"/>
          <w:sz w:val="18"/>
          <w:szCs w:val="26"/>
          <w:rtl/>
          <w:lang w:val="en-GB" w:eastAsia="zh-TW"/>
        </w:rPr>
        <w:t>الرابط</w:t>
      </w:r>
      <w:r w:rsidR="00740F4F" w:rsidRPr="00740F4F">
        <w:rPr>
          <w:rFonts w:hint="cs"/>
          <w:spacing w:val="-2"/>
          <w:sz w:val="18"/>
          <w:szCs w:val="26"/>
          <w:rtl/>
          <w:lang w:val="en-GB" w:eastAsia="zh-TW"/>
        </w:rPr>
        <w:t xml:space="preserve"> </w:t>
      </w:r>
      <w:r w:rsidRPr="00740F4F">
        <w:rPr>
          <w:spacing w:val="-2"/>
          <w:sz w:val="18"/>
          <w:szCs w:val="26"/>
          <w:rtl/>
          <w:lang w:val="en-GB" w:eastAsia="zh-TW"/>
        </w:rPr>
        <w:t>التالي</w:t>
      </w:r>
      <w:r w:rsidR="00740F4F" w:rsidRPr="00740F4F">
        <w:rPr>
          <w:rFonts w:hint="cs"/>
          <w:spacing w:val="-2"/>
          <w:sz w:val="18"/>
          <w:szCs w:val="26"/>
          <w:rtl/>
          <w:lang w:val="en-GB" w:eastAsia="zh-TW"/>
        </w:rPr>
        <w:t xml:space="preserve">: </w:t>
      </w:r>
      <w:r w:rsidRPr="00740F4F">
        <w:rPr>
          <w:spacing w:val="-2"/>
          <w:sz w:val="18"/>
          <w:szCs w:val="26"/>
          <w:lang w:val="en-GB" w:eastAsia="zh-TW"/>
        </w:rPr>
        <w:t>www.dss.gov.au/our-responsibilities/disability-and-carers/publications-articles/</w:t>
      </w:r>
      <w:r w:rsidR="00740F4F">
        <w:rPr>
          <w:spacing w:val="-2"/>
          <w:sz w:val="18"/>
          <w:szCs w:val="26"/>
          <w:lang w:val="en-GB" w:eastAsia="zh-TW"/>
        </w:rPr>
        <w:br/>
      </w:r>
      <w:r w:rsidRPr="00740F4F">
        <w:rPr>
          <w:spacing w:val="-2"/>
          <w:sz w:val="18"/>
          <w:szCs w:val="26"/>
          <w:lang w:val="en-GB" w:eastAsia="zh-TW"/>
        </w:rPr>
        <w:t>policy-research/report-on-supply-and-demand-for-auslan-interpreters?HTML#2.</w:t>
      </w:r>
    </w:p>
  </w:footnote>
  <w:footnote w:id="46">
    <w:p w:rsidR="007A129E" w:rsidRPr="0081736E" w:rsidRDefault="007A129E" w:rsidP="00740F4F">
      <w:pPr>
        <w:pStyle w:val="FootnoteText"/>
        <w:widowControl w:val="0"/>
        <w:spacing w:after="60" w:line="280" w:lineRule="exact"/>
        <w:ind w:left="1247" w:right="1247" w:hanging="567"/>
        <w:textDirection w:val="tbRlV"/>
        <w:rPr>
          <w:sz w:val="18"/>
          <w:szCs w:val="26"/>
          <w:rtl/>
          <w:lang w:val="en-GB" w:eastAsia="zh-TW"/>
        </w:rPr>
      </w:pPr>
      <w:r w:rsidRPr="0081736E">
        <w:rPr>
          <w:sz w:val="18"/>
          <w:szCs w:val="26"/>
          <w:rtl/>
          <w:lang w:val="en-GB" w:eastAsia="zh-TW"/>
        </w:rPr>
        <w:t>(</w:t>
      </w:r>
      <w:r w:rsidRPr="0081736E">
        <w:rPr>
          <w:rStyle w:val="FootnoteReference"/>
          <w:szCs w:val="26"/>
          <w:vertAlign w:val="baseline"/>
          <w:rtl/>
          <w:lang w:val="en-GB" w:eastAsia="zh-TW"/>
        </w:rPr>
        <w:footnoteRef/>
      </w:r>
      <w:r w:rsidRPr="0081736E">
        <w:rPr>
          <w:sz w:val="18"/>
          <w:szCs w:val="26"/>
          <w:rtl/>
          <w:lang w:val="en-GB" w:eastAsia="zh-TW"/>
        </w:rPr>
        <w:t>)</w:t>
      </w:r>
      <w:r w:rsidRPr="0081736E">
        <w:rPr>
          <w:rFonts w:hint="cs"/>
          <w:sz w:val="18"/>
          <w:szCs w:val="26"/>
          <w:rtl/>
          <w:lang w:val="en-GB" w:eastAsia="zh-TW"/>
        </w:rPr>
        <w:tab/>
      </w:r>
      <w:r w:rsidRPr="0081736E">
        <w:rPr>
          <w:sz w:val="18"/>
          <w:szCs w:val="26"/>
          <w:rtl/>
          <w:lang w:val="en-GB" w:eastAsia="zh-TW"/>
        </w:rPr>
        <w:t xml:space="preserve">المرجع نفسه، الفقرة 25. </w:t>
      </w:r>
    </w:p>
  </w:footnote>
  <w:footnote w:id="47">
    <w:p w:rsidR="007A129E" w:rsidRPr="0081736E" w:rsidRDefault="007A129E" w:rsidP="00740F4F">
      <w:pPr>
        <w:pStyle w:val="FootnoteText"/>
        <w:widowControl w:val="0"/>
        <w:spacing w:after="60" w:line="280" w:lineRule="exact"/>
        <w:ind w:left="1247" w:right="1247" w:hanging="567"/>
        <w:textDirection w:val="tbRlV"/>
        <w:rPr>
          <w:sz w:val="18"/>
          <w:szCs w:val="26"/>
          <w:rtl/>
          <w:lang w:val="en-GB" w:eastAsia="zh-TW"/>
        </w:rPr>
      </w:pPr>
      <w:r w:rsidRPr="0081736E">
        <w:rPr>
          <w:sz w:val="18"/>
          <w:szCs w:val="26"/>
          <w:rtl/>
          <w:lang w:val="en-GB" w:eastAsia="zh-TW"/>
        </w:rPr>
        <w:t>(</w:t>
      </w:r>
      <w:r w:rsidRPr="0081736E">
        <w:rPr>
          <w:rStyle w:val="FootnoteReference"/>
          <w:szCs w:val="26"/>
          <w:vertAlign w:val="baseline"/>
          <w:rtl/>
          <w:lang w:val="en-GB" w:eastAsia="zh-TW"/>
        </w:rPr>
        <w:footnoteRef/>
      </w:r>
      <w:r w:rsidRPr="0081736E">
        <w:rPr>
          <w:sz w:val="18"/>
          <w:szCs w:val="26"/>
          <w:rtl/>
          <w:lang w:val="en-GB" w:eastAsia="zh-TW"/>
        </w:rPr>
        <w:t>)</w:t>
      </w:r>
      <w:r w:rsidRPr="0081736E">
        <w:rPr>
          <w:rFonts w:hint="cs"/>
          <w:sz w:val="18"/>
          <w:szCs w:val="26"/>
          <w:rtl/>
          <w:lang w:val="en-GB" w:eastAsia="zh-TW"/>
        </w:rPr>
        <w:tab/>
      </w:r>
      <w:r w:rsidRPr="0081736E">
        <w:rPr>
          <w:sz w:val="18"/>
          <w:szCs w:val="26"/>
          <w:rtl/>
          <w:lang w:val="en-GB" w:eastAsia="zh-TW"/>
        </w:rPr>
        <w:t xml:space="preserve">المرجع نفسه، الفقرة 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9E" w:rsidRPr="0081736E" w:rsidRDefault="007A129E" w:rsidP="0081736E">
    <w:pPr>
      <w:pStyle w:val="Header"/>
      <w:jc w:val="right"/>
    </w:pPr>
    <w:r w:rsidRPr="0081736E">
      <w:t>CRPD/C/15/D/11/2013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9E" w:rsidRPr="0081736E" w:rsidRDefault="007A129E" w:rsidP="0081736E">
    <w:pPr>
      <w:pStyle w:val="Header"/>
      <w:jc w:val="left"/>
    </w:pPr>
    <w:r w:rsidRPr="0081736E">
      <w:t>CRPD/C/15/D/11/2013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 w:numId="12">
    <w:abstractNumId w:val="1"/>
  </w:num>
  <w:num w:numId="1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attachedTemplate r:id="rId1"/>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5F5B28"/>
    <w:rsid w:val="000076D5"/>
    <w:rsid w:val="00043663"/>
    <w:rsid w:val="000505CF"/>
    <w:rsid w:val="000C45CA"/>
    <w:rsid w:val="000D701C"/>
    <w:rsid w:val="000E2A71"/>
    <w:rsid w:val="00160263"/>
    <w:rsid w:val="00173565"/>
    <w:rsid w:val="00181F96"/>
    <w:rsid w:val="001A1371"/>
    <w:rsid w:val="001B346A"/>
    <w:rsid w:val="001E1CAD"/>
    <w:rsid w:val="001E290D"/>
    <w:rsid w:val="00205525"/>
    <w:rsid w:val="002144FA"/>
    <w:rsid w:val="002248D5"/>
    <w:rsid w:val="0023469A"/>
    <w:rsid w:val="00243C8A"/>
    <w:rsid w:val="00267A0E"/>
    <w:rsid w:val="00286236"/>
    <w:rsid w:val="002901D9"/>
    <w:rsid w:val="002976C2"/>
    <w:rsid w:val="002D75FA"/>
    <w:rsid w:val="003260FF"/>
    <w:rsid w:val="00343D95"/>
    <w:rsid w:val="00374341"/>
    <w:rsid w:val="00391927"/>
    <w:rsid w:val="003D0BF9"/>
    <w:rsid w:val="003D1062"/>
    <w:rsid w:val="003D4C4E"/>
    <w:rsid w:val="003E159A"/>
    <w:rsid w:val="00420D7B"/>
    <w:rsid w:val="00450B21"/>
    <w:rsid w:val="00453B63"/>
    <w:rsid w:val="00455780"/>
    <w:rsid w:val="004731C7"/>
    <w:rsid w:val="004A3FF8"/>
    <w:rsid w:val="004B0A1C"/>
    <w:rsid w:val="004D298E"/>
    <w:rsid w:val="00517BC9"/>
    <w:rsid w:val="0054472E"/>
    <w:rsid w:val="0054762C"/>
    <w:rsid w:val="005662A9"/>
    <w:rsid w:val="005827D4"/>
    <w:rsid w:val="0059622A"/>
    <w:rsid w:val="005B0410"/>
    <w:rsid w:val="005C281C"/>
    <w:rsid w:val="005C3AD7"/>
    <w:rsid w:val="005C5878"/>
    <w:rsid w:val="005C7CEA"/>
    <w:rsid w:val="005D3C0B"/>
    <w:rsid w:val="005E3DFA"/>
    <w:rsid w:val="005E5217"/>
    <w:rsid w:val="005F0FA4"/>
    <w:rsid w:val="005F30EE"/>
    <w:rsid w:val="005F5B28"/>
    <w:rsid w:val="0060473A"/>
    <w:rsid w:val="00606EDF"/>
    <w:rsid w:val="00656392"/>
    <w:rsid w:val="00687200"/>
    <w:rsid w:val="0068781D"/>
    <w:rsid w:val="006959B0"/>
    <w:rsid w:val="006B314F"/>
    <w:rsid w:val="006B3E27"/>
    <w:rsid w:val="006B6507"/>
    <w:rsid w:val="006C104C"/>
    <w:rsid w:val="00733704"/>
    <w:rsid w:val="00740F4F"/>
    <w:rsid w:val="0078071A"/>
    <w:rsid w:val="007A129E"/>
    <w:rsid w:val="007A70BB"/>
    <w:rsid w:val="0081736E"/>
    <w:rsid w:val="008528FE"/>
    <w:rsid w:val="00852A9A"/>
    <w:rsid w:val="0086071A"/>
    <w:rsid w:val="0086606C"/>
    <w:rsid w:val="0087267B"/>
    <w:rsid w:val="008930DB"/>
    <w:rsid w:val="00895D16"/>
    <w:rsid w:val="008F49E1"/>
    <w:rsid w:val="0090370F"/>
    <w:rsid w:val="009269D2"/>
    <w:rsid w:val="00942135"/>
    <w:rsid w:val="009521B0"/>
    <w:rsid w:val="009A7E9F"/>
    <w:rsid w:val="009E5018"/>
    <w:rsid w:val="00A12B37"/>
    <w:rsid w:val="00A168C8"/>
    <w:rsid w:val="00A50EC0"/>
    <w:rsid w:val="00AB6758"/>
    <w:rsid w:val="00B13763"/>
    <w:rsid w:val="00B477A4"/>
    <w:rsid w:val="00B54045"/>
    <w:rsid w:val="00B75A64"/>
    <w:rsid w:val="00C022F5"/>
    <w:rsid w:val="00C438D7"/>
    <w:rsid w:val="00C53FE8"/>
    <w:rsid w:val="00C70A7C"/>
    <w:rsid w:val="00C81B50"/>
    <w:rsid w:val="00CA655B"/>
    <w:rsid w:val="00CD1801"/>
    <w:rsid w:val="00CD7E9A"/>
    <w:rsid w:val="00D10EF1"/>
    <w:rsid w:val="00D42810"/>
    <w:rsid w:val="00D4456B"/>
    <w:rsid w:val="00D914A7"/>
    <w:rsid w:val="00DC4E99"/>
    <w:rsid w:val="00DD13C3"/>
    <w:rsid w:val="00DD3247"/>
    <w:rsid w:val="00DD596E"/>
    <w:rsid w:val="00DD621E"/>
    <w:rsid w:val="00DE2169"/>
    <w:rsid w:val="00DF0575"/>
    <w:rsid w:val="00E70E04"/>
    <w:rsid w:val="00E800D7"/>
    <w:rsid w:val="00EC05A7"/>
    <w:rsid w:val="00EC4B6B"/>
    <w:rsid w:val="00ED7442"/>
    <w:rsid w:val="00EE0B18"/>
    <w:rsid w:val="00EF1EE5"/>
    <w:rsid w:val="00F0233D"/>
    <w:rsid w:val="00F05419"/>
    <w:rsid w:val="00F16633"/>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0233D"/>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F0233D"/>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F0233D"/>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rsid w:val="0081736E"/>
    <w:pPr>
      <w:suppressAutoHyphens/>
      <w:bidi w:val="0"/>
      <w:spacing w:after="120"/>
      <w:ind w:left="1134" w:right="1134"/>
      <w:jc w:val="both"/>
    </w:pPr>
    <w:rPr>
      <w:rFonts w:cs="Times New Roman"/>
      <w:lang w:val="en-GB"/>
    </w:rPr>
  </w:style>
  <w:style w:type="paragraph" w:customStyle="1" w:styleId="HChG">
    <w:name w:val="_ H _Ch_G"/>
    <w:basedOn w:val="Normal"/>
    <w:next w:val="Normal"/>
    <w:rsid w:val="0081736E"/>
    <w:pPr>
      <w:keepNext/>
      <w:keepLines/>
      <w:tabs>
        <w:tab w:val="right" w:pos="851"/>
      </w:tabs>
      <w:suppressAutoHyphens/>
      <w:bidi w:val="0"/>
      <w:spacing w:before="360" w:after="240" w:line="300" w:lineRule="exact"/>
      <w:ind w:left="1134" w:right="1134" w:hanging="1134"/>
      <w:jc w:val="left"/>
    </w:pPr>
    <w:rPr>
      <w:rFonts w:cs="Times New Roman"/>
      <w:b/>
      <w:sz w:val="28"/>
      <w:lang w:val="en-GB"/>
    </w:rPr>
  </w:style>
  <w:style w:type="paragraph" w:customStyle="1" w:styleId="H1G">
    <w:name w:val="_ H_1_G"/>
    <w:basedOn w:val="Normal"/>
    <w:next w:val="Normal"/>
    <w:qFormat/>
    <w:rsid w:val="0081736E"/>
    <w:pPr>
      <w:keepNext/>
      <w:keepLines/>
      <w:tabs>
        <w:tab w:val="right" w:pos="851"/>
      </w:tabs>
      <w:suppressAutoHyphens/>
      <w:bidi w:val="0"/>
      <w:spacing w:before="360" w:after="240" w:line="270" w:lineRule="exact"/>
      <w:ind w:left="1134" w:right="1134" w:hanging="1134"/>
      <w:jc w:val="left"/>
    </w:pPr>
    <w:rPr>
      <w:rFonts w:cs="Times New Roman"/>
      <w:b/>
      <w:sz w:val="24"/>
      <w:lang w:val="en-GB"/>
    </w:rPr>
  </w:style>
  <w:style w:type="paragraph" w:customStyle="1" w:styleId="H23G">
    <w:name w:val="_ H_2/3_G"/>
    <w:basedOn w:val="Normal"/>
    <w:next w:val="Normal"/>
    <w:rsid w:val="0081736E"/>
    <w:pPr>
      <w:keepNext/>
      <w:keepLines/>
      <w:tabs>
        <w:tab w:val="right" w:pos="851"/>
      </w:tabs>
      <w:suppressAutoHyphens/>
      <w:bidi w:val="0"/>
      <w:spacing w:before="240" w:after="120" w:line="240" w:lineRule="exact"/>
      <w:ind w:left="1134" w:right="1134" w:hanging="1134"/>
      <w:jc w:val="left"/>
    </w:pPr>
    <w:rPr>
      <w:rFonts w:cs="Times New Roman"/>
      <w:b/>
      <w:lang w:val="en-GB"/>
    </w:rPr>
  </w:style>
  <w:style w:type="paragraph" w:customStyle="1" w:styleId="H4G">
    <w:name w:val="_ H_4_G"/>
    <w:basedOn w:val="Normal"/>
    <w:next w:val="Normal"/>
    <w:rsid w:val="0081736E"/>
    <w:pPr>
      <w:keepNext/>
      <w:keepLines/>
      <w:tabs>
        <w:tab w:val="right" w:pos="851"/>
      </w:tabs>
      <w:suppressAutoHyphens/>
      <w:bidi w:val="0"/>
      <w:spacing w:before="240" w:after="120" w:line="240" w:lineRule="exact"/>
      <w:ind w:left="1134" w:right="1134" w:hanging="1134"/>
      <w:jc w:val="left"/>
    </w:pPr>
    <w:rPr>
      <w:rFonts w:cs="Times New Roman"/>
      <w:i/>
      <w:lang w:val="en-GB"/>
    </w:rPr>
  </w:style>
  <w:style w:type="character" w:customStyle="1" w:styleId="SingleTxtGChar">
    <w:name w:val="_ Single Txt_G Char"/>
    <w:link w:val="SingleTxtG"/>
    <w:rsid w:val="0081736E"/>
    <w:rPr>
      <w:rFonts w:ascii="Times New Roman" w:hAnsi="Times New Roman" w:cs="Times New Roman"/>
      <w:sz w:val="20"/>
      <w:szCs w:val="3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0233D"/>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F0233D"/>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F0233D"/>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rsid w:val="0081736E"/>
    <w:pPr>
      <w:suppressAutoHyphens/>
      <w:bidi w:val="0"/>
      <w:spacing w:after="120"/>
      <w:ind w:left="1134" w:right="1134"/>
      <w:jc w:val="both"/>
    </w:pPr>
    <w:rPr>
      <w:rFonts w:cs="Times New Roman"/>
      <w:lang w:val="en-GB"/>
    </w:rPr>
  </w:style>
  <w:style w:type="paragraph" w:customStyle="1" w:styleId="HChG">
    <w:name w:val="_ H _Ch_G"/>
    <w:basedOn w:val="Normal"/>
    <w:next w:val="Normal"/>
    <w:rsid w:val="0081736E"/>
    <w:pPr>
      <w:keepNext/>
      <w:keepLines/>
      <w:tabs>
        <w:tab w:val="right" w:pos="851"/>
      </w:tabs>
      <w:suppressAutoHyphens/>
      <w:bidi w:val="0"/>
      <w:spacing w:before="360" w:after="240" w:line="300" w:lineRule="exact"/>
      <w:ind w:left="1134" w:right="1134" w:hanging="1134"/>
      <w:jc w:val="left"/>
    </w:pPr>
    <w:rPr>
      <w:rFonts w:cs="Times New Roman"/>
      <w:b/>
      <w:sz w:val="28"/>
      <w:lang w:val="en-GB"/>
    </w:rPr>
  </w:style>
  <w:style w:type="paragraph" w:customStyle="1" w:styleId="H1G">
    <w:name w:val="_ H_1_G"/>
    <w:basedOn w:val="Normal"/>
    <w:next w:val="Normal"/>
    <w:qFormat/>
    <w:rsid w:val="0081736E"/>
    <w:pPr>
      <w:keepNext/>
      <w:keepLines/>
      <w:tabs>
        <w:tab w:val="right" w:pos="851"/>
      </w:tabs>
      <w:suppressAutoHyphens/>
      <w:bidi w:val="0"/>
      <w:spacing w:before="360" w:after="240" w:line="270" w:lineRule="exact"/>
      <w:ind w:left="1134" w:right="1134" w:hanging="1134"/>
      <w:jc w:val="left"/>
    </w:pPr>
    <w:rPr>
      <w:rFonts w:cs="Times New Roman"/>
      <w:b/>
      <w:sz w:val="24"/>
      <w:lang w:val="en-GB"/>
    </w:rPr>
  </w:style>
  <w:style w:type="paragraph" w:customStyle="1" w:styleId="H23G">
    <w:name w:val="_ H_2/3_G"/>
    <w:basedOn w:val="Normal"/>
    <w:next w:val="Normal"/>
    <w:rsid w:val="0081736E"/>
    <w:pPr>
      <w:keepNext/>
      <w:keepLines/>
      <w:tabs>
        <w:tab w:val="right" w:pos="851"/>
      </w:tabs>
      <w:suppressAutoHyphens/>
      <w:bidi w:val="0"/>
      <w:spacing w:before="240" w:after="120" w:line="240" w:lineRule="exact"/>
      <w:ind w:left="1134" w:right="1134" w:hanging="1134"/>
      <w:jc w:val="left"/>
    </w:pPr>
    <w:rPr>
      <w:rFonts w:cs="Times New Roman"/>
      <w:b/>
      <w:lang w:val="en-GB"/>
    </w:rPr>
  </w:style>
  <w:style w:type="paragraph" w:customStyle="1" w:styleId="H4G">
    <w:name w:val="_ H_4_G"/>
    <w:basedOn w:val="Normal"/>
    <w:next w:val="Normal"/>
    <w:rsid w:val="0081736E"/>
    <w:pPr>
      <w:keepNext/>
      <w:keepLines/>
      <w:tabs>
        <w:tab w:val="right" w:pos="851"/>
      </w:tabs>
      <w:suppressAutoHyphens/>
      <w:bidi w:val="0"/>
      <w:spacing w:before="240" w:after="120" w:line="240" w:lineRule="exact"/>
      <w:ind w:left="1134" w:right="1134" w:hanging="1134"/>
      <w:jc w:val="left"/>
    </w:pPr>
    <w:rPr>
      <w:rFonts w:cs="Times New Roman"/>
      <w:i/>
      <w:lang w:val="en-GB"/>
    </w:rPr>
  </w:style>
  <w:style w:type="character" w:customStyle="1" w:styleId="SingleTxtGChar">
    <w:name w:val="_ Single Txt_G Char"/>
    <w:link w:val="SingleTxtG"/>
    <w:rsid w:val="0081736E"/>
    <w:rPr>
      <w:rFonts w:ascii="Times New Roman" w:hAnsi="Times New Roman" w:cs="Times New Roman"/>
      <w:sz w:val="20"/>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B43-651A-455A-979E-31E92AD20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24</Pages>
  <Words>7922</Words>
  <Characters>45162</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CRPD/C/15/D/11/2013</vt:lpstr>
    </vt:vector>
  </TitlesOfParts>
  <Company>DCM</Company>
  <LinksUpToDate>false</LinksUpToDate>
  <CharactersWithSpaces>52979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CRPD/C/15/D/11/2013</dc:title>
  <dc:subject>GE.1608383A</dc:subject>
  <dc:creator>Bahnassawy Mohamed</dc:creator>
  <cp:keywords>ODS No.1610275</cp:keywords>
  <dc:description>Distr.: General
25 May 2016
Original: English</dc:description>
  <cp:lastModifiedBy>Administrator</cp:lastModifiedBy>
  <cp:revision>2</cp:revision>
  <cp:lastPrinted>2016-07-29T10:26:00Z</cp:lastPrinted>
  <dcterms:created xsi:type="dcterms:W3CDTF">2016-07-29T10:29:00Z</dcterms:created>
  <dcterms:modified xsi:type="dcterms:W3CDTF">2016-07-29T10:29:00Z</dcterms:modified>
  <cp:category>Final</cp:category>
</cp:coreProperties>
</file>