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30512A" w:rsidRDefault="0030512A" w:rsidP="005D3846">
            <w:pPr>
              <w:spacing w:line="240" w:lineRule="atLeast"/>
              <w:jc w:val="right"/>
              <w:rPr>
                <w:sz w:val="20"/>
                <w:szCs w:val="21"/>
              </w:rPr>
            </w:pPr>
            <w:r w:rsidRPr="0030512A">
              <w:rPr>
                <w:sz w:val="40"/>
                <w:szCs w:val="21"/>
              </w:rPr>
              <w:t>CRPD</w:t>
            </w:r>
            <w:r>
              <w:rPr>
                <w:sz w:val="20"/>
                <w:szCs w:val="21"/>
              </w:rPr>
              <w:t>/C/20/D/35/2016</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30512A" w:rsidRDefault="0030512A" w:rsidP="005D3846">
            <w:pPr>
              <w:spacing w:line="240" w:lineRule="atLeast"/>
              <w:rPr>
                <w:sz w:val="20"/>
              </w:rPr>
            </w:pPr>
            <w:r w:rsidRPr="0030512A">
              <w:rPr>
                <w:sz w:val="20"/>
              </w:rPr>
              <w:t>20 December 2018</w:t>
            </w:r>
          </w:p>
          <w:p w:rsidR="00816936" w:rsidRPr="0030512A" w:rsidRDefault="0030512A" w:rsidP="005D3846">
            <w:pPr>
              <w:spacing w:line="240" w:lineRule="atLeast"/>
              <w:rPr>
                <w:sz w:val="20"/>
              </w:rPr>
            </w:pPr>
            <w:r w:rsidRPr="0030512A">
              <w:rPr>
                <w:sz w:val="20"/>
              </w:rPr>
              <w:t>Chinese</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30512A" w:rsidRPr="00A51F07" w:rsidRDefault="0030512A" w:rsidP="00273A97">
      <w:pPr>
        <w:pStyle w:val="HChGC"/>
        <w:spacing w:before="260" w:after="200"/>
        <w:rPr>
          <w:b/>
          <w:color w:val="0000CC"/>
        </w:rPr>
      </w:pPr>
      <w:r>
        <w:rPr>
          <w:lang w:val="zh-CN"/>
        </w:rPr>
        <w:tab/>
      </w:r>
      <w:r>
        <w:rPr>
          <w:lang w:val="zh-CN"/>
        </w:rPr>
        <w:tab/>
      </w:r>
      <w:r>
        <w:rPr>
          <w:lang w:val="zh-CN"/>
        </w:rPr>
        <w:t>委员会根据《任择议定书》第五条通过的关于第</w:t>
      </w:r>
      <w:r>
        <w:rPr>
          <w:lang w:val="zh-CN"/>
        </w:rPr>
        <w:t>35/2016</w:t>
      </w:r>
      <w:r>
        <w:rPr>
          <w:lang w:val="zh-CN"/>
        </w:rPr>
        <w:t>号来文的意见</w:t>
      </w:r>
      <w:r w:rsidRPr="00A51F07">
        <w:rPr>
          <w:snapToGrid w:val="0"/>
          <w:color w:val="0000CC"/>
        </w:rPr>
        <w:footnoteReference w:customMarkFollows="1" w:id="2"/>
        <w:t>*</w:t>
      </w:r>
      <w:r w:rsidR="00A51F07" w:rsidRPr="00A51F07">
        <w:rPr>
          <w:snapToGrid w:val="0"/>
          <w:color w:val="0000CC"/>
        </w:rPr>
        <w:t xml:space="preserve"> </w:t>
      </w:r>
      <w:r w:rsidRPr="00A51F07">
        <w:rPr>
          <w:snapToGrid w:val="0"/>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126"/>
        <w:gridCol w:w="4819"/>
      </w:tblGrid>
      <w:tr w:rsidR="00A633D5" w:rsidRPr="005449F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提交人</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J.H.</w:t>
            </w:r>
            <w:r w:rsidR="00273A97">
              <w:rPr>
                <w:rFonts w:eastAsiaTheme="minorEastAsia"/>
              </w:rPr>
              <w:t xml:space="preserve"> </w:t>
            </w:r>
            <w:r w:rsidRPr="00273A97">
              <w:rPr>
                <w:rFonts w:eastAsiaTheme="minorEastAsia"/>
              </w:rPr>
              <w:t>(</w:t>
            </w:r>
            <w:r w:rsidRPr="00273A97">
              <w:rPr>
                <w:rFonts w:eastAsiaTheme="minorEastAsia"/>
                <w:lang w:val="zh-CN"/>
              </w:rPr>
              <w:t>由律师</w:t>
            </w:r>
            <w:r w:rsidRPr="00273A97">
              <w:rPr>
                <w:rFonts w:eastAsiaTheme="minorEastAsia"/>
              </w:rPr>
              <w:t>Michele Hardesty-Munday</w:t>
            </w:r>
            <w:r w:rsidRPr="00273A97">
              <w:rPr>
                <w:rFonts w:eastAsiaTheme="minorEastAsia"/>
                <w:lang w:val="zh-CN"/>
              </w:rPr>
              <w:t>代理</w:t>
            </w:r>
            <w:r w:rsidRPr="00273A97">
              <w:rPr>
                <w:rFonts w:eastAsiaTheme="minorEastAsia"/>
              </w:rPr>
              <w:t>)</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据称受害人</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提交人</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所涉缔约国</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澳大利亚</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来文日期</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2016</w:t>
            </w:r>
            <w:r w:rsidRPr="00273A97">
              <w:rPr>
                <w:rFonts w:eastAsiaTheme="minorEastAsia"/>
              </w:rPr>
              <w:t>年</w:t>
            </w:r>
            <w:r w:rsidRPr="00273A97">
              <w:rPr>
                <w:rFonts w:eastAsiaTheme="minorEastAsia"/>
              </w:rPr>
              <w:t>2</w:t>
            </w:r>
            <w:r w:rsidRPr="00273A97">
              <w:rPr>
                <w:rFonts w:eastAsiaTheme="minorEastAsia"/>
              </w:rPr>
              <w:t>月</w:t>
            </w:r>
            <w:r w:rsidRPr="00273A97">
              <w:rPr>
                <w:rFonts w:eastAsiaTheme="minorEastAsia"/>
              </w:rPr>
              <w:t>12</w:t>
            </w:r>
            <w:r w:rsidRPr="00273A97">
              <w:rPr>
                <w:rFonts w:eastAsiaTheme="minorEastAsia"/>
              </w:rPr>
              <w:t>日</w:t>
            </w:r>
            <w:r w:rsidRPr="00273A97">
              <w:rPr>
                <w:rFonts w:eastAsiaTheme="minorEastAsia"/>
              </w:rPr>
              <w:t>(</w:t>
            </w:r>
            <w:r w:rsidRPr="00273A97">
              <w:rPr>
                <w:rFonts w:eastAsiaTheme="minorEastAsia"/>
              </w:rPr>
              <w:t>首次提交</w:t>
            </w:r>
            <w:r w:rsidRPr="00273A97">
              <w:rPr>
                <w:rFonts w:eastAsiaTheme="minorEastAsia"/>
              </w:rPr>
              <w:t>)</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参考文件</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spacing w:val="4"/>
              </w:rPr>
              <w:t>根据委员会议事规则第</w:t>
            </w:r>
            <w:r w:rsidRPr="00273A97">
              <w:rPr>
                <w:rFonts w:eastAsiaTheme="minorEastAsia"/>
                <w:spacing w:val="4"/>
              </w:rPr>
              <w:t>70</w:t>
            </w:r>
            <w:r w:rsidRPr="00273A97">
              <w:rPr>
                <w:rFonts w:eastAsiaTheme="minorEastAsia"/>
                <w:spacing w:val="4"/>
              </w:rPr>
              <w:t>条作出</w:t>
            </w:r>
            <w:r w:rsidRPr="00273A97">
              <w:rPr>
                <w:rFonts w:eastAsiaTheme="minorEastAsia"/>
              </w:rPr>
              <w:t>的决定，</w:t>
            </w:r>
            <w:r w:rsidRPr="00273A97">
              <w:rPr>
                <w:rFonts w:eastAsiaTheme="minorEastAsia"/>
              </w:rPr>
              <w:t>2016</w:t>
            </w:r>
            <w:r w:rsidRPr="00273A97">
              <w:rPr>
                <w:rFonts w:eastAsiaTheme="minorEastAsia"/>
              </w:rPr>
              <w:t>年</w:t>
            </w:r>
            <w:r w:rsidRPr="00273A97">
              <w:rPr>
                <w:rFonts w:eastAsiaTheme="minorEastAsia"/>
              </w:rPr>
              <w:t>3</w:t>
            </w:r>
            <w:r w:rsidRPr="00273A97">
              <w:rPr>
                <w:rFonts w:eastAsiaTheme="minorEastAsia"/>
              </w:rPr>
              <w:t>月</w:t>
            </w:r>
            <w:r w:rsidRPr="00273A97">
              <w:rPr>
                <w:rFonts w:eastAsiaTheme="minorEastAsia"/>
              </w:rPr>
              <w:t>18</w:t>
            </w:r>
            <w:r w:rsidRPr="00273A97">
              <w:rPr>
                <w:rFonts w:eastAsiaTheme="minorEastAsia"/>
              </w:rPr>
              <w:t>日向缔约国转交</w:t>
            </w:r>
            <w:r w:rsidRPr="00273A97">
              <w:rPr>
                <w:rFonts w:eastAsiaTheme="minorEastAsia"/>
              </w:rPr>
              <w:t>(</w:t>
            </w:r>
            <w:r w:rsidRPr="00273A97">
              <w:rPr>
                <w:rFonts w:eastAsiaTheme="minorEastAsia"/>
              </w:rPr>
              <w:t>未以文件形式印发</w:t>
            </w:r>
            <w:r w:rsidRPr="00273A97">
              <w:rPr>
                <w:rFonts w:eastAsiaTheme="minorEastAsia"/>
              </w:rPr>
              <w:t>)</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意见通过日期</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2018</w:t>
            </w:r>
            <w:r w:rsidRPr="00273A97">
              <w:rPr>
                <w:rFonts w:eastAsiaTheme="minorEastAsia"/>
              </w:rPr>
              <w:t>年</w:t>
            </w:r>
            <w:r w:rsidRPr="00273A97">
              <w:rPr>
                <w:rFonts w:eastAsiaTheme="minorEastAsia"/>
              </w:rPr>
              <w:t>8</w:t>
            </w:r>
            <w:r w:rsidRPr="00273A97">
              <w:rPr>
                <w:rFonts w:eastAsiaTheme="minorEastAsia"/>
              </w:rPr>
              <w:t>月</w:t>
            </w:r>
            <w:r w:rsidRPr="00273A97">
              <w:rPr>
                <w:rFonts w:eastAsiaTheme="minorEastAsia"/>
              </w:rPr>
              <w:t>31</w:t>
            </w:r>
            <w:r w:rsidRPr="00273A97">
              <w:rPr>
                <w:rFonts w:eastAsiaTheme="minorEastAsia"/>
              </w:rPr>
              <w:t>日</w:t>
            </w:r>
          </w:p>
        </w:tc>
      </w:tr>
      <w:tr w:rsidR="00A633D5" w:rsidRPr="005449F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事由</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hint="eastAsia"/>
              </w:rPr>
              <w:t>聋人</w:t>
            </w:r>
            <w:r w:rsidRPr="00273A97">
              <w:rPr>
                <w:rFonts w:eastAsiaTheme="minorEastAsia"/>
              </w:rPr>
              <w:t>履行陪审员义务</w:t>
            </w:r>
          </w:p>
        </w:tc>
      </w:tr>
      <w:tr w:rsidR="00A633D5" w:rsidRPr="005449F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程序性问题</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证实申诉</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实质性问题</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spacing w:val="4"/>
              </w:rPr>
            </w:pPr>
            <w:r w:rsidRPr="00273A97">
              <w:rPr>
                <w:rFonts w:eastAsiaTheme="minorEastAsia"/>
                <w:spacing w:val="4"/>
              </w:rPr>
              <w:t>平等和不歧视；合理便利</w:t>
            </w:r>
            <w:r w:rsidRPr="00273A97">
              <w:rPr>
                <w:rFonts w:eastAsiaTheme="minorEastAsia" w:hint="eastAsia"/>
                <w:spacing w:val="4"/>
              </w:rPr>
              <w:t>；</w:t>
            </w:r>
            <w:r w:rsidRPr="00273A97">
              <w:rPr>
                <w:rFonts w:eastAsiaTheme="minorEastAsia"/>
                <w:spacing w:val="4"/>
              </w:rPr>
              <w:t>在法律面前获得平等承认；表达自由</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《公约》条款</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rPr>
              <w:t>第五条第二和第三款、第十二条第二和第三款以及第二十一条第</w:t>
            </w:r>
            <w:r w:rsidRPr="00273A97">
              <w:rPr>
                <w:rFonts w:eastAsiaTheme="minorEastAsia"/>
              </w:rPr>
              <w:t>(</w:t>
            </w:r>
            <w:r w:rsidRPr="00273A97">
              <w:rPr>
                <w:rFonts w:eastAsiaTheme="minorEastAsia"/>
              </w:rPr>
              <w:t>二</w:t>
            </w:r>
            <w:r w:rsidRPr="00273A97">
              <w:rPr>
                <w:rFonts w:eastAsiaTheme="minorEastAsia"/>
              </w:rPr>
              <w:t>)</w:t>
            </w:r>
            <w:r w:rsidRPr="00273A97">
              <w:rPr>
                <w:rFonts w:eastAsiaTheme="minorEastAsia"/>
              </w:rPr>
              <w:t>和第</w:t>
            </w:r>
            <w:r w:rsidRPr="00273A97">
              <w:rPr>
                <w:rFonts w:eastAsiaTheme="minorEastAsia"/>
              </w:rPr>
              <w:t>(</w:t>
            </w:r>
            <w:r w:rsidRPr="00273A97">
              <w:rPr>
                <w:rFonts w:eastAsiaTheme="minorEastAsia"/>
              </w:rPr>
              <w:t>五</w:t>
            </w:r>
            <w:r w:rsidRPr="00273A97">
              <w:rPr>
                <w:rFonts w:eastAsiaTheme="minorEastAsia"/>
              </w:rPr>
              <w:t>)</w:t>
            </w:r>
            <w:r w:rsidRPr="00273A97">
              <w:rPr>
                <w:rFonts w:eastAsiaTheme="minorEastAsia"/>
              </w:rPr>
              <w:t>项</w:t>
            </w:r>
          </w:p>
        </w:tc>
      </w:tr>
      <w:tr w:rsidR="00A633D5" w:rsidTr="00273A97">
        <w:tc>
          <w:tcPr>
            <w:tcW w:w="2126" w:type="dxa"/>
            <w:shd w:val="clear" w:color="auto" w:fill="auto"/>
          </w:tcPr>
          <w:p w:rsidR="00A633D5" w:rsidRPr="001B3F49" w:rsidRDefault="00A633D5" w:rsidP="001B3F49">
            <w:pPr>
              <w:pStyle w:val="SingleTxtG"/>
              <w:spacing w:line="320" w:lineRule="exact"/>
              <w:ind w:left="6" w:right="0"/>
              <w:rPr>
                <w:rFonts w:eastAsia="楷体"/>
              </w:rPr>
            </w:pPr>
            <w:r w:rsidRPr="001B3F49">
              <w:rPr>
                <w:rFonts w:eastAsia="楷体" w:hint="eastAsia"/>
              </w:rPr>
              <w:t>《任择议定书》条款</w:t>
            </w:r>
            <w:r w:rsidR="00AA3EEB" w:rsidRPr="001B3F49">
              <w:rPr>
                <w:rFonts w:eastAsia="楷体" w:hint="eastAsia"/>
              </w:rPr>
              <w:t>：</w:t>
            </w:r>
          </w:p>
        </w:tc>
        <w:tc>
          <w:tcPr>
            <w:tcW w:w="4819" w:type="dxa"/>
            <w:shd w:val="clear" w:color="auto" w:fill="auto"/>
          </w:tcPr>
          <w:p w:rsidR="00A633D5" w:rsidRPr="00273A97" w:rsidRDefault="00A633D5" w:rsidP="00273A97">
            <w:pPr>
              <w:pStyle w:val="SingleTxtG"/>
              <w:spacing w:line="320" w:lineRule="exact"/>
              <w:ind w:left="6" w:right="0"/>
              <w:rPr>
                <w:rFonts w:eastAsiaTheme="minorEastAsia"/>
              </w:rPr>
            </w:pPr>
            <w:r w:rsidRPr="00273A97">
              <w:rPr>
                <w:rFonts w:eastAsiaTheme="minorEastAsia"/>
                <w:lang w:val="zh-CN"/>
              </w:rPr>
              <w:t>第二条第</w:t>
            </w:r>
            <w:r w:rsidRPr="00273A97">
              <w:rPr>
                <w:rFonts w:eastAsiaTheme="minorEastAsia"/>
                <w:lang w:val="zh-CN"/>
              </w:rPr>
              <w:t>(</w:t>
            </w:r>
            <w:r w:rsidRPr="00273A97">
              <w:rPr>
                <w:rFonts w:eastAsiaTheme="minorEastAsia"/>
                <w:lang w:val="zh-CN"/>
              </w:rPr>
              <w:t>四</w:t>
            </w:r>
            <w:r w:rsidRPr="00273A97">
              <w:rPr>
                <w:rFonts w:eastAsiaTheme="minorEastAsia"/>
                <w:lang w:val="zh-CN"/>
              </w:rPr>
              <w:t>)</w:t>
            </w:r>
            <w:r w:rsidRPr="00273A97">
              <w:rPr>
                <w:rFonts w:eastAsiaTheme="minorEastAsia"/>
                <w:lang w:val="zh-CN"/>
              </w:rPr>
              <w:t>和第</w:t>
            </w:r>
            <w:r w:rsidRPr="00273A97">
              <w:rPr>
                <w:rFonts w:eastAsiaTheme="minorEastAsia"/>
                <w:lang w:val="zh-CN"/>
              </w:rPr>
              <w:t>(</w:t>
            </w:r>
            <w:r w:rsidRPr="00273A97">
              <w:rPr>
                <w:rFonts w:eastAsiaTheme="minorEastAsia"/>
                <w:lang w:val="zh-CN"/>
              </w:rPr>
              <w:t>五</w:t>
            </w:r>
            <w:r w:rsidRPr="00273A97">
              <w:rPr>
                <w:rFonts w:eastAsiaTheme="minorEastAsia"/>
                <w:lang w:val="zh-CN"/>
              </w:rPr>
              <w:t>)</w:t>
            </w:r>
            <w:r w:rsidRPr="00273A97">
              <w:rPr>
                <w:rFonts w:eastAsiaTheme="minorEastAsia"/>
                <w:lang w:val="zh-CN"/>
              </w:rPr>
              <w:t>项</w:t>
            </w:r>
          </w:p>
        </w:tc>
      </w:tr>
    </w:tbl>
    <w:p w:rsidR="0030512A" w:rsidRPr="004B361B" w:rsidRDefault="0030512A" w:rsidP="00B51620">
      <w:pPr>
        <w:pStyle w:val="SingleTxtGC"/>
        <w:tabs>
          <w:tab w:val="clear" w:pos="431"/>
          <w:tab w:val="clear" w:pos="1134"/>
          <w:tab w:val="clear" w:pos="1565"/>
          <w:tab w:val="clear" w:pos="1996"/>
          <w:tab w:val="clear" w:pos="2427"/>
          <w:tab w:val="left" w:pos="1701"/>
        </w:tabs>
        <w:spacing w:before="80"/>
      </w:pPr>
      <w:r>
        <w:rPr>
          <w:lang w:val="zh-CN"/>
        </w:rPr>
        <w:t>1.</w:t>
      </w:r>
      <w:r>
        <w:rPr>
          <w:lang w:val="zh-CN"/>
        </w:rPr>
        <w:tab/>
        <w:t>2016</w:t>
      </w:r>
      <w:r>
        <w:rPr>
          <w:lang w:val="zh-CN"/>
        </w:rPr>
        <w:t>年</w:t>
      </w:r>
      <w:r>
        <w:rPr>
          <w:lang w:val="zh-CN"/>
        </w:rPr>
        <w:t>2</w:t>
      </w:r>
      <w:r>
        <w:rPr>
          <w:lang w:val="zh-CN"/>
        </w:rPr>
        <w:t>月</w:t>
      </w:r>
      <w:r>
        <w:rPr>
          <w:lang w:val="zh-CN"/>
        </w:rPr>
        <w:t>12</w:t>
      </w:r>
      <w:r>
        <w:rPr>
          <w:lang w:val="zh-CN"/>
        </w:rPr>
        <w:t>日来文的提交人是</w:t>
      </w:r>
      <w:r>
        <w:rPr>
          <w:lang w:val="zh-CN"/>
        </w:rPr>
        <w:t>J.H.</w:t>
      </w:r>
      <w:r w:rsidR="00B51620">
        <w:rPr>
          <w:rFonts w:hint="eastAsia"/>
          <w:lang w:val="zh-CN"/>
        </w:rPr>
        <w:t>,</w:t>
      </w:r>
      <w:r w:rsidR="00B51620">
        <w:t xml:space="preserve"> </w:t>
      </w:r>
      <w:r w:rsidRPr="00686ADD">
        <w:rPr>
          <w:rStyle w:val="a8"/>
          <w:rFonts w:eastAsia="宋体"/>
          <w:lang w:val="zh-CN"/>
        </w:rPr>
        <w:footnoteReference w:id="4"/>
      </w:r>
      <w:r w:rsidR="00D04F98">
        <w:rPr>
          <w:rFonts w:hint="eastAsia"/>
          <w:lang w:val="zh-CN"/>
        </w:rPr>
        <w:t xml:space="preserve"> </w:t>
      </w:r>
      <w:r>
        <w:rPr>
          <w:lang w:val="zh-CN"/>
        </w:rPr>
        <w:t>系澳大利亚国民，</w:t>
      </w:r>
      <w:r>
        <w:rPr>
          <w:lang w:val="zh-CN"/>
        </w:rPr>
        <w:t>1977</w:t>
      </w:r>
      <w:r>
        <w:rPr>
          <w:lang w:val="zh-CN"/>
        </w:rPr>
        <w:t>年</w:t>
      </w:r>
      <w:r>
        <w:rPr>
          <w:lang w:val="zh-CN"/>
        </w:rPr>
        <w:t>8</w:t>
      </w:r>
      <w:r>
        <w:rPr>
          <w:lang w:val="zh-CN"/>
        </w:rPr>
        <w:t>月</w:t>
      </w:r>
      <w:r>
        <w:rPr>
          <w:lang w:val="zh-CN"/>
        </w:rPr>
        <w:t>17</w:t>
      </w:r>
      <w:r>
        <w:rPr>
          <w:lang w:val="zh-CN"/>
        </w:rPr>
        <w:t>日出生。她称缔约国侵犯了她依据《公约》第五、第十二和第二十一条应享有的权利。缔约国于</w:t>
      </w:r>
      <w:r>
        <w:rPr>
          <w:lang w:val="zh-CN"/>
        </w:rPr>
        <w:t>2009</w:t>
      </w:r>
      <w:r>
        <w:rPr>
          <w:lang w:val="zh-CN"/>
        </w:rPr>
        <w:t>年</w:t>
      </w:r>
      <w:r>
        <w:rPr>
          <w:lang w:val="zh-CN"/>
        </w:rPr>
        <w:t>8</w:t>
      </w:r>
      <w:r>
        <w:rPr>
          <w:lang w:val="zh-CN"/>
        </w:rPr>
        <w:t>月</w:t>
      </w:r>
      <w:r>
        <w:rPr>
          <w:lang w:val="zh-CN"/>
        </w:rPr>
        <w:t>21</w:t>
      </w:r>
      <w:r>
        <w:rPr>
          <w:lang w:val="zh-CN"/>
        </w:rPr>
        <w:t>日加入了《任择议定书》。提交人由律师</w:t>
      </w:r>
      <w:r>
        <w:rPr>
          <w:lang w:val="zh-CN"/>
        </w:rPr>
        <w:t>Michele Hardesty-Munday</w:t>
      </w:r>
      <w:r>
        <w:rPr>
          <w:lang w:val="zh-CN"/>
        </w:rPr>
        <w:t>代理。</w:t>
      </w:r>
    </w:p>
    <w:p w:rsidR="0030512A" w:rsidRPr="004B361B" w:rsidRDefault="0030512A" w:rsidP="007F6CDC">
      <w:pPr>
        <w:pStyle w:val="H1GC"/>
      </w:pPr>
      <w:r w:rsidRPr="004B361B">
        <w:lastRenderedPageBreak/>
        <w:tab/>
      </w:r>
      <w:r>
        <w:rPr>
          <w:lang w:val="zh-CN"/>
        </w:rPr>
        <w:t>A.</w:t>
      </w:r>
      <w:r>
        <w:rPr>
          <w:lang w:val="zh-CN"/>
        </w:rPr>
        <w:tab/>
      </w:r>
      <w:r>
        <w:rPr>
          <w:lang w:val="zh-CN"/>
        </w:rPr>
        <w:t>当事各方提交的资料和意见概述</w:t>
      </w:r>
    </w:p>
    <w:p w:rsidR="0030512A" w:rsidRPr="004B361B" w:rsidRDefault="0030512A" w:rsidP="007F6CDC">
      <w:pPr>
        <w:pStyle w:val="H23GC"/>
      </w:pPr>
      <w:r>
        <w:rPr>
          <w:lang w:val="zh-CN"/>
        </w:rPr>
        <w:tab/>
      </w:r>
      <w:r>
        <w:rPr>
          <w:lang w:val="zh-CN"/>
        </w:rPr>
        <w:tab/>
      </w:r>
      <w:r>
        <w:rPr>
          <w:lang w:val="zh-CN"/>
        </w:rPr>
        <w:t>提交人陈述的事实</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2.1</w:t>
      </w:r>
      <w:r>
        <w:rPr>
          <w:lang w:val="zh-CN"/>
        </w:rPr>
        <w:tab/>
      </w:r>
      <w:r>
        <w:rPr>
          <w:lang w:val="zh-CN"/>
        </w:rPr>
        <w:t>提交人是澳大利亚公民，天生失聪，使用澳大利亚手语</w:t>
      </w:r>
      <w:r>
        <w:rPr>
          <w:lang w:val="zh-CN"/>
        </w:rPr>
        <w:t>(Auslan)</w:t>
      </w:r>
      <w:r>
        <w:rPr>
          <w:lang w:val="zh-CN"/>
        </w:rPr>
        <w:t>作为母语。</w:t>
      </w:r>
      <w:r>
        <w:rPr>
          <w:lang w:val="zh-CN"/>
        </w:rPr>
        <w:t>2014</w:t>
      </w:r>
      <w:r>
        <w:rPr>
          <w:lang w:val="zh-CN"/>
        </w:rPr>
        <w:t>年</w:t>
      </w:r>
      <w:r>
        <w:rPr>
          <w:lang w:val="zh-CN"/>
        </w:rPr>
        <w:t>4</w:t>
      </w:r>
      <w:r>
        <w:rPr>
          <w:lang w:val="zh-CN"/>
        </w:rPr>
        <w:t>月至</w:t>
      </w:r>
      <w:r>
        <w:rPr>
          <w:lang w:val="zh-CN"/>
        </w:rPr>
        <w:t>5</w:t>
      </w:r>
      <w:r>
        <w:rPr>
          <w:lang w:val="zh-CN"/>
        </w:rPr>
        <w:t>月期间，珀斯总检察长部传唤提交人，于</w:t>
      </w:r>
      <w:r>
        <w:rPr>
          <w:lang w:val="zh-CN"/>
        </w:rPr>
        <w:t>2014</w:t>
      </w:r>
      <w:r>
        <w:rPr>
          <w:lang w:val="zh-CN"/>
        </w:rPr>
        <w:t>年</w:t>
      </w:r>
      <w:r>
        <w:rPr>
          <w:lang w:val="zh-CN"/>
        </w:rPr>
        <w:t>6</w:t>
      </w:r>
      <w:r>
        <w:rPr>
          <w:lang w:val="zh-CN"/>
        </w:rPr>
        <w:t>月</w:t>
      </w:r>
      <w:r>
        <w:rPr>
          <w:lang w:val="zh-CN"/>
        </w:rPr>
        <w:t>3</w:t>
      </w:r>
      <w:r>
        <w:rPr>
          <w:lang w:val="zh-CN"/>
        </w:rPr>
        <w:t>日在西澳大利亚地区法院担任陪审员。</w:t>
      </w:r>
      <w:r>
        <w:rPr>
          <w:lang w:val="zh-CN"/>
        </w:rPr>
        <w:t>2014</w:t>
      </w:r>
      <w:r>
        <w:rPr>
          <w:lang w:val="zh-CN"/>
        </w:rPr>
        <w:t>年</w:t>
      </w:r>
      <w:r>
        <w:rPr>
          <w:lang w:val="zh-CN"/>
        </w:rPr>
        <w:t>5</w:t>
      </w:r>
      <w:r>
        <w:rPr>
          <w:lang w:val="zh-CN"/>
        </w:rPr>
        <w:t>月</w:t>
      </w:r>
      <w:r>
        <w:rPr>
          <w:lang w:val="zh-CN"/>
        </w:rPr>
        <w:t>6</w:t>
      </w:r>
      <w:r>
        <w:rPr>
          <w:lang w:val="zh-CN"/>
        </w:rPr>
        <w:t>日，提交人向总检察长部通报了她的情况，并表示她需要一名澳大利亚手语译员，协助她履行陪审员义务。她还告知陪审服务</w:t>
      </w:r>
      <w:r>
        <w:rPr>
          <w:rFonts w:hint="eastAsia"/>
          <w:lang w:val="zh-CN"/>
        </w:rPr>
        <w:t>处</w:t>
      </w:r>
      <w:r>
        <w:rPr>
          <w:lang w:val="zh-CN"/>
        </w:rPr>
        <w:t>，可以通过西澳大利亚聋人协会的西澳大利亚手语交流预约澳大利亚手语译员。</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2.2</w:t>
      </w:r>
      <w:r>
        <w:rPr>
          <w:lang w:val="zh-CN"/>
        </w:rPr>
        <w:tab/>
        <w:t>2014</w:t>
      </w:r>
      <w:r>
        <w:rPr>
          <w:lang w:val="zh-CN"/>
        </w:rPr>
        <w:t>年</w:t>
      </w:r>
      <w:r>
        <w:rPr>
          <w:lang w:val="zh-CN"/>
        </w:rPr>
        <w:t>5</w:t>
      </w:r>
      <w:r>
        <w:rPr>
          <w:lang w:val="zh-CN"/>
        </w:rPr>
        <w:t>月</w:t>
      </w:r>
      <w:r>
        <w:rPr>
          <w:lang w:val="zh-CN"/>
        </w:rPr>
        <w:t>15</w:t>
      </w:r>
      <w:r>
        <w:rPr>
          <w:lang w:val="zh-CN"/>
        </w:rPr>
        <w:t>日，总检察长部陪审服务</w:t>
      </w:r>
      <w:r>
        <w:rPr>
          <w:rFonts w:hint="eastAsia"/>
          <w:lang w:val="zh-CN"/>
        </w:rPr>
        <w:t>处</w:t>
      </w:r>
      <w:r>
        <w:rPr>
          <w:lang w:val="zh-CN"/>
        </w:rPr>
        <w:t>主管与提交人联系，询问她是否需要澳大利亚手语译员或适当的助听器。同一天，提交人答复说，她需要一名澳大利亚手语译员，因为她没有佩戴任何技术性听力装置。</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2.3</w:t>
      </w:r>
      <w:r>
        <w:rPr>
          <w:lang w:val="zh-CN"/>
        </w:rPr>
        <w:tab/>
      </w:r>
      <w:r>
        <w:rPr>
          <w:lang w:val="zh-CN"/>
        </w:rPr>
        <w:t>在西澳大利亚州，陪审员是从西澳大利亚选举委员会保存的选民名册中随机选出的。会选出约</w:t>
      </w:r>
      <w:r>
        <w:rPr>
          <w:lang w:val="zh-CN"/>
        </w:rPr>
        <w:t>12</w:t>
      </w:r>
      <w:r>
        <w:rPr>
          <w:lang w:val="zh-CN"/>
        </w:rPr>
        <w:t>至</w:t>
      </w:r>
      <w:r>
        <w:rPr>
          <w:lang w:val="zh-CN"/>
        </w:rPr>
        <w:t>18</w:t>
      </w:r>
      <w:r>
        <w:rPr>
          <w:lang w:val="zh-CN"/>
        </w:rPr>
        <w:t>人，然后他们宣誓成为陪审员，在刑事审判中审判事实问题并做出裁决。提交人指出，陪审义务是每个人的公民责任，也是澳大利亚司法工作的重要组成部分。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2.4</w:t>
      </w:r>
      <w:r>
        <w:rPr>
          <w:lang w:val="zh-CN"/>
        </w:rPr>
        <w:tab/>
        <w:t>2014</w:t>
      </w:r>
      <w:r>
        <w:rPr>
          <w:lang w:val="zh-CN"/>
        </w:rPr>
        <w:t>年</w:t>
      </w:r>
      <w:r>
        <w:rPr>
          <w:lang w:val="zh-CN"/>
        </w:rPr>
        <w:t>5</w:t>
      </w:r>
      <w:r>
        <w:rPr>
          <w:lang w:val="zh-CN"/>
        </w:rPr>
        <w:t>月</w:t>
      </w:r>
      <w:r>
        <w:rPr>
          <w:lang w:val="zh-CN"/>
        </w:rPr>
        <w:t>16</w:t>
      </w:r>
      <w:r>
        <w:rPr>
          <w:lang w:val="zh-CN"/>
        </w:rPr>
        <w:t>日，主管通知提交人，根据西澳大利亚州</w:t>
      </w:r>
      <w:r>
        <w:rPr>
          <w:lang w:val="zh-CN"/>
        </w:rPr>
        <w:t>1957</w:t>
      </w:r>
      <w:r>
        <w:rPr>
          <w:lang w:val="zh-CN"/>
        </w:rPr>
        <w:t>年《陪审团法》第</w:t>
      </w:r>
      <w:r>
        <w:rPr>
          <w:lang w:val="zh-CN"/>
        </w:rPr>
        <w:t>34G</w:t>
      </w:r>
      <w:r>
        <w:rPr>
          <w:lang w:val="zh-CN"/>
        </w:rPr>
        <w:t>条，</w:t>
      </w:r>
      <w:r w:rsidRPr="00686ADD">
        <w:rPr>
          <w:rStyle w:val="a8"/>
          <w:rFonts w:eastAsia="宋体"/>
          <w:lang w:val="zh-CN"/>
        </w:rPr>
        <w:footnoteReference w:id="5"/>
      </w:r>
      <w:r w:rsidR="00A51F07">
        <w:rPr>
          <w:rFonts w:hint="eastAsia"/>
          <w:lang w:val="zh-CN"/>
        </w:rPr>
        <w:t xml:space="preserve"> </w:t>
      </w:r>
      <w:r>
        <w:rPr>
          <w:lang w:val="zh-CN"/>
        </w:rPr>
        <w:t>她将免于被传唤担任陪审员。主管说，鉴于《陪审团法》的要求和对被告进行公平审判的压倒一切的必要性，包括对陪审团审议保密，所以法院无法向提交人提供必要的手段使其能够有效地担任陪审员。</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2.5</w:t>
      </w:r>
      <w:r>
        <w:rPr>
          <w:lang w:val="zh-CN"/>
        </w:rPr>
        <w:tab/>
        <w:t>2014</w:t>
      </w:r>
      <w:r>
        <w:rPr>
          <w:lang w:val="zh-CN"/>
        </w:rPr>
        <w:t>年</w:t>
      </w:r>
      <w:r>
        <w:rPr>
          <w:lang w:val="zh-CN"/>
        </w:rPr>
        <w:t>5</w:t>
      </w:r>
      <w:r>
        <w:rPr>
          <w:lang w:val="zh-CN"/>
        </w:rPr>
        <w:t>月</w:t>
      </w:r>
      <w:r>
        <w:rPr>
          <w:lang w:val="zh-CN"/>
        </w:rPr>
        <w:t>20</w:t>
      </w:r>
      <w:r>
        <w:rPr>
          <w:lang w:val="zh-CN"/>
        </w:rPr>
        <w:t>日，提交人回复邮件，对国内当局对其免除传唤的决定表示关切。提交人指出，主管曾询问过她是否可以使用技术性听力装置，或她是否需要一名澳大利亚手语译员。她指出，使用技术性听力装置可能会无意中导致信息过滤和遗漏。她也提到了《陪审团法》第</w:t>
      </w:r>
      <w:r>
        <w:rPr>
          <w:lang w:val="zh-CN"/>
        </w:rPr>
        <w:t>34G</w:t>
      </w:r>
      <w:r>
        <w:rPr>
          <w:lang w:val="zh-CN"/>
        </w:rPr>
        <w:t>条第</w:t>
      </w:r>
      <w:r>
        <w:rPr>
          <w:lang w:val="zh-CN"/>
        </w:rPr>
        <w:t>2</w:t>
      </w:r>
      <w:r>
        <w:rPr>
          <w:lang w:val="zh-CN"/>
        </w:rPr>
        <w:t>款</w:t>
      </w:r>
      <w:r>
        <w:rPr>
          <w:lang w:val="zh-CN"/>
        </w:rPr>
        <w:t>(e)</w:t>
      </w:r>
      <w:r>
        <w:rPr>
          <w:lang w:val="zh-CN"/>
        </w:rPr>
        <w:t>项，并指出，从他们的书面交流可以明显看出，她在理解英语方面没有问题，所以不能根据该条款对其免除传唤。</w:t>
      </w:r>
      <w:r>
        <w:rPr>
          <w:lang w:val="zh-CN"/>
        </w:rPr>
        <w:t>2014</w:t>
      </w:r>
      <w:r>
        <w:rPr>
          <w:lang w:val="zh-CN"/>
        </w:rPr>
        <w:t>年</w:t>
      </w:r>
      <w:r>
        <w:rPr>
          <w:lang w:val="zh-CN"/>
        </w:rPr>
        <w:t>5</w:t>
      </w:r>
      <w:r>
        <w:rPr>
          <w:lang w:val="zh-CN"/>
        </w:rPr>
        <w:t>月</w:t>
      </w:r>
      <w:r>
        <w:rPr>
          <w:lang w:val="zh-CN"/>
        </w:rPr>
        <w:t>27</w:t>
      </w:r>
      <w:r>
        <w:rPr>
          <w:lang w:val="zh-CN"/>
        </w:rPr>
        <w:t>日，提交人又向主管发送了一封后续邮件。她指出，根据</w:t>
      </w:r>
      <w:r>
        <w:rPr>
          <w:rFonts w:hint="eastAsia"/>
          <w:lang w:val="zh-CN"/>
        </w:rPr>
        <w:t>《</w:t>
      </w:r>
      <w:r>
        <w:rPr>
          <w:lang w:val="zh-CN"/>
        </w:rPr>
        <w:t>西澳大利亚州语言服务政策</w:t>
      </w:r>
      <w:r>
        <w:rPr>
          <w:rFonts w:hint="eastAsia"/>
          <w:lang w:val="zh-CN"/>
        </w:rPr>
        <w:t>》</w:t>
      </w:r>
      <w:r>
        <w:rPr>
          <w:lang w:val="zh-CN"/>
        </w:rPr>
        <w:t>，包括地区法院在内的国家机构需要提供译员。</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2.6</w:t>
      </w:r>
      <w:r>
        <w:rPr>
          <w:lang w:val="zh-CN"/>
        </w:rPr>
        <w:tab/>
      </w:r>
      <w:r>
        <w:rPr>
          <w:lang w:val="zh-CN"/>
        </w:rPr>
        <w:t>同一天，主管通过电子邮件回复说，他的决定与财务障碍无关，他并不认为提交人是法院系统的负担。他说，他作出这个决定主要是为了提供一个对被告公平并遵循适用立法的制度。</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2.7</w:t>
      </w:r>
      <w:r>
        <w:rPr>
          <w:lang w:val="zh-CN"/>
        </w:rPr>
        <w:tab/>
        <w:t>2015</w:t>
      </w:r>
      <w:r>
        <w:rPr>
          <w:lang w:val="zh-CN"/>
        </w:rPr>
        <w:t>年</w:t>
      </w:r>
      <w:r>
        <w:rPr>
          <w:lang w:val="zh-CN"/>
        </w:rPr>
        <w:t>2</w:t>
      </w:r>
      <w:r>
        <w:rPr>
          <w:lang w:val="zh-CN"/>
        </w:rPr>
        <w:t>月，提交人根据西澳大利亚州</w:t>
      </w:r>
      <w:r>
        <w:rPr>
          <w:lang w:val="zh-CN"/>
        </w:rPr>
        <w:t>1984</w:t>
      </w:r>
      <w:r>
        <w:rPr>
          <w:lang w:val="zh-CN"/>
        </w:rPr>
        <w:t>年《平等机会法》第</w:t>
      </w:r>
      <w:r>
        <w:rPr>
          <w:lang w:val="zh-CN"/>
        </w:rPr>
        <w:t>66A</w:t>
      </w:r>
      <w:r>
        <w:rPr>
          <w:lang w:val="zh-CN"/>
        </w:rPr>
        <w:t>和第</w:t>
      </w:r>
      <w:r>
        <w:rPr>
          <w:lang w:val="zh-CN"/>
        </w:rPr>
        <w:t>66K</w:t>
      </w:r>
      <w:r>
        <w:rPr>
          <w:lang w:val="zh-CN"/>
        </w:rPr>
        <w:t>条向</w:t>
      </w:r>
      <w:r>
        <w:rPr>
          <w:rFonts w:hint="eastAsia"/>
          <w:lang w:val="zh-CN"/>
        </w:rPr>
        <w:t>该</w:t>
      </w:r>
      <w:r>
        <w:rPr>
          <w:lang w:val="zh-CN"/>
        </w:rPr>
        <w:t>州</w:t>
      </w:r>
      <w:r>
        <w:rPr>
          <w:rFonts w:hint="eastAsia"/>
          <w:lang w:val="zh-CN"/>
        </w:rPr>
        <w:t>的</w:t>
      </w:r>
      <w:r>
        <w:rPr>
          <w:lang w:val="zh-CN"/>
        </w:rPr>
        <w:t>平等机会委员会提出申诉。该委员会认为，总检察长部在行使法定职责时是直接作为政府的一个部门行事，而不是作为社区服务提供者，因此该申诉不属于《平等机会法》的范围。由于委员会没有审议申诉的案情，不能根据《平等机会法》将提交人的案件转交国家行政法庭。</w:t>
      </w:r>
      <w:r w:rsidRPr="00686ADD">
        <w:rPr>
          <w:rStyle w:val="a8"/>
          <w:rFonts w:eastAsia="宋体"/>
          <w:lang w:val="zh-CN"/>
        </w:rPr>
        <w:footnoteReference w:id="6"/>
      </w:r>
      <w:r w:rsidR="00163855">
        <w:rPr>
          <w:rFonts w:hint="eastAsia"/>
          <w:lang w:val="zh-CN"/>
        </w:rPr>
        <w:t xml:space="preserve"> </w:t>
      </w:r>
      <w:r>
        <w:rPr>
          <w:lang w:val="zh-CN"/>
        </w:rPr>
        <w:t>由于该决定不构成法律错误，因此不能向最高法院提出上诉。在这方面，提交人指出，《平等机会法》第</w:t>
      </w:r>
      <w:r>
        <w:rPr>
          <w:lang w:val="zh-CN"/>
        </w:rPr>
        <w:t>69</w:t>
      </w:r>
      <w:r>
        <w:rPr>
          <w:lang w:val="zh-CN"/>
        </w:rPr>
        <w:t>条规定，如果一个人为了遵守本条生效时适用的任何其他法律的要求而有必要做某件事，该法中的任何规定都不会将这件事定为非法。因此，总检察长部的决定是根据《陪审团法》和《平等机会法》作出的。</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2.8</w:t>
      </w:r>
      <w:r>
        <w:rPr>
          <w:lang w:val="zh-CN"/>
        </w:rPr>
        <w:tab/>
      </w:r>
      <w:r>
        <w:rPr>
          <w:lang w:val="zh-CN"/>
        </w:rPr>
        <w:t>提交人</w:t>
      </w:r>
      <w:r>
        <w:rPr>
          <w:rFonts w:hint="eastAsia"/>
          <w:lang w:val="zh-CN"/>
        </w:rPr>
        <w:t>有意</w:t>
      </w:r>
      <w:r>
        <w:rPr>
          <w:lang w:val="zh-CN"/>
        </w:rPr>
        <w:t>根据</w:t>
      </w:r>
      <w:r>
        <w:rPr>
          <w:lang w:val="zh-CN"/>
        </w:rPr>
        <w:t>1992</w:t>
      </w:r>
      <w:r>
        <w:rPr>
          <w:lang w:val="zh-CN"/>
        </w:rPr>
        <w:t>年《残疾人歧视法》提出申诉。然而，根据该法第</w:t>
      </w:r>
      <w:r>
        <w:rPr>
          <w:lang w:val="zh-CN"/>
        </w:rPr>
        <w:t>47</w:t>
      </w:r>
      <w:r>
        <w:rPr>
          <w:lang w:val="zh-CN"/>
        </w:rPr>
        <w:t>条第</w:t>
      </w:r>
      <w:r>
        <w:rPr>
          <w:lang w:val="zh-CN"/>
        </w:rPr>
        <w:t>2</w:t>
      </w:r>
      <w:r>
        <w:rPr>
          <w:lang w:val="zh-CN"/>
        </w:rPr>
        <w:t>款，任何人为直接遵守既定法律所做的任何事情都不会因该法的规定而被定为非法。因此，这种国内补救办法在处理提交人的申诉方面也是无效的。</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2.9</w:t>
      </w:r>
      <w:r>
        <w:rPr>
          <w:lang w:val="zh-CN"/>
        </w:rPr>
        <w:tab/>
        <w:t>2015</w:t>
      </w:r>
      <w:r>
        <w:rPr>
          <w:lang w:val="zh-CN"/>
        </w:rPr>
        <w:t>年</w:t>
      </w:r>
      <w:r>
        <w:rPr>
          <w:lang w:val="zh-CN"/>
        </w:rPr>
        <w:t>4</w:t>
      </w:r>
      <w:r>
        <w:rPr>
          <w:lang w:val="zh-CN"/>
        </w:rPr>
        <w:t>月</w:t>
      </w:r>
      <w:r>
        <w:rPr>
          <w:lang w:val="zh-CN"/>
        </w:rPr>
        <w:t>24</w:t>
      </w:r>
      <w:r>
        <w:rPr>
          <w:lang w:val="zh-CN"/>
        </w:rPr>
        <w:t>日，提交人致函总检察长，总检察长于</w:t>
      </w:r>
      <w:r>
        <w:rPr>
          <w:lang w:val="zh-CN"/>
        </w:rPr>
        <w:t>2015</w:t>
      </w:r>
      <w:r>
        <w:rPr>
          <w:lang w:val="zh-CN"/>
        </w:rPr>
        <w:t>年</w:t>
      </w:r>
      <w:r>
        <w:rPr>
          <w:lang w:val="zh-CN"/>
        </w:rPr>
        <w:t>5</w:t>
      </w:r>
      <w:r>
        <w:rPr>
          <w:lang w:val="zh-CN"/>
        </w:rPr>
        <w:t>月</w:t>
      </w:r>
      <w:r>
        <w:rPr>
          <w:lang w:val="zh-CN"/>
        </w:rPr>
        <w:t>15</w:t>
      </w:r>
      <w:r>
        <w:rPr>
          <w:lang w:val="zh-CN"/>
        </w:rPr>
        <w:t>日答复说，在某些情况下，个人可能无法适当履行陪审员的义务，主管的决定是正确的。</w:t>
      </w:r>
    </w:p>
    <w:p w:rsidR="0030512A" w:rsidRPr="004B361B" w:rsidRDefault="0030512A" w:rsidP="00872863">
      <w:pPr>
        <w:pStyle w:val="H23GC"/>
      </w:pPr>
      <w:r>
        <w:rPr>
          <w:lang w:val="zh-CN"/>
        </w:rPr>
        <w:tab/>
      </w:r>
      <w:r>
        <w:rPr>
          <w:lang w:val="zh-CN"/>
        </w:rPr>
        <w:tab/>
      </w:r>
      <w:r>
        <w:rPr>
          <w:bCs/>
          <w:lang w:val="zh-CN"/>
        </w:rPr>
        <w:t>申诉</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3.1.</w:t>
      </w:r>
      <w:r>
        <w:rPr>
          <w:lang w:val="zh-CN"/>
        </w:rPr>
        <w:tab/>
      </w:r>
      <w:r>
        <w:rPr>
          <w:lang w:val="zh-CN"/>
        </w:rPr>
        <w:t>提交人认为，缔约国未能提供合理便利，以防止基于其听力障碍对她的歧视，</w:t>
      </w:r>
      <w:r w:rsidRPr="006F3AB7">
        <w:rPr>
          <w:spacing w:val="4"/>
          <w:lang w:val="zh-CN"/>
        </w:rPr>
        <w:t>从而违反</w:t>
      </w:r>
      <w:r w:rsidRPr="006F3AB7">
        <w:t>了《公约》第五条</w:t>
      </w:r>
      <w:r w:rsidRPr="006F3AB7">
        <w:rPr>
          <w:spacing w:val="4"/>
          <w:lang w:val="zh-CN"/>
        </w:rPr>
        <w:t>第二和第三款。提交人辩称，为她提供一名澳大利亚手语译员</w:t>
      </w:r>
      <w:r w:rsidRPr="006F3AB7">
        <w:t>，使她能够完成陪审员义务，这不是</w:t>
      </w:r>
      <w:r w:rsidRPr="006F3AB7">
        <w:rPr>
          <w:spacing w:val="4"/>
          <w:lang w:val="zh-CN"/>
        </w:rPr>
        <w:t>一个过分的或不适当的负担。提交人还声称，尽管法庭上安装了听力回路装置以帮助听力障碍者，但仅靠这些装置并不能确保完全参与。</w:t>
      </w:r>
      <w:r>
        <w:rPr>
          <w:lang w:val="zh-CN"/>
        </w:rPr>
        <w:t>听力障碍者仍然需要依靠唇读、字幕和书面笔记的结合才能获得完整的理解，因此这些设备并不能为听力障碍者提供充分的便利。</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3.2</w:t>
      </w:r>
      <w:r>
        <w:rPr>
          <w:lang w:val="zh-CN"/>
        </w:rPr>
        <w:tab/>
      </w:r>
      <w:r>
        <w:rPr>
          <w:lang w:val="zh-CN"/>
        </w:rPr>
        <w:t>提交人认为，缔约国未能采取适当措施向她提供履行陪审员义务所需的支持，违反了《公约》第十二条第二和第三款。提交人称，她在生活的各个方面与其他人平等地享有法律能力的权利包括</w:t>
      </w:r>
      <w:r>
        <w:rPr>
          <w:rFonts w:hint="eastAsia"/>
          <w:lang w:val="zh-CN"/>
        </w:rPr>
        <w:t>担任</w:t>
      </w:r>
      <w:r>
        <w:rPr>
          <w:lang w:val="zh-CN"/>
        </w:rPr>
        <w:t>陪审团</w:t>
      </w:r>
      <w:r>
        <w:rPr>
          <w:rFonts w:hint="eastAsia"/>
          <w:lang w:val="zh-CN"/>
        </w:rPr>
        <w:t>成员</w:t>
      </w:r>
      <w:r>
        <w:rPr>
          <w:lang w:val="zh-CN"/>
        </w:rPr>
        <w:t>的权利。她辩称，缔约国未能提供澳大利亚手语译员，而且缔约国未考虑她的个人情况就免除了她的陪审员义务，这相当于国内当局对这一问题采取了以一概全的做法。</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3.3</w:t>
      </w:r>
      <w:r>
        <w:rPr>
          <w:lang w:val="zh-CN"/>
        </w:rPr>
        <w:tab/>
      </w:r>
      <w:r>
        <w:rPr>
          <w:lang w:val="zh-CN"/>
        </w:rPr>
        <w:t>提交人认为，《公约》第二十一条确保她享有意见和表达自由权，但由于缔约国未能提供澳大利亚手语译员，她</w:t>
      </w:r>
      <w:r>
        <w:rPr>
          <w:rFonts w:hint="eastAsia"/>
          <w:lang w:val="zh-CN"/>
        </w:rPr>
        <w:t>无法</w:t>
      </w:r>
      <w:r>
        <w:rPr>
          <w:lang w:val="zh-CN"/>
        </w:rPr>
        <w:t>参加陪审团，所以缔约国违反了第二十一条。</w:t>
      </w:r>
    </w:p>
    <w:p w:rsidR="0030512A" w:rsidRPr="004B361B" w:rsidRDefault="0030512A" w:rsidP="00872863">
      <w:pPr>
        <w:pStyle w:val="H23GC"/>
      </w:pPr>
      <w:r>
        <w:rPr>
          <w:lang w:val="zh-CN"/>
        </w:rPr>
        <w:tab/>
      </w:r>
      <w:r>
        <w:rPr>
          <w:lang w:val="zh-CN"/>
        </w:rPr>
        <w:tab/>
      </w:r>
      <w:r>
        <w:rPr>
          <w:lang w:val="zh-CN"/>
        </w:rPr>
        <w:t>缔约国关于可否受理和案情的意见</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4.1</w:t>
      </w:r>
      <w:r>
        <w:rPr>
          <w:lang w:val="zh-CN"/>
        </w:rPr>
        <w:tab/>
        <w:t>2016</w:t>
      </w:r>
      <w:r>
        <w:rPr>
          <w:lang w:val="zh-CN"/>
        </w:rPr>
        <w:t>年</w:t>
      </w:r>
      <w:r>
        <w:rPr>
          <w:lang w:val="zh-CN"/>
        </w:rPr>
        <w:t>10</w:t>
      </w:r>
      <w:r>
        <w:rPr>
          <w:lang w:val="zh-CN"/>
        </w:rPr>
        <w:t>月</w:t>
      </w:r>
      <w:r>
        <w:rPr>
          <w:lang w:val="zh-CN"/>
        </w:rPr>
        <w:t>24</w:t>
      </w:r>
      <w:r>
        <w:rPr>
          <w:lang w:val="zh-CN"/>
        </w:rPr>
        <w:t>日，缔约国提交了关于来文可否受理和案情的意见。缔约国认为，提交人根据《公约》第十二条提出的申诉</w:t>
      </w:r>
      <w:r w:rsidRPr="00F57BC9">
        <w:rPr>
          <w:rFonts w:eastAsiaTheme="minorEastAsia"/>
          <w:lang w:val="zh-CN"/>
        </w:rPr>
        <w:t>因</w:t>
      </w:r>
      <w:r w:rsidRPr="00F57BC9">
        <w:rPr>
          <w:rFonts w:eastAsiaTheme="minorEastAsia" w:hint="eastAsia"/>
          <w:lang w:val="zh-CN"/>
        </w:rPr>
        <w:t>属事理由</w:t>
      </w:r>
      <w:r w:rsidRPr="00F57BC9">
        <w:rPr>
          <w:rFonts w:eastAsiaTheme="minorEastAsia"/>
          <w:lang w:val="zh-CN"/>
        </w:rPr>
        <w:t>不可</w:t>
      </w:r>
      <w:r>
        <w:rPr>
          <w:lang w:val="zh-CN"/>
        </w:rPr>
        <w:t>受理，</w:t>
      </w:r>
      <w:r>
        <w:rPr>
          <w:rFonts w:hint="eastAsia"/>
          <w:lang w:val="zh-CN"/>
        </w:rPr>
        <w:t>另外</w:t>
      </w:r>
      <w:r>
        <w:rPr>
          <w:lang w:val="zh-CN"/>
        </w:rPr>
        <w:t>根据《任择议定书》第二条第</w:t>
      </w:r>
      <w:r>
        <w:rPr>
          <w:lang w:val="zh-CN"/>
        </w:rPr>
        <w:t>(</w:t>
      </w:r>
      <w:r>
        <w:rPr>
          <w:lang w:val="zh-CN"/>
        </w:rPr>
        <w:t>五</w:t>
      </w:r>
      <w:r>
        <w:rPr>
          <w:lang w:val="zh-CN"/>
        </w:rPr>
        <w:t>)</w:t>
      </w:r>
      <w:r>
        <w:rPr>
          <w:lang w:val="zh-CN"/>
        </w:rPr>
        <w:t>项明显没有根据或缺乏充分证据，应不予受理。此外，缔约国认为，提交人根据《公约》第五、第十二和第二十一条提出的申诉没有依据。</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4.2</w:t>
      </w:r>
      <w:r>
        <w:rPr>
          <w:lang w:val="zh-CN"/>
        </w:rPr>
        <w:tab/>
      </w:r>
      <w:r>
        <w:rPr>
          <w:lang w:val="zh-CN"/>
        </w:rPr>
        <w:t>缔约国接受提交人陈述的</w:t>
      </w:r>
      <w:r>
        <w:rPr>
          <w:rFonts w:hint="eastAsia"/>
          <w:lang w:val="zh-CN"/>
        </w:rPr>
        <w:t>大致</w:t>
      </w:r>
      <w:r>
        <w:rPr>
          <w:lang w:val="zh-CN"/>
        </w:rPr>
        <w:t>事实，但反驳了提交人对陪审团组成的描述、关于陪审员义务是每个人的公民责任的说法以及总检察长部对她的情况采取以一概全之做法的申诉。在这方面，缔约国回顾说，根据《陪审团法》，</w:t>
      </w:r>
      <w:r>
        <w:rPr>
          <w:lang w:val="zh-CN"/>
        </w:rPr>
        <w:t>12</w:t>
      </w:r>
      <w:r>
        <w:rPr>
          <w:lang w:val="zh-CN"/>
        </w:rPr>
        <w:t>至</w:t>
      </w:r>
      <w:r>
        <w:rPr>
          <w:lang w:val="zh-CN"/>
        </w:rPr>
        <w:t>18</w:t>
      </w:r>
      <w:r>
        <w:rPr>
          <w:lang w:val="zh-CN"/>
        </w:rPr>
        <w:t>名陪审员被选为刑事审判陪审团成员。</w:t>
      </w:r>
      <w:r w:rsidRPr="00686ADD">
        <w:rPr>
          <w:rStyle w:val="a8"/>
          <w:rFonts w:eastAsia="宋体"/>
          <w:lang w:val="zh-CN"/>
        </w:rPr>
        <w:footnoteReference w:id="7"/>
      </w:r>
      <w:r w:rsidR="00163855">
        <w:rPr>
          <w:rFonts w:hint="eastAsia"/>
          <w:lang w:val="zh-CN"/>
        </w:rPr>
        <w:t xml:space="preserve"> </w:t>
      </w:r>
      <w:r>
        <w:rPr>
          <w:lang w:val="zh-CN"/>
        </w:rPr>
        <w:t>但是，如果在要求陪审团退庭以考虑刑事审判中的裁决之前，有超过</w:t>
      </w:r>
      <w:r>
        <w:rPr>
          <w:lang w:val="zh-CN"/>
        </w:rPr>
        <w:t>12</w:t>
      </w:r>
      <w:r>
        <w:rPr>
          <w:lang w:val="zh-CN"/>
        </w:rPr>
        <w:t>名陪审员，将投票选出</w:t>
      </w:r>
      <w:r>
        <w:rPr>
          <w:lang w:val="zh-CN"/>
        </w:rPr>
        <w:t>11</w:t>
      </w:r>
      <w:r>
        <w:rPr>
          <w:lang w:val="zh-CN"/>
        </w:rPr>
        <w:t>名陪审员与首席陪审员一起退庭以考虑裁决。</w:t>
      </w:r>
      <w:r w:rsidRPr="00686ADD">
        <w:rPr>
          <w:rStyle w:val="a8"/>
          <w:rFonts w:eastAsia="宋体"/>
          <w:lang w:val="zh-CN"/>
        </w:rPr>
        <w:footnoteReference w:id="8"/>
      </w:r>
      <w:r w:rsidR="00163855">
        <w:rPr>
          <w:rFonts w:hint="eastAsia"/>
          <w:lang w:val="zh-CN"/>
        </w:rPr>
        <w:t xml:space="preserve"> </w:t>
      </w:r>
      <w:r>
        <w:rPr>
          <w:lang w:val="zh-CN"/>
        </w:rPr>
        <w:t>未通过投票选出的其余陪审员随后将不再担任该审判的陪审员。</w:t>
      </w:r>
      <w:r w:rsidRPr="00686ADD">
        <w:rPr>
          <w:rStyle w:val="a8"/>
          <w:rFonts w:eastAsia="宋体"/>
          <w:lang w:val="zh-CN"/>
        </w:rPr>
        <w:footnoteReference w:id="9"/>
      </w:r>
      <w:r w:rsidR="00163855">
        <w:rPr>
          <w:rFonts w:hint="eastAsia"/>
          <w:lang w:val="zh-CN"/>
        </w:rPr>
        <w:t xml:space="preserve"> </w:t>
      </w:r>
      <w:r>
        <w:rPr>
          <w:lang w:val="zh-CN"/>
        </w:rPr>
        <w:t>因此，总共只有</w:t>
      </w:r>
      <w:r>
        <w:rPr>
          <w:lang w:val="zh-CN"/>
        </w:rPr>
        <w:t>12</w:t>
      </w:r>
      <w:r>
        <w:rPr>
          <w:lang w:val="zh-CN"/>
        </w:rPr>
        <w:t>名陪审员能够考虑并作出裁决。</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4.3</w:t>
      </w:r>
      <w:r>
        <w:rPr>
          <w:lang w:val="zh-CN"/>
        </w:rPr>
        <w:tab/>
      </w:r>
      <w:r>
        <w:rPr>
          <w:lang w:val="zh-CN"/>
        </w:rPr>
        <w:t>缔约国辩称，总检察长部在免除提交人陪审员义务方面没有采取以一概全的做法，而是考虑了她的个人情况，并询问了她的援助要求。根据提交人提供的资料，主管得出结论认为，根据《陪审团法》第</w:t>
      </w:r>
      <w:r>
        <w:rPr>
          <w:lang w:val="zh-CN"/>
        </w:rPr>
        <w:t>34G</w:t>
      </w:r>
      <w:r>
        <w:rPr>
          <w:lang w:val="zh-CN"/>
        </w:rPr>
        <w:t>条第</w:t>
      </w:r>
      <w:r>
        <w:rPr>
          <w:lang w:val="zh-CN"/>
        </w:rPr>
        <w:t>2</w:t>
      </w:r>
      <w:r>
        <w:rPr>
          <w:lang w:val="zh-CN"/>
        </w:rPr>
        <w:t>款，她不能有效地担任陪审员。</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4.4</w:t>
      </w:r>
      <w:r>
        <w:rPr>
          <w:lang w:val="zh-CN"/>
        </w:rPr>
        <w:tab/>
      </w:r>
      <w:r>
        <w:rPr>
          <w:lang w:val="zh-CN"/>
        </w:rPr>
        <w:t>缔约国还指出，提交人根据《公约》第十二条提出的申诉因</w:t>
      </w:r>
      <w:r w:rsidRPr="00254DC0">
        <w:rPr>
          <w:rFonts w:eastAsia="楷体" w:hint="eastAsia"/>
          <w:lang w:val="zh-CN"/>
        </w:rPr>
        <w:t>属事理由</w:t>
      </w:r>
      <w:r>
        <w:rPr>
          <w:lang w:val="zh-CN"/>
        </w:rPr>
        <w:t>不可受理，因为陪审员义务并不是法律能力的表现形式。《公约》第十二条没有确立新的权利；而是说明了缔约国必须考虑的具体因素，以确保残疾人在法律面前与其他人平等的权利。</w:t>
      </w:r>
      <w:r w:rsidRPr="00686ADD">
        <w:rPr>
          <w:rStyle w:val="a8"/>
          <w:rFonts w:eastAsia="宋体"/>
          <w:lang w:val="zh-CN"/>
        </w:rPr>
        <w:footnoteReference w:id="10"/>
      </w:r>
      <w:r w:rsidR="00163855">
        <w:rPr>
          <w:rFonts w:hint="eastAsia"/>
          <w:lang w:val="zh-CN"/>
        </w:rPr>
        <w:t xml:space="preserve"> </w:t>
      </w:r>
      <w:r>
        <w:rPr>
          <w:lang w:val="zh-CN"/>
        </w:rPr>
        <w:t>这一立场得到《公约》准备工作文件的支持。</w:t>
      </w:r>
      <w:r w:rsidRPr="00686ADD">
        <w:rPr>
          <w:rStyle w:val="a8"/>
          <w:rFonts w:eastAsia="宋体"/>
          <w:lang w:val="zh-CN"/>
        </w:rPr>
        <w:footnoteReference w:id="11"/>
      </w:r>
      <w:r w:rsidR="00163855">
        <w:rPr>
          <w:rFonts w:hint="eastAsia"/>
          <w:lang w:val="zh-CN"/>
        </w:rPr>
        <w:t xml:space="preserve"> </w:t>
      </w:r>
      <w:r>
        <w:rPr>
          <w:lang w:val="zh-CN"/>
        </w:rPr>
        <w:t>缔约国还指出，</w:t>
      </w:r>
      <w:r w:rsidR="004E59A8">
        <w:rPr>
          <w:rFonts w:hint="eastAsia"/>
        </w:rPr>
        <w:t>“</w:t>
      </w:r>
      <w:r>
        <w:rPr>
          <w:lang w:val="zh-CN"/>
        </w:rPr>
        <w:t>法律能力</w:t>
      </w:r>
      <w:r w:rsidR="004E59A8">
        <w:rPr>
          <w:rFonts w:hint="eastAsia"/>
        </w:rPr>
        <w:t>”</w:t>
      </w:r>
      <w:r>
        <w:rPr>
          <w:lang w:val="zh-CN"/>
        </w:rPr>
        <w:t>一词有明确的范围和含义。法律能力包括依法拥有权利和行使权利的能力：权利持有者的法律能力使个人得到法律制度对其权利的充分保护，法律行为者的法律能力确认个人能够进行交易及确立、变更或终止法律关系。</w:t>
      </w:r>
      <w:r w:rsidRPr="00686ADD">
        <w:rPr>
          <w:rStyle w:val="a8"/>
          <w:rFonts w:eastAsia="宋体"/>
          <w:lang w:val="zh-CN"/>
        </w:rPr>
        <w:footnoteReference w:id="12"/>
      </w:r>
      <w:r w:rsidR="00163855">
        <w:rPr>
          <w:rFonts w:hint="eastAsia"/>
          <w:lang w:val="zh-CN"/>
        </w:rPr>
        <w:t xml:space="preserve"> </w:t>
      </w:r>
      <w:r>
        <w:rPr>
          <w:lang w:val="zh-CN"/>
        </w:rPr>
        <w:t>这一概念还可被解释为一个人持有权利并且作为法人在法律面前得到承认的法律地位，以及就这些权利行事并且行为得到法律承认的法律权利的行使。</w:t>
      </w:r>
      <w:r w:rsidRPr="00686ADD">
        <w:rPr>
          <w:rStyle w:val="a8"/>
          <w:rFonts w:eastAsia="宋体"/>
          <w:lang w:val="zh-CN"/>
        </w:rPr>
        <w:footnoteReference w:id="13"/>
      </w:r>
      <w:r w:rsidR="00163855">
        <w:rPr>
          <w:rFonts w:hint="eastAsia"/>
          <w:lang w:val="zh-CN"/>
        </w:rPr>
        <w:t xml:space="preserve"> </w:t>
      </w:r>
      <w:r>
        <w:rPr>
          <w:lang w:val="zh-CN"/>
        </w:rPr>
        <w:t>因此，第十二条涉及列举法律人格要素，而不是列举司法程序事务的要素。虽然提交人没有具体提出第十二条第五款，但其内容表明，第十二条规定的法律能力的范围主要侧重于</w:t>
      </w:r>
      <w:r>
        <w:rPr>
          <w:rFonts w:hint="eastAsia"/>
          <w:lang w:val="zh-CN"/>
        </w:rPr>
        <w:t>财务</w:t>
      </w:r>
      <w:r>
        <w:rPr>
          <w:lang w:val="zh-CN"/>
        </w:rPr>
        <w:t>和经济事务。</w:t>
      </w:r>
      <w:r w:rsidRPr="00686ADD">
        <w:rPr>
          <w:rStyle w:val="a8"/>
          <w:rFonts w:eastAsia="宋体"/>
          <w:lang w:val="zh-CN"/>
        </w:rPr>
        <w:footnoteReference w:id="14"/>
      </w:r>
      <w:r w:rsidR="00163855">
        <w:rPr>
          <w:rFonts w:hint="eastAsia"/>
          <w:lang w:val="zh-CN"/>
        </w:rPr>
        <w:t xml:space="preserve"> </w:t>
      </w:r>
      <w:r>
        <w:rPr>
          <w:lang w:val="zh-CN"/>
        </w:rPr>
        <w:t>因此，缔约国称，没有证据表明主管的决定与提交人的法律能力有关。因此，缔约国认为，履行陪审员义务不属于《公约》第十二条的范围，提交人在这方面的申诉应不予受理。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4.5</w:t>
      </w:r>
      <w:r>
        <w:rPr>
          <w:lang w:val="zh-CN"/>
        </w:rPr>
        <w:tab/>
      </w:r>
      <w:r>
        <w:rPr>
          <w:rFonts w:hint="eastAsia"/>
          <w:lang w:val="zh-CN"/>
        </w:rPr>
        <w:t>另外</w:t>
      </w:r>
      <w:r>
        <w:rPr>
          <w:lang w:val="zh-CN"/>
        </w:rPr>
        <w:t>，缔约国声称，提交人根据《公约》第十二条提出的指控明显没有根据且缺乏充分证据。缔约国回顾称，一项</w:t>
      </w:r>
      <w:r w:rsidR="004E59A8">
        <w:rPr>
          <w:rFonts w:hint="eastAsia"/>
        </w:rPr>
        <w:t>“</w:t>
      </w:r>
      <w:r>
        <w:rPr>
          <w:lang w:val="zh-CN"/>
        </w:rPr>
        <w:t>诉求</w:t>
      </w:r>
      <w:r w:rsidR="004E59A8">
        <w:rPr>
          <w:rFonts w:hint="eastAsia"/>
        </w:rPr>
        <w:t>”</w:t>
      </w:r>
      <w:r>
        <w:rPr>
          <w:lang w:val="zh-CN"/>
        </w:rPr>
        <w:t>不只是简单的指控，而且是有一定材料作证的指控。</w:t>
      </w:r>
      <w:r w:rsidRPr="00686ADD">
        <w:rPr>
          <w:rStyle w:val="a8"/>
          <w:rFonts w:eastAsia="宋体"/>
          <w:lang w:val="zh-CN"/>
        </w:rPr>
        <w:footnoteReference w:id="15"/>
      </w:r>
      <w:r w:rsidR="006101B5">
        <w:rPr>
          <w:rFonts w:hint="eastAsia"/>
          <w:lang w:val="zh-CN"/>
        </w:rPr>
        <w:t xml:space="preserve"> </w:t>
      </w:r>
      <w:r>
        <w:rPr>
          <w:lang w:val="zh-CN"/>
        </w:rPr>
        <w:t>缔约国指出，主管从未对提交人的法律能力提出质疑。他作出决定时，考虑的是对被告进行公平审判的压倒一切的必要性，包括对陪审团审议保密。此外，主管向提交人告知关于免除其陪审员义务的决定时，他</w:t>
      </w:r>
      <w:r>
        <w:rPr>
          <w:rFonts w:hint="eastAsia"/>
          <w:lang w:val="zh-CN"/>
        </w:rPr>
        <w:t>表示：</w:t>
      </w:r>
      <w:r w:rsidR="005C5129">
        <w:rPr>
          <w:rFonts w:hint="eastAsia"/>
        </w:rPr>
        <w:t>“</w:t>
      </w:r>
      <w:r>
        <w:rPr>
          <w:lang w:val="zh-CN"/>
        </w:rPr>
        <w:t>不幸的是，法院无法提供必要的手段，使您能够有效地担任陪审员</w:t>
      </w:r>
      <w:r w:rsidR="005C5129">
        <w:rPr>
          <w:rFonts w:hint="eastAsia"/>
        </w:rPr>
        <w:t>”</w:t>
      </w:r>
      <w:r>
        <w:rPr>
          <w:lang w:val="zh-CN"/>
        </w:rPr>
        <w:t>。提交人没有提供任何证据证实她根据《公约》第十二条提出的申诉，因此，根据《任择议定书》第二条第</w:t>
      </w:r>
      <w:r>
        <w:rPr>
          <w:lang w:val="zh-CN"/>
        </w:rPr>
        <w:t>(</w:t>
      </w:r>
      <w:r>
        <w:rPr>
          <w:lang w:val="zh-CN"/>
        </w:rPr>
        <w:t>五</w:t>
      </w:r>
      <w:r>
        <w:rPr>
          <w:lang w:val="zh-CN"/>
        </w:rPr>
        <w:t>)</w:t>
      </w:r>
      <w:r>
        <w:rPr>
          <w:lang w:val="zh-CN"/>
        </w:rPr>
        <w:t>项，这些申诉应被视为不可受理。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4.6</w:t>
      </w:r>
      <w:r>
        <w:rPr>
          <w:lang w:val="zh-CN"/>
        </w:rPr>
        <w:tab/>
      </w:r>
      <w:r>
        <w:rPr>
          <w:lang w:val="zh-CN"/>
        </w:rPr>
        <w:t>缔约国认为，相关国内法对需要译员的人规定了合法的差别待遇，因此根据《公约》第五条第二款，这种待遇不具有歧视性。缔约国承认，第五条禁止直接和间接歧视，</w:t>
      </w:r>
      <w:r w:rsidRPr="00686ADD">
        <w:rPr>
          <w:rStyle w:val="a8"/>
          <w:rFonts w:eastAsia="宋体"/>
          <w:lang w:val="zh-CN"/>
        </w:rPr>
        <w:footnoteReference w:id="16"/>
      </w:r>
      <w:r w:rsidR="00994524">
        <w:rPr>
          <w:rFonts w:hint="eastAsia"/>
          <w:lang w:val="zh-CN"/>
        </w:rPr>
        <w:t xml:space="preserve"> </w:t>
      </w:r>
      <w:r>
        <w:rPr>
          <w:lang w:val="zh-CN"/>
        </w:rPr>
        <w:t>并注意到《公约》没有规定任何新的权利，而是澄清了现有的权利，以确保残疾人能够切实有效地行使这些权利。</w:t>
      </w:r>
      <w:r w:rsidRPr="00686ADD">
        <w:rPr>
          <w:rStyle w:val="a8"/>
          <w:rFonts w:eastAsia="宋体"/>
          <w:lang w:val="zh-CN"/>
        </w:rPr>
        <w:footnoteReference w:id="17"/>
      </w:r>
      <w:r w:rsidR="00994524">
        <w:rPr>
          <w:rFonts w:hint="eastAsia"/>
          <w:lang w:val="zh-CN"/>
        </w:rPr>
        <w:t xml:space="preserve"> </w:t>
      </w:r>
      <w:r>
        <w:rPr>
          <w:lang w:val="zh-CN"/>
        </w:rPr>
        <w:t>这一立场得到《公约》序言中提到的其他核心国际人权条约的支持。因此，对《公约》第五条的解读应符合国际法中的既定方式，即合法的差别待遇不构成歧视。虽然缔约国有法律义务采取步骤尊重、保护、促进和实现核心国际人权条约规定的不受歧视的权利，但这不应被理解为要求在任何情况下对所有人一视同仁。</w:t>
      </w:r>
      <w:r w:rsidRPr="00686ADD">
        <w:rPr>
          <w:rStyle w:val="a8"/>
          <w:rFonts w:eastAsia="宋体"/>
          <w:lang w:val="zh-CN"/>
        </w:rPr>
        <w:footnoteReference w:id="18"/>
      </w:r>
      <w:r w:rsidR="00994524">
        <w:rPr>
          <w:rFonts w:hint="eastAsia"/>
          <w:lang w:val="zh-CN"/>
        </w:rPr>
        <w:t xml:space="preserve"> </w:t>
      </w:r>
      <w:r>
        <w:rPr>
          <w:lang w:val="zh-CN"/>
        </w:rPr>
        <w:t>相反，不歧视</w:t>
      </w:r>
      <w:r>
        <w:rPr>
          <w:rFonts w:hint="eastAsia"/>
          <w:lang w:val="zh-CN"/>
        </w:rPr>
        <w:t>方面</w:t>
      </w:r>
      <w:r>
        <w:rPr>
          <w:lang w:val="zh-CN"/>
        </w:rPr>
        <w:t>的国际法保护实质性平等，而不仅仅是形式上的平等。</w:t>
      </w:r>
      <w:r w:rsidRPr="00686ADD">
        <w:rPr>
          <w:rStyle w:val="a8"/>
          <w:rFonts w:eastAsia="宋体"/>
          <w:lang w:val="zh-CN"/>
        </w:rPr>
        <w:footnoteReference w:id="19"/>
      </w:r>
      <w:r w:rsidR="00994524">
        <w:rPr>
          <w:rFonts w:hint="eastAsia"/>
          <w:lang w:val="zh-CN"/>
        </w:rPr>
        <w:t xml:space="preserve"> </w:t>
      </w:r>
      <w:r>
        <w:rPr>
          <w:lang w:val="zh-CN"/>
        </w:rPr>
        <w:t>缔约国辩称，《陪审团法》的规定构成对所有需要另一人协助以理解法律诉讼程序的人的合法差别待遇，旨在确保对被告进行公平审判的合法目的。它认为，这种差别待遇是合理和相称的，因为西澳大利亚州的法律和实践尽可能</w:t>
      </w:r>
      <w:r>
        <w:rPr>
          <w:rFonts w:hint="eastAsia"/>
          <w:lang w:val="zh-CN"/>
        </w:rPr>
        <w:t>便利</w:t>
      </w:r>
      <w:r>
        <w:rPr>
          <w:lang w:val="zh-CN"/>
        </w:rPr>
        <w:t>听力障碍者履行陪审员义务。这种限制仅限于以下情况：一个人的残疾状况使其无法有效担任陪审员，法院也无法提供必要的手段使其能够有效担任陪审员。</w:t>
      </w:r>
      <w:r w:rsidRPr="00686ADD">
        <w:rPr>
          <w:rStyle w:val="a8"/>
          <w:rFonts w:eastAsia="宋体"/>
          <w:lang w:val="zh-CN"/>
        </w:rPr>
        <w:footnoteReference w:id="20"/>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4.7</w:t>
      </w:r>
      <w:r>
        <w:rPr>
          <w:lang w:val="zh-CN"/>
        </w:rPr>
        <w:tab/>
      </w:r>
      <w:r>
        <w:rPr>
          <w:lang w:val="zh-CN"/>
        </w:rPr>
        <w:t>此外，缔约国辩称，根据《公约》第五条第三款，提供澳大利亚手语译员不能被视为合理便利。缔约国回顾了《公约》第二条中对合理便利的定义，并认为缔约国在评估便利措施的合理性和相称性时享有一定的裁量余地。</w:t>
      </w:r>
      <w:r w:rsidRPr="00686ADD">
        <w:rPr>
          <w:rStyle w:val="a8"/>
          <w:rFonts w:eastAsia="宋体"/>
          <w:lang w:val="zh-CN"/>
        </w:rPr>
        <w:footnoteReference w:id="21"/>
      </w:r>
      <w:r w:rsidR="00994524">
        <w:rPr>
          <w:rFonts w:hint="eastAsia"/>
          <w:lang w:val="zh-CN"/>
        </w:rPr>
        <w:t xml:space="preserve"> </w:t>
      </w:r>
      <w:r>
        <w:rPr>
          <w:lang w:val="zh-CN"/>
        </w:rPr>
        <w:t>在这方面，缔约国指出，</w:t>
      </w:r>
      <w:r w:rsidR="005C5129">
        <w:rPr>
          <w:rFonts w:hint="eastAsia"/>
        </w:rPr>
        <w:t>“</w:t>
      </w:r>
      <w:r>
        <w:rPr>
          <w:lang w:val="zh-CN"/>
        </w:rPr>
        <w:t>有效担任</w:t>
      </w:r>
      <w:r w:rsidR="005C5129">
        <w:rPr>
          <w:rFonts w:hint="eastAsia"/>
        </w:rPr>
        <w:t>”</w:t>
      </w:r>
      <w:r>
        <w:rPr>
          <w:lang w:val="zh-CN"/>
        </w:rPr>
        <w:t>一词应根据其自然和普通含义来解释，包括个人的以下能力</w:t>
      </w:r>
      <w:r w:rsidR="00994524">
        <w:rPr>
          <w:rFonts w:hint="eastAsia"/>
          <w:lang w:val="zh-CN"/>
        </w:rPr>
        <w:t>：</w:t>
      </w:r>
      <w:r>
        <w:rPr>
          <w:lang w:val="zh-CN"/>
        </w:rPr>
        <w:t>(a)</w:t>
      </w:r>
      <w:r w:rsidR="00994524">
        <w:rPr>
          <w:lang w:val="zh-CN"/>
        </w:rPr>
        <w:t xml:space="preserve"> </w:t>
      </w:r>
      <w:r>
        <w:rPr>
          <w:rFonts w:hint="eastAsia"/>
          <w:lang w:val="zh-CN"/>
        </w:rPr>
        <w:t>理解</w:t>
      </w:r>
      <w:r>
        <w:rPr>
          <w:lang w:val="zh-CN"/>
        </w:rPr>
        <w:t>当事方和法院的证据和陈述；</w:t>
      </w:r>
      <w:r>
        <w:rPr>
          <w:lang w:val="zh-CN"/>
        </w:rPr>
        <w:t>(b)</w:t>
      </w:r>
      <w:r w:rsidR="00994524">
        <w:rPr>
          <w:lang w:val="zh-CN"/>
        </w:rPr>
        <w:t xml:space="preserve"> </w:t>
      </w:r>
      <w:r>
        <w:rPr>
          <w:lang w:val="zh-CN"/>
        </w:rPr>
        <w:t>评估证人的可靠性；以及</w:t>
      </w:r>
      <w:r>
        <w:rPr>
          <w:lang w:val="zh-CN"/>
        </w:rPr>
        <w:t>(c)</w:t>
      </w:r>
      <w:r w:rsidR="00994524">
        <w:rPr>
          <w:lang w:val="zh-CN"/>
        </w:rPr>
        <w:t xml:space="preserve"> </w:t>
      </w:r>
      <w:r>
        <w:rPr>
          <w:lang w:val="zh-CN"/>
        </w:rPr>
        <w:t>在审议期间与陪审团的其他成员沟通。这必须根据具体情况来确定。如果需要译员，这将对审判的成本、复杂性和持续时间产生重大影响，同时也会干扰陪审团审议的保密性。</w:t>
      </w:r>
      <w:r w:rsidRPr="00686ADD">
        <w:rPr>
          <w:rStyle w:val="a8"/>
          <w:rFonts w:eastAsia="宋体"/>
          <w:lang w:val="zh-CN"/>
        </w:rPr>
        <w:footnoteReference w:id="22"/>
      </w:r>
      <w:r w:rsidR="00994524">
        <w:rPr>
          <w:rFonts w:hint="eastAsia"/>
          <w:lang w:val="zh-CN"/>
        </w:rPr>
        <w:t xml:space="preserve"> </w:t>
      </w:r>
      <w:r>
        <w:rPr>
          <w:lang w:val="zh-CN"/>
        </w:rPr>
        <w:t>为陪审员提供澳大利亚手语译员可能不可行，因为案件可能会有非语言音频证据，译员很难传达这些证据，或者案件审判过程可能会持续数周，无法获得所需的译员人数。缔约国提到新南威尔士州大学开展的一项</w:t>
      </w:r>
      <w:r>
        <w:rPr>
          <w:rFonts w:hint="eastAsia"/>
          <w:lang w:val="zh-CN"/>
        </w:rPr>
        <w:t>为期</w:t>
      </w:r>
      <w:r>
        <w:rPr>
          <w:lang w:val="zh-CN"/>
        </w:rPr>
        <w:t>三年的研究，研究的是聋人作为陪审员参与澳大利亚法律体系的情况。这项研究</w:t>
      </w:r>
      <w:r>
        <w:rPr>
          <w:rFonts w:hint="eastAsia"/>
          <w:lang w:val="zh-CN"/>
        </w:rPr>
        <w:t>包括在</w:t>
      </w:r>
      <w:r>
        <w:rPr>
          <w:lang w:val="zh-CN"/>
        </w:rPr>
        <w:t>美国</w:t>
      </w:r>
      <w:r>
        <w:rPr>
          <w:rFonts w:hint="eastAsia"/>
          <w:lang w:val="zh-CN"/>
        </w:rPr>
        <w:t>进行</w:t>
      </w:r>
      <w:r>
        <w:rPr>
          <w:lang w:val="zh-CN"/>
        </w:rPr>
        <w:t>的</w:t>
      </w:r>
      <w:r>
        <w:rPr>
          <w:rFonts w:hint="eastAsia"/>
          <w:lang w:val="zh-CN"/>
        </w:rPr>
        <w:t>一项</w:t>
      </w:r>
      <w:r>
        <w:rPr>
          <w:lang w:val="zh-CN"/>
        </w:rPr>
        <w:t>人种学研究和</w:t>
      </w:r>
      <w:r>
        <w:rPr>
          <w:rFonts w:hint="eastAsia"/>
          <w:lang w:val="zh-CN"/>
        </w:rPr>
        <w:t>在</w:t>
      </w:r>
      <w:r>
        <w:rPr>
          <w:lang w:val="zh-CN"/>
        </w:rPr>
        <w:t>澳大利亚</w:t>
      </w:r>
      <w:r>
        <w:rPr>
          <w:rFonts w:hint="eastAsia"/>
          <w:lang w:val="zh-CN"/>
        </w:rPr>
        <w:t>开展</w:t>
      </w:r>
      <w:r>
        <w:rPr>
          <w:lang w:val="zh-CN"/>
        </w:rPr>
        <w:t>的</w:t>
      </w:r>
      <w:r>
        <w:rPr>
          <w:rFonts w:hint="eastAsia"/>
          <w:lang w:val="zh-CN"/>
        </w:rPr>
        <w:t>一次</w:t>
      </w:r>
      <w:r>
        <w:rPr>
          <w:lang w:val="zh-CN"/>
        </w:rPr>
        <w:t>模拟审判。该研究的初步结果指出，通常每月有一名聋人陪审员参与陪审团遴选过程，聘请译员需要很</w:t>
      </w:r>
      <w:r>
        <w:rPr>
          <w:rFonts w:hint="eastAsia"/>
          <w:lang w:val="zh-CN"/>
        </w:rPr>
        <w:t>高</w:t>
      </w:r>
      <w:r>
        <w:rPr>
          <w:lang w:val="zh-CN"/>
        </w:rPr>
        <w:t>的成本</w:t>
      </w:r>
      <w:r>
        <w:rPr>
          <w:lang w:val="zh-CN"/>
        </w:rPr>
        <w:t>(</w:t>
      </w:r>
      <w:r>
        <w:rPr>
          <w:lang w:val="zh-CN"/>
        </w:rPr>
        <w:t>每年约</w:t>
      </w:r>
      <w:r>
        <w:rPr>
          <w:lang w:val="zh-CN"/>
        </w:rPr>
        <w:t>300,000</w:t>
      </w:r>
      <w:r>
        <w:rPr>
          <w:lang w:val="zh-CN"/>
        </w:rPr>
        <w:t>美元，包括美国手语翻译</w:t>
      </w:r>
      <w:r>
        <w:rPr>
          <w:lang w:val="zh-CN"/>
        </w:rPr>
        <w:t>100,000</w:t>
      </w:r>
      <w:r>
        <w:rPr>
          <w:lang w:val="zh-CN"/>
        </w:rPr>
        <w:t>美元</w:t>
      </w:r>
      <w:r>
        <w:rPr>
          <w:lang w:val="zh-CN"/>
        </w:rPr>
        <w:t>)</w:t>
      </w:r>
      <w:r>
        <w:rPr>
          <w:lang w:val="zh-CN"/>
        </w:rPr>
        <w:t>。</w:t>
      </w:r>
      <w:r w:rsidRPr="00686ADD">
        <w:rPr>
          <w:rStyle w:val="a8"/>
          <w:rFonts w:eastAsia="宋体"/>
          <w:lang w:val="zh-CN"/>
        </w:rPr>
        <w:footnoteReference w:id="23"/>
      </w:r>
      <w:r w:rsidR="00994524">
        <w:rPr>
          <w:rFonts w:hint="eastAsia"/>
          <w:lang w:val="zh-CN"/>
        </w:rPr>
        <w:t xml:space="preserve"> </w:t>
      </w:r>
      <w:r>
        <w:rPr>
          <w:lang w:val="zh-CN"/>
        </w:rPr>
        <w:t>该研究还</w:t>
      </w:r>
      <w:r>
        <w:rPr>
          <w:rFonts w:hint="eastAsia"/>
          <w:lang w:val="zh-CN"/>
        </w:rPr>
        <w:t>发现，</w:t>
      </w:r>
      <w:r>
        <w:rPr>
          <w:lang w:val="zh-CN"/>
        </w:rPr>
        <w:t>需要进行大量审前准备工作，例如需要商定律师和译员</w:t>
      </w:r>
      <w:r>
        <w:rPr>
          <w:rFonts w:hint="eastAsia"/>
          <w:lang w:val="zh-CN"/>
        </w:rPr>
        <w:t>使用的</w:t>
      </w:r>
      <w:r>
        <w:rPr>
          <w:lang w:val="zh-CN"/>
        </w:rPr>
        <w:t>技术性</w:t>
      </w:r>
      <w:r>
        <w:rPr>
          <w:rFonts w:hint="eastAsia"/>
          <w:lang w:val="zh-CN"/>
        </w:rPr>
        <w:t>措辞的译法</w:t>
      </w:r>
      <w:r>
        <w:rPr>
          <w:lang w:val="zh-CN"/>
        </w:rPr>
        <w:t>，并向法官、陪审团和律师提供培训。</w:t>
      </w:r>
      <w:r w:rsidRPr="00686ADD">
        <w:rPr>
          <w:rStyle w:val="a8"/>
          <w:rFonts w:eastAsia="宋体"/>
          <w:lang w:val="zh-CN"/>
        </w:rPr>
        <w:footnoteReference w:id="24"/>
      </w:r>
      <w:r w:rsidR="00715FC3">
        <w:rPr>
          <w:rFonts w:hint="eastAsia"/>
          <w:lang w:val="zh-CN"/>
        </w:rPr>
        <w:t xml:space="preserve"> </w:t>
      </w:r>
      <w:r>
        <w:rPr>
          <w:lang w:val="zh-CN"/>
        </w:rPr>
        <w:t>此外，该研究指出，</w:t>
      </w:r>
      <w:r w:rsidR="00FA5AF6">
        <w:rPr>
          <w:rFonts w:hint="eastAsia"/>
        </w:rPr>
        <w:t>“</w:t>
      </w:r>
      <w:r>
        <w:rPr>
          <w:lang w:val="zh-CN"/>
        </w:rPr>
        <w:t>译员和聋人受访者也同意不应授予聋人担任陪审员的全权许可，因为他们只是比较适合参与某些审判</w:t>
      </w:r>
      <w:r w:rsidR="00FA5AF6">
        <w:rPr>
          <w:rFonts w:hint="eastAsia"/>
        </w:rPr>
        <w:t>”</w:t>
      </w:r>
      <w:r>
        <w:rPr>
          <w:lang w:val="zh-CN"/>
        </w:rPr>
        <w:t>。</w:t>
      </w:r>
      <w:r w:rsidRPr="00686ADD">
        <w:rPr>
          <w:rStyle w:val="a8"/>
          <w:rFonts w:eastAsia="宋体"/>
          <w:lang w:val="zh-CN"/>
        </w:rPr>
        <w:footnoteReference w:id="25"/>
      </w:r>
      <w:r w:rsidR="00715FC3">
        <w:rPr>
          <w:rFonts w:hint="eastAsia"/>
          <w:lang w:val="zh-CN"/>
        </w:rPr>
        <w:t xml:space="preserve"> </w:t>
      </w:r>
      <w:r>
        <w:rPr>
          <w:lang w:val="zh-CN"/>
        </w:rPr>
        <w:t>缔约国认为，根据西澳大利亚州的政策和法律，通过法庭中的听力回路装置提供了《公约》第五条第三款所述的合理便利。缔约国再次强调，提供公平审判是刑事诉讼中压倒一切的必要性，这一基本权利必须优先于潜在陪审员的权利。因此，缔约国认为，提交人根据第五条提出的申诉是没有根据的。</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4.8</w:t>
      </w:r>
      <w:r>
        <w:rPr>
          <w:lang w:val="zh-CN"/>
        </w:rPr>
        <w:tab/>
      </w:r>
      <w:r>
        <w:rPr>
          <w:lang w:val="zh-CN"/>
        </w:rPr>
        <w:t>如果委员会认为陪审团义务属于《公约》第十二条的预期范围，</w:t>
      </w:r>
      <w:r>
        <w:rPr>
          <w:rFonts w:hint="eastAsia"/>
          <w:lang w:val="zh-CN"/>
        </w:rPr>
        <w:t>则</w:t>
      </w:r>
      <w:r>
        <w:rPr>
          <w:lang w:val="zh-CN"/>
        </w:rPr>
        <w:t>缔约国认为，提供澳大利亚手语译员不在第十二条第三款要求的行动范围之内。缔约国回顾称，第十二条要求缔约国采取</w:t>
      </w:r>
      <w:r w:rsidR="00FA5AF6">
        <w:rPr>
          <w:rFonts w:hint="eastAsia"/>
        </w:rPr>
        <w:t>“</w:t>
      </w:r>
      <w:r>
        <w:rPr>
          <w:lang w:val="zh-CN"/>
        </w:rPr>
        <w:t>适当措施</w:t>
      </w:r>
      <w:r w:rsidR="00FA5AF6">
        <w:rPr>
          <w:rFonts w:hint="eastAsia"/>
        </w:rPr>
        <w:t>”</w:t>
      </w:r>
      <w:r>
        <w:rPr>
          <w:lang w:val="zh-CN"/>
        </w:rPr>
        <w:t>，但不是所有措施。委员会的意见和《公约》的准备工作文件表明，鉴于资源的限制，缔约国应尽可能提供援助，援助也必须是相称的，以确保残疾人能够尽可能自行作出决定。缔约国承认，只要提供便利的成本或效率不令人望而却步，并且不影响陪审团审议的保密性，当局就会采取相关措施，例如使用听力回路装置。在本案中，缔约国考虑了提交人的需求，但得出结论认为，鉴于确保公正审判的压倒一切的必要性，提供澳大利亚手语译员不是一项</w:t>
      </w:r>
      <w:r w:rsidR="00FA5AF6">
        <w:rPr>
          <w:rFonts w:hint="eastAsia"/>
        </w:rPr>
        <w:t>“</w:t>
      </w:r>
      <w:r>
        <w:rPr>
          <w:lang w:val="zh-CN"/>
        </w:rPr>
        <w:t>适当的措施</w:t>
      </w:r>
      <w:r w:rsidR="00FA5AF6">
        <w:rPr>
          <w:rFonts w:hint="eastAsia"/>
        </w:rPr>
        <w:t>”</w:t>
      </w:r>
      <w:r>
        <w:rPr>
          <w:lang w:val="zh-CN"/>
        </w:rPr>
        <w:t>。因此，提交人根据第十二条提出的申诉没有根据。</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4.9</w:t>
      </w:r>
      <w:r>
        <w:rPr>
          <w:lang w:val="zh-CN"/>
        </w:rPr>
        <w:tab/>
      </w:r>
      <w:r>
        <w:rPr>
          <w:lang w:val="zh-CN"/>
        </w:rPr>
        <w:t>缔约国还指出，《公约》第二十一条没有涉及案件的事实，鉴于陪审团义务不构成第二十一条第</w:t>
      </w:r>
      <w:r>
        <w:rPr>
          <w:lang w:val="zh-CN"/>
        </w:rPr>
        <w:t>(</w:t>
      </w:r>
      <w:r>
        <w:rPr>
          <w:lang w:val="zh-CN"/>
        </w:rPr>
        <w:t>二</w:t>
      </w:r>
      <w:r>
        <w:rPr>
          <w:lang w:val="zh-CN"/>
        </w:rPr>
        <w:t>)</w:t>
      </w:r>
      <w:r>
        <w:rPr>
          <w:lang w:val="zh-CN"/>
        </w:rPr>
        <w:t>项中的正式事务，该条没有赋予提交人</w:t>
      </w:r>
      <w:r>
        <w:rPr>
          <w:rFonts w:hint="eastAsia"/>
          <w:lang w:val="zh-CN"/>
        </w:rPr>
        <w:t>担任</w:t>
      </w:r>
      <w:r>
        <w:rPr>
          <w:lang w:val="zh-CN"/>
        </w:rPr>
        <w:t>陪审团</w:t>
      </w:r>
      <w:r>
        <w:rPr>
          <w:rFonts w:hint="eastAsia"/>
          <w:lang w:val="zh-CN"/>
        </w:rPr>
        <w:t>成员</w:t>
      </w:r>
      <w:r>
        <w:rPr>
          <w:lang w:val="zh-CN"/>
        </w:rPr>
        <w:t>的权利。缔约国认同，根据第二条，澳大利亚手语是一种交流形式，属于第二十一条的范围。但是，</w:t>
      </w:r>
      <w:r w:rsidR="00FA5AF6">
        <w:rPr>
          <w:rFonts w:hint="eastAsia"/>
        </w:rPr>
        <w:t>“</w:t>
      </w:r>
      <w:r>
        <w:rPr>
          <w:lang w:val="zh-CN"/>
        </w:rPr>
        <w:t>允许和便利</w:t>
      </w:r>
      <w:r w:rsidR="00FA5AF6">
        <w:rPr>
          <w:rFonts w:hint="eastAsia"/>
        </w:rPr>
        <w:t>”</w:t>
      </w:r>
      <w:r>
        <w:rPr>
          <w:lang w:val="zh-CN"/>
        </w:rPr>
        <w:t>的义务涉及缔约国利用残疾人可用的通信手段、方式和模式提供信息，目的是解决公共当局不接受这些方式和手段的问题。准备工作文件以及第二十一条第</w:t>
      </w:r>
      <w:r>
        <w:rPr>
          <w:lang w:val="zh-CN"/>
        </w:rPr>
        <w:t>(</w:t>
      </w:r>
      <w:r>
        <w:rPr>
          <w:lang w:val="zh-CN"/>
        </w:rPr>
        <w:t>三</w:t>
      </w:r>
      <w:r>
        <w:rPr>
          <w:lang w:val="zh-CN"/>
        </w:rPr>
        <w:t>)</w:t>
      </w:r>
      <w:r>
        <w:rPr>
          <w:lang w:val="zh-CN"/>
        </w:rPr>
        <w:t>和第</w:t>
      </w:r>
      <w:r>
        <w:rPr>
          <w:lang w:val="zh-CN"/>
        </w:rPr>
        <w:t>(</w:t>
      </w:r>
      <w:r>
        <w:rPr>
          <w:lang w:val="zh-CN"/>
        </w:rPr>
        <w:t>四</w:t>
      </w:r>
      <w:r>
        <w:rPr>
          <w:lang w:val="zh-CN"/>
        </w:rPr>
        <w:t>)</w:t>
      </w:r>
      <w:r>
        <w:rPr>
          <w:lang w:val="zh-CN"/>
        </w:rPr>
        <w:t>项的内容也支持这一立场。此外，</w:t>
      </w:r>
      <w:r w:rsidR="00FA5AF6">
        <w:rPr>
          <w:rFonts w:hint="eastAsia"/>
        </w:rPr>
        <w:t>“</w:t>
      </w:r>
      <w:r>
        <w:rPr>
          <w:lang w:val="zh-CN"/>
        </w:rPr>
        <w:t>正式事务</w:t>
      </w:r>
      <w:r w:rsidR="00FA5AF6">
        <w:rPr>
          <w:rFonts w:hint="eastAsia"/>
        </w:rPr>
        <w:t>”</w:t>
      </w:r>
      <w:r>
        <w:rPr>
          <w:lang w:val="zh-CN"/>
        </w:rPr>
        <w:t>一词是指缔约国向公众提供的信息和文件的可获取性。在谈判的某一阶段，</w:t>
      </w:r>
      <w:r w:rsidR="00FA5AF6">
        <w:rPr>
          <w:rFonts w:hint="eastAsia"/>
        </w:rPr>
        <w:t>“</w:t>
      </w:r>
      <w:r>
        <w:rPr>
          <w:lang w:val="zh-CN"/>
        </w:rPr>
        <w:t>正式事务</w:t>
      </w:r>
      <w:r w:rsidR="00FA5AF6">
        <w:rPr>
          <w:rFonts w:hint="eastAsia"/>
        </w:rPr>
        <w:t>”</w:t>
      </w:r>
      <w:r>
        <w:rPr>
          <w:lang w:val="zh-CN"/>
        </w:rPr>
        <w:t>一词是指与官方行为体</w:t>
      </w:r>
      <w:r>
        <w:rPr>
          <w:rFonts w:hint="eastAsia"/>
          <w:lang w:val="zh-CN"/>
        </w:rPr>
        <w:t>打交道</w:t>
      </w:r>
      <w:r>
        <w:rPr>
          <w:lang w:val="zh-CN"/>
        </w:rPr>
        <w:t>或互动，例如与政府官员会面或通信，以及在法庭上提供口译。缔约国认为，即使第二十一条包含了在法庭提供口译的义务，相应的义务也将仅限于正式出庭的个人，不会延伸到陪审团。至于第二十一条第</w:t>
      </w:r>
      <w:r>
        <w:rPr>
          <w:lang w:val="zh-CN"/>
        </w:rPr>
        <w:t>(</w:t>
      </w:r>
      <w:r>
        <w:rPr>
          <w:lang w:val="zh-CN"/>
        </w:rPr>
        <w:t>二</w:t>
      </w:r>
      <w:r>
        <w:rPr>
          <w:lang w:val="zh-CN"/>
        </w:rPr>
        <w:t>)</w:t>
      </w:r>
      <w:r>
        <w:rPr>
          <w:lang w:val="zh-CN"/>
        </w:rPr>
        <w:t>项下的义务，缔约国认为，必须根据缔约国的资源限制情况来履行这项义务。准备工作文件表明，</w:t>
      </w:r>
      <w:r w:rsidR="00FA5AF6">
        <w:rPr>
          <w:rFonts w:hint="eastAsia"/>
        </w:rPr>
        <w:t>“</w:t>
      </w:r>
      <w:r>
        <w:rPr>
          <w:lang w:val="zh-CN"/>
        </w:rPr>
        <w:t>适当措施</w:t>
      </w:r>
      <w:r w:rsidR="00FA5AF6">
        <w:rPr>
          <w:rFonts w:hint="eastAsia"/>
        </w:rPr>
        <w:t>”</w:t>
      </w:r>
      <w:r>
        <w:rPr>
          <w:lang w:val="zh-CN"/>
        </w:rPr>
        <w:t>一词是对缔约国义务的限定，因此第二十一条第</w:t>
      </w:r>
      <w:r>
        <w:rPr>
          <w:lang w:val="zh-CN"/>
        </w:rPr>
        <w:t>(</w:t>
      </w:r>
      <w:r>
        <w:rPr>
          <w:lang w:val="zh-CN"/>
        </w:rPr>
        <w:t>二</w:t>
      </w:r>
      <w:r>
        <w:rPr>
          <w:lang w:val="zh-CN"/>
        </w:rPr>
        <w:t>)</w:t>
      </w:r>
      <w:r>
        <w:rPr>
          <w:lang w:val="zh-CN"/>
        </w:rPr>
        <w:t>项并不产生绝对义务。</w:t>
      </w:r>
      <w:r w:rsidRPr="00686ADD">
        <w:rPr>
          <w:rStyle w:val="a8"/>
          <w:rFonts w:eastAsia="宋体"/>
          <w:lang w:val="zh-CN"/>
        </w:rPr>
        <w:footnoteReference w:id="26"/>
      </w:r>
      <w:r w:rsidR="00715FC3">
        <w:rPr>
          <w:rFonts w:hint="eastAsia"/>
          <w:lang w:val="zh-CN"/>
        </w:rPr>
        <w:t xml:space="preserve"> </w:t>
      </w:r>
      <w:r>
        <w:rPr>
          <w:lang w:val="zh-CN"/>
        </w:rPr>
        <w:t>缔约国认为，西澳大利亚州通过在法庭提供听力回路装置达到了这一标准，因此提交人根据第二十一条提出的申诉没有根据。</w:t>
      </w:r>
    </w:p>
    <w:p w:rsidR="0030512A" w:rsidRPr="004B361B" w:rsidRDefault="0030512A" w:rsidP="00872863">
      <w:pPr>
        <w:pStyle w:val="H23GC"/>
      </w:pPr>
      <w:r>
        <w:rPr>
          <w:lang w:val="zh-CN"/>
        </w:rPr>
        <w:tab/>
      </w:r>
      <w:r>
        <w:rPr>
          <w:lang w:val="zh-CN"/>
        </w:rPr>
        <w:tab/>
      </w:r>
      <w:r>
        <w:rPr>
          <w:lang w:val="zh-CN"/>
        </w:rPr>
        <w:t>提交人对缔约国关于可否受理和案情的意见的评论</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5.1</w:t>
      </w:r>
      <w:r>
        <w:rPr>
          <w:lang w:val="zh-CN"/>
        </w:rPr>
        <w:tab/>
        <w:t>2016</w:t>
      </w:r>
      <w:r>
        <w:rPr>
          <w:lang w:val="zh-CN"/>
        </w:rPr>
        <w:t>年</w:t>
      </w:r>
      <w:r>
        <w:rPr>
          <w:lang w:val="zh-CN"/>
        </w:rPr>
        <w:t>12</w:t>
      </w:r>
      <w:r>
        <w:rPr>
          <w:lang w:val="zh-CN"/>
        </w:rPr>
        <w:t>月</w:t>
      </w:r>
      <w:r>
        <w:rPr>
          <w:lang w:val="zh-CN"/>
        </w:rPr>
        <w:t>19</w:t>
      </w:r>
      <w:r>
        <w:rPr>
          <w:lang w:val="zh-CN"/>
        </w:rPr>
        <w:t>日，提交人重申了她在首次提交的材料中的论点，但没有对缔约国的意见作出进一步评论。</w:t>
      </w:r>
    </w:p>
    <w:p w:rsidR="0030512A" w:rsidRPr="004B361B" w:rsidRDefault="0030512A" w:rsidP="00872863">
      <w:pPr>
        <w:pStyle w:val="H1GC"/>
      </w:pPr>
      <w:r w:rsidRPr="004B361B">
        <w:tab/>
      </w:r>
      <w:r>
        <w:rPr>
          <w:lang w:val="zh-CN"/>
        </w:rPr>
        <w:t xml:space="preserve">B. </w:t>
      </w:r>
      <w:r>
        <w:rPr>
          <w:lang w:val="zh-CN"/>
        </w:rPr>
        <w:tab/>
      </w:r>
      <w:r>
        <w:rPr>
          <w:lang w:val="zh-CN"/>
        </w:rPr>
        <w:t>委员会审议可否受理和案情</w:t>
      </w:r>
    </w:p>
    <w:p w:rsidR="0030512A" w:rsidRPr="004B361B" w:rsidRDefault="0030512A" w:rsidP="00872863">
      <w:pPr>
        <w:pStyle w:val="H23GC"/>
      </w:pPr>
      <w:r>
        <w:rPr>
          <w:lang w:val="zh-CN"/>
        </w:rPr>
        <w:tab/>
      </w:r>
      <w:r>
        <w:rPr>
          <w:lang w:val="zh-CN"/>
        </w:rPr>
        <w:tab/>
      </w:r>
      <w:r>
        <w:rPr>
          <w:lang w:val="zh-CN"/>
        </w:rPr>
        <w:t>审议可否受理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6.1</w:t>
      </w:r>
      <w:r>
        <w:rPr>
          <w:lang w:val="zh-CN"/>
        </w:rPr>
        <w:tab/>
      </w:r>
      <w:r>
        <w:rPr>
          <w:lang w:val="zh-CN"/>
        </w:rPr>
        <w:t>在审议来文所载的任何申诉之前，委员会必须根据《任择议定书》第二条和委员会议事规则第</w:t>
      </w:r>
      <w:r>
        <w:rPr>
          <w:lang w:val="zh-CN"/>
        </w:rPr>
        <w:t>65</w:t>
      </w:r>
      <w:r>
        <w:rPr>
          <w:lang w:val="zh-CN"/>
        </w:rPr>
        <w:t>条，决定来文是否符合《任择议定书》规定的受理条件。</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6.2</w:t>
      </w:r>
      <w:r>
        <w:rPr>
          <w:lang w:val="zh-CN"/>
        </w:rPr>
        <w:tab/>
      </w:r>
      <w:r>
        <w:rPr>
          <w:lang w:val="zh-CN"/>
        </w:rPr>
        <w:t>委员会已按照《任择议定书》第二条第</w:t>
      </w:r>
      <w:r>
        <w:rPr>
          <w:lang w:val="zh-CN"/>
        </w:rPr>
        <w:t>(</w:t>
      </w:r>
      <w:r>
        <w:rPr>
          <w:lang w:val="zh-CN"/>
        </w:rPr>
        <w:t>三</w:t>
      </w:r>
      <w:r>
        <w:rPr>
          <w:lang w:val="zh-CN"/>
        </w:rPr>
        <w:t>)</w:t>
      </w:r>
      <w:r>
        <w:rPr>
          <w:lang w:val="zh-CN"/>
        </w:rPr>
        <w:t>项的规定，确定同一事项未经委员会审查，过去和现在均未受到另一国际调查程序或解决办法的审查。</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6.3</w:t>
      </w:r>
      <w:r>
        <w:rPr>
          <w:lang w:val="zh-CN"/>
        </w:rPr>
        <w:tab/>
      </w:r>
      <w:r>
        <w:rPr>
          <w:lang w:val="zh-CN"/>
        </w:rPr>
        <w:t>关于提交人根据《公约》第十二条提出的申诉，委员会注意到，缔约国认为，基于</w:t>
      </w:r>
      <w:r w:rsidRPr="00CC59E1">
        <w:rPr>
          <w:rFonts w:hint="eastAsia"/>
        </w:rPr>
        <w:t>属事理由</w:t>
      </w:r>
      <w:r w:rsidRPr="00CC59E1">
        <w:t>，这些</w:t>
      </w:r>
      <w:r>
        <w:rPr>
          <w:lang w:val="zh-CN"/>
        </w:rPr>
        <w:t>申诉不可受理，因为陪审团义务并不是法律能力的表现形式。委员会回顾其关于在法律面前获得平等承认的第</w:t>
      </w:r>
      <w:r>
        <w:rPr>
          <w:lang w:val="zh-CN"/>
        </w:rPr>
        <w:t>1</w:t>
      </w:r>
      <w:r>
        <w:rPr>
          <w:lang w:val="zh-CN"/>
        </w:rPr>
        <w:t>号一般性意见</w:t>
      </w:r>
      <w:r>
        <w:rPr>
          <w:lang w:val="zh-CN"/>
        </w:rPr>
        <w:t>(2014</w:t>
      </w:r>
      <w:r>
        <w:rPr>
          <w:lang w:val="zh-CN"/>
        </w:rPr>
        <w:t>年</w:t>
      </w:r>
      <w:r>
        <w:rPr>
          <w:lang w:val="zh-CN"/>
        </w:rPr>
        <w:t>)</w:t>
      </w:r>
      <w:r>
        <w:rPr>
          <w:lang w:val="zh-CN"/>
        </w:rPr>
        <w:t>，根据该意见，法律能力包括依法拥有权利和行使权利的能力：权利持有者的法律能力使个人得到法律制度对其权利的充分保护，法律行为者的法律能力确认个人能够进行交易及确立、变更或终止法律关系。</w:t>
      </w:r>
      <w:r w:rsidRPr="00686ADD">
        <w:rPr>
          <w:rStyle w:val="a8"/>
          <w:rFonts w:eastAsia="宋体"/>
          <w:lang w:val="zh-CN"/>
        </w:rPr>
        <w:footnoteReference w:id="27"/>
      </w:r>
      <w:r w:rsidR="00872863">
        <w:rPr>
          <w:rFonts w:hint="eastAsia"/>
          <w:lang w:val="zh-CN"/>
        </w:rPr>
        <w:t xml:space="preserve"> </w:t>
      </w:r>
      <w:r>
        <w:rPr>
          <w:lang w:val="zh-CN"/>
        </w:rPr>
        <w:t>在本案中，委员会注意到提交人声称，主管拒绝向她提供澳大利亚手语译员，侵犯了她根据第十二条享有与其他人平等的法律能力的权利。委员会还注意到，主管向提交人明确解释说，当局不认为聋人陪审员是司法的负担，缔约国从未质疑提交人履行陪审员义务的法律能力。</w:t>
      </w:r>
      <w:r w:rsidRPr="00686ADD">
        <w:rPr>
          <w:rStyle w:val="a8"/>
          <w:rFonts w:eastAsia="宋体"/>
          <w:lang w:val="zh-CN"/>
        </w:rPr>
        <w:footnoteReference w:id="28"/>
      </w:r>
      <w:r w:rsidR="00CB4106">
        <w:rPr>
          <w:rFonts w:hint="eastAsia"/>
          <w:lang w:val="zh-CN"/>
        </w:rPr>
        <w:t xml:space="preserve"> </w:t>
      </w:r>
      <w:r>
        <w:rPr>
          <w:lang w:val="zh-CN"/>
        </w:rPr>
        <w:t>因此，委员会得出结论认为，根据《任择议定书》第二条第</w:t>
      </w:r>
      <w:r>
        <w:rPr>
          <w:lang w:val="zh-CN"/>
        </w:rPr>
        <w:t>(</w:t>
      </w:r>
      <w:r>
        <w:rPr>
          <w:lang w:val="zh-CN"/>
        </w:rPr>
        <w:t>二</w:t>
      </w:r>
      <w:r>
        <w:rPr>
          <w:lang w:val="zh-CN"/>
        </w:rPr>
        <w:t>)</w:t>
      </w:r>
      <w:r>
        <w:rPr>
          <w:lang w:val="zh-CN"/>
        </w:rPr>
        <w:t>项，提交人的申诉不可受理。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6.4</w:t>
      </w:r>
      <w:r>
        <w:rPr>
          <w:lang w:val="zh-CN"/>
        </w:rPr>
        <w:tab/>
      </w:r>
      <w:r>
        <w:rPr>
          <w:lang w:val="zh-CN"/>
        </w:rPr>
        <w:t>委员会还注意到，缔约国对提交人根据《公约》第五和第二十一条所提出申诉的可受理性没有提出反对意见。因此，委员会宣布该来文的这些部分可予以受理，并着手审议案情。</w:t>
      </w:r>
    </w:p>
    <w:p w:rsidR="0030512A" w:rsidRPr="004B361B" w:rsidRDefault="0030512A" w:rsidP="00872863">
      <w:pPr>
        <w:pStyle w:val="H23GC"/>
      </w:pPr>
      <w:r>
        <w:rPr>
          <w:lang w:val="zh-CN"/>
        </w:rPr>
        <w:tab/>
      </w:r>
      <w:r>
        <w:rPr>
          <w:lang w:val="zh-CN"/>
        </w:rPr>
        <w:tab/>
      </w:r>
      <w:r>
        <w:rPr>
          <w:lang w:val="zh-CN"/>
        </w:rPr>
        <w:t>审议案情</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7.1</w:t>
      </w:r>
      <w:r>
        <w:rPr>
          <w:lang w:val="zh-CN"/>
        </w:rPr>
        <w:tab/>
      </w:r>
      <w:r>
        <w:rPr>
          <w:lang w:val="zh-CN"/>
        </w:rPr>
        <w:t>委员会根据《任择议定书》第五条和议事规则第</w:t>
      </w:r>
      <w:r>
        <w:rPr>
          <w:lang w:val="zh-CN"/>
        </w:rPr>
        <w:t>73</w:t>
      </w:r>
      <w:r>
        <w:rPr>
          <w:lang w:val="zh-CN"/>
        </w:rPr>
        <w:t>条第</w:t>
      </w:r>
      <w:r>
        <w:rPr>
          <w:lang w:val="zh-CN"/>
        </w:rPr>
        <w:t>1</w:t>
      </w:r>
      <w:r>
        <w:rPr>
          <w:lang w:val="zh-CN"/>
        </w:rPr>
        <w:t>款，参照各方提交的所有资料审议了</w:t>
      </w:r>
      <w:r>
        <w:rPr>
          <w:rFonts w:hint="eastAsia"/>
          <w:lang w:val="zh-CN"/>
        </w:rPr>
        <w:t>本</w:t>
      </w:r>
      <w:r>
        <w:rPr>
          <w:lang w:val="zh-CN"/>
        </w:rPr>
        <w:t>案。</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7.2</w:t>
      </w:r>
      <w:r>
        <w:rPr>
          <w:lang w:val="zh-CN"/>
        </w:rPr>
        <w:tab/>
      </w:r>
      <w:r>
        <w:rPr>
          <w:lang w:val="zh-CN"/>
        </w:rPr>
        <w:t>委员会注意到提交人声称缔约国违反了《公约》第五条第二和第三款，因为缔约国拒绝向她提供澳大利亚手语译员，没有为她履行陪审员义务提供合理便利，导致基于其听力障碍的歧视。委员会还注意到缔约国的陈述</w:t>
      </w:r>
      <w:r w:rsidR="00CB4106">
        <w:rPr>
          <w:rFonts w:hint="eastAsia"/>
          <w:lang w:val="zh-CN"/>
        </w:rPr>
        <w:t>：</w:t>
      </w:r>
      <w:r>
        <w:rPr>
          <w:lang w:val="zh-CN"/>
        </w:rPr>
        <w:t>(a)</w:t>
      </w:r>
      <w:r w:rsidR="00CB4106">
        <w:rPr>
          <w:lang w:val="zh-CN"/>
        </w:rPr>
        <w:t xml:space="preserve"> </w:t>
      </w:r>
      <w:r>
        <w:rPr>
          <w:lang w:val="zh-CN"/>
        </w:rPr>
        <w:t>不存在侵犯提交人根据第五条享有的权利，因为相关的国内法没有歧视性，《陪审团法》规定的差别待遇是合法的；</w:t>
      </w:r>
      <w:r>
        <w:rPr>
          <w:lang w:val="zh-CN"/>
        </w:rPr>
        <w:t>(b)</w:t>
      </w:r>
      <w:r w:rsidR="00CB4106">
        <w:rPr>
          <w:lang w:val="zh-CN"/>
        </w:rPr>
        <w:t xml:space="preserve"> </w:t>
      </w:r>
      <w:r>
        <w:rPr>
          <w:lang w:val="zh-CN"/>
        </w:rPr>
        <w:t>在本案的情况下，提供澳大利亚手语译员使提交人能够履行陪审员义务不是合理便利。</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7.3</w:t>
      </w:r>
      <w:r>
        <w:rPr>
          <w:lang w:val="zh-CN"/>
        </w:rPr>
        <w:tab/>
      </w:r>
      <w:r>
        <w:rPr>
          <w:lang w:val="zh-CN"/>
        </w:rPr>
        <w:t>《公约》第二条对基于残疾的歧视的定义明确指出</w:t>
      </w:r>
      <w:r w:rsidR="00A55F5E">
        <w:rPr>
          <w:rFonts w:hint="eastAsia"/>
        </w:rPr>
        <w:t>“</w:t>
      </w:r>
      <w:r>
        <w:rPr>
          <w:lang w:val="zh-CN"/>
        </w:rPr>
        <w:t>包括一切形式的歧视，包括拒绝提供合理便利</w:t>
      </w:r>
      <w:r w:rsidR="00A55F5E">
        <w:rPr>
          <w:rFonts w:hint="eastAsia"/>
        </w:rPr>
        <w:t>”</w:t>
      </w:r>
      <w:r>
        <w:rPr>
          <w:lang w:val="zh-CN"/>
        </w:rPr>
        <w:t>。在本案中，提交人被珀斯总检察长部传唤，参加地区法院的陪审团服务。委员会注意到，提交人告知总检察长部，她愿意履行陪审员义务，但她需要一名澳大利亚手语译员。当陪审团服务主管询问她是否需要澳大利亚手语译员或合适的助听器时，提交人回复称她没有佩戴任何技术设备，并确认她需要一名澳大利亚手语译员。主管随后通知提交人，鉴于《陪审团法》的要求和对被告进行公平审判的压倒一切的必要性，包括对陪审团的审议保密，法院无法向提交人提供澳大利亚手语译员。因此，根据国内立法，因她不能有效担任陪审员，她被免除陪审员义务。在这方面，委员会回顾，歧视可由于一项规则或措施的歧视性效果而产生，虽然该规则或措施表面上是不偏倚的或并无歧视意图，但却对残疾人产生过度影响。</w:t>
      </w:r>
      <w:r w:rsidRPr="00686ADD">
        <w:rPr>
          <w:rStyle w:val="a8"/>
          <w:rFonts w:eastAsia="宋体"/>
          <w:lang w:val="zh-CN"/>
        </w:rPr>
        <w:footnoteReference w:id="29"/>
      </w:r>
      <w:r w:rsidR="00F0702A">
        <w:rPr>
          <w:rFonts w:hint="eastAsia"/>
          <w:lang w:val="zh-CN"/>
        </w:rPr>
        <w:t xml:space="preserve"> </w:t>
      </w:r>
      <w:r>
        <w:rPr>
          <w:lang w:val="zh-CN"/>
        </w:rPr>
        <w:t>根据第五条第二款，缔约国必须禁止基于残疾的一切歧视，并保证残疾人得到平等和有效的法律保护，免遭基于一切理由的歧视；根据第五条第三款，缔约国必须采取一切适当步骤，确保提供合理便利，以促进平等和消除歧视。</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7.4</w:t>
      </w:r>
      <w:r>
        <w:rPr>
          <w:lang w:val="zh-CN"/>
        </w:rPr>
        <w:tab/>
      </w:r>
      <w:r>
        <w:rPr>
          <w:lang w:val="zh-CN"/>
        </w:rPr>
        <w:t>在这方面，委员会进一步回顾，根据《公约》第二条，</w:t>
      </w:r>
      <w:r w:rsidR="00F0702A">
        <w:rPr>
          <w:rFonts w:hint="eastAsia"/>
        </w:rPr>
        <w:t>“</w:t>
      </w:r>
      <w:r>
        <w:rPr>
          <w:lang w:val="zh-CN"/>
        </w:rPr>
        <w:t>合理便利</w:t>
      </w:r>
      <w:r w:rsidR="00F0702A">
        <w:rPr>
          <w:rFonts w:hint="eastAsia"/>
        </w:rPr>
        <w:t>”</w:t>
      </w:r>
      <w:r>
        <w:rPr>
          <w:lang w:val="zh-CN"/>
        </w:rPr>
        <w:t>是指根据具体需要，在不造成过度或不当负担的情况下，进行必要和适当的修改和调整，以确保残疾人在与其他人平等的基础上享有或行使一切人权和基本自由。</w:t>
      </w:r>
      <w:r w:rsidRPr="00686ADD">
        <w:rPr>
          <w:rStyle w:val="a8"/>
          <w:rFonts w:eastAsia="宋体"/>
          <w:lang w:val="zh-CN"/>
        </w:rPr>
        <w:footnoteReference w:id="30"/>
      </w:r>
      <w:r w:rsidR="00F0702A">
        <w:rPr>
          <w:rFonts w:hint="eastAsia"/>
          <w:lang w:val="zh-CN"/>
        </w:rPr>
        <w:t xml:space="preserve"> </w:t>
      </w:r>
      <w:r w:rsidRPr="00F0702A">
        <w:rPr>
          <w:spacing w:val="-4"/>
          <w:lang w:val="zh-CN"/>
        </w:rPr>
        <w:t>委员会认为，在评估便利措施是否合理和适度时，缔约国享有一定</w:t>
      </w:r>
      <w:r>
        <w:rPr>
          <w:lang w:val="zh-CN"/>
        </w:rPr>
        <w:t>的裁量余地。</w:t>
      </w:r>
      <w:r w:rsidRPr="00686ADD">
        <w:rPr>
          <w:rStyle w:val="a8"/>
          <w:rFonts w:eastAsia="宋体"/>
          <w:lang w:val="zh-CN"/>
        </w:rPr>
        <w:footnoteReference w:id="31"/>
      </w:r>
      <w:r w:rsidR="00F0702A">
        <w:rPr>
          <w:rFonts w:hint="eastAsia"/>
          <w:lang w:val="zh-CN"/>
        </w:rPr>
        <w:t xml:space="preserve"> </w:t>
      </w:r>
      <w:r>
        <w:rPr>
          <w:lang w:val="zh-CN"/>
        </w:rPr>
        <w:t>然而，缔约国法院必须确保全面客观地进行评估，涵盖所有相关因素，然后才能得出结论认为，支持和适应措施将构成过度或不当的负担。</w:t>
      </w:r>
      <w:r w:rsidRPr="00686ADD">
        <w:rPr>
          <w:rStyle w:val="a8"/>
          <w:rFonts w:eastAsia="宋体"/>
          <w:lang w:val="zh-CN"/>
        </w:rPr>
        <w:footnoteReference w:id="32"/>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7.5</w:t>
      </w:r>
      <w:r>
        <w:rPr>
          <w:lang w:val="zh-CN"/>
        </w:rPr>
        <w:tab/>
      </w:r>
      <w:r>
        <w:rPr>
          <w:lang w:val="zh-CN"/>
        </w:rPr>
        <w:t>在本案中，委员会注意到，缔约国为听力障碍者提供的调整无法使提交人在与其他人平等的基础上参加陪审团。在这方面，委员会注意到缔约国的论点，即根据其政策和法律，通过法庭上的听力回路装置为听力障碍者提供了合理便利。但是，委员会认为，这种便利无法使提交人在担任陪审员期间获得完整的通信。委员会还注意到缔约国的论点，即使用澳大利亚手语译员会影响审判的成本、复杂性和持续时间。委员会还注意到，缔约国向委员会提供了聘请译员的估算费用</w:t>
      </w:r>
      <w:r>
        <w:rPr>
          <w:lang w:val="zh-CN"/>
        </w:rPr>
        <w:t>(</w:t>
      </w:r>
      <w:r>
        <w:rPr>
          <w:lang w:val="zh-CN"/>
        </w:rPr>
        <w:t>每年约</w:t>
      </w:r>
      <w:r>
        <w:rPr>
          <w:lang w:val="zh-CN"/>
        </w:rPr>
        <w:t>300,000</w:t>
      </w:r>
      <w:r>
        <w:rPr>
          <w:lang w:val="zh-CN"/>
        </w:rPr>
        <w:t>美元，包括美国手语译员</w:t>
      </w:r>
      <w:r>
        <w:rPr>
          <w:lang w:val="zh-CN"/>
        </w:rPr>
        <w:t>100,000</w:t>
      </w:r>
      <w:r>
        <w:rPr>
          <w:lang w:val="zh-CN"/>
        </w:rPr>
        <w:t>美元</w:t>
      </w:r>
      <w:r>
        <w:rPr>
          <w:lang w:val="zh-CN"/>
        </w:rPr>
        <w:t>)</w:t>
      </w:r>
      <w:r>
        <w:rPr>
          <w:lang w:val="zh-CN"/>
        </w:rPr>
        <w:t>，这是正在进行的一项关于聋人陪审员的研究的初步结果。</w:t>
      </w:r>
      <w:r w:rsidRPr="00686ADD">
        <w:rPr>
          <w:rStyle w:val="a8"/>
          <w:rFonts w:eastAsia="宋体"/>
          <w:lang w:val="zh-CN"/>
        </w:rPr>
        <w:footnoteReference w:id="33"/>
      </w:r>
      <w:r w:rsidR="00CB4106">
        <w:rPr>
          <w:rFonts w:hint="eastAsia"/>
          <w:lang w:val="zh-CN"/>
        </w:rPr>
        <w:t xml:space="preserve"> </w:t>
      </w:r>
      <w:r>
        <w:rPr>
          <w:lang w:val="zh-CN"/>
        </w:rPr>
        <w:t>尽管如此，缔约国没有提供提交人个案中此类便利的估计费用，也没有提供任何数据来证明所要求的便利措施在</w:t>
      </w:r>
      <w:r>
        <w:rPr>
          <w:rFonts w:hint="eastAsia"/>
          <w:lang w:val="zh-CN"/>
        </w:rPr>
        <w:t>本</w:t>
      </w:r>
      <w:r>
        <w:rPr>
          <w:lang w:val="zh-CN"/>
        </w:rPr>
        <w:t>案的具体情况中不相称或构成不当负担的说法。同样，缔约国也没有分析所要求的便利对提交人的</w:t>
      </w:r>
      <w:r w:rsidR="00A55F5E">
        <w:rPr>
          <w:rFonts w:hint="eastAsia"/>
        </w:rPr>
        <w:t>“</w:t>
      </w:r>
      <w:r>
        <w:rPr>
          <w:lang w:val="zh-CN"/>
        </w:rPr>
        <w:t>合理性</w:t>
      </w:r>
      <w:r w:rsidR="00A55F5E">
        <w:rPr>
          <w:rFonts w:hint="eastAsia"/>
        </w:rPr>
        <w:t>”</w:t>
      </w:r>
      <w:r>
        <w:rPr>
          <w:lang w:val="zh-CN"/>
        </w:rPr>
        <w:t>，即其相关性、适当性和有效性。</w:t>
      </w:r>
      <w:r w:rsidRPr="00686ADD">
        <w:rPr>
          <w:rStyle w:val="a8"/>
          <w:rFonts w:eastAsia="宋体"/>
          <w:lang w:val="zh-CN"/>
        </w:rPr>
        <w:footnoteReference w:id="34"/>
      </w:r>
      <w:r w:rsidR="00CB4106">
        <w:rPr>
          <w:rFonts w:hint="eastAsia"/>
          <w:lang w:val="zh-CN"/>
        </w:rPr>
        <w:t xml:space="preserve"> </w:t>
      </w:r>
      <w:r>
        <w:rPr>
          <w:lang w:val="zh-CN"/>
        </w:rPr>
        <w:t>在这方面，委员会注意到，提供澳大利亚手语译员是澳大利亚聋人在日常生活中使用的一种常见便利，</w:t>
      </w:r>
      <w:r w:rsidRPr="00686ADD">
        <w:rPr>
          <w:rStyle w:val="a8"/>
          <w:rFonts w:eastAsia="宋体"/>
          <w:lang w:val="zh-CN"/>
        </w:rPr>
        <w:footnoteReference w:id="35"/>
      </w:r>
      <w:r w:rsidR="00796655">
        <w:rPr>
          <w:rFonts w:hint="eastAsia"/>
          <w:lang w:val="zh-CN"/>
        </w:rPr>
        <w:t xml:space="preserve"> </w:t>
      </w:r>
      <w:r>
        <w:rPr>
          <w:lang w:val="zh-CN"/>
        </w:rPr>
        <w:t>提交人告知缔约国当局她有听力障碍时就说明了如何预约澳大利亚手语译员</w:t>
      </w:r>
      <w:r>
        <w:rPr>
          <w:lang w:val="zh-CN"/>
        </w:rPr>
        <w:t>(</w:t>
      </w:r>
      <w:r>
        <w:rPr>
          <w:lang w:val="zh-CN"/>
        </w:rPr>
        <w:t>见上文第</w:t>
      </w:r>
      <w:r>
        <w:rPr>
          <w:lang w:val="zh-CN"/>
        </w:rPr>
        <w:t>2.1</w:t>
      </w:r>
      <w:r>
        <w:rPr>
          <w:lang w:val="zh-CN"/>
        </w:rPr>
        <w:t>段</w:t>
      </w:r>
      <w:r>
        <w:rPr>
          <w:lang w:val="zh-CN"/>
        </w:rPr>
        <w:t>)</w:t>
      </w:r>
      <w:r>
        <w:rPr>
          <w:lang w:val="zh-CN"/>
        </w:rPr>
        <w:t>。因此，委员会认为，缔约国的论点不足以得出结论认为，向提交人提供澳大利亚手语译员将构成过度或不当负担。此外，虽然必须遵守陪审团审议的保密原则，但缔约国没有提供任何理由证明，无论作出任何调整</w:t>
      </w:r>
      <w:r w:rsidR="00F0702A">
        <w:rPr>
          <w:lang w:val="zh-CN"/>
        </w:rPr>
        <w:t>(</w:t>
      </w:r>
      <w:r>
        <w:rPr>
          <w:lang w:val="zh-CN"/>
        </w:rPr>
        <w:t>例如在法庭上作出特别宣誓</w:t>
      </w:r>
      <w:r w:rsidR="00796655">
        <w:rPr>
          <w:lang w:val="zh-CN"/>
        </w:rPr>
        <w:t>)</w:t>
      </w:r>
      <w:r>
        <w:rPr>
          <w:lang w:val="zh-CN"/>
        </w:rPr>
        <w:t>，</w:t>
      </w:r>
      <w:r>
        <w:rPr>
          <w:rFonts w:hint="eastAsia"/>
          <w:lang w:val="zh-CN"/>
        </w:rPr>
        <w:t>都</w:t>
      </w:r>
      <w:r>
        <w:rPr>
          <w:lang w:val="zh-CN"/>
        </w:rPr>
        <w:t>无法使澳大利亚手语译员在不影响陪审团审议的保密性的情况下履行职责。</w:t>
      </w:r>
      <w:r>
        <w:rPr>
          <w:rFonts w:hint="eastAsia"/>
          <w:lang w:val="zh-CN"/>
        </w:rPr>
        <w:t>根据</w:t>
      </w:r>
      <w:r>
        <w:rPr>
          <w:lang w:val="zh-CN"/>
        </w:rPr>
        <w:t>委员会收到的资料，委员会认为缔约国没有采取必要步骤确保为提交人提供合理便利，并得出结论认为，没有彻底评估澳大利亚手语翻译服务是否会构成过度或不当的负担就拒绝提供这种服务，相当于基于残疾的歧视，侵犯了提交人根据《公约》第五条第二和第三款享有的权利。</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7.6</w:t>
      </w:r>
      <w:r>
        <w:rPr>
          <w:lang w:val="zh-CN"/>
        </w:rPr>
        <w:tab/>
      </w:r>
      <w:r>
        <w:rPr>
          <w:lang w:val="zh-CN"/>
        </w:rPr>
        <w:t>关于提交人声称缔约国未能向她提供澳大利亚手语译员以确保她能够行使意见和表达自由权，从而违反了第二十一条规定的义务，委员会注意到缔约国的论点，即这一条款没有涉及案件的事实，鉴于陪审团义务不构成第二十一条第</w:t>
      </w:r>
      <w:r>
        <w:rPr>
          <w:lang w:val="zh-CN"/>
        </w:rPr>
        <w:t>(</w:t>
      </w:r>
      <w:r>
        <w:rPr>
          <w:lang w:val="zh-CN"/>
        </w:rPr>
        <w:t>二</w:t>
      </w:r>
      <w:r>
        <w:rPr>
          <w:lang w:val="zh-CN"/>
        </w:rPr>
        <w:t>)</w:t>
      </w:r>
      <w:r>
        <w:rPr>
          <w:lang w:val="zh-CN"/>
        </w:rPr>
        <w:t>项中的正式事务，该条没有赋予提交人</w:t>
      </w:r>
      <w:r>
        <w:rPr>
          <w:rFonts w:hint="eastAsia"/>
          <w:lang w:val="zh-CN"/>
        </w:rPr>
        <w:t>担任</w:t>
      </w:r>
      <w:r>
        <w:rPr>
          <w:lang w:val="zh-CN"/>
        </w:rPr>
        <w:t>陪审团</w:t>
      </w:r>
      <w:r>
        <w:rPr>
          <w:rFonts w:hint="eastAsia"/>
          <w:lang w:val="zh-CN"/>
        </w:rPr>
        <w:t>成员</w:t>
      </w:r>
      <w:r>
        <w:rPr>
          <w:lang w:val="zh-CN"/>
        </w:rPr>
        <w:t>的权利。</w:t>
      </w:r>
    </w:p>
    <w:p w:rsidR="0030512A" w:rsidRPr="004B361B" w:rsidRDefault="0030512A" w:rsidP="004A7575">
      <w:pPr>
        <w:pStyle w:val="SingleTxtGC"/>
        <w:tabs>
          <w:tab w:val="clear" w:pos="431"/>
          <w:tab w:val="clear" w:pos="1134"/>
          <w:tab w:val="clear" w:pos="1565"/>
          <w:tab w:val="clear" w:pos="1996"/>
          <w:tab w:val="clear" w:pos="2427"/>
          <w:tab w:val="left" w:pos="1701"/>
        </w:tabs>
      </w:pPr>
      <w:r>
        <w:rPr>
          <w:lang w:val="zh-CN"/>
        </w:rPr>
        <w:t>7.7</w:t>
      </w:r>
      <w:r>
        <w:rPr>
          <w:lang w:val="zh-CN"/>
        </w:rPr>
        <w:tab/>
      </w:r>
      <w:r>
        <w:rPr>
          <w:lang w:val="zh-CN"/>
        </w:rPr>
        <w:t>在这方面，委员会回顾，根据《公约》第二十一条第</w:t>
      </w:r>
      <w:r>
        <w:rPr>
          <w:lang w:val="zh-CN"/>
        </w:rPr>
        <w:t>(</w:t>
      </w:r>
      <w:r>
        <w:rPr>
          <w:lang w:val="zh-CN"/>
        </w:rPr>
        <w:t>二</w:t>
      </w:r>
      <w:r>
        <w:rPr>
          <w:lang w:val="zh-CN"/>
        </w:rPr>
        <w:t>)</w:t>
      </w:r>
      <w:r>
        <w:rPr>
          <w:lang w:val="zh-CN"/>
        </w:rPr>
        <w:t>项，缔约国应当采取一切适当措施，确保残疾人能够行使意见和表达自由权，包括在与其他人平等的基础上，通过一切交流形式，寻求、接受、传递信息和思想的自由，在正式事务中允许和便利使用残疾人选用的一切无障碍交流手段、方式和模式。此外，《公约》第二十一条第</w:t>
      </w:r>
      <w:r>
        <w:rPr>
          <w:lang w:val="zh-CN"/>
        </w:rPr>
        <w:t>(</w:t>
      </w:r>
      <w:r>
        <w:rPr>
          <w:lang w:val="zh-CN"/>
        </w:rPr>
        <w:t>五</w:t>
      </w:r>
      <w:r>
        <w:rPr>
          <w:lang w:val="zh-CN"/>
        </w:rPr>
        <w:t>)</w:t>
      </w:r>
      <w:r>
        <w:rPr>
          <w:lang w:val="zh-CN"/>
        </w:rPr>
        <w:t>项规定，此类适当措施包括承认和促进手语的使用。委员会还回顾，根据《公约》第二条，</w:t>
      </w:r>
      <w:r w:rsidR="004E59A8">
        <w:rPr>
          <w:rFonts w:hint="eastAsia"/>
        </w:rPr>
        <w:t>“</w:t>
      </w:r>
      <w:r>
        <w:rPr>
          <w:lang w:val="zh-CN"/>
        </w:rPr>
        <w:t>交流</w:t>
      </w:r>
      <w:r w:rsidR="004E59A8">
        <w:rPr>
          <w:rFonts w:hint="eastAsia"/>
        </w:rPr>
        <w:t>”</w:t>
      </w:r>
      <w:r>
        <w:rPr>
          <w:lang w:val="zh-CN"/>
        </w:rPr>
        <w:t>包括语言和替代性交流方式、手段和模式，显然包括澳大利亚手语翻译。</w:t>
      </w:r>
      <w:r w:rsidRPr="00686ADD">
        <w:rPr>
          <w:rStyle w:val="a8"/>
          <w:rFonts w:eastAsia="宋体"/>
          <w:lang w:val="zh-CN"/>
        </w:rPr>
        <w:footnoteReference w:id="36"/>
      </w:r>
      <w:r w:rsidR="00DF4D40">
        <w:rPr>
          <w:rFonts w:hint="eastAsia"/>
          <w:lang w:val="zh-CN"/>
        </w:rPr>
        <w:t xml:space="preserve"> </w:t>
      </w:r>
      <w:r>
        <w:rPr>
          <w:lang w:val="zh-CN"/>
        </w:rPr>
        <w:t>在这方面，委员会认为陪审员是在司法行政中与其他人</w:t>
      </w:r>
      <w:r w:rsidR="00F0702A">
        <w:rPr>
          <w:lang w:val="zh-CN"/>
        </w:rPr>
        <w:t>(</w:t>
      </w:r>
      <w:r>
        <w:rPr>
          <w:lang w:val="zh-CN"/>
        </w:rPr>
        <w:t>包括其他陪审员和司法官员</w:t>
      </w:r>
      <w:r w:rsidR="00796655">
        <w:rPr>
          <w:lang w:val="zh-CN"/>
        </w:rPr>
        <w:t>)</w:t>
      </w:r>
      <w:r>
        <w:rPr>
          <w:lang w:val="zh-CN"/>
        </w:rPr>
        <w:t>互动时负有公共责任的人，这种互动构成第二十一条意义内的</w:t>
      </w:r>
      <w:r w:rsidR="004E59A8">
        <w:rPr>
          <w:rFonts w:hint="eastAsia"/>
        </w:rPr>
        <w:t>“</w:t>
      </w:r>
      <w:r>
        <w:rPr>
          <w:lang w:val="zh-CN"/>
        </w:rPr>
        <w:t>正式事务</w:t>
      </w:r>
      <w:r w:rsidR="004E59A8">
        <w:rPr>
          <w:rFonts w:hint="eastAsia"/>
        </w:rPr>
        <w:t>”</w:t>
      </w:r>
      <w:r>
        <w:rPr>
          <w:lang w:val="zh-CN"/>
        </w:rPr>
        <w:t>。有鉴于此，委员会认为，拒绝向提交人提供她所需的交流模式，以便其履行陪审员义务从而在正式事务中表达自己的意见，</w:t>
      </w:r>
      <w:r>
        <w:rPr>
          <w:rFonts w:hint="eastAsia"/>
          <w:lang w:val="zh-CN"/>
        </w:rPr>
        <w:t>构成</w:t>
      </w:r>
      <w:r>
        <w:rPr>
          <w:lang w:val="zh-CN"/>
        </w:rPr>
        <w:t>违反《公约》第二十一条第</w:t>
      </w:r>
      <w:r>
        <w:rPr>
          <w:lang w:val="zh-CN"/>
        </w:rPr>
        <w:t>(</w:t>
      </w:r>
      <w:r>
        <w:rPr>
          <w:lang w:val="zh-CN"/>
        </w:rPr>
        <w:t>二</w:t>
      </w:r>
      <w:r>
        <w:rPr>
          <w:lang w:val="zh-CN"/>
        </w:rPr>
        <w:t>)</w:t>
      </w:r>
      <w:r>
        <w:rPr>
          <w:lang w:val="zh-CN"/>
        </w:rPr>
        <w:t>和第</w:t>
      </w:r>
      <w:r>
        <w:rPr>
          <w:lang w:val="zh-CN"/>
        </w:rPr>
        <w:t>(</w:t>
      </w:r>
      <w:r>
        <w:rPr>
          <w:lang w:val="zh-CN"/>
        </w:rPr>
        <w:t>五</w:t>
      </w:r>
      <w:r>
        <w:rPr>
          <w:lang w:val="zh-CN"/>
        </w:rPr>
        <w:t>)</w:t>
      </w:r>
      <w:r>
        <w:rPr>
          <w:lang w:val="zh-CN"/>
        </w:rPr>
        <w:t>项</w:t>
      </w:r>
      <w:r>
        <w:rPr>
          <w:rFonts w:hint="eastAsia"/>
          <w:lang w:val="zh-CN"/>
        </w:rPr>
        <w:t>的行为</w:t>
      </w:r>
      <w:r>
        <w:rPr>
          <w:lang w:val="zh-CN"/>
        </w:rPr>
        <w:t>。</w:t>
      </w:r>
    </w:p>
    <w:p w:rsidR="0030512A" w:rsidRPr="004B361B" w:rsidRDefault="0030512A" w:rsidP="00796655">
      <w:pPr>
        <w:pStyle w:val="H1GC"/>
      </w:pPr>
      <w:r w:rsidRPr="004B361B">
        <w:tab/>
      </w:r>
      <w:r>
        <w:rPr>
          <w:lang w:val="zh-CN"/>
        </w:rPr>
        <w:t>C.</w:t>
      </w:r>
      <w:r>
        <w:rPr>
          <w:lang w:val="zh-CN"/>
        </w:rPr>
        <w:tab/>
      </w:r>
      <w:r>
        <w:rPr>
          <w:lang w:val="zh-CN"/>
        </w:rPr>
        <w:t>结论和建议</w:t>
      </w:r>
    </w:p>
    <w:p w:rsidR="0030512A" w:rsidRPr="004B361B" w:rsidRDefault="0030512A" w:rsidP="00D04F98">
      <w:pPr>
        <w:pStyle w:val="SingleTxtGC"/>
        <w:tabs>
          <w:tab w:val="clear" w:pos="431"/>
          <w:tab w:val="clear" w:pos="1134"/>
          <w:tab w:val="clear" w:pos="1565"/>
          <w:tab w:val="clear" w:pos="1996"/>
          <w:tab w:val="clear" w:pos="2427"/>
          <w:tab w:val="left" w:pos="1701"/>
        </w:tabs>
      </w:pPr>
      <w:r>
        <w:rPr>
          <w:lang w:val="zh-CN"/>
        </w:rPr>
        <w:t>8.</w:t>
      </w:r>
      <w:r>
        <w:rPr>
          <w:lang w:val="zh-CN"/>
        </w:rPr>
        <w:tab/>
      </w:r>
      <w:r>
        <w:rPr>
          <w:lang w:val="zh-CN"/>
        </w:rPr>
        <w:t>委员会根据《任择议定书》第五条行事，认为缔约国未履行《公约》第五条第二和第三款以及第二十一条第</w:t>
      </w:r>
      <w:r>
        <w:rPr>
          <w:lang w:val="zh-CN"/>
        </w:rPr>
        <w:t>(</w:t>
      </w:r>
      <w:r>
        <w:rPr>
          <w:lang w:val="zh-CN"/>
        </w:rPr>
        <w:t>二</w:t>
      </w:r>
      <w:r>
        <w:rPr>
          <w:lang w:val="zh-CN"/>
        </w:rPr>
        <w:t>)</w:t>
      </w:r>
      <w:r>
        <w:rPr>
          <w:lang w:val="zh-CN"/>
        </w:rPr>
        <w:t>和第</w:t>
      </w:r>
      <w:r>
        <w:rPr>
          <w:lang w:val="zh-CN"/>
        </w:rPr>
        <w:t>(</w:t>
      </w:r>
      <w:r>
        <w:rPr>
          <w:lang w:val="zh-CN"/>
        </w:rPr>
        <w:t>五</w:t>
      </w:r>
      <w:r>
        <w:rPr>
          <w:lang w:val="zh-CN"/>
        </w:rPr>
        <w:t>)</w:t>
      </w:r>
      <w:r>
        <w:rPr>
          <w:lang w:val="zh-CN"/>
        </w:rPr>
        <w:t>项下的义务。因此，委员会向缔约国提出以下建议：</w:t>
      </w:r>
    </w:p>
    <w:p w:rsidR="0030512A" w:rsidRDefault="0030512A" w:rsidP="009E455D">
      <w:pPr>
        <w:pStyle w:val="SingleTxtGC"/>
        <w:numPr>
          <w:ilvl w:val="0"/>
          <w:numId w:val="5"/>
        </w:numPr>
        <w:tabs>
          <w:tab w:val="clear" w:pos="431"/>
          <w:tab w:val="clear" w:pos="1134"/>
          <w:tab w:val="clear" w:pos="1565"/>
          <w:tab w:val="clear" w:pos="1996"/>
          <w:tab w:val="clear" w:pos="2427"/>
          <w:tab w:val="left" w:pos="2226"/>
        </w:tabs>
        <w:ind w:left="1148" w:firstLine="553"/>
      </w:pPr>
      <w:r>
        <w:rPr>
          <w:lang w:val="zh-CN"/>
        </w:rPr>
        <w:t>关于提交人，缔约国有义务：</w:t>
      </w:r>
    </w:p>
    <w:p w:rsidR="0030512A" w:rsidRPr="003B27C9" w:rsidRDefault="0030512A" w:rsidP="009E455D">
      <w:pPr>
        <w:pStyle w:val="SingleTxtGC"/>
        <w:tabs>
          <w:tab w:val="clear" w:pos="431"/>
          <w:tab w:val="clear" w:pos="1134"/>
          <w:tab w:val="clear" w:pos="1565"/>
          <w:tab w:val="clear" w:pos="1996"/>
          <w:tab w:val="clear" w:pos="2427"/>
          <w:tab w:val="left" w:pos="2268"/>
        </w:tabs>
        <w:ind w:left="1701"/>
      </w:pPr>
      <w:r>
        <w:rPr>
          <w:lang w:val="zh-CN"/>
        </w:rPr>
        <w:t>(</w:t>
      </w:r>
      <w:r>
        <w:rPr>
          <w:rFonts w:hint="eastAsia"/>
          <w:lang w:val="zh-CN"/>
        </w:rPr>
        <w:t>一</w:t>
      </w:r>
      <w:r>
        <w:rPr>
          <w:lang w:val="zh-CN"/>
        </w:rPr>
        <w:t>)</w:t>
      </w:r>
      <w:r w:rsidR="009E455D">
        <w:rPr>
          <w:lang w:val="zh-CN"/>
        </w:rPr>
        <w:tab/>
      </w:r>
      <w:r>
        <w:rPr>
          <w:lang w:val="zh-CN"/>
        </w:rPr>
        <w:t>向</w:t>
      </w:r>
      <w:r w:rsidRPr="003B27C9">
        <w:rPr>
          <w:lang w:val="zh-CN"/>
        </w:rPr>
        <w:t>她提供有效的补救办法，包括补偿她所承担的任何法律费用和赔偿；</w:t>
      </w:r>
    </w:p>
    <w:p w:rsidR="0030512A" w:rsidRPr="004B361B" w:rsidRDefault="0030512A" w:rsidP="009E455D">
      <w:pPr>
        <w:pStyle w:val="SingleTxtGC"/>
        <w:tabs>
          <w:tab w:val="clear" w:pos="431"/>
          <w:tab w:val="clear" w:pos="1134"/>
          <w:tab w:val="clear" w:pos="1565"/>
          <w:tab w:val="clear" w:pos="1996"/>
          <w:tab w:val="clear" w:pos="2427"/>
          <w:tab w:val="left" w:pos="2268"/>
        </w:tabs>
        <w:ind w:left="1701"/>
      </w:pPr>
      <w:r>
        <w:rPr>
          <w:lang w:val="zh-CN"/>
        </w:rPr>
        <w:t>(</w:t>
      </w:r>
      <w:r>
        <w:rPr>
          <w:rFonts w:hint="eastAsia"/>
          <w:lang w:val="zh-CN"/>
        </w:rPr>
        <w:t>二</w:t>
      </w:r>
      <w:r>
        <w:rPr>
          <w:lang w:val="zh-CN"/>
        </w:rPr>
        <w:t>)</w:t>
      </w:r>
      <w:r w:rsidR="009E455D">
        <w:rPr>
          <w:lang w:val="zh-CN"/>
        </w:rPr>
        <w:tab/>
      </w:r>
      <w:r>
        <w:rPr>
          <w:lang w:val="zh-CN"/>
        </w:rPr>
        <w:t>使她能够履行陪审员义务，以澳大利亚手语翻译的形式向她提供合理便利，</w:t>
      </w:r>
      <w:r>
        <w:rPr>
          <w:rFonts w:hint="eastAsia"/>
          <w:lang w:val="zh-CN"/>
        </w:rPr>
        <w:t>并确保</w:t>
      </w:r>
      <w:r>
        <w:rPr>
          <w:lang w:val="zh-CN"/>
        </w:rPr>
        <w:t>在挑选陪审员和法庭诉讼的所有阶段尊重诉讼的保密性；</w:t>
      </w:r>
    </w:p>
    <w:p w:rsidR="0030512A" w:rsidRDefault="0030512A" w:rsidP="009E455D">
      <w:pPr>
        <w:pStyle w:val="SingleTxtGC"/>
        <w:numPr>
          <w:ilvl w:val="0"/>
          <w:numId w:val="5"/>
        </w:numPr>
        <w:tabs>
          <w:tab w:val="clear" w:pos="431"/>
          <w:tab w:val="clear" w:pos="1134"/>
          <w:tab w:val="clear" w:pos="1565"/>
          <w:tab w:val="clear" w:pos="1996"/>
          <w:tab w:val="clear" w:pos="2427"/>
          <w:tab w:val="left" w:pos="2226"/>
        </w:tabs>
        <w:ind w:left="1148" w:firstLine="553"/>
      </w:pPr>
      <w:r>
        <w:rPr>
          <w:lang w:val="zh-CN"/>
        </w:rPr>
        <w:t>总体而言，缔约国有义务采取措施防止今后发生类似的侵</w:t>
      </w:r>
      <w:r>
        <w:rPr>
          <w:rFonts w:hint="eastAsia"/>
          <w:lang w:val="zh-CN"/>
        </w:rPr>
        <w:t>犯人</w:t>
      </w:r>
      <w:r>
        <w:rPr>
          <w:lang w:val="zh-CN"/>
        </w:rPr>
        <w:t>权行为。在这方面，委员会要求缔约国：</w:t>
      </w:r>
    </w:p>
    <w:p w:rsidR="0030512A" w:rsidRDefault="0030512A" w:rsidP="003B27C9">
      <w:pPr>
        <w:pStyle w:val="SingleTxtGC"/>
        <w:tabs>
          <w:tab w:val="clear" w:pos="431"/>
          <w:tab w:val="clear" w:pos="1134"/>
          <w:tab w:val="clear" w:pos="1565"/>
          <w:tab w:val="clear" w:pos="1996"/>
          <w:tab w:val="clear" w:pos="2427"/>
          <w:tab w:val="left" w:pos="2268"/>
        </w:tabs>
        <w:ind w:left="1701"/>
      </w:pPr>
      <w:r>
        <w:rPr>
          <w:lang w:val="zh-CN"/>
        </w:rPr>
        <w:t>(</w:t>
      </w:r>
      <w:r>
        <w:rPr>
          <w:rFonts w:hint="eastAsia"/>
          <w:lang w:val="zh-CN"/>
        </w:rPr>
        <w:t>一</w:t>
      </w:r>
      <w:r>
        <w:rPr>
          <w:lang w:val="zh-CN"/>
        </w:rPr>
        <w:t>)</w:t>
      </w:r>
      <w:r w:rsidR="003B27C9">
        <w:rPr>
          <w:lang w:val="zh-CN"/>
        </w:rPr>
        <w:tab/>
      </w:r>
      <w:r>
        <w:rPr>
          <w:lang w:val="zh-CN"/>
        </w:rPr>
        <w:t>每次传唤残疾人履行陪审员义务时，确保对</w:t>
      </w:r>
      <w:r>
        <w:rPr>
          <w:rFonts w:hint="eastAsia"/>
          <w:lang w:val="zh-CN"/>
        </w:rPr>
        <w:t>其</w:t>
      </w:r>
      <w:r>
        <w:rPr>
          <w:lang w:val="zh-CN"/>
        </w:rPr>
        <w:t>调整请求进行全面、客观和综合的评估，适当地提供所有合理便利，使</w:t>
      </w:r>
      <w:r>
        <w:rPr>
          <w:rFonts w:hint="eastAsia"/>
          <w:lang w:val="zh-CN"/>
        </w:rPr>
        <w:t>其</w:t>
      </w:r>
      <w:r>
        <w:rPr>
          <w:lang w:val="zh-CN"/>
        </w:rPr>
        <w:t>能够充分参与；</w:t>
      </w:r>
    </w:p>
    <w:p w:rsidR="0030512A" w:rsidRDefault="0030512A" w:rsidP="003B27C9">
      <w:pPr>
        <w:pStyle w:val="SingleTxtGC"/>
        <w:tabs>
          <w:tab w:val="clear" w:pos="431"/>
          <w:tab w:val="clear" w:pos="1134"/>
          <w:tab w:val="clear" w:pos="1565"/>
          <w:tab w:val="clear" w:pos="1996"/>
          <w:tab w:val="clear" w:pos="2427"/>
          <w:tab w:val="left" w:pos="2268"/>
        </w:tabs>
        <w:ind w:left="1701"/>
      </w:pPr>
      <w:r>
        <w:rPr>
          <w:lang w:val="zh-CN"/>
        </w:rPr>
        <w:t>(</w:t>
      </w:r>
      <w:r>
        <w:rPr>
          <w:rFonts w:hint="eastAsia"/>
          <w:lang w:val="zh-CN"/>
        </w:rPr>
        <w:t>二</w:t>
      </w:r>
      <w:r>
        <w:rPr>
          <w:lang w:val="zh-CN"/>
        </w:rPr>
        <w:t>)</w:t>
      </w:r>
      <w:r w:rsidR="003B27C9">
        <w:rPr>
          <w:lang w:val="zh-CN"/>
        </w:rPr>
        <w:tab/>
      </w:r>
      <w:r>
        <w:rPr>
          <w:lang w:val="zh-CN"/>
        </w:rPr>
        <w:t>与残疾人及其代表性组织进行密切磋商，对有关法律、法规、政策及方案进行必要的修改；</w:t>
      </w:r>
    </w:p>
    <w:p w:rsidR="0030512A" w:rsidRPr="004B361B" w:rsidRDefault="0030512A" w:rsidP="003B27C9">
      <w:pPr>
        <w:pStyle w:val="SingleTxtGC"/>
        <w:tabs>
          <w:tab w:val="clear" w:pos="431"/>
          <w:tab w:val="clear" w:pos="1134"/>
          <w:tab w:val="clear" w:pos="1565"/>
          <w:tab w:val="clear" w:pos="1996"/>
          <w:tab w:val="clear" w:pos="2427"/>
          <w:tab w:val="left" w:pos="2268"/>
        </w:tabs>
        <w:ind w:left="1701"/>
      </w:pPr>
      <w:r>
        <w:rPr>
          <w:lang w:val="zh-CN"/>
        </w:rPr>
        <w:t>(</w:t>
      </w:r>
      <w:r>
        <w:rPr>
          <w:rFonts w:hint="eastAsia"/>
          <w:lang w:val="zh-CN"/>
        </w:rPr>
        <w:t>三</w:t>
      </w:r>
      <w:r>
        <w:rPr>
          <w:lang w:val="zh-CN"/>
        </w:rPr>
        <w:t>)</w:t>
      </w:r>
      <w:r>
        <w:rPr>
          <w:lang w:val="zh-CN"/>
        </w:rPr>
        <w:tab/>
      </w:r>
      <w:r>
        <w:rPr>
          <w:lang w:val="zh-CN"/>
        </w:rPr>
        <w:t>确保对地方当局、司法官员及参与协助司法工作的人员</w:t>
      </w:r>
      <w:r w:rsidR="00F0702A">
        <w:rPr>
          <w:lang w:val="zh-CN"/>
        </w:rPr>
        <w:t>(</w:t>
      </w:r>
      <w:r>
        <w:rPr>
          <w:lang w:val="zh-CN"/>
        </w:rPr>
        <w:t>如陪审服务</w:t>
      </w:r>
      <w:r>
        <w:rPr>
          <w:rFonts w:hint="eastAsia"/>
          <w:lang w:val="zh-CN"/>
        </w:rPr>
        <w:t>处</w:t>
      </w:r>
      <w:r>
        <w:rPr>
          <w:lang w:val="zh-CN"/>
        </w:rPr>
        <w:t>主管</w:t>
      </w:r>
      <w:r w:rsidR="00796655">
        <w:rPr>
          <w:lang w:val="zh-CN"/>
        </w:rPr>
        <w:t>)</w:t>
      </w:r>
      <w:r>
        <w:rPr>
          <w:lang w:val="zh-CN"/>
        </w:rPr>
        <w:t>定期进行关于《公约》及其《任择议定书》范围的培训，包括关于残疾人无障碍的培训。</w:t>
      </w:r>
    </w:p>
    <w:p w:rsidR="0030512A" w:rsidRDefault="0030512A" w:rsidP="00D04F98">
      <w:pPr>
        <w:pStyle w:val="SingleTxtGC"/>
        <w:tabs>
          <w:tab w:val="clear" w:pos="431"/>
          <w:tab w:val="clear" w:pos="1134"/>
          <w:tab w:val="clear" w:pos="1565"/>
          <w:tab w:val="clear" w:pos="1996"/>
          <w:tab w:val="clear" w:pos="2427"/>
          <w:tab w:val="left" w:pos="1701"/>
        </w:tabs>
      </w:pPr>
      <w:r>
        <w:rPr>
          <w:lang w:val="zh-CN"/>
        </w:rPr>
        <w:t>9.</w:t>
      </w:r>
      <w:r>
        <w:rPr>
          <w:lang w:val="zh-CN"/>
        </w:rPr>
        <w:tab/>
      </w:r>
      <w:r>
        <w:rPr>
          <w:lang w:val="zh-CN"/>
        </w:rPr>
        <w:t>根据《任择议定书》第五条和委员会议事规则第</w:t>
      </w:r>
      <w:r>
        <w:rPr>
          <w:lang w:val="zh-CN"/>
        </w:rPr>
        <w:t>75</w:t>
      </w:r>
      <w:r>
        <w:rPr>
          <w:lang w:val="zh-CN"/>
        </w:rPr>
        <w:t>条，缔约国应在</w:t>
      </w:r>
      <w:r>
        <w:rPr>
          <w:lang w:val="zh-CN"/>
        </w:rPr>
        <w:t>6</w:t>
      </w:r>
      <w:r>
        <w:rPr>
          <w:lang w:val="zh-CN"/>
        </w:rPr>
        <w:t>个月内向委员会提交书面答复，包括关于根据委员会的本《意见》和建议采取的任何行动的资料。此外，还请缔约国公布委员会的《意见》，以无障碍格式广为传播，以使</w:t>
      </w:r>
      <w:r>
        <w:rPr>
          <w:rFonts w:hint="eastAsia"/>
          <w:lang w:val="zh-CN"/>
        </w:rPr>
        <w:t>社会各界知悉</w:t>
      </w:r>
      <w:r>
        <w:rPr>
          <w:lang w:val="zh-CN"/>
        </w:rPr>
        <w:t>此项《意见》。</w:t>
      </w:r>
    </w:p>
    <w:p w:rsidR="0030512A" w:rsidRPr="00243FAD" w:rsidRDefault="004E59A8" w:rsidP="00243FA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0512A" w:rsidRPr="00243FAD"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40" w:rsidRPr="000D319F" w:rsidRDefault="00DA5440" w:rsidP="000D319F">
      <w:pPr>
        <w:pStyle w:val="af0"/>
        <w:spacing w:after="240"/>
        <w:ind w:left="907"/>
        <w:rPr>
          <w:rFonts w:asciiTheme="majorBidi" w:eastAsia="宋体" w:hAnsiTheme="majorBidi" w:cstheme="majorBidi"/>
          <w:sz w:val="21"/>
          <w:szCs w:val="21"/>
          <w:lang w:val="en-US"/>
        </w:rPr>
      </w:pPr>
    </w:p>
    <w:p w:rsidR="00DA5440" w:rsidRPr="000D319F" w:rsidRDefault="00DA544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A5440" w:rsidRPr="000D319F" w:rsidRDefault="00DA5440" w:rsidP="000D319F">
      <w:pPr>
        <w:pStyle w:val="af0"/>
      </w:pPr>
    </w:p>
  </w:endnote>
  <w:endnote w:type="continuationNotice" w:id="1">
    <w:p w:rsidR="00DA5440" w:rsidRDefault="00DA54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0512A" w:rsidRDefault="0030512A" w:rsidP="0030512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47B52">
      <w:rPr>
        <w:rStyle w:val="af2"/>
        <w:noProof/>
      </w:rPr>
      <w:t>10</w:t>
    </w:r>
    <w:r>
      <w:rPr>
        <w:rStyle w:val="af2"/>
      </w:rPr>
      <w:fldChar w:fldCharType="end"/>
    </w:r>
    <w:r>
      <w:rPr>
        <w:rStyle w:val="af2"/>
      </w:rPr>
      <w:tab/>
    </w:r>
    <w:r w:rsidRPr="0030512A">
      <w:rPr>
        <w:rStyle w:val="af2"/>
        <w:b w:val="0"/>
        <w:snapToGrid w:val="0"/>
        <w:sz w:val="16"/>
      </w:rPr>
      <w:t>GE.18-22328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30512A" w:rsidRDefault="0030512A" w:rsidP="0030512A">
    <w:pPr>
      <w:pStyle w:val="af0"/>
      <w:tabs>
        <w:tab w:val="clear" w:pos="431"/>
        <w:tab w:val="right" w:pos="9638"/>
      </w:tabs>
      <w:rPr>
        <w:rStyle w:val="af2"/>
      </w:rPr>
    </w:pPr>
    <w:r>
      <w:t>GE.18-22328</w:t>
    </w:r>
    <w:r>
      <w:tab/>
    </w:r>
    <w:r>
      <w:rPr>
        <w:rStyle w:val="af2"/>
      </w:rPr>
      <w:fldChar w:fldCharType="begin"/>
    </w:r>
    <w:r>
      <w:rPr>
        <w:rStyle w:val="af2"/>
      </w:rPr>
      <w:instrText xml:space="preserve"> PAGE  \* MERGEFORMAT </w:instrText>
    </w:r>
    <w:r>
      <w:rPr>
        <w:rStyle w:val="af2"/>
      </w:rPr>
      <w:fldChar w:fldCharType="separate"/>
    </w:r>
    <w:r w:rsidR="00B47B52">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30512A" w:rsidP="00487939">
    <w:pPr>
      <w:pStyle w:val="af0"/>
      <w:tabs>
        <w:tab w:val="left" w:pos="1701"/>
        <w:tab w:val="left" w:pos="2552"/>
        <w:tab w:val="left" w:pos="8448"/>
      </w:tabs>
      <w:spacing w:before="360"/>
      <w:rPr>
        <w:rFonts w:eastAsiaTheme="minorEastAsia"/>
        <w:b/>
        <w:sz w:val="21"/>
        <w:lang w:eastAsia="zh-CN"/>
      </w:rPr>
    </w:pPr>
    <w:r>
      <w:rPr>
        <w:sz w:val="20"/>
        <w:lang w:eastAsia="zh-CN"/>
      </w:rPr>
      <w:t>GE.18-22328</w:t>
    </w:r>
    <w:r w:rsidR="00731A42" w:rsidRPr="00EE277A">
      <w:rPr>
        <w:sz w:val="20"/>
        <w:lang w:eastAsia="zh-CN"/>
      </w:rPr>
      <w:t xml:space="preserve"> (C)</w:t>
    </w:r>
    <w:r w:rsidR="00B44B82">
      <w:rPr>
        <w:sz w:val="20"/>
        <w:lang w:eastAsia="zh-CN"/>
      </w:rPr>
      <w:tab/>
    </w:r>
    <w:r w:rsidR="007F6CDC">
      <w:rPr>
        <w:sz w:val="20"/>
        <w:lang w:eastAsia="zh-CN"/>
      </w:rPr>
      <w:t>0701</w:t>
    </w:r>
    <w:r w:rsidR="00B44B82">
      <w:rPr>
        <w:sz w:val="20"/>
        <w:lang w:eastAsia="zh-CN"/>
      </w:rPr>
      <w:t>1</w:t>
    </w:r>
    <w:r w:rsidR="007F6CDC">
      <w:rPr>
        <w:rFonts w:eastAsiaTheme="minorEastAsia"/>
        <w:sz w:val="20"/>
        <w:lang w:eastAsia="zh-CN"/>
      </w:rPr>
      <w:t>9</w:t>
    </w:r>
    <w:r w:rsidR="00731A42">
      <w:rPr>
        <w:sz w:val="20"/>
        <w:lang w:eastAsia="zh-CN"/>
      </w:rPr>
      <w:tab/>
    </w:r>
    <w:r w:rsidR="007F6CDC">
      <w:rPr>
        <w:sz w:val="20"/>
        <w:lang w:eastAsia="zh-CN"/>
      </w:rPr>
      <w:t>22</w:t>
    </w:r>
    <w:r w:rsidR="00731A42">
      <w:rPr>
        <w:sz w:val="20"/>
        <w:lang w:eastAsia="zh-CN"/>
      </w:rPr>
      <w:t>0</w:t>
    </w:r>
    <w:r w:rsidR="007F6CDC">
      <w:rPr>
        <w:sz w:val="20"/>
        <w:lang w:eastAsia="zh-CN"/>
      </w:rPr>
      <w:t>1</w:t>
    </w:r>
    <w:r w:rsidR="00731A42">
      <w:rPr>
        <w:sz w:val="20"/>
        <w:lang w:eastAsia="zh-CN"/>
      </w:rPr>
      <w:t>1</w:t>
    </w:r>
    <w:r w:rsidR="007F6CDC">
      <w:rPr>
        <w:rFonts w:eastAsiaTheme="minorEastAsia"/>
        <w:sz w:val="20"/>
        <w:lang w:eastAsia="zh-CN"/>
      </w:rPr>
      <w:t>9</w:t>
    </w:r>
  </w:p>
  <w:p w:rsidR="00056632" w:rsidRPr="00487939" w:rsidRDefault="0030512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20/D/35/201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D/35/201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40" w:rsidRPr="000157B1" w:rsidRDefault="00DA54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A5440" w:rsidRPr="000157B1" w:rsidRDefault="00DA544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A5440" w:rsidRDefault="00DA5440"/>
  </w:footnote>
  <w:footnote w:id="2">
    <w:p w:rsidR="0030512A" w:rsidRPr="0007574A" w:rsidRDefault="00D04F98" w:rsidP="00CF66BF">
      <w:pPr>
        <w:pStyle w:val="a6"/>
        <w:spacing w:after="80"/>
      </w:pPr>
      <w:r>
        <w:rPr>
          <w:lang w:val="zh-CN"/>
        </w:rPr>
        <w:tab/>
      </w:r>
      <w:r w:rsidR="0030512A" w:rsidRPr="00A51F07">
        <w:rPr>
          <w:color w:val="0000CC"/>
          <w:sz w:val="21"/>
          <w:szCs w:val="21"/>
          <w:lang w:val="zh-CN"/>
        </w:rPr>
        <w:t>*</w:t>
      </w:r>
      <w:r w:rsidRPr="00A51F07">
        <w:rPr>
          <w:color w:val="0000CC"/>
          <w:sz w:val="21"/>
          <w:szCs w:val="21"/>
          <w:lang w:val="zh-CN"/>
        </w:rPr>
        <w:tab/>
      </w:r>
      <w:r w:rsidR="0030512A">
        <w:rPr>
          <w:lang w:val="zh-CN"/>
        </w:rPr>
        <w:t>委员会第二十届会议</w:t>
      </w:r>
      <w:r w:rsidR="0030512A">
        <w:rPr>
          <w:lang w:val="zh-CN"/>
        </w:rPr>
        <w:t>(2018</w:t>
      </w:r>
      <w:r w:rsidR="0030512A">
        <w:rPr>
          <w:lang w:val="zh-CN"/>
        </w:rPr>
        <w:t>年</w:t>
      </w:r>
      <w:r w:rsidR="0030512A">
        <w:rPr>
          <w:lang w:val="zh-CN"/>
        </w:rPr>
        <w:t>8</w:t>
      </w:r>
      <w:r w:rsidR="0030512A">
        <w:rPr>
          <w:lang w:val="zh-CN"/>
        </w:rPr>
        <w:t>月</w:t>
      </w:r>
      <w:r w:rsidR="0030512A">
        <w:rPr>
          <w:lang w:val="zh-CN"/>
        </w:rPr>
        <w:t>27</w:t>
      </w:r>
      <w:r w:rsidR="0030512A">
        <w:rPr>
          <w:lang w:val="zh-CN"/>
        </w:rPr>
        <w:t>日至</w:t>
      </w:r>
      <w:r w:rsidR="0030512A">
        <w:rPr>
          <w:lang w:val="zh-CN"/>
        </w:rPr>
        <w:t>9</w:t>
      </w:r>
      <w:r w:rsidR="0030512A">
        <w:rPr>
          <w:lang w:val="zh-CN"/>
        </w:rPr>
        <w:t>月</w:t>
      </w:r>
      <w:r w:rsidR="0030512A">
        <w:rPr>
          <w:lang w:val="zh-CN"/>
        </w:rPr>
        <w:t>21</w:t>
      </w:r>
      <w:r w:rsidR="0030512A">
        <w:rPr>
          <w:lang w:val="zh-CN"/>
        </w:rPr>
        <w:t>日</w:t>
      </w:r>
      <w:r w:rsidR="0030512A">
        <w:rPr>
          <w:lang w:val="zh-CN"/>
        </w:rPr>
        <w:t>)</w:t>
      </w:r>
      <w:r w:rsidR="0030512A">
        <w:rPr>
          <w:lang w:val="zh-CN"/>
        </w:rPr>
        <w:t>通过。</w:t>
      </w:r>
    </w:p>
  </w:footnote>
  <w:footnote w:id="3">
    <w:p w:rsidR="0030512A" w:rsidRPr="00DF6E63" w:rsidRDefault="0030512A" w:rsidP="00A0159C">
      <w:pPr>
        <w:pStyle w:val="a6"/>
        <w:spacing w:after="80"/>
        <w:jc w:val="both"/>
      </w:pPr>
      <w:r>
        <w:rPr>
          <w:lang w:val="zh-CN"/>
        </w:rPr>
        <w:tab/>
      </w:r>
      <w:r w:rsidRPr="00A51F07">
        <w:rPr>
          <w:color w:val="0000CC"/>
          <w:sz w:val="21"/>
          <w:szCs w:val="21"/>
          <w:lang w:val="zh-CN"/>
        </w:rPr>
        <w:t>**</w:t>
      </w:r>
      <w:r w:rsidR="00D04F98" w:rsidRPr="00A51F07">
        <w:rPr>
          <w:color w:val="0000CC"/>
          <w:sz w:val="21"/>
          <w:szCs w:val="21"/>
          <w:lang w:val="zh-CN"/>
        </w:rPr>
        <w:tab/>
      </w:r>
      <w:r>
        <w:rPr>
          <w:lang w:val="zh-CN"/>
        </w:rPr>
        <w:t>参加审议本来文的委员会委员有：艾哈迈德</w:t>
      </w:r>
      <w:r w:rsidR="00745312">
        <w:rPr>
          <w:rFonts w:hint="eastAsia"/>
        </w:rPr>
        <w:t>·</w:t>
      </w:r>
      <w:r>
        <w:rPr>
          <w:lang w:val="zh-CN"/>
        </w:rPr>
        <w:t>赛义夫、蒙天</w:t>
      </w:r>
      <w:r w:rsidR="00745312">
        <w:rPr>
          <w:rFonts w:hint="eastAsia"/>
        </w:rPr>
        <w:t>·</w:t>
      </w:r>
      <w:r>
        <w:rPr>
          <w:lang w:val="zh-CN"/>
        </w:rPr>
        <w:t>汶丹、伊迈德</w:t>
      </w:r>
      <w:r w:rsidR="00745312">
        <w:rPr>
          <w:rFonts w:hint="eastAsia"/>
        </w:rPr>
        <w:t>·</w:t>
      </w:r>
      <w:r>
        <w:rPr>
          <w:lang w:val="zh-CN"/>
        </w:rPr>
        <w:t>埃丁</w:t>
      </w:r>
      <w:r w:rsidR="00745312">
        <w:rPr>
          <w:rFonts w:hint="eastAsia"/>
        </w:rPr>
        <w:t>·</w:t>
      </w:r>
      <w:r>
        <w:rPr>
          <w:lang w:val="zh-CN"/>
        </w:rPr>
        <w:t>沙克尔、特里萨</w:t>
      </w:r>
      <w:r w:rsidR="00745312">
        <w:rPr>
          <w:rFonts w:hint="eastAsia"/>
        </w:rPr>
        <w:t>·</w:t>
      </w:r>
      <w:r>
        <w:rPr>
          <w:lang w:val="zh-CN"/>
        </w:rPr>
        <w:t>德格纳、石川准、萨缪尔</w:t>
      </w:r>
      <w:r w:rsidR="00745312">
        <w:rPr>
          <w:rFonts w:hint="eastAsia"/>
        </w:rPr>
        <w:t>·</w:t>
      </w:r>
      <w:r>
        <w:rPr>
          <w:lang w:val="zh-CN"/>
        </w:rPr>
        <w:t>恩朱古纳</w:t>
      </w:r>
      <w:r w:rsidR="00745312">
        <w:rPr>
          <w:rFonts w:hint="eastAsia"/>
        </w:rPr>
        <w:t>·</w:t>
      </w:r>
      <w:r>
        <w:rPr>
          <w:lang w:val="zh-CN"/>
        </w:rPr>
        <w:t>卡布、金亨植、施蒂格</w:t>
      </w:r>
      <w:r w:rsidR="00745312">
        <w:rPr>
          <w:rFonts w:hint="eastAsia"/>
        </w:rPr>
        <w:t>·</w:t>
      </w:r>
      <w:r>
        <w:rPr>
          <w:lang w:val="zh-CN"/>
        </w:rPr>
        <w:t>朗瓦德、罗伯特</w:t>
      </w:r>
      <w:r w:rsidR="00745312">
        <w:rPr>
          <w:rFonts w:hint="eastAsia"/>
        </w:rPr>
        <w:t>·</w:t>
      </w:r>
      <w:r>
        <w:rPr>
          <w:lang w:val="zh-CN"/>
        </w:rPr>
        <w:t>乔治</w:t>
      </w:r>
      <w:r w:rsidR="00745312">
        <w:rPr>
          <w:rFonts w:hint="eastAsia"/>
        </w:rPr>
        <w:t>·</w:t>
      </w:r>
      <w:r>
        <w:rPr>
          <w:lang w:val="zh-CN"/>
        </w:rPr>
        <w:t>马丁、马丁</w:t>
      </w:r>
      <w:r w:rsidR="00745312">
        <w:rPr>
          <w:rFonts w:hint="eastAsia"/>
        </w:rPr>
        <w:t>·</w:t>
      </w:r>
      <w:r>
        <w:rPr>
          <w:lang w:val="zh-CN"/>
        </w:rPr>
        <w:t>巴布</w:t>
      </w:r>
      <w:r w:rsidR="00745312">
        <w:rPr>
          <w:rFonts w:hint="eastAsia"/>
        </w:rPr>
        <w:t>·</w:t>
      </w:r>
      <w:r>
        <w:rPr>
          <w:lang w:val="zh-CN"/>
        </w:rPr>
        <w:t>姆韦西瓦、卡马瑞尔</w:t>
      </w:r>
      <w:r w:rsidR="00745312">
        <w:rPr>
          <w:rFonts w:hint="eastAsia"/>
        </w:rPr>
        <w:t>·</w:t>
      </w:r>
      <w:r>
        <w:rPr>
          <w:lang w:val="zh-CN"/>
        </w:rPr>
        <w:t>皮亚纳德、乔纳斯</w:t>
      </w:r>
      <w:r w:rsidR="00745312">
        <w:rPr>
          <w:rFonts w:hint="eastAsia"/>
        </w:rPr>
        <w:t>·</w:t>
      </w:r>
      <w:r>
        <w:rPr>
          <w:lang w:val="zh-CN"/>
        </w:rPr>
        <w:t>卢克斯、达米扬</w:t>
      </w:r>
      <w:r w:rsidR="00745312">
        <w:rPr>
          <w:rFonts w:hint="eastAsia"/>
        </w:rPr>
        <w:t>·</w:t>
      </w:r>
      <w:r>
        <w:rPr>
          <w:lang w:val="zh-CN"/>
        </w:rPr>
        <w:t>塔蒂奇和尤亮。</w:t>
      </w:r>
    </w:p>
  </w:footnote>
  <w:footnote w:id="4">
    <w:p w:rsidR="0030512A" w:rsidRPr="009864D6" w:rsidRDefault="0030512A" w:rsidP="00CF66BF">
      <w:pPr>
        <w:pStyle w:val="a6"/>
        <w:spacing w:after="0"/>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来文提交人要求匿名。</w:t>
      </w:r>
    </w:p>
  </w:footnote>
  <w:footnote w:id="5">
    <w:p w:rsidR="0030512A" w:rsidRPr="009864D6" w:rsidRDefault="0030512A" w:rsidP="009864D6">
      <w:pPr>
        <w:pStyle w:val="a6"/>
        <w:jc w:val="both"/>
        <w:rPr>
          <w:rStyle w:val="SingleTxtGCChar"/>
          <w:rFonts w:eastAsiaTheme="minorEastAsia"/>
          <w:sz w:val="18"/>
          <w:szCs w:val="18"/>
        </w:rPr>
      </w:pPr>
      <w:r>
        <w:rPr>
          <w:lang w:val="zh-CN"/>
        </w:rPr>
        <w:tab/>
      </w:r>
      <w:r w:rsidRPr="007F6CDC">
        <w:rPr>
          <w:rStyle w:val="a8"/>
          <w:rFonts w:eastAsia="宋体"/>
          <w:szCs w:val="21"/>
          <w:lang w:val="zh-CN"/>
        </w:rPr>
        <w:footnoteRef/>
      </w:r>
      <w:r w:rsidRPr="007F6CDC">
        <w:rPr>
          <w:sz w:val="21"/>
          <w:szCs w:val="21"/>
          <w:lang w:val="zh-CN"/>
        </w:rPr>
        <w:tab/>
      </w:r>
      <w:r w:rsidRPr="009864D6">
        <w:rPr>
          <w:rStyle w:val="SingleTxtGCChar"/>
          <w:rFonts w:eastAsiaTheme="minorEastAsia"/>
          <w:sz w:val="18"/>
          <w:szCs w:val="18"/>
        </w:rPr>
        <w:t>根据关于免除被传唤者的一般权力的第</w:t>
      </w:r>
      <w:r w:rsidRPr="009864D6">
        <w:rPr>
          <w:rStyle w:val="SingleTxtGCChar"/>
          <w:rFonts w:eastAsiaTheme="minorEastAsia"/>
          <w:sz w:val="18"/>
          <w:szCs w:val="18"/>
        </w:rPr>
        <w:t>34G</w:t>
      </w:r>
      <w:r w:rsidRPr="009864D6">
        <w:rPr>
          <w:rStyle w:val="SingleTxtGCChar"/>
          <w:rFonts w:eastAsiaTheme="minorEastAsia"/>
          <w:sz w:val="18"/>
          <w:szCs w:val="18"/>
        </w:rPr>
        <w:t>条第</w:t>
      </w:r>
      <w:r w:rsidRPr="009864D6">
        <w:rPr>
          <w:rStyle w:val="SingleTxtGCChar"/>
          <w:rFonts w:eastAsiaTheme="minorEastAsia"/>
          <w:sz w:val="18"/>
          <w:szCs w:val="18"/>
        </w:rPr>
        <w:t>2</w:t>
      </w:r>
      <w:r w:rsidRPr="009864D6">
        <w:rPr>
          <w:rStyle w:val="SingleTxtGCChar"/>
          <w:rFonts w:eastAsiaTheme="minorEastAsia"/>
          <w:sz w:val="18"/>
          <w:szCs w:val="18"/>
        </w:rPr>
        <w:t>款</w:t>
      </w:r>
      <w:r w:rsidRPr="009864D6">
        <w:rPr>
          <w:rStyle w:val="SingleTxtGCChar"/>
          <w:rFonts w:eastAsiaTheme="minorEastAsia"/>
          <w:sz w:val="18"/>
          <w:szCs w:val="18"/>
        </w:rPr>
        <w:t>(e)</w:t>
      </w:r>
      <w:r w:rsidRPr="009864D6">
        <w:rPr>
          <w:rStyle w:val="SingleTxtGCChar"/>
          <w:rFonts w:eastAsiaTheme="minorEastAsia"/>
          <w:sz w:val="18"/>
          <w:szCs w:val="18"/>
        </w:rPr>
        <w:t>项和</w:t>
      </w:r>
      <w:r w:rsidRPr="009864D6">
        <w:rPr>
          <w:rStyle w:val="SingleTxtGCChar"/>
          <w:rFonts w:eastAsiaTheme="minorEastAsia"/>
          <w:sz w:val="18"/>
          <w:szCs w:val="18"/>
        </w:rPr>
        <w:t>(f)</w:t>
      </w:r>
      <w:r w:rsidRPr="009864D6">
        <w:rPr>
          <w:rStyle w:val="SingleTxtGCChar"/>
          <w:rFonts w:eastAsiaTheme="minorEastAsia"/>
          <w:sz w:val="18"/>
          <w:szCs w:val="18"/>
        </w:rPr>
        <w:t>项，如果法官或传唤官员确信被传唤者不懂英语口语或书面语，或者英语水平不足以有效担任陪审员，或者因为他或她有身体残疾或精神障碍而不能有效担任陪审员，法官或传唤官员必须对其免除传唤。</w:t>
      </w:r>
    </w:p>
  </w:footnote>
  <w:footnote w:id="6">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澳大利亚高等法院，</w:t>
      </w:r>
      <w:r w:rsidRPr="009864D6">
        <w:rPr>
          <w:rStyle w:val="SingleTxtGCChar"/>
          <w:rFonts w:eastAsiaTheme="minorEastAsia"/>
          <w:sz w:val="18"/>
          <w:szCs w:val="18"/>
        </w:rPr>
        <w:t>I.W.</w:t>
      </w:r>
      <w:r w:rsidRPr="00997E2F">
        <w:rPr>
          <w:rStyle w:val="SingleTxtGCChar"/>
          <w:rFonts w:ascii="Time New Roman" w:eastAsia="楷体" w:hAnsi="Time New Roman" w:hint="eastAsia"/>
          <w:sz w:val="18"/>
          <w:szCs w:val="18"/>
        </w:rPr>
        <w:t>诉珀斯市</w:t>
      </w:r>
      <w:r w:rsidRPr="009864D6">
        <w:rPr>
          <w:rStyle w:val="SingleTxtGCChar"/>
          <w:rFonts w:eastAsiaTheme="minorEastAsia"/>
          <w:sz w:val="18"/>
          <w:szCs w:val="18"/>
        </w:rPr>
        <w:t>案，</w:t>
      </w:r>
      <w:r w:rsidRPr="009864D6">
        <w:rPr>
          <w:rStyle w:val="SingleTxtGCChar"/>
          <w:rFonts w:eastAsiaTheme="minorEastAsia"/>
          <w:sz w:val="18"/>
          <w:szCs w:val="18"/>
        </w:rPr>
        <w:t>1997</w:t>
      </w:r>
      <w:r w:rsidRPr="009864D6">
        <w:rPr>
          <w:rStyle w:val="SingleTxtGCChar"/>
          <w:rFonts w:eastAsiaTheme="minorEastAsia"/>
          <w:sz w:val="18"/>
          <w:szCs w:val="18"/>
        </w:rPr>
        <w:t>年</w:t>
      </w:r>
      <w:r w:rsidRPr="009864D6">
        <w:rPr>
          <w:rStyle w:val="SingleTxtGCChar"/>
          <w:rFonts w:eastAsiaTheme="minorEastAsia"/>
          <w:sz w:val="18"/>
          <w:szCs w:val="18"/>
        </w:rPr>
        <w:t>7</w:t>
      </w:r>
      <w:r w:rsidRPr="009864D6">
        <w:rPr>
          <w:rStyle w:val="SingleTxtGCChar"/>
          <w:rFonts w:eastAsiaTheme="minorEastAsia"/>
          <w:sz w:val="18"/>
          <w:szCs w:val="18"/>
        </w:rPr>
        <w:t>月</w:t>
      </w:r>
      <w:r w:rsidRPr="009864D6">
        <w:rPr>
          <w:rStyle w:val="SingleTxtGCChar"/>
          <w:rFonts w:eastAsiaTheme="minorEastAsia"/>
          <w:sz w:val="18"/>
          <w:szCs w:val="18"/>
        </w:rPr>
        <w:t>31</w:t>
      </w:r>
      <w:r w:rsidRPr="009864D6">
        <w:rPr>
          <w:rStyle w:val="SingleTxtGCChar"/>
          <w:rFonts w:eastAsiaTheme="minorEastAsia"/>
          <w:sz w:val="18"/>
          <w:szCs w:val="18"/>
        </w:rPr>
        <w:t>日</w:t>
      </w:r>
      <w:r w:rsidRPr="009864D6">
        <w:rPr>
          <w:rStyle w:val="SingleTxtGCChar"/>
          <w:rFonts w:eastAsiaTheme="minorEastAsia" w:hint="eastAsia"/>
          <w:sz w:val="18"/>
          <w:szCs w:val="18"/>
        </w:rPr>
        <w:t>的</w:t>
      </w:r>
      <w:r w:rsidRPr="009864D6">
        <w:rPr>
          <w:rStyle w:val="SingleTxtGCChar"/>
          <w:rFonts w:eastAsiaTheme="minorEastAsia"/>
          <w:sz w:val="18"/>
          <w:szCs w:val="18"/>
        </w:rPr>
        <w:t>判决。</w:t>
      </w:r>
    </w:p>
  </w:footnote>
  <w:footnote w:id="7">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w:t>
      </w:r>
      <w:r w:rsidRPr="009864D6">
        <w:rPr>
          <w:rStyle w:val="SingleTxtGCChar"/>
          <w:rFonts w:eastAsiaTheme="minorEastAsia"/>
          <w:sz w:val="18"/>
          <w:szCs w:val="18"/>
        </w:rPr>
        <w:t>1957</w:t>
      </w:r>
      <w:r w:rsidRPr="009864D6">
        <w:rPr>
          <w:rStyle w:val="SingleTxtGCChar"/>
          <w:rFonts w:eastAsiaTheme="minorEastAsia"/>
          <w:sz w:val="18"/>
          <w:szCs w:val="18"/>
        </w:rPr>
        <w:t>年西澳大利亚州陪审团法》，第</w:t>
      </w:r>
      <w:r w:rsidRPr="009864D6">
        <w:rPr>
          <w:rStyle w:val="SingleTxtGCChar"/>
          <w:rFonts w:eastAsiaTheme="minorEastAsia"/>
          <w:sz w:val="18"/>
          <w:szCs w:val="18"/>
        </w:rPr>
        <w:t>18</w:t>
      </w:r>
      <w:r w:rsidRPr="009864D6">
        <w:rPr>
          <w:rStyle w:val="SingleTxtGCChar"/>
          <w:rFonts w:eastAsiaTheme="minorEastAsia"/>
          <w:sz w:val="18"/>
          <w:szCs w:val="18"/>
        </w:rPr>
        <w:t>条第</w:t>
      </w:r>
      <w:r w:rsidRPr="009864D6">
        <w:rPr>
          <w:rStyle w:val="SingleTxtGCChar"/>
          <w:rFonts w:eastAsiaTheme="minorEastAsia"/>
          <w:sz w:val="18"/>
          <w:szCs w:val="18"/>
        </w:rPr>
        <w:t>1</w:t>
      </w:r>
      <w:r w:rsidRPr="009864D6">
        <w:rPr>
          <w:rStyle w:val="SingleTxtGCChar"/>
          <w:rFonts w:eastAsiaTheme="minorEastAsia"/>
          <w:sz w:val="18"/>
          <w:szCs w:val="18"/>
        </w:rPr>
        <w:t>和第</w:t>
      </w:r>
      <w:r w:rsidRPr="009864D6">
        <w:rPr>
          <w:rStyle w:val="SingleTxtGCChar"/>
          <w:rFonts w:eastAsiaTheme="minorEastAsia"/>
          <w:sz w:val="18"/>
          <w:szCs w:val="18"/>
        </w:rPr>
        <w:t>2</w:t>
      </w:r>
      <w:r w:rsidRPr="009864D6">
        <w:rPr>
          <w:rStyle w:val="SingleTxtGCChar"/>
          <w:rFonts w:eastAsiaTheme="minorEastAsia"/>
          <w:sz w:val="18"/>
          <w:szCs w:val="18"/>
        </w:rPr>
        <w:t>款。</w:t>
      </w:r>
    </w:p>
  </w:footnote>
  <w:footnote w:id="8">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同上，第</w:t>
      </w:r>
      <w:r w:rsidRPr="009864D6">
        <w:rPr>
          <w:rStyle w:val="SingleTxtGCChar"/>
          <w:rFonts w:eastAsiaTheme="minorEastAsia"/>
          <w:sz w:val="18"/>
          <w:szCs w:val="18"/>
        </w:rPr>
        <w:t>18</w:t>
      </w:r>
      <w:r w:rsidRPr="009864D6">
        <w:rPr>
          <w:rStyle w:val="SingleTxtGCChar"/>
          <w:rFonts w:eastAsiaTheme="minorEastAsia"/>
          <w:sz w:val="18"/>
          <w:szCs w:val="18"/>
        </w:rPr>
        <w:t>条第</w:t>
      </w:r>
      <w:r w:rsidRPr="009864D6">
        <w:rPr>
          <w:rStyle w:val="SingleTxtGCChar"/>
          <w:rFonts w:eastAsiaTheme="minorEastAsia"/>
          <w:sz w:val="18"/>
          <w:szCs w:val="18"/>
        </w:rPr>
        <w:t>4</w:t>
      </w:r>
      <w:r w:rsidRPr="009864D6">
        <w:rPr>
          <w:rStyle w:val="SingleTxtGCChar"/>
          <w:rFonts w:eastAsiaTheme="minorEastAsia"/>
          <w:sz w:val="18"/>
          <w:szCs w:val="18"/>
        </w:rPr>
        <w:t>款。</w:t>
      </w:r>
    </w:p>
  </w:footnote>
  <w:footnote w:id="9">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同上，第</w:t>
      </w:r>
      <w:r w:rsidRPr="009864D6">
        <w:rPr>
          <w:rStyle w:val="SingleTxtGCChar"/>
          <w:rFonts w:eastAsiaTheme="minorEastAsia"/>
          <w:sz w:val="18"/>
          <w:szCs w:val="18"/>
        </w:rPr>
        <w:t>18</w:t>
      </w:r>
      <w:r w:rsidRPr="009864D6">
        <w:rPr>
          <w:rStyle w:val="SingleTxtGCChar"/>
          <w:rFonts w:eastAsiaTheme="minorEastAsia"/>
          <w:sz w:val="18"/>
          <w:szCs w:val="18"/>
        </w:rPr>
        <w:t>条第</w:t>
      </w:r>
      <w:r w:rsidRPr="009864D6">
        <w:rPr>
          <w:rStyle w:val="SingleTxtGCChar"/>
          <w:rFonts w:eastAsiaTheme="minorEastAsia"/>
          <w:sz w:val="18"/>
          <w:szCs w:val="18"/>
        </w:rPr>
        <w:t>6</w:t>
      </w:r>
      <w:r w:rsidRPr="009864D6">
        <w:rPr>
          <w:rStyle w:val="SingleTxtGCChar"/>
          <w:rFonts w:eastAsiaTheme="minorEastAsia"/>
          <w:sz w:val="18"/>
          <w:szCs w:val="18"/>
        </w:rPr>
        <w:t>款。</w:t>
      </w:r>
    </w:p>
  </w:footnote>
  <w:footnote w:id="10">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关于法律面前得到平等承认的第</w:t>
      </w:r>
      <w:r w:rsidRPr="009864D6">
        <w:rPr>
          <w:rStyle w:val="SingleTxtGCChar"/>
          <w:rFonts w:eastAsiaTheme="minorEastAsia"/>
          <w:sz w:val="18"/>
          <w:szCs w:val="18"/>
        </w:rPr>
        <w:t>1</w:t>
      </w:r>
      <w:r w:rsidRPr="009864D6">
        <w:rPr>
          <w:rStyle w:val="SingleTxtGCChar"/>
          <w:rFonts w:eastAsiaTheme="minorEastAsia"/>
          <w:sz w:val="18"/>
          <w:szCs w:val="18"/>
        </w:rPr>
        <w:t>号一般性意见</w:t>
      </w:r>
      <w:r w:rsidRPr="009864D6">
        <w:rPr>
          <w:rStyle w:val="SingleTxtGCChar"/>
          <w:rFonts w:eastAsiaTheme="minorEastAsia"/>
          <w:sz w:val="18"/>
          <w:szCs w:val="18"/>
        </w:rPr>
        <w:t>(2014</w:t>
      </w:r>
      <w:r w:rsidRPr="009864D6">
        <w:rPr>
          <w:rStyle w:val="SingleTxtGCChar"/>
          <w:rFonts w:eastAsiaTheme="minorEastAsia"/>
          <w:sz w:val="18"/>
          <w:szCs w:val="18"/>
        </w:rPr>
        <w:t>年</w:t>
      </w:r>
      <w:r w:rsidRPr="009864D6">
        <w:rPr>
          <w:rStyle w:val="SingleTxtGCChar"/>
          <w:rFonts w:eastAsiaTheme="minorEastAsia"/>
          <w:sz w:val="18"/>
          <w:szCs w:val="18"/>
        </w:rPr>
        <w:t>)</w:t>
      </w:r>
      <w:r w:rsidRPr="009864D6">
        <w:rPr>
          <w:rStyle w:val="SingleTxtGCChar"/>
          <w:rFonts w:eastAsiaTheme="minorEastAsia"/>
          <w:sz w:val="18"/>
          <w:szCs w:val="18"/>
        </w:rPr>
        <w:t>，第</w:t>
      </w:r>
      <w:r w:rsidRPr="009864D6">
        <w:rPr>
          <w:rStyle w:val="SingleTxtGCChar"/>
          <w:rFonts w:eastAsiaTheme="minorEastAsia"/>
          <w:sz w:val="18"/>
          <w:szCs w:val="18"/>
        </w:rPr>
        <w:t>1</w:t>
      </w:r>
      <w:r w:rsidRPr="009864D6">
        <w:rPr>
          <w:rStyle w:val="SingleTxtGCChar"/>
          <w:rFonts w:eastAsiaTheme="minorEastAsia"/>
          <w:sz w:val="18"/>
          <w:szCs w:val="18"/>
        </w:rPr>
        <w:t>段。</w:t>
      </w:r>
    </w:p>
  </w:footnote>
  <w:footnote w:id="11">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见拟订保护和促进残疾人权利和尊严的全面综合国际公约特设委员会第五次会议讨论情况每日简报</w:t>
      </w:r>
      <w:r w:rsidR="00D00BDE">
        <w:rPr>
          <w:rStyle w:val="SingleTxtGCChar"/>
          <w:rFonts w:eastAsiaTheme="minorEastAsia" w:hint="eastAsia"/>
          <w:sz w:val="18"/>
          <w:szCs w:val="18"/>
        </w:rPr>
        <w:t>(</w:t>
      </w:r>
      <w:r w:rsidRPr="009864D6">
        <w:rPr>
          <w:rStyle w:val="SingleTxtGCChar"/>
          <w:rFonts w:eastAsiaTheme="minorEastAsia"/>
          <w:sz w:val="18"/>
          <w:szCs w:val="18"/>
        </w:rPr>
        <w:t>可查阅</w:t>
      </w:r>
      <w:r w:rsidRPr="009864D6">
        <w:rPr>
          <w:rStyle w:val="SingleTxtGCChar"/>
          <w:rFonts w:eastAsiaTheme="minorEastAsia"/>
          <w:sz w:val="18"/>
          <w:szCs w:val="18"/>
        </w:rPr>
        <w:t>www.un.org/esa/socdev/enable/rights/ahc5.htm</w:t>
      </w:r>
      <w:r w:rsidR="00796655" w:rsidRPr="009864D6">
        <w:rPr>
          <w:rStyle w:val="SingleTxtGCChar"/>
          <w:rFonts w:eastAsiaTheme="minorEastAsia"/>
          <w:sz w:val="18"/>
          <w:szCs w:val="18"/>
        </w:rPr>
        <w:t>)</w:t>
      </w:r>
      <w:r w:rsidRPr="009864D6">
        <w:rPr>
          <w:rStyle w:val="SingleTxtGCChar"/>
          <w:rFonts w:eastAsiaTheme="minorEastAsia"/>
          <w:sz w:val="18"/>
          <w:szCs w:val="18"/>
        </w:rPr>
        <w:t>。</w:t>
      </w:r>
    </w:p>
  </w:footnote>
  <w:footnote w:id="12">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第</w:t>
      </w:r>
      <w:r w:rsidRPr="009864D6">
        <w:rPr>
          <w:rStyle w:val="SingleTxtGCChar"/>
          <w:rFonts w:eastAsiaTheme="minorEastAsia"/>
          <w:sz w:val="18"/>
          <w:szCs w:val="18"/>
        </w:rPr>
        <w:t>1</w:t>
      </w:r>
      <w:r w:rsidRPr="009864D6">
        <w:rPr>
          <w:rStyle w:val="SingleTxtGCChar"/>
          <w:rFonts w:eastAsiaTheme="minorEastAsia"/>
          <w:sz w:val="18"/>
          <w:szCs w:val="18"/>
        </w:rPr>
        <w:t>号一般性意见，第</w:t>
      </w:r>
      <w:r w:rsidRPr="009864D6">
        <w:rPr>
          <w:rStyle w:val="SingleTxtGCChar"/>
          <w:rFonts w:eastAsiaTheme="minorEastAsia"/>
          <w:sz w:val="18"/>
          <w:szCs w:val="18"/>
        </w:rPr>
        <w:t>12</w:t>
      </w:r>
      <w:r w:rsidRPr="009864D6">
        <w:rPr>
          <w:rStyle w:val="SingleTxtGCChar"/>
          <w:rFonts w:eastAsiaTheme="minorEastAsia"/>
          <w:sz w:val="18"/>
          <w:szCs w:val="18"/>
        </w:rPr>
        <w:t>段。</w:t>
      </w:r>
    </w:p>
  </w:footnote>
  <w:footnote w:id="13">
    <w:p w:rsidR="0030512A" w:rsidRPr="009864D6" w:rsidRDefault="0030512A" w:rsidP="009864D6">
      <w:pPr>
        <w:pStyle w:val="a6"/>
        <w:jc w:val="both"/>
        <w:rPr>
          <w:rStyle w:val="SingleTxtGCChar"/>
          <w:rFonts w:eastAsiaTheme="minorEastAsia"/>
          <w:sz w:val="18"/>
          <w:szCs w:val="18"/>
        </w:rPr>
      </w:pPr>
      <w:r w:rsidRPr="00051041">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同上，第</w:t>
      </w:r>
      <w:r w:rsidRPr="009864D6">
        <w:rPr>
          <w:rStyle w:val="SingleTxtGCChar"/>
          <w:rFonts w:eastAsiaTheme="minorEastAsia"/>
          <w:sz w:val="18"/>
          <w:szCs w:val="18"/>
        </w:rPr>
        <w:t>13</w:t>
      </w:r>
      <w:r w:rsidRPr="009864D6">
        <w:rPr>
          <w:rStyle w:val="SingleTxtGCChar"/>
          <w:rFonts w:eastAsiaTheme="minorEastAsia"/>
          <w:sz w:val="18"/>
          <w:szCs w:val="18"/>
        </w:rPr>
        <w:t>段。</w:t>
      </w:r>
    </w:p>
  </w:footnote>
  <w:footnote w:id="14">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同上，第</w:t>
      </w:r>
      <w:r w:rsidRPr="009864D6">
        <w:rPr>
          <w:rStyle w:val="SingleTxtGCChar"/>
          <w:rFonts w:eastAsiaTheme="minorEastAsia"/>
          <w:sz w:val="18"/>
          <w:szCs w:val="18"/>
        </w:rPr>
        <w:t>23</w:t>
      </w:r>
      <w:r w:rsidRPr="009864D6">
        <w:rPr>
          <w:rStyle w:val="SingleTxtGCChar"/>
          <w:rFonts w:eastAsiaTheme="minorEastAsia"/>
          <w:sz w:val="18"/>
          <w:szCs w:val="18"/>
        </w:rPr>
        <w:t>段。</w:t>
      </w:r>
    </w:p>
  </w:footnote>
  <w:footnote w:id="15">
    <w:p w:rsidR="0030512A" w:rsidRPr="009864D6" w:rsidRDefault="0030512A" w:rsidP="002A6B65">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A/64/40 (Vol. I)</w:t>
      </w:r>
      <w:r w:rsidR="002A6B65">
        <w:rPr>
          <w:rStyle w:val="SingleTxtGCChar"/>
          <w:rFonts w:eastAsiaTheme="minorEastAsia" w:hint="eastAsia"/>
          <w:sz w:val="18"/>
          <w:szCs w:val="18"/>
        </w:rPr>
        <w:t>,</w:t>
      </w:r>
      <w:r w:rsidR="002A6B65">
        <w:rPr>
          <w:rStyle w:val="SingleTxtGCChar"/>
          <w:rFonts w:eastAsiaTheme="minorEastAsia"/>
          <w:sz w:val="18"/>
          <w:szCs w:val="18"/>
        </w:rPr>
        <w:t xml:space="preserve"> </w:t>
      </w:r>
      <w:r w:rsidRPr="009864D6">
        <w:rPr>
          <w:rStyle w:val="SingleTxtGCChar"/>
          <w:rFonts w:eastAsiaTheme="minorEastAsia"/>
          <w:sz w:val="18"/>
          <w:szCs w:val="18"/>
        </w:rPr>
        <w:t>第</w:t>
      </w:r>
      <w:r w:rsidRPr="009864D6">
        <w:rPr>
          <w:rStyle w:val="SingleTxtGCChar"/>
          <w:rFonts w:eastAsiaTheme="minorEastAsia"/>
          <w:sz w:val="18"/>
          <w:szCs w:val="18"/>
        </w:rPr>
        <w:t>118</w:t>
      </w:r>
      <w:r w:rsidRPr="009864D6">
        <w:rPr>
          <w:rStyle w:val="SingleTxtGCChar"/>
          <w:rFonts w:eastAsiaTheme="minorEastAsia"/>
          <w:sz w:val="18"/>
          <w:szCs w:val="18"/>
        </w:rPr>
        <w:t>段。</w:t>
      </w:r>
    </w:p>
  </w:footnote>
  <w:footnote w:id="16">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例如见经济、社会和文化权利委员会关于经济、社会和文化权利方面不歧视的第</w:t>
      </w:r>
      <w:r w:rsidRPr="009864D6">
        <w:rPr>
          <w:rStyle w:val="SingleTxtGCChar"/>
          <w:rFonts w:eastAsiaTheme="minorEastAsia"/>
          <w:sz w:val="18"/>
          <w:szCs w:val="18"/>
        </w:rPr>
        <w:t>20</w:t>
      </w:r>
      <w:r w:rsidRPr="009864D6">
        <w:rPr>
          <w:rStyle w:val="SingleTxtGCChar"/>
          <w:rFonts w:eastAsiaTheme="minorEastAsia"/>
          <w:sz w:val="18"/>
          <w:szCs w:val="18"/>
        </w:rPr>
        <w:t>号一般性意见</w:t>
      </w:r>
      <w:r w:rsidRPr="009864D6">
        <w:rPr>
          <w:rStyle w:val="SingleTxtGCChar"/>
          <w:rFonts w:eastAsiaTheme="minorEastAsia"/>
          <w:sz w:val="18"/>
          <w:szCs w:val="18"/>
        </w:rPr>
        <w:t>(2009</w:t>
      </w:r>
      <w:r w:rsidRPr="009864D6">
        <w:rPr>
          <w:rStyle w:val="SingleTxtGCChar"/>
          <w:rFonts w:eastAsiaTheme="minorEastAsia"/>
          <w:sz w:val="18"/>
          <w:szCs w:val="18"/>
        </w:rPr>
        <w:t>年</w:t>
      </w:r>
      <w:r w:rsidRPr="009864D6">
        <w:rPr>
          <w:rStyle w:val="SingleTxtGCChar"/>
          <w:rFonts w:eastAsiaTheme="minorEastAsia"/>
          <w:sz w:val="18"/>
          <w:szCs w:val="18"/>
        </w:rPr>
        <w:t>)</w:t>
      </w:r>
      <w:r w:rsidRPr="009864D6">
        <w:rPr>
          <w:rStyle w:val="SingleTxtGCChar"/>
          <w:rFonts w:eastAsiaTheme="minorEastAsia"/>
          <w:sz w:val="18"/>
          <w:szCs w:val="18"/>
        </w:rPr>
        <w:t>，第</w:t>
      </w:r>
      <w:r w:rsidRPr="009864D6">
        <w:rPr>
          <w:rStyle w:val="SingleTxtGCChar"/>
          <w:rFonts w:eastAsiaTheme="minorEastAsia"/>
          <w:sz w:val="18"/>
          <w:szCs w:val="18"/>
        </w:rPr>
        <w:t>10</w:t>
      </w:r>
      <w:r w:rsidRPr="009864D6">
        <w:rPr>
          <w:rStyle w:val="SingleTxtGCChar"/>
          <w:rFonts w:eastAsiaTheme="minorEastAsia"/>
          <w:sz w:val="18"/>
          <w:szCs w:val="18"/>
        </w:rPr>
        <w:t>段。</w:t>
      </w:r>
    </w:p>
  </w:footnote>
  <w:footnote w:id="17">
    <w:p w:rsidR="0030512A" w:rsidRPr="009864D6" w:rsidRDefault="0030512A" w:rsidP="002A6B65">
      <w:pPr>
        <w:pStyle w:val="a6"/>
        <w:jc w:val="both"/>
        <w:rPr>
          <w:rStyle w:val="SingleTxtGCChar"/>
          <w:rFonts w:eastAsiaTheme="minorEastAsia"/>
          <w:sz w:val="18"/>
          <w:szCs w:val="18"/>
        </w:rPr>
      </w:pPr>
      <w:r>
        <w:rPr>
          <w:lang w:val="zh-CN"/>
        </w:rPr>
        <w:tab/>
      </w:r>
      <w:r w:rsidRPr="00686ADD">
        <w:rPr>
          <w:rStyle w:val="a8"/>
          <w:rFonts w:eastAsia="宋体"/>
          <w:lang w:val="zh-CN"/>
        </w:rPr>
        <w:footnoteRef/>
      </w:r>
      <w:r w:rsidRPr="000C4035">
        <w:tab/>
      </w:r>
      <w:r w:rsidRPr="009864D6">
        <w:rPr>
          <w:rStyle w:val="SingleTxtGCChar"/>
          <w:rFonts w:eastAsiaTheme="minorEastAsia"/>
          <w:sz w:val="18"/>
          <w:szCs w:val="18"/>
        </w:rPr>
        <w:t>A/HRC/10/48</w:t>
      </w:r>
      <w:r w:rsidR="002A6B65">
        <w:rPr>
          <w:rStyle w:val="SingleTxtGCChar"/>
          <w:rFonts w:eastAsiaTheme="minorEastAsia" w:hint="eastAsia"/>
          <w:sz w:val="18"/>
          <w:szCs w:val="18"/>
        </w:rPr>
        <w:t>,</w:t>
      </w:r>
      <w:r w:rsidR="002A6B65">
        <w:rPr>
          <w:rStyle w:val="SingleTxtGCChar"/>
          <w:rFonts w:eastAsiaTheme="minorEastAsia"/>
          <w:sz w:val="18"/>
          <w:szCs w:val="18"/>
        </w:rPr>
        <w:t xml:space="preserve"> </w:t>
      </w:r>
      <w:r w:rsidRPr="009864D6">
        <w:rPr>
          <w:rStyle w:val="SingleTxtGCChar"/>
          <w:rFonts w:eastAsiaTheme="minorEastAsia"/>
          <w:sz w:val="18"/>
          <w:szCs w:val="18"/>
        </w:rPr>
        <w:t>第</w:t>
      </w:r>
      <w:r w:rsidRPr="009864D6">
        <w:rPr>
          <w:rStyle w:val="SingleTxtGCChar"/>
          <w:rFonts w:eastAsiaTheme="minorEastAsia"/>
          <w:sz w:val="18"/>
          <w:szCs w:val="18"/>
        </w:rPr>
        <w:t>33</w:t>
      </w:r>
      <w:r w:rsidRPr="009864D6">
        <w:rPr>
          <w:rStyle w:val="SingleTxtGCChar"/>
          <w:rFonts w:eastAsiaTheme="minorEastAsia"/>
          <w:sz w:val="18"/>
          <w:szCs w:val="18"/>
        </w:rPr>
        <w:t>段。</w:t>
      </w:r>
    </w:p>
  </w:footnote>
  <w:footnote w:id="18">
    <w:p w:rsidR="0030512A" w:rsidRPr="009864D6" w:rsidRDefault="0030512A" w:rsidP="009864D6">
      <w:pPr>
        <w:pStyle w:val="a6"/>
        <w:jc w:val="both"/>
        <w:rPr>
          <w:rStyle w:val="SingleTxtGCChar"/>
          <w:rFonts w:eastAsiaTheme="minorEastAsia"/>
          <w:sz w:val="18"/>
          <w:szCs w:val="18"/>
        </w:rPr>
      </w:pPr>
      <w:r w:rsidRPr="000C4035">
        <w:tab/>
      </w:r>
      <w:r w:rsidRPr="00686ADD">
        <w:rPr>
          <w:rStyle w:val="a8"/>
          <w:rFonts w:eastAsia="宋体"/>
          <w:lang w:val="zh-CN"/>
        </w:rPr>
        <w:footnoteRef/>
      </w:r>
      <w:r w:rsidRPr="000C4035">
        <w:tab/>
        <w:t>W</w:t>
      </w:r>
      <w:r w:rsidRPr="009864D6">
        <w:rPr>
          <w:rStyle w:val="SingleTxtGCChar"/>
          <w:rFonts w:eastAsiaTheme="minorEastAsia"/>
          <w:sz w:val="18"/>
          <w:szCs w:val="18"/>
        </w:rPr>
        <w:t>.A. McKean, “The meaning of discrimination in international and municipal law”, in British Year Book of International Law 1970, Humphrey Waldock and R.Y. Jennings, eds. (London, Oxford University Press, 1971)</w:t>
      </w:r>
      <w:r w:rsidRPr="009864D6">
        <w:rPr>
          <w:rStyle w:val="SingleTxtGCChar"/>
          <w:rFonts w:eastAsiaTheme="minorEastAsia"/>
          <w:sz w:val="18"/>
          <w:szCs w:val="18"/>
        </w:rPr>
        <w:t>。</w:t>
      </w:r>
    </w:p>
  </w:footnote>
  <w:footnote w:id="19">
    <w:p w:rsidR="0030512A" w:rsidRPr="00FB6042" w:rsidRDefault="0030512A" w:rsidP="002A6B65">
      <w:pPr>
        <w:pStyle w:val="a6"/>
        <w:jc w:val="both"/>
      </w:pPr>
      <w:r w:rsidRPr="002B5AE0">
        <w:tab/>
      </w:r>
      <w:r w:rsidRPr="00686ADD">
        <w:rPr>
          <w:rStyle w:val="a8"/>
          <w:rFonts w:eastAsia="宋体"/>
          <w:lang w:val="zh-CN"/>
        </w:rPr>
        <w:footnoteRef/>
      </w:r>
      <w:r w:rsidRPr="002B5AE0">
        <w:tab/>
      </w:r>
      <w:r w:rsidRPr="009864D6">
        <w:rPr>
          <w:rStyle w:val="SingleTxtGCChar"/>
          <w:rFonts w:eastAsiaTheme="minorEastAsia"/>
          <w:sz w:val="18"/>
          <w:szCs w:val="18"/>
        </w:rPr>
        <w:t>例如，见</w:t>
      </w:r>
      <w:r w:rsidRPr="009864D6">
        <w:rPr>
          <w:rStyle w:val="SingleTxtGCChar"/>
          <w:rFonts w:eastAsiaTheme="minorEastAsia"/>
          <w:sz w:val="18"/>
          <w:szCs w:val="18"/>
        </w:rPr>
        <w:t>Settlers of German Origin in Poland</w:t>
      </w:r>
      <w:r w:rsidR="002A6B65">
        <w:rPr>
          <w:rStyle w:val="SingleTxtGCChar"/>
          <w:rFonts w:eastAsiaTheme="minorEastAsia" w:hint="eastAsia"/>
          <w:sz w:val="18"/>
          <w:szCs w:val="18"/>
        </w:rPr>
        <w:t>,</w:t>
      </w:r>
      <w:r w:rsidR="002A6B65">
        <w:rPr>
          <w:rStyle w:val="SingleTxtGCChar"/>
          <w:rFonts w:eastAsiaTheme="minorEastAsia"/>
          <w:sz w:val="18"/>
          <w:szCs w:val="18"/>
        </w:rPr>
        <w:t xml:space="preserve"> </w:t>
      </w:r>
      <w:r w:rsidRPr="00997E2F">
        <w:rPr>
          <w:rStyle w:val="SingleTxtGCChar"/>
          <w:rFonts w:ascii="Time New Roman" w:eastAsia="楷体" w:hAnsi="Time New Roman"/>
          <w:sz w:val="18"/>
          <w:szCs w:val="18"/>
        </w:rPr>
        <w:t>咨询意见</w:t>
      </w:r>
      <w:r w:rsidRPr="009864D6">
        <w:rPr>
          <w:rStyle w:val="SingleTxtGCChar"/>
          <w:rFonts w:eastAsiaTheme="minorEastAsia"/>
          <w:sz w:val="18"/>
          <w:szCs w:val="18"/>
        </w:rPr>
        <w:t>，</w:t>
      </w:r>
      <w:r w:rsidRPr="00997E2F">
        <w:rPr>
          <w:rStyle w:val="SingleTxtGCChar"/>
          <w:rFonts w:ascii="Time New Roman" w:eastAsia="楷体" w:hAnsi="Time New Roman"/>
          <w:sz w:val="18"/>
          <w:szCs w:val="18"/>
        </w:rPr>
        <w:t>1923</w:t>
      </w:r>
      <w:r w:rsidRPr="00997E2F">
        <w:rPr>
          <w:rStyle w:val="SingleTxtGCChar"/>
          <w:rFonts w:ascii="Time New Roman" w:eastAsia="楷体" w:hAnsi="Time New Roman"/>
          <w:sz w:val="18"/>
          <w:szCs w:val="18"/>
        </w:rPr>
        <w:t>年常设国际法院</w:t>
      </w:r>
      <w:r w:rsidR="00D00BDE" w:rsidRPr="00997E2F">
        <w:rPr>
          <w:rStyle w:val="SingleTxtGCChar"/>
          <w:rFonts w:ascii="Time New Roman" w:eastAsia="楷体" w:hAnsi="Time New Roman" w:hint="eastAsia"/>
          <w:sz w:val="18"/>
          <w:szCs w:val="18"/>
        </w:rPr>
        <w:t>(</w:t>
      </w:r>
      <w:r w:rsidRPr="00997E2F">
        <w:rPr>
          <w:rStyle w:val="SingleTxtGCChar"/>
          <w:rFonts w:ascii="Time New Roman" w:eastAsia="楷体" w:hAnsi="Time New Roman"/>
          <w:sz w:val="18"/>
          <w:szCs w:val="18"/>
        </w:rPr>
        <w:t>ser. B</w:t>
      </w:r>
      <w:r w:rsidR="00796655" w:rsidRPr="00997E2F">
        <w:rPr>
          <w:rStyle w:val="SingleTxtGCChar"/>
          <w:rFonts w:ascii="Time New Roman" w:eastAsia="楷体" w:hAnsi="Time New Roman"/>
          <w:sz w:val="18"/>
          <w:szCs w:val="18"/>
        </w:rPr>
        <w:t>)</w:t>
      </w:r>
      <w:r w:rsidRPr="00997E2F">
        <w:rPr>
          <w:rStyle w:val="SingleTxtGCChar"/>
          <w:rFonts w:ascii="Time New Roman" w:eastAsia="楷体" w:hAnsi="Time New Roman"/>
          <w:sz w:val="18"/>
          <w:szCs w:val="18"/>
        </w:rPr>
        <w:t>第</w:t>
      </w:r>
      <w:r w:rsidRPr="00997E2F">
        <w:rPr>
          <w:rStyle w:val="SingleTxtGCChar"/>
          <w:rFonts w:ascii="Time New Roman" w:eastAsia="楷体" w:hAnsi="Time New Roman"/>
          <w:sz w:val="18"/>
          <w:szCs w:val="18"/>
        </w:rPr>
        <w:t>6</w:t>
      </w:r>
      <w:r w:rsidRPr="00997E2F">
        <w:rPr>
          <w:rStyle w:val="SingleTxtGCChar"/>
          <w:rFonts w:ascii="Time New Roman" w:eastAsia="楷体" w:hAnsi="Time New Roman"/>
          <w:sz w:val="18"/>
          <w:szCs w:val="18"/>
        </w:rPr>
        <w:t>号</w:t>
      </w:r>
      <w:r w:rsidR="00715FC3" w:rsidRPr="00997E2F">
        <w:rPr>
          <w:rStyle w:val="SingleTxtGCChar"/>
          <w:rFonts w:ascii="Time New Roman" w:eastAsia="楷体" w:hAnsi="Time New Roman" w:hint="eastAsia"/>
          <w:sz w:val="18"/>
          <w:szCs w:val="18"/>
        </w:rPr>
        <w:t>(</w:t>
      </w:r>
      <w:r w:rsidRPr="00997E2F">
        <w:rPr>
          <w:rStyle w:val="SingleTxtGCChar"/>
          <w:rFonts w:ascii="Time New Roman" w:eastAsia="楷体" w:hAnsi="Time New Roman"/>
          <w:sz w:val="18"/>
          <w:szCs w:val="18"/>
        </w:rPr>
        <w:t>9</w:t>
      </w:r>
      <w:r w:rsidRPr="00997E2F">
        <w:rPr>
          <w:rStyle w:val="SingleTxtGCChar"/>
          <w:rFonts w:ascii="Time New Roman" w:eastAsia="楷体" w:hAnsi="Time New Roman"/>
          <w:sz w:val="18"/>
          <w:szCs w:val="18"/>
        </w:rPr>
        <w:t>月</w:t>
      </w:r>
      <w:r w:rsidRPr="00997E2F">
        <w:rPr>
          <w:rStyle w:val="SingleTxtGCChar"/>
          <w:rFonts w:ascii="Time New Roman" w:eastAsia="楷体" w:hAnsi="Time New Roman"/>
          <w:sz w:val="18"/>
          <w:szCs w:val="18"/>
        </w:rPr>
        <w:t>10</w:t>
      </w:r>
      <w:r w:rsidRPr="00997E2F">
        <w:rPr>
          <w:rStyle w:val="SingleTxtGCChar"/>
          <w:rFonts w:ascii="Time New Roman" w:eastAsia="楷体" w:hAnsi="Time New Roman"/>
          <w:sz w:val="18"/>
          <w:szCs w:val="18"/>
        </w:rPr>
        <w:t>日</w:t>
      </w:r>
      <w:r w:rsidR="00796655" w:rsidRPr="00997E2F">
        <w:rPr>
          <w:rStyle w:val="SingleTxtGCChar"/>
          <w:rFonts w:ascii="Time New Roman" w:eastAsia="楷体" w:hAnsi="Time New Roman"/>
          <w:sz w:val="18"/>
          <w:szCs w:val="18"/>
        </w:rPr>
        <w:t>)</w:t>
      </w:r>
      <w:r w:rsidRPr="00997E2F">
        <w:rPr>
          <w:rStyle w:val="SingleTxtGCChar"/>
          <w:rFonts w:ascii="Time New Roman" w:eastAsia="楷体" w:hAnsi="Time New Roman"/>
          <w:sz w:val="18"/>
          <w:szCs w:val="18"/>
        </w:rPr>
        <w:t>；西南非洲，第二阶段，判决，</w:t>
      </w:r>
      <w:r w:rsidRPr="009864D6">
        <w:rPr>
          <w:rStyle w:val="SingleTxtGCChar"/>
          <w:rFonts w:eastAsiaTheme="minorEastAsia"/>
          <w:sz w:val="18"/>
          <w:szCs w:val="18"/>
        </w:rPr>
        <w:t>《</w:t>
      </w:r>
      <w:r w:rsidRPr="009864D6">
        <w:rPr>
          <w:rStyle w:val="SingleTxtGCChar"/>
          <w:rFonts w:eastAsiaTheme="minorEastAsia"/>
          <w:sz w:val="18"/>
          <w:szCs w:val="18"/>
        </w:rPr>
        <w:t>1966</w:t>
      </w:r>
      <w:r w:rsidRPr="009864D6">
        <w:rPr>
          <w:rStyle w:val="SingleTxtGCChar"/>
          <w:rFonts w:eastAsiaTheme="minorEastAsia"/>
          <w:sz w:val="18"/>
          <w:szCs w:val="18"/>
        </w:rPr>
        <w:t>年国际法院案例汇编》，第</w:t>
      </w:r>
      <w:r w:rsidRPr="009864D6">
        <w:rPr>
          <w:rStyle w:val="SingleTxtGCChar"/>
          <w:rFonts w:eastAsiaTheme="minorEastAsia"/>
          <w:sz w:val="18"/>
          <w:szCs w:val="18"/>
        </w:rPr>
        <w:t>6</w:t>
      </w:r>
      <w:r w:rsidRPr="009864D6">
        <w:rPr>
          <w:rStyle w:val="SingleTxtGCChar"/>
          <w:rFonts w:eastAsiaTheme="minorEastAsia"/>
          <w:sz w:val="18"/>
          <w:szCs w:val="18"/>
        </w:rPr>
        <w:t>页；以及欧洲人权法院，</w:t>
      </w:r>
      <w:r w:rsidR="005C5129" w:rsidRPr="00EF1114">
        <w:rPr>
          <w:rFonts w:ascii="Time New Roman" w:eastAsia="楷体" w:hAnsi="Time New Roman" w:hint="eastAsia"/>
        </w:rPr>
        <w:t>“</w:t>
      </w:r>
      <w:r w:rsidRPr="00EF1114">
        <w:rPr>
          <w:rStyle w:val="SingleTxtGCChar"/>
          <w:rFonts w:ascii="Time New Roman" w:eastAsia="楷体" w:hAnsi="Time New Roman"/>
          <w:sz w:val="18"/>
          <w:szCs w:val="18"/>
        </w:rPr>
        <w:t>关于比利时教育中语言使用法律的某些方面</w:t>
      </w:r>
      <w:r w:rsidR="005C5129" w:rsidRPr="00EF1114">
        <w:rPr>
          <w:rFonts w:ascii="Time New Roman" w:eastAsia="楷体" w:hAnsi="Time New Roman" w:hint="eastAsia"/>
        </w:rPr>
        <w:t>”</w:t>
      </w:r>
      <w:r w:rsidRPr="00EF1114">
        <w:rPr>
          <w:rStyle w:val="SingleTxtGCChar"/>
          <w:rFonts w:ascii="Time New Roman" w:eastAsia="楷体" w:hAnsi="Time New Roman"/>
          <w:sz w:val="18"/>
          <w:szCs w:val="18"/>
        </w:rPr>
        <w:t>诉比利时，</w:t>
      </w:r>
      <w:r w:rsidRPr="009864D6">
        <w:rPr>
          <w:rStyle w:val="SingleTxtGCChar"/>
          <w:rFonts w:eastAsiaTheme="minorEastAsia"/>
          <w:sz w:val="18"/>
          <w:szCs w:val="18"/>
        </w:rPr>
        <w:t>裁决，</w:t>
      </w:r>
      <w:r w:rsidRPr="009864D6">
        <w:rPr>
          <w:rStyle w:val="SingleTxtGCChar"/>
          <w:rFonts w:eastAsiaTheme="minorEastAsia"/>
          <w:sz w:val="18"/>
          <w:szCs w:val="18"/>
        </w:rPr>
        <w:t>1968</w:t>
      </w:r>
      <w:r w:rsidRPr="009864D6">
        <w:rPr>
          <w:rStyle w:val="SingleTxtGCChar"/>
          <w:rFonts w:eastAsiaTheme="minorEastAsia"/>
          <w:sz w:val="18"/>
          <w:szCs w:val="18"/>
        </w:rPr>
        <w:t>年</w:t>
      </w:r>
      <w:r w:rsidRPr="009864D6">
        <w:rPr>
          <w:rStyle w:val="SingleTxtGCChar"/>
          <w:rFonts w:eastAsiaTheme="minorEastAsia"/>
          <w:sz w:val="18"/>
          <w:szCs w:val="18"/>
        </w:rPr>
        <w:t>7</w:t>
      </w:r>
      <w:r w:rsidRPr="009864D6">
        <w:rPr>
          <w:rStyle w:val="SingleTxtGCChar"/>
          <w:rFonts w:eastAsiaTheme="minorEastAsia"/>
          <w:sz w:val="18"/>
          <w:szCs w:val="18"/>
        </w:rPr>
        <w:t>月</w:t>
      </w:r>
      <w:r w:rsidRPr="009864D6">
        <w:rPr>
          <w:rStyle w:val="SingleTxtGCChar"/>
          <w:rFonts w:eastAsiaTheme="minorEastAsia"/>
          <w:sz w:val="18"/>
          <w:szCs w:val="18"/>
        </w:rPr>
        <w:t>23</w:t>
      </w:r>
      <w:r w:rsidRPr="009864D6">
        <w:rPr>
          <w:rStyle w:val="SingleTxtGCChar"/>
          <w:rFonts w:eastAsiaTheme="minorEastAsia"/>
          <w:sz w:val="18"/>
          <w:szCs w:val="18"/>
        </w:rPr>
        <w:t>日</w:t>
      </w:r>
      <w:r>
        <w:rPr>
          <w:lang w:val="zh-CN"/>
        </w:rPr>
        <w:t>。</w:t>
      </w:r>
    </w:p>
  </w:footnote>
  <w:footnote w:id="20">
    <w:p w:rsidR="0030512A" w:rsidRPr="009864D6" w:rsidRDefault="0030512A" w:rsidP="009864D6">
      <w:pPr>
        <w:pStyle w:val="a6"/>
        <w:jc w:val="both"/>
        <w:rPr>
          <w:rStyle w:val="SingleTxtGCChar"/>
          <w:rFonts w:eastAsiaTheme="minorEastAsia"/>
          <w:sz w:val="18"/>
          <w:szCs w:val="18"/>
        </w:rPr>
      </w:pPr>
      <w:r w:rsidRPr="002C2DE7">
        <w:tab/>
      </w:r>
      <w:r w:rsidRPr="00686ADD">
        <w:rPr>
          <w:rStyle w:val="a8"/>
          <w:rFonts w:eastAsia="宋体"/>
          <w:lang w:val="zh-CN"/>
        </w:rPr>
        <w:footnoteRef/>
      </w:r>
      <w:r>
        <w:rPr>
          <w:lang w:val="zh-CN"/>
        </w:rPr>
        <w:tab/>
      </w:r>
      <w:r w:rsidRPr="009864D6">
        <w:rPr>
          <w:rStyle w:val="SingleTxtGCChar"/>
          <w:rFonts w:eastAsiaTheme="minorEastAsia"/>
          <w:sz w:val="18"/>
          <w:szCs w:val="18"/>
        </w:rPr>
        <w:t>《陪审团法》，第</w:t>
      </w:r>
      <w:r w:rsidRPr="009864D6">
        <w:rPr>
          <w:rStyle w:val="SingleTxtGCChar"/>
          <w:rFonts w:eastAsiaTheme="minorEastAsia"/>
          <w:sz w:val="18"/>
          <w:szCs w:val="18"/>
        </w:rPr>
        <w:t>34G</w:t>
      </w:r>
      <w:r w:rsidRPr="009864D6">
        <w:rPr>
          <w:rStyle w:val="SingleTxtGCChar"/>
          <w:rFonts w:eastAsiaTheme="minorEastAsia"/>
          <w:sz w:val="18"/>
          <w:szCs w:val="18"/>
        </w:rPr>
        <w:t>条第</w:t>
      </w:r>
      <w:r w:rsidRPr="009864D6">
        <w:rPr>
          <w:rStyle w:val="SingleTxtGCChar"/>
          <w:rFonts w:eastAsiaTheme="minorEastAsia"/>
          <w:sz w:val="18"/>
          <w:szCs w:val="18"/>
        </w:rPr>
        <w:t>2</w:t>
      </w:r>
      <w:r w:rsidRPr="009864D6">
        <w:rPr>
          <w:rStyle w:val="SingleTxtGCChar"/>
          <w:rFonts w:eastAsiaTheme="minorEastAsia"/>
          <w:sz w:val="18"/>
          <w:szCs w:val="18"/>
        </w:rPr>
        <w:t>款。</w:t>
      </w:r>
    </w:p>
  </w:footnote>
  <w:footnote w:id="21">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Jungelin</w:t>
      </w:r>
      <w:r w:rsidRPr="00EF1114">
        <w:rPr>
          <w:rStyle w:val="SingleTxtGCChar"/>
          <w:rFonts w:ascii="Time New Roman" w:eastAsia="楷体" w:hAnsi="Time New Roman" w:hint="eastAsia"/>
          <w:sz w:val="18"/>
          <w:szCs w:val="18"/>
        </w:rPr>
        <w:t>诉瑞典</w:t>
      </w:r>
      <w:r w:rsidRPr="009864D6">
        <w:rPr>
          <w:rStyle w:val="SingleTxtGCChar"/>
          <w:rFonts w:eastAsiaTheme="minorEastAsia"/>
          <w:sz w:val="18"/>
          <w:szCs w:val="18"/>
        </w:rPr>
        <w:t>(CRPD/C/12/D/5/2011)</w:t>
      </w:r>
      <w:r w:rsidRPr="009864D6">
        <w:rPr>
          <w:rStyle w:val="SingleTxtGCChar"/>
          <w:rFonts w:eastAsiaTheme="minorEastAsia"/>
          <w:sz w:val="18"/>
          <w:szCs w:val="18"/>
        </w:rPr>
        <w:t>，第</w:t>
      </w:r>
      <w:r w:rsidRPr="009864D6">
        <w:rPr>
          <w:rStyle w:val="SingleTxtGCChar"/>
          <w:rFonts w:eastAsiaTheme="minorEastAsia"/>
          <w:sz w:val="18"/>
          <w:szCs w:val="18"/>
        </w:rPr>
        <w:t>10.5</w:t>
      </w:r>
      <w:r w:rsidRPr="009864D6">
        <w:rPr>
          <w:rStyle w:val="SingleTxtGCChar"/>
          <w:rFonts w:eastAsiaTheme="minorEastAsia"/>
          <w:sz w:val="18"/>
          <w:szCs w:val="18"/>
        </w:rPr>
        <w:t>段。</w:t>
      </w:r>
    </w:p>
  </w:footnote>
  <w:footnote w:id="22">
    <w:p w:rsidR="0030512A" w:rsidRPr="009864D6" w:rsidRDefault="0030512A" w:rsidP="002A6B65">
      <w:pPr>
        <w:pStyle w:val="a6"/>
        <w:jc w:val="both"/>
        <w:rPr>
          <w:rStyle w:val="SingleTxtGCChar"/>
          <w:rFonts w:eastAsiaTheme="minorEastAsia"/>
          <w:sz w:val="18"/>
          <w:szCs w:val="18"/>
        </w:rPr>
      </w:pPr>
      <w:r>
        <w:rPr>
          <w:lang w:val="zh-CN"/>
        </w:rPr>
        <w:tab/>
      </w:r>
      <w:r w:rsidRPr="00686ADD">
        <w:rPr>
          <w:rStyle w:val="a8"/>
          <w:rFonts w:eastAsia="宋体"/>
          <w:lang w:val="zh-CN"/>
        </w:rPr>
        <w:footnoteRef/>
      </w:r>
      <w:r w:rsidRPr="002A6B65">
        <w:tab/>
      </w:r>
      <w:r w:rsidRPr="009864D6">
        <w:rPr>
          <w:rStyle w:val="SingleTxtGCChar"/>
          <w:rFonts w:eastAsiaTheme="minorEastAsia"/>
          <w:sz w:val="18"/>
          <w:szCs w:val="18"/>
        </w:rPr>
        <w:t>Re Osman</w:t>
      </w:r>
      <w:r w:rsidR="002A6B65">
        <w:rPr>
          <w:rStyle w:val="SingleTxtGCChar"/>
          <w:rFonts w:eastAsiaTheme="minorEastAsia" w:hint="eastAsia"/>
          <w:sz w:val="18"/>
          <w:szCs w:val="18"/>
        </w:rPr>
        <w:t>,</w:t>
      </w:r>
      <w:r w:rsidR="002A6B65">
        <w:rPr>
          <w:rStyle w:val="SingleTxtGCChar"/>
          <w:rFonts w:eastAsiaTheme="minorEastAsia"/>
          <w:sz w:val="18"/>
          <w:szCs w:val="18"/>
        </w:rPr>
        <w:t xml:space="preserve"> </w:t>
      </w:r>
      <w:r w:rsidRPr="009864D6">
        <w:rPr>
          <w:rStyle w:val="SingleTxtGCChar"/>
          <w:rFonts w:eastAsiaTheme="minorEastAsia"/>
          <w:sz w:val="18"/>
          <w:szCs w:val="18"/>
        </w:rPr>
        <w:t>1995</w:t>
      </w:r>
      <w:r w:rsidRPr="009864D6">
        <w:rPr>
          <w:rStyle w:val="SingleTxtGCChar"/>
          <w:rFonts w:eastAsiaTheme="minorEastAsia"/>
          <w:sz w:val="18"/>
          <w:szCs w:val="18"/>
        </w:rPr>
        <w:t>年，</w:t>
      </w:r>
      <w:r w:rsidRPr="009864D6">
        <w:rPr>
          <w:rStyle w:val="SingleTxtGCChar"/>
          <w:rFonts w:eastAsiaTheme="minorEastAsia"/>
          <w:sz w:val="18"/>
          <w:szCs w:val="18"/>
        </w:rPr>
        <w:t>1 WLR 1327</w:t>
      </w:r>
      <w:r w:rsidRPr="009864D6">
        <w:rPr>
          <w:rStyle w:val="SingleTxtGCChar"/>
          <w:rFonts w:eastAsiaTheme="minorEastAsia"/>
          <w:sz w:val="18"/>
          <w:szCs w:val="18"/>
        </w:rPr>
        <w:t>。</w:t>
      </w:r>
    </w:p>
  </w:footnote>
  <w:footnote w:id="23">
    <w:p w:rsidR="0030512A" w:rsidRPr="009864D6" w:rsidRDefault="0030512A" w:rsidP="009864D6">
      <w:pPr>
        <w:pStyle w:val="a6"/>
        <w:jc w:val="both"/>
        <w:rPr>
          <w:rStyle w:val="SingleTxtGCChar"/>
          <w:rFonts w:eastAsiaTheme="minorEastAsia"/>
          <w:sz w:val="18"/>
          <w:szCs w:val="18"/>
        </w:rPr>
      </w:pPr>
      <w:r w:rsidRPr="002A6B65">
        <w:tab/>
      </w:r>
      <w:r w:rsidRPr="00686ADD">
        <w:rPr>
          <w:rStyle w:val="a8"/>
          <w:rFonts w:eastAsia="宋体"/>
          <w:lang w:val="zh-CN"/>
        </w:rPr>
        <w:footnoteRef/>
      </w:r>
      <w:r>
        <w:rPr>
          <w:lang w:val="zh-CN"/>
        </w:rPr>
        <w:tab/>
      </w:r>
      <w:r w:rsidRPr="009864D6">
        <w:rPr>
          <w:rStyle w:val="SingleTxtGCChar"/>
          <w:rFonts w:eastAsiaTheme="minorEastAsia"/>
          <w:sz w:val="18"/>
          <w:szCs w:val="18"/>
        </w:rPr>
        <w:t>新南威尔士大学，</w:t>
      </w:r>
      <w:r w:rsidRPr="009864D6">
        <w:rPr>
          <w:rStyle w:val="SingleTxtGCChar"/>
          <w:rFonts w:eastAsiaTheme="minorEastAsia"/>
          <w:sz w:val="18"/>
          <w:szCs w:val="18"/>
        </w:rPr>
        <w:t>“Participation in the administration of justice: deaf citizens as jurors – ARC Linkage Project 120200261”</w:t>
      </w:r>
      <w:r w:rsidRPr="009864D6">
        <w:rPr>
          <w:rStyle w:val="SingleTxtGCChar"/>
          <w:rFonts w:eastAsiaTheme="minorEastAsia"/>
          <w:sz w:val="18"/>
          <w:szCs w:val="18"/>
        </w:rPr>
        <w:t>，项目更新第</w:t>
      </w:r>
      <w:r w:rsidRPr="009864D6">
        <w:rPr>
          <w:rStyle w:val="SingleTxtGCChar"/>
          <w:rFonts w:eastAsiaTheme="minorEastAsia"/>
          <w:sz w:val="18"/>
          <w:szCs w:val="18"/>
        </w:rPr>
        <w:t>4</w:t>
      </w:r>
      <w:r w:rsidRPr="009864D6">
        <w:rPr>
          <w:rStyle w:val="SingleTxtGCChar"/>
          <w:rFonts w:eastAsiaTheme="minorEastAsia"/>
          <w:sz w:val="18"/>
          <w:szCs w:val="18"/>
        </w:rPr>
        <w:t>号，</w:t>
      </w:r>
      <w:r w:rsidRPr="009864D6">
        <w:rPr>
          <w:rStyle w:val="SingleTxtGCChar"/>
          <w:rFonts w:eastAsiaTheme="minorEastAsia"/>
          <w:sz w:val="18"/>
          <w:szCs w:val="18"/>
        </w:rPr>
        <w:t>2015</w:t>
      </w:r>
      <w:r w:rsidRPr="009864D6">
        <w:rPr>
          <w:rStyle w:val="SingleTxtGCChar"/>
          <w:rFonts w:eastAsiaTheme="minorEastAsia"/>
          <w:sz w:val="18"/>
          <w:szCs w:val="18"/>
        </w:rPr>
        <w:t>年</w:t>
      </w:r>
      <w:r w:rsidRPr="009864D6">
        <w:rPr>
          <w:rStyle w:val="SingleTxtGCChar"/>
          <w:rFonts w:eastAsiaTheme="minorEastAsia"/>
          <w:sz w:val="18"/>
          <w:szCs w:val="18"/>
        </w:rPr>
        <w:t>9</w:t>
      </w:r>
      <w:r w:rsidRPr="009864D6">
        <w:rPr>
          <w:rStyle w:val="SingleTxtGCChar"/>
          <w:rFonts w:eastAsiaTheme="minorEastAsia"/>
          <w:sz w:val="18"/>
          <w:szCs w:val="18"/>
        </w:rPr>
        <w:t>月，第</w:t>
      </w:r>
      <w:r w:rsidRPr="009864D6">
        <w:rPr>
          <w:rStyle w:val="SingleTxtGCChar"/>
          <w:rFonts w:eastAsiaTheme="minorEastAsia"/>
          <w:sz w:val="18"/>
          <w:szCs w:val="18"/>
        </w:rPr>
        <w:t>2</w:t>
      </w:r>
      <w:r w:rsidRPr="009864D6">
        <w:rPr>
          <w:rStyle w:val="SingleTxtGCChar"/>
          <w:rFonts w:eastAsiaTheme="minorEastAsia"/>
          <w:sz w:val="18"/>
          <w:szCs w:val="18"/>
        </w:rPr>
        <w:t>页。研究还指出，由于工作量大，每个聋人陪审员需要两名译员。</w:t>
      </w:r>
    </w:p>
  </w:footnote>
  <w:footnote w:id="24">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新南威尔士大学，</w:t>
      </w:r>
      <w:r w:rsidRPr="009864D6">
        <w:rPr>
          <w:rStyle w:val="SingleTxtGCChar"/>
          <w:rFonts w:eastAsiaTheme="minorEastAsia"/>
          <w:sz w:val="18"/>
          <w:szCs w:val="18"/>
        </w:rPr>
        <w:t>“Participation in the administration of justice: deaf citizens as jurors – ARC Linkage Project 120200261”</w:t>
      </w:r>
      <w:r w:rsidRPr="009864D6">
        <w:rPr>
          <w:rStyle w:val="SingleTxtGCChar"/>
          <w:rFonts w:eastAsiaTheme="minorEastAsia"/>
          <w:sz w:val="18"/>
          <w:szCs w:val="18"/>
        </w:rPr>
        <w:t>，项目更新第</w:t>
      </w:r>
      <w:r w:rsidRPr="009864D6">
        <w:rPr>
          <w:rStyle w:val="SingleTxtGCChar"/>
          <w:rFonts w:eastAsiaTheme="minorEastAsia"/>
          <w:sz w:val="18"/>
          <w:szCs w:val="18"/>
        </w:rPr>
        <w:t>3</w:t>
      </w:r>
      <w:r w:rsidRPr="009864D6">
        <w:rPr>
          <w:rStyle w:val="SingleTxtGCChar"/>
          <w:rFonts w:eastAsiaTheme="minorEastAsia"/>
          <w:sz w:val="18"/>
          <w:szCs w:val="18"/>
        </w:rPr>
        <w:t>号，</w:t>
      </w:r>
      <w:r w:rsidRPr="009864D6">
        <w:rPr>
          <w:rStyle w:val="SingleTxtGCChar"/>
          <w:rFonts w:eastAsiaTheme="minorEastAsia"/>
          <w:sz w:val="18"/>
          <w:szCs w:val="18"/>
        </w:rPr>
        <w:t>2015</w:t>
      </w:r>
      <w:r w:rsidRPr="009864D6">
        <w:rPr>
          <w:rStyle w:val="SingleTxtGCChar"/>
          <w:rFonts w:eastAsiaTheme="minorEastAsia"/>
          <w:sz w:val="18"/>
          <w:szCs w:val="18"/>
        </w:rPr>
        <w:t>年</w:t>
      </w:r>
      <w:r w:rsidRPr="009864D6">
        <w:rPr>
          <w:rStyle w:val="SingleTxtGCChar"/>
          <w:rFonts w:eastAsiaTheme="minorEastAsia"/>
          <w:sz w:val="18"/>
          <w:szCs w:val="18"/>
        </w:rPr>
        <w:t>6</w:t>
      </w:r>
      <w:r w:rsidRPr="009864D6">
        <w:rPr>
          <w:rStyle w:val="SingleTxtGCChar"/>
          <w:rFonts w:eastAsiaTheme="minorEastAsia"/>
          <w:sz w:val="18"/>
          <w:szCs w:val="18"/>
        </w:rPr>
        <w:t>月，第</w:t>
      </w:r>
      <w:r w:rsidRPr="009864D6">
        <w:rPr>
          <w:rStyle w:val="SingleTxtGCChar"/>
          <w:rFonts w:eastAsiaTheme="minorEastAsia"/>
          <w:sz w:val="18"/>
          <w:szCs w:val="18"/>
        </w:rPr>
        <w:t>2</w:t>
      </w:r>
      <w:r w:rsidRPr="009864D6">
        <w:rPr>
          <w:rStyle w:val="SingleTxtGCChar"/>
          <w:rFonts w:eastAsiaTheme="minorEastAsia"/>
          <w:sz w:val="18"/>
          <w:szCs w:val="18"/>
        </w:rPr>
        <w:t>页。</w:t>
      </w:r>
    </w:p>
  </w:footnote>
  <w:footnote w:id="25">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关于模拟审判的结果，缔约国没有提到这项研究的积极结果。例如，研究强调，每名陪审员在整体时间中所占的比例以及陪审员的轮换次数表明，聋人陪审员是陪审团审议过程的积极参与者。根据陪审员在模拟审判研究中的引述，听证陪审员普遍认为聋人陪审员</w:t>
      </w:r>
      <w:r w:rsidR="00DC6100">
        <w:rPr>
          <w:rFonts w:hint="eastAsia"/>
        </w:rPr>
        <w:t>“</w:t>
      </w:r>
      <w:r w:rsidRPr="009864D6">
        <w:rPr>
          <w:rStyle w:val="SingleTxtGCChar"/>
          <w:rFonts w:eastAsiaTheme="minorEastAsia"/>
          <w:sz w:val="18"/>
          <w:szCs w:val="18"/>
        </w:rPr>
        <w:t>比我们大多数人更注重细节</w:t>
      </w:r>
      <w:r w:rsidR="00DC6100">
        <w:rPr>
          <w:rFonts w:hint="eastAsia"/>
        </w:rPr>
        <w:t>”</w:t>
      </w:r>
      <w:r w:rsidRPr="009864D6">
        <w:rPr>
          <w:rStyle w:val="SingleTxtGCChar"/>
          <w:rFonts w:eastAsiaTheme="minorEastAsia"/>
          <w:sz w:val="18"/>
          <w:szCs w:val="18"/>
        </w:rPr>
        <w:t>，并且</w:t>
      </w:r>
      <w:r w:rsidR="00DC6100">
        <w:rPr>
          <w:rFonts w:hint="eastAsia"/>
        </w:rPr>
        <w:t>“</w:t>
      </w:r>
      <w:r w:rsidRPr="009864D6">
        <w:rPr>
          <w:rStyle w:val="SingleTxtGCChar"/>
          <w:rFonts w:eastAsiaTheme="minorEastAsia"/>
          <w:sz w:val="18"/>
          <w:szCs w:val="18"/>
        </w:rPr>
        <w:t>很明显，聋人陪审员所掌握的信息与</w:t>
      </w:r>
      <w:r w:rsidRPr="009864D6">
        <w:rPr>
          <w:rStyle w:val="SingleTxtGCChar"/>
          <w:rFonts w:eastAsiaTheme="minorEastAsia"/>
          <w:sz w:val="18"/>
          <w:szCs w:val="18"/>
        </w:rPr>
        <w:t>[</w:t>
      </w:r>
      <w:r w:rsidRPr="009864D6">
        <w:rPr>
          <w:rStyle w:val="SingleTxtGCChar"/>
          <w:rFonts w:eastAsiaTheme="minorEastAsia"/>
          <w:sz w:val="18"/>
          <w:szCs w:val="18"/>
        </w:rPr>
        <w:t>他们</w:t>
      </w:r>
      <w:r w:rsidRPr="009864D6">
        <w:rPr>
          <w:rStyle w:val="SingleTxtGCChar"/>
          <w:rFonts w:eastAsiaTheme="minorEastAsia"/>
          <w:sz w:val="18"/>
          <w:szCs w:val="18"/>
        </w:rPr>
        <w:t>]</w:t>
      </w:r>
      <w:r w:rsidR="00B47B52">
        <w:rPr>
          <w:rStyle w:val="SingleTxtGCChar"/>
          <w:rFonts w:eastAsiaTheme="minorEastAsia"/>
          <w:sz w:val="18"/>
          <w:szCs w:val="18"/>
        </w:rPr>
        <w:t>所掌握的</w:t>
      </w:r>
      <w:bookmarkStart w:id="0" w:name="_GoBack"/>
      <w:bookmarkEnd w:id="0"/>
      <w:r w:rsidRPr="009864D6">
        <w:rPr>
          <w:rStyle w:val="SingleTxtGCChar"/>
          <w:rFonts w:eastAsiaTheme="minorEastAsia"/>
          <w:sz w:val="18"/>
          <w:szCs w:val="18"/>
        </w:rPr>
        <w:t>信息相同。他们提出了同样的问题，提出了同样的观点，所以他们显然与我们一样对这些信息有了很好的了解</w:t>
      </w:r>
      <w:r w:rsidR="00DC6100">
        <w:rPr>
          <w:rFonts w:hint="eastAsia"/>
        </w:rPr>
        <w:t>”</w:t>
      </w:r>
      <w:r w:rsidRPr="009864D6">
        <w:rPr>
          <w:rStyle w:val="SingleTxtGCChar"/>
          <w:rFonts w:eastAsiaTheme="minorEastAsia"/>
          <w:sz w:val="18"/>
          <w:szCs w:val="18"/>
        </w:rPr>
        <w:t>。此外，该研究还指出，其他陪审员认为，译员根本没有参与进来。</w:t>
      </w:r>
    </w:p>
  </w:footnote>
  <w:footnote w:id="26">
    <w:p w:rsidR="0030512A" w:rsidRPr="009864D6"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Pr>
          <w:lang w:val="zh-CN"/>
        </w:rPr>
        <w:tab/>
      </w:r>
      <w:r w:rsidRPr="009864D6">
        <w:rPr>
          <w:rStyle w:val="SingleTxtGCChar"/>
          <w:rFonts w:eastAsiaTheme="minorEastAsia"/>
          <w:sz w:val="18"/>
          <w:szCs w:val="18"/>
        </w:rPr>
        <w:t>见联合国经济和社会事务部，特设委员会</w:t>
      </w:r>
      <w:r w:rsidR="00DC6100">
        <w:rPr>
          <w:rFonts w:hint="eastAsia"/>
        </w:rPr>
        <w:t>“</w:t>
      </w:r>
      <w:r w:rsidRPr="009864D6">
        <w:rPr>
          <w:rStyle w:val="SingleTxtGCChar"/>
          <w:rFonts w:eastAsiaTheme="minorEastAsia"/>
          <w:sz w:val="18"/>
          <w:szCs w:val="18"/>
        </w:rPr>
        <w:t>第五届会议讨论每日摘要：</w:t>
      </w:r>
      <w:r w:rsidRPr="009864D6">
        <w:rPr>
          <w:rStyle w:val="SingleTxtGCChar"/>
          <w:rFonts w:eastAsiaTheme="minorEastAsia"/>
          <w:sz w:val="18"/>
          <w:szCs w:val="18"/>
        </w:rPr>
        <w:t>2005</w:t>
      </w:r>
      <w:r w:rsidRPr="009864D6">
        <w:rPr>
          <w:rStyle w:val="SingleTxtGCChar"/>
          <w:rFonts w:eastAsiaTheme="minorEastAsia"/>
          <w:sz w:val="18"/>
          <w:szCs w:val="18"/>
        </w:rPr>
        <w:t>年</w:t>
      </w:r>
      <w:r w:rsidRPr="009864D6">
        <w:rPr>
          <w:rStyle w:val="SingleTxtGCChar"/>
          <w:rFonts w:eastAsiaTheme="minorEastAsia"/>
          <w:sz w:val="18"/>
          <w:szCs w:val="18"/>
        </w:rPr>
        <w:t>2</w:t>
      </w:r>
      <w:r w:rsidRPr="009864D6">
        <w:rPr>
          <w:rStyle w:val="SingleTxtGCChar"/>
          <w:rFonts w:eastAsiaTheme="minorEastAsia"/>
          <w:sz w:val="18"/>
          <w:szCs w:val="18"/>
        </w:rPr>
        <w:t>月</w:t>
      </w:r>
      <w:r w:rsidRPr="009864D6">
        <w:rPr>
          <w:rStyle w:val="SingleTxtGCChar"/>
          <w:rFonts w:eastAsiaTheme="minorEastAsia"/>
          <w:sz w:val="18"/>
          <w:szCs w:val="18"/>
        </w:rPr>
        <w:t>1</w:t>
      </w:r>
      <w:r w:rsidRPr="009864D6">
        <w:rPr>
          <w:rStyle w:val="SingleTxtGCChar"/>
          <w:rFonts w:eastAsiaTheme="minorEastAsia"/>
          <w:sz w:val="18"/>
          <w:szCs w:val="18"/>
        </w:rPr>
        <w:t>日</w:t>
      </w:r>
      <w:r w:rsidR="00DC6100">
        <w:rPr>
          <w:rFonts w:hint="eastAsia"/>
        </w:rPr>
        <w:t>”</w:t>
      </w:r>
      <w:r w:rsidRPr="009864D6">
        <w:rPr>
          <w:rStyle w:val="SingleTxtGCChar"/>
          <w:rFonts w:eastAsiaTheme="minorEastAsia"/>
          <w:sz w:val="18"/>
          <w:szCs w:val="18"/>
        </w:rPr>
        <w:t>，上午的会议。</w:t>
      </w:r>
    </w:p>
  </w:footnote>
  <w:footnote w:id="27">
    <w:p w:rsidR="0030512A" w:rsidRPr="00D85982" w:rsidRDefault="0030512A" w:rsidP="009864D6">
      <w:pPr>
        <w:pStyle w:val="a6"/>
        <w:jc w:val="both"/>
      </w:pPr>
      <w:r>
        <w:rPr>
          <w:lang w:val="zh-CN"/>
        </w:rPr>
        <w:tab/>
      </w:r>
      <w:r w:rsidRPr="00686ADD">
        <w:rPr>
          <w:rStyle w:val="a8"/>
          <w:rFonts w:eastAsia="宋体"/>
          <w:lang w:val="zh-CN"/>
        </w:rPr>
        <w:footnoteRef/>
      </w:r>
      <w:r>
        <w:rPr>
          <w:lang w:val="zh-CN"/>
        </w:rPr>
        <w:tab/>
      </w:r>
      <w:r>
        <w:rPr>
          <w:lang w:val="zh-CN"/>
        </w:rPr>
        <w:t>第</w:t>
      </w:r>
      <w:r>
        <w:rPr>
          <w:lang w:val="zh-CN"/>
        </w:rPr>
        <w:t>1</w:t>
      </w:r>
      <w:r>
        <w:rPr>
          <w:lang w:val="zh-CN"/>
        </w:rPr>
        <w:t>号一般性意见，第</w:t>
      </w:r>
      <w:r>
        <w:rPr>
          <w:lang w:val="zh-CN"/>
        </w:rPr>
        <w:t>12</w:t>
      </w:r>
      <w:r>
        <w:rPr>
          <w:lang w:val="zh-CN"/>
        </w:rPr>
        <w:t>段。</w:t>
      </w:r>
    </w:p>
  </w:footnote>
  <w:footnote w:id="28">
    <w:p w:rsidR="0030512A" w:rsidRPr="00F0702A" w:rsidRDefault="0030512A" w:rsidP="009864D6">
      <w:pPr>
        <w:pStyle w:val="a6"/>
        <w:jc w:val="both"/>
        <w:rPr>
          <w:rStyle w:val="SingleTxtGCChar"/>
          <w:rFonts w:eastAsiaTheme="minorEastAsia"/>
          <w:sz w:val="18"/>
          <w:szCs w:val="18"/>
        </w:rPr>
      </w:pPr>
      <w:r w:rsidRPr="00D85982">
        <w:rPr>
          <w:lang w:val="zh-CN"/>
        </w:rPr>
        <w:tab/>
      </w:r>
      <w:r w:rsidRPr="00686ADD">
        <w:rPr>
          <w:rStyle w:val="a8"/>
          <w:rFonts w:eastAsia="宋体"/>
          <w:lang w:val="zh-CN"/>
        </w:rPr>
        <w:footnoteRef/>
      </w:r>
      <w:r>
        <w:rPr>
          <w:lang w:val="zh-CN"/>
        </w:rPr>
        <w:tab/>
      </w:r>
      <w:r w:rsidRPr="00F0702A">
        <w:rPr>
          <w:rStyle w:val="SingleTxtGCChar"/>
          <w:rFonts w:eastAsiaTheme="minorEastAsia"/>
          <w:sz w:val="18"/>
          <w:szCs w:val="18"/>
        </w:rPr>
        <w:t>Beasley</w:t>
      </w:r>
      <w:r w:rsidRPr="00EF1114">
        <w:rPr>
          <w:rStyle w:val="SingleTxtGCChar"/>
          <w:rFonts w:ascii="Time New Roman" w:eastAsia="楷体" w:hAnsi="Time New Roman" w:hint="eastAsia"/>
          <w:sz w:val="18"/>
          <w:szCs w:val="18"/>
        </w:rPr>
        <w:t>诉澳大利亚</w:t>
      </w:r>
      <w:r w:rsidRPr="00F0702A">
        <w:rPr>
          <w:rStyle w:val="SingleTxtGCChar"/>
          <w:rFonts w:eastAsiaTheme="minorEastAsia"/>
          <w:sz w:val="18"/>
          <w:szCs w:val="18"/>
        </w:rPr>
        <w:t>(CRPD/C/15/D/11/2013)</w:t>
      </w:r>
      <w:r w:rsidRPr="00F0702A">
        <w:rPr>
          <w:rStyle w:val="SingleTxtGCChar"/>
          <w:rFonts w:eastAsiaTheme="minorEastAsia"/>
          <w:sz w:val="18"/>
          <w:szCs w:val="18"/>
        </w:rPr>
        <w:t>，第</w:t>
      </w:r>
      <w:r w:rsidRPr="00F0702A">
        <w:rPr>
          <w:rStyle w:val="SingleTxtGCChar"/>
          <w:rFonts w:eastAsiaTheme="minorEastAsia"/>
          <w:sz w:val="18"/>
          <w:szCs w:val="18"/>
        </w:rPr>
        <w:t>7.6</w:t>
      </w:r>
      <w:r w:rsidRPr="00F0702A">
        <w:rPr>
          <w:rStyle w:val="SingleTxtGCChar"/>
          <w:rFonts w:eastAsiaTheme="minorEastAsia"/>
          <w:sz w:val="18"/>
          <w:szCs w:val="18"/>
        </w:rPr>
        <w:t>段。</w:t>
      </w:r>
    </w:p>
  </w:footnote>
  <w:footnote w:id="29">
    <w:p w:rsidR="0030512A" w:rsidRPr="00163855" w:rsidRDefault="0030512A" w:rsidP="009864D6">
      <w:pPr>
        <w:pStyle w:val="a6"/>
        <w:jc w:val="both"/>
        <w:rPr>
          <w:rStyle w:val="SingleTxtGCChar"/>
          <w:rFonts w:asciiTheme="majorBidi" w:eastAsiaTheme="minorEastAsia" w:hAnsiTheme="majorBidi" w:cstheme="majorBidi"/>
          <w:sz w:val="18"/>
          <w:szCs w:val="18"/>
        </w:rPr>
      </w:pPr>
      <w:r w:rsidRPr="00D85982">
        <w:rPr>
          <w:lang w:val="zh-CN"/>
        </w:rPr>
        <w:tab/>
      </w:r>
      <w:r w:rsidRPr="00686ADD">
        <w:rPr>
          <w:rStyle w:val="a8"/>
          <w:rFonts w:eastAsia="宋体"/>
          <w:lang w:val="zh-CN"/>
        </w:rPr>
        <w:footnoteRef/>
      </w:r>
      <w:r w:rsidRPr="00F0702A">
        <w:rPr>
          <w:rStyle w:val="SingleTxtGCChar"/>
          <w:sz w:val="18"/>
          <w:szCs w:val="18"/>
        </w:rPr>
        <w:tab/>
      </w:r>
      <w:r w:rsidRPr="00163855">
        <w:rPr>
          <w:rStyle w:val="SingleTxtGCChar"/>
          <w:rFonts w:asciiTheme="majorBidi" w:eastAsiaTheme="minorEastAsia" w:hAnsiTheme="majorBidi" w:cstheme="majorBidi"/>
          <w:sz w:val="18"/>
          <w:szCs w:val="18"/>
        </w:rPr>
        <w:t>S.C.</w:t>
      </w:r>
      <w:r w:rsidRPr="00EF1114">
        <w:rPr>
          <w:rStyle w:val="SingleTxtGCChar"/>
          <w:rFonts w:ascii="Time New Roman" w:eastAsia="楷体" w:hAnsi="Time New Roman" w:cstheme="majorBidi" w:hint="eastAsia"/>
          <w:sz w:val="18"/>
          <w:szCs w:val="18"/>
        </w:rPr>
        <w:t>诉巴西</w:t>
      </w:r>
      <w:r w:rsidRPr="00163855">
        <w:rPr>
          <w:rStyle w:val="SingleTxtGCChar"/>
          <w:rFonts w:asciiTheme="majorBidi" w:eastAsiaTheme="minorEastAsia" w:hAnsiTheme="majorBidi" w:cstheme="majorBidi"/>
          <w:sz w:val="18"/>
          <w:szCs w:val="18"/>
        </w:rPr>
        <w:t>(CRPD/C/12/D/10/2013)</w:t>
      </w:r>
      <w:r w:rsidRPr="00163855">
        <w:rPr>
          <w:rStyle w:val="SingleTxtGCChar"/>
          <w:rFonts w:asciiTheme="majorBidi" w:eastAsiaTheme="minorEastAsia" w:hAnsiTheme="majorBidi" w:cstheme="majorBidi"/>
          <w:sz w:val="18"/>
          <w:szCs w:val="18"/>
        </w:rPr>
        <w:t>，第</w:t>
      </w:r>
      <w:r w:rsidR="002A6B65">
        <w:rPr>
          <w:rStyle w:val="SingleTxtGCChar"/>
          <w:rFonts w:asciiTheme="majorBidi" w:eastAsiaTheme="minorEastAsia" w:hAnsiTheme="majorBidi" w:cstheme="majorBidi"/>
          <w:sz w:val="18"/>
          <w:szCs w:val="18"/>
        </w:rPr>
        <w:t>6.4</w:t>
      </w:r>
      <w:r w:rsidRPr="00163855">
        <w:rPr>
          <w:rStyle w:val="SingleTxtGCChar"/>
          <w:rFonts w:asciiTheme="majorBidi" w:eastAsiaTheme="minorEastAsia" w:hAnsiTheme="majorBidi" w:cstheme="majorBidi"/>
          <w:sz w:val="18"/>
          <w:szCs w:val="18"/>
        </w:rPr>
        <w:t>段。</w:t>
      </w:r>
    </w:p>
  </w:footnote>
  <w:footnote w:id="30">
    <w:p w:rsidR="0030512A" w:rsidRPr="00F0702A" w:rsidRDefault="0030512A" w:rsidP="009864D6">
      <w:pPr>
        <w:pStyle w:val="a6"/>
        <w:jc w:val="both"/>
        <w:rPr>
          <w:rStyle w:val="SingleTxtGCChar"/>
          <w:sz w:val="18"/>
          <w:szCs w:val="18"/>
        </w:rPr>
      </w:pPr>
      <w:r w:rsidRPr="00A8514D">
        <w:rPr>
          <w:lang w:val="zh-CN"/>
        </w:rPr>
        <w:tab/>
      </w:r>
      <w:r w:rsidRPr="00686ADD">
        <w:rPr>
          <w:rStyle w:val="a8"/>
          <w:rFonts w:eastAsia="宋体"/>
          <w:lang w:val="zh-CN"/>
        </w:rPr>
        <w:footnoteRef/>
      </w:r>
      <w:r>
        <w:rPr>
          <w:lang w:val="zh-CN"/>
        </w:rPr>
        <w:tab/>
      </w:r>
      <w:r w:rsidRPr="00F0702A">
        <w:rPr>
          <w:rStyle w:val="SingleTxtGCChar"/>
          <w:sz w:val="18"/>
          <w:szCs w:val="18"/>
        </w:rPr>
        <w:t>Jungelin</w:t>
      </w:r>
      <w:r w:rsidRPr="00EF1114">
        <w:rPr>
          <w:rStyle w:val="SingleTxtGCChar"/>
          <w:rFonts w:ascii="Time New Roman" w:eastAsia="楷体" w:hAnsi="Time New Roman" w:hint="eastAsia"/>
          <w:sz w:val="18"/>
          <w:szCs w:val="18"/>
        </w:rPr>
        <w:t>诉瑞典</w:t>
      </w:r>
      <w:r w:rsidRPr="00F0702A">
        <w:rPr>
          <w:rStyle w:val="SingleTxtGCChar"/>
          <w:sz w:val="18"/>
          <w:szCs w:val="18"/>
        </w:rPr>
        <w:t>，第</w:t>
      </w:r>
      <w:r w:rsidRPr="00F0702A">
        <w:rPr>
          <w:rStyle w:val="SingleTxtGCChar"/>
          <w:sz w:val="18"/>
          <w:szCs w:val="18"/>
        </w:rPr>
        <w:t>10.4</w:t>
      </w:r>
      <w:r w:rsidRPr="00F0702A">
        <w:rPr>
          <w:rStyle w:val="SingleTxtGCChar"/>
          <w:sz w:val="18"/>
          <w:szCs w:val="18"/>
        </w:rPr>
        <w:t>段。</w:t>
      </w:r>
    </w:p>
  </w:footnote>
  <w:footnote w:id="31">
    <w:p w:rsidR="0030512A" w:rsidRPr="00F0702A" w:rsidRDefault="0030512A" w:rsidP="009864D6">
      <w:pPr>
        <w:pStyle w:val="a6"/>
        <w:jc w:val="both"/>
        <w:rPr>
          <w:rStyle w:val="SingleTxtGCChar"/>
          <w:sz w:val="18"/>
          <w:szCs w:val="18"/>
        </w:rPr>
      </w:pPr>
      <w:r w:rsidRPr="00A8514D">
        <w:rPr>
          <w:lang w:val="zh-CN"/>
        </w:rPr>
        <w:tab/>
      </w:r>
      <w:r w:rsidRPr="00686ADD">
        <w:rPr>
          <w:rStyle w:val="a8"/>
          <w:rFonts w:eastAsia="宋体"/>
          <w:lang w:val="zh-CN"/>
        </w:rPr>
        <w:footnoteRef/>
      </w:r>
      <w:r>
        <w:rPr>
          <w:lang w:val="zh-CN"/>
        </w:rPr>
        <w:tab/>
      </w:r>
      <w:r w:rsidRPr="00F0702A">
        <w:rPr>
          <w:rStyle w:val="SingleTxtGCChar"/>
          <w:sz w:val="18"/>
          <w:szCs w:val="18"/>
        </w:rPr>
        <w:t>同上，第</w:t>
      </w:r>
      <w:r w:rsidRPr="00F0702A">
        <w:rPr>
          <w:rStyle w:val="SingleTxtGCChar"/>
          <w:sz w:val="18"/>
          <w:szCs w:val="18"/>
        </w:rPr>
        <w:t>10.5</w:t>
      </w:r>
      <w:r w:rsidRPr="00F0702A">
        <w:rPr>
          <w:rStyle w:val="SingleTxtGCChar"/>
          <w:sz w:val="18"/>
          <w:szCs w:val="18"/>
        </w:rPr>
        <w:t>段。</w:t>
      </w:r>
    </w:p>
  </w:footnote>
  <w:footnote w:id="32">
    <w:p w:rsidR="0030512A" w:rsidRPr="00106AED" w:rsidRDefault="0030512A" w:rsidP="009864D6">
      <w:pPr>
        <w:pStyle w:val="a6"/>
        <w:jc w:val="both"/>
      </w:pPr>
      <w:r w:rsidRPr="003B386A">
        <w:rPr>
          <w:lang w:val="zh-CN"/>
        </w:rPr>
        <w:tab/>
      </w:r>
      <w:r w:rsidRPr="00686ADD">
        <w:rPr>
          <w:rStyle w:val="a8"/>
          <w:rFonts w:eastAsia="宋体"/>
          <w:lang w:val="zh-CN"/>
        </w:rPr>
        <w:footnoteRef/>
      </w:r>
      <w:r>
        <w:rPr>
          <w:lang w:val="zh-CN"/>
        </w:rPr>
        <w:tab/>
      </w:r>
      <w:r w:rsidRPr="00F0702A">
        <w:rPr>
          <w:rStyle w:val="SingleTxtGCChar"/>
          <w:sz w:val="18"/>
          <w:szCs w:val="18"/>
        </w:rPr>
        <w:t>同上，第</w:t>
      </w:r>
      <w:r w:rsidRPr="00F0702A">
        <w:rPr>
          <w:rStyle w:val="SingleTxtGCChar"/>
          <w:sz w:val="18"/>
          <w:szCs w:val="18"/>
        </w:rPr>
        <w:t>10.6</w:t>
      </w:r>
      <w:r w:rsidRPr="00F0702A">
        <w:rPr>
          <w:rStyle w:val="SingleTxtGCChar"/>
          <w:sz w:val="18"/>
          <w:szCs w:val="18"/>
        </w:rPr>
        <w:t>段。</w:t>
      </w:r>
    </w:p>
  </w:footnote>
  <w:footnote w:id="33">
    <w:p w:rsidR="0030512A" w:rsidRPr="00163855" w:rsidRDefault="0030512A" w:rsidP="009864D6">
      <w:pPr>
        <w:pStyle w:val="a6"/>
        <w:jc w:val="both"/>
        <w:rPr>
          <w:rStyle w:val="SingleTxtGCChar"/>
          <w:rFonts w:asciiTheme="majorBidi" w:eastAsiaTheme="minorEastAsia" w:hAnsiTheme="majorBidi" w:cstheme="majorBidi"/>
          <w:sz w:val="18"/>
          <w:szCs w:val="18"/>
        </w:rPr>
      </w:pPr>
      <w:r>
        <w:rPr>
          <w:lang w:val="zh-CN"/>
        </w:rPr>
        <w:tab/>
      </w:r>
      <w:r w:rsidRPr="00686ADD">
        <w:rPr>
          <w:rStyle w:val="a8"/>
          <w:rFonts w:eastAsia="宋体"/>
          <w:lang w:val="zh-CN"/>
        </w:rPr>
        <w:footnoteRef/>
      </w:r>
      <w:r>
        <w:rPr>
          <w:lang w:val="zh-CN"/>
        </w:rPr>
        <w:tab/>
      </w:r>
      <w:r w:rsidRPr="00163855">
        <w:rPr>
          <w:rStyle w:val="SingleTxtGCChar"/>
          <w:rFonts w:asciiTheme="majorBidi" w:eastAsiaTheme="minorEastAsia" w:hAnsiTheme="majorBidi" w:cstheme="majorBidi"/>
          <w:sz w:val="18"/>
          <w:szCs w:val="18"/>
        </w:rPr>
        <w:t>新南威尔士大学，</w:t>
      </w:r>
      <w:r w:rsidRPr="00163855">
        <w:rPr>
          <w:rStyle w:val="SingleTxtGCChar"/>
          <w:rFonts w:asciiTheme="majorBidi" w:eastAsiaTheme="minorEastAsia" w:hAnsiTheme="majorBidi" w:cstheme="majorBidi"/>
          <w:sz w:val="18"/>
          <w:szCs w:val="18"/>
        </w:rPr>
        <w:t>“Participation in the administration of justice: deaf citizens as jurors”</w:t>
      </w:r>
      <w:r w:rsidRPr="00163855">
        <w:rPr>
          <w:rStyle w:val="SingleTxtGCChar"/>
          <w:rFonts w:asciiTheme="majorBidi" w:eastAsiaTheme="minorEastAsia" w:hAnsiTheme="majorBidi" w:cstheme="majorBidi"/>
          <w:sz w:val="18"/>
          <w:szCs w:val="18"/>
        </w:rPr>
        <w:t>。</w:t>
      </w:r>
    </w:p>
  </w:footnote>
  <w:footnote w:id="34">
    <w:p w:rsidR="0030512A" w:rsidRPr="00163855" w:rsidRDefault="0030512A" w:rsidP="009864D6">
      <w:pPr>
        <w:pStyle w:val="a6"/>
        <w:jc w:val="both"/>
        <w:rPr>
          <w:rStyle w:val="SingleTxtGCChar"/>
          <w:rFonts w:asciiTheme="majorBidi" w:eastAsiaTheme="minorEastAsia" w:hAnsiTheme="majorBidi" w:cstheme="majorBidi"/>
          <w:sz w:val="18"/>
          <w:szCs w:val="18"/>
        </w:rPr>
      </w:pPr>
      <w:r>
        <w:rPr>
          <w:lang w:val="zh-CN"/>
        </w:rPr>
        <w:tab/>
      </w:r>
      <w:r w:rsidRPr="00686ADD">
        <w:rPr>
          <w:rStyle w:val="a8"/>
          <w:rFonts w:eastAsia="宋体"/>
          <w:lang w:val="zh-CN"/>
        </w:rPr>
        <w:footnoteRef/>
      </w:r>
      <w:r>
        <w:rPr>
          <w:lang w:val="zh-CN"/>
        </w:rPr>
        <w:tab/>
      </w:r>
      <w:r w:rsidRPr="00163855">
        <w:rPr>
          <w:rStyle w:val="SingleTxtGCChar"/>
          <w:rFonts w:asciiTheme="majorBidi" w:eastAsiaTheme="minorEastAsia" w:hAnsiTheme="majorBidi" w:cstheme="majorBidi"/>
          <w:sz w:val="18"/>
          <w:szCs w:val="18"/>
        </w:rPr>
        <w:t>关于平等和不歧视的第</w:t>
      </w:r>
      <w:r w:rsidRPr="00163855">
        <w:rPr>
          <w:rStyle w:val="SingleTxtGCChar"/>
          <w:rFonts w:asciiTheme="majorBidi" w:eastAsiaTheme="minorEastAsia" w:hAnsiTheme="majorBidi" w:cstheme="majorBidi"/>
          <w:sz w:val="18"/>
          <w:szCs w:val="18"/>
        </w:rPr>
        <w:t>6</w:t>
      </w:r>
      <w:r w:rsidRPr="00163855">
        <w:rPr>
          <w:rStyle w:val="SingleTxtGCChar"/>
          <w:rFonts w:asciiTheme="majorBidi" w:eastAsiaTheme="minorEastAsia" w:hAnsiTheme="majorBidi" w:cstheme="majorBidi"/>
          <w:sz w:val="18"/>
          <w:szCs w:val="18"/>
        </w:rPr>
        <w:t>号一般性意见</w:t>
      </w:r>
      <w:r w:rsidRPr="00163855">
        <w:rPr>
          <w:rStyle w:val="SingleTxtGCChar"/>
          <w:rFonts w:asciiTheme="majorBidi" w:eastAsiaTheme="minorEastAsia" w:hAnsiTheme="majorBidi" w:cstheme="majorBidi"/>
          <w:sz w:val="18"/>
          <w:szCs w:val="18"/>
        </w:rPr>
        <w:t>(2018</w:t>
      </w:r>
      <w:r w:rsidRPr="00163855">
        <w:rPr>
          <w:rStyle w:val="SingleTxtGCChar"/>
          <w:rFonts w:asciiTheme="majorBidi" w:eastAsiaTheme="minorEastAsia" w:hAnsiTheme="majorBidi" w:cstheme="majorBidi"/>
          <w:sz w:val="18"/>
          <w:szCs w:val="18"/>
        </w:rPr>
        <w:t>年</w:t>
      </w:r>
      <w:r w:rsidRPr="00163855">
        <w:rPr>
          <w:rStyle w:val="SingleTxtGCChar"/>
          <w:rFonts w:asciiTheme="majorBidi" w:eastAsiaTheme="minorEastAsia" w:hAnsiTheme="majorBidi" w:cstheme="majorBidi"/>
          <w:sz w:val="18"/>
          <w:szCs w:val="18"/>
        </w:rPr>
        <w:t>)</w:t>
      </w:r>
      <w:r w:rsidRPr="00163855">
        <w:rPr>
          <w:rStyle w:val="SingleTxtGCChar"/>
          <w:rFonts w:asciiTheme="majorBidi" w:eastAsiaTheme="minorEastAsia" w:hAnsiTheme="majorBidi" w:cstheme="majorBidi"/>
          <w:sz w:val="18"/>
          <w:szCs w:val="18"/>
        </w:rPr>
        <w:t>，第</w:t>
      </w:r>
      <w:r w:rsidRPr="00163855">
        <w:rPr>
          <w:rStyle w:val="SingleTxtGCChar"/>
          <w:rFonts w:asciiTheme="majorBidi" w:eastAsiaTheme="minorEastAsia" w:hAnsiTheme="majorBidi" w:cstheme="majorBidi"/>
          <w:sz w:val="18"/>
          <w:szCs w:val="18"/>
        </w:rPr>
        <w:t>25</w:t>
      </w:r>
      <w:r w:rsidRPr="00163855">
        <w:rPr>
          <w:rStyle w:val="SingleTxtGCChar"/>
          <w:rFonts w:asciiTheme="majorBidi" w:eastAsiaTheme="minorEastAsia" w:hAnsiTheme="majorBidi" w:cstheme="majorBidi"/>
          <w:sz w:val="18"/>
          <w:szCs w:val="18"/>
        </w:rPr>
        <w:t>段</w:t>
      </w:r>
      <w:r w:rsidRPr="00163855">
        <w:rPr>
          <w:rStyle w:val="SingleTxtGCChar"/>
          <w:rFonts w:asciiTheme="majorBidi" w:eastAsiaTheme="minorEastAsia" w:hAnsiTheme="majorBidi" w:cstheme="majorBidi"/>
          <w:sz w:val="18"/>
          <w:szCs w:val="18"/>
        </w:rPr>
        <w:t>(a)</w:t>
      </w:r>
      <w:r w:rsidRPr="00163855">
        <w:rPr>
          <w:rStyle w:val="SingleTxtGCChar"/>
          <w:rFonts w:asciiTheme="majorBidi" w:eastAsiaTheme="minorEastAsia" w:hAnsiTheme="majorBidi" w:cstheme="majorBidi"/>
          <w:sz w:val="18"/>
          <w:szCs w:val="18"/>
        </w:rPr>
        <w:t>项。</w:t>
      </w:r>
    </w:p>
  </w:footnote>
  <w:footnote w:id="35">
    <w:p w:rsidR="0030512A" w:rsidRPr="00796655" w:rsidRDefault="0030512A" w:rsidP="009864D6">
      <w:pPr>
        <w:pStyle w:val="a6"/>
        <w:jc w:val="both"/>
        <w:rPr>
          <w:rStyle w:val="SingleTxtGCChar"/>
          <w:rFonts w:eastAsiaTheme="minorEastAsia"/>
          <w:sz w:val="18"/>
          <w:szCs w:val="18"/>
        </w:rPr>
      </w:pPr>
      <w:r>
        <w:rPr>
          <w:lang w:val="zh-CN"/>
        </w:rPr>
        <w:tab/>
      </w:r>
      <w:r w:rsidRPr="00686ADD">
        <w:rPr>
          <w:rStyle w:val="a8"/>
          <w:rFonts w:eastAsia="宋体"/>
          <w:lang w:val="zh-CN"/>
        </w:rPr>
        <w:footnoteRef/>
      </w:r>
      <w:r w:rsidRPr="00796655">
        <w:rPr>
          <w:rStyle w:val="SingleTxtGCChar"/>
          <w:rFonts w:eastAsiaTheme="minorEastAsia"/>
          <w:sz w:val="18"/>
          <w:szCs w:val="18"/>
        </w:rPr>
        <w:tab/>
      </w:r>
      <w:r w:rsidRPr="00163855">
        <w:rPr>
          <w:rStyle w:val="SingleTxtGCChar"/>
          <w:rFonts w:asciiTheme="majorBidi" w:eastAsiaTheme="minorEastAsia" w:hAnsiTheme="majorBidi" w:cstheme="majorBidi"/>
          <w:sz w:val="18"/>
          <w:szCs w:val="18"/>
        </w:rPr>
        <w:t>新南威尔士大学，</w:t>
      </w:r>
      <w:r w:rsidRPr="00163855">
        <w:rPr>
          <w:rStyle w:val="SingleTxtGCChar"/>
          <w:rFonts w:asciiTheme="majorBidi" w:eastAsiaTheme="minorEastAsia" w:hAnsiTheme="majorBidi" w:cstheme="majorBidi"/>
          <w:sz w:val="18"/>
          <w:szCs w:val="18"/>
        </w:rPr>
        <w:t>“Participation in the administration of justice: deaf citizens as jurors”</w:t>
      </w:r>
      <w:r w:rsidRPr="00163855">
        <w:rPr>
          <w:rStyle w:val="SingleTxtGCChar"/>
          <w:rFonts w:asciiTheme="majorBidi" w:eastAsiaTheme="minorEastAsia" w:hAnsiTheme="majorBidi" w:cstheme="majorBidi"/>
          <w:sz w:val="18"/>
          <w:szCs w:val="18"/>
        </w:rPr>
        <w:t>。</w:t>
      </w:r>
    </w:p>
  </w:footnote>
  <w:footnote w:id="36">
    <w:p w:rsidR="0030512A" w:rsidRPr="003B386A" w:rsidRDefault="0030512A" w:rsidP="009864D6">
      <w:pPr>
        <w:pStyle w:val="a6"/>
        <w:jc w:val="both"/>
      </w:pPr>
      <w:r>
        <w:rPr>
          <w:lang w:val="zh-CN"/>
        </w:rPr>
        <w:tab/>
      </w:r>
      <w:r w:rsidRPr="00686ADD">
        <w:rPr>
          <w:rStyle w:val="a8"/>
          <w:rFonts w:eastAsia="宋体"/>
          <w:lang w:val="zh-CN"/>
        </w:rPr>
        <w:footnoteRef/>
      </w:r>
      <w:r>
        <w:rPr>
          <w:lang w:val="zh-CN"/>
        </w:rPr>
        <w:tab/>
      </w:r>
      <w:r w:rsidRPr="00163855">
        <w:rPr>
          <w:rStyle w:val="SingleTxtGCChar"/>
          <w:rFonts w:asciiTheme="majorBidi" w:eastAsiaTheme="minorEastAsia" w:hAnsiTheme="majorBidi" w:cstheme="majorBidi"/>
          <w:sz w:val="18"/>
          <w:szCs w:val="18"/>
        </w:rPr>
        <w:t>Beasley</w:t>
      </w:r>
      <w:r w:rsidRPr="00EF1114">
        <w:rPr>
          <w:rStyle w:val="SingleTxtGCChar"/>
          <w:rFonts w:ascii="Time New Roman" w:eastAsia="楷体" w:hAnsi="Time New Roman" w:cstheme="majorBidi"/>
          <w:sz w:val="18"/>
          <w:szCs w:val="18"/>
        </w:rPr>
        <w:t>诉澳大利亚</w:t>
      </w:r>
      <w:r w:rsidRPr="00163855">
        <w:rPr>
          <w:rStyle w:val="SingleTxtGCChar"/>
          <w:rFonts w:asciiTheme="majorBidi" w:eastAsiaTheme="minorEastAsia" w:hAnsiTheme="majorBidi" w:cstheme="majorBidi"/>
          <w:sz w:val="18"/>
          <w:szCs w:val="18"/>
        </w:rPr>
        <w:t>，第</w:t>
      </w:r>
      <w:r w:rsidRPr="00163855">
        <w:rPr>
          <w:rStyle w:val="SingleTxtGCChar"/>
          <w:rFonts w:asciiTheme="majorBidi" w:eastAsiaTheme="minorEastAsia" w:hAnsiTheme="majorBidi" w:cstheme="majorBidi"/>
          <w:sz w:val="18"/>
          <w:szCs w:val="18"/>
        </w:rPr>
        <w:t>8.8</w:t>
      </w:r>
      <w:r w:rsidRPr="00163855">
        <w:rPr>
          <w:rStyle w:val="SingleTxtGCChar"/>
          <w:rFonts w:asciiTheme="majorBidi" w:eastAsiaTheme="minorEastAsia" w:hAnsiTheme="majorBidi" w:cstheme="majorBidi"/>
          <w:sz w:val="18"/>
          <w:szCs w:val="18"/>
        </w:rPr>
        <w:t>段；以及</w:t>
      </w:r>
      <w:r w:rsidRPr="00163855">
        <w:rPr>
          <w:rStyle w:val="SingleTxtGCChar"/>
          <w:rFonts w:asciiTheme="majorBidi" w:eastAsiaTheme="minorEastAsia" w:hAnsiTheme="majorBidi" w:cstheme="majorBidi"/>
          <w:sz w:val="18"/>
          <w:szCs w:val="18"/>
        </w:rPr>
        <w:t>Lockrey</w:t>
      </w:r>
      <w:r w:rsidRPr="00EF1114">
        <w:rPr>
          <w:rStyle w:val="SingleTxtGCChar"/>
          <w:rFonts w:ascii="Time New Roman" w:eastAsia="楷体" w:hAnsi="Time New Roman" w:cstheme="majorBidi"/>
          <w:sz w:val="18"/>
          <w:szCs w:val="18"/>
        </w:rPr>
        <w:t>诉澳大利亚</w:t>
      </w:r>
      <w:r w:rsidRPr="00163855">
        <w:rPr>
          <w:rStyle w:val="SingleTxtGCChar"/>
          <w:rFonts w:asciiTheme="majorBidi" w:eastAsiaTheme="minorEastAsia" w:hAnsiTheme="majorBidi" w:cstheme="majorBidi"/>
          <w:sz w:val="18"/>
          <w:szCs w:val="18"/>
        </w:rPr>
        <w:t>(CRPD/C/15/D/13/2013)</w:t>
      </w:r>
      <w:r w:rsidRPr="00163855">
        <w:rPr>
          <w:rStyle w:val="SingleTxtGCChar"/>
          <w:rFonts w:asciiTheme="majorBidi" w:eastAsiaTheme="minorEastAsia" w:hAnsiTheme="majorBidi" w:cstheme="majorBidi"/>
          <w:sz w:val="18"/>
          <w:szCs w:val="18"/>
        </w:rPr>
        <w:t>，第</w:t>
      </w:r>
      <w:r w:rsidRPr="00163855">
        <w:rPr>
          <w:rStyle w:val="SingleTxtGCChar"/>
          <w:rFonts w:asciiTheme="majorBidi" w:eastAsiaTheme="minorEastAsia" w:hAnsiTheme="majorBidi" w:cstheme="majorBidi"/>
          <w:sz w:val="18"/>
          <w:szCs w:val="18"/>
        </w:rPr>
        <w:t>8.8</w:t>
      </w:r>
      <w:r w:rsidRPr="00163855">
        <w:rPr>
          <w:rStyle w:val="SingleTxtGCChar"/>
          <w:rFonts w:asciiTheme="majorBidi" w:eastAsiaTheme="minorEastAsia" w:hAnsiTheme="majorBidi" w:cstheme="majorBidi"/>
          <w:sz w:val="18"/>
          <w:szCs w:val="18"/>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30512A" w:rsidP="0030512A">
    <w:pPr>
      <w:pStyle w:val="af3"/>
    </w:pPr>
    <w:r>
      <w:t>CRPD/C/20/D/35/2016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30512A" w:rsidP="0030512A">
    <w:pPr>
      <w:pStyle w:val="af3"/>
      <w:jc w:val="right"/>
    </w:pPr>
    <w:r>
      <w:t>CRPD/C/20/D/35/2016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491D69"/>
    <w:multiLevelType w:val="hybridMultilevel"/>
    <w:tmpl w:val="8042C476"/>
    <w:lvl w:ilvl="0" w:tplc="493CD0B0">
      <w:start w:val="1"/>
      <w:numFmt w:val="lowerLetter"/>
      <w:lvlText w:val="(%1)"/>
      <w:lvlJc w:val="left"/>
      <w:pPr>
        <w:ind w:left="2049" w:hanging="360"/>
      </w:pPr>
      <w:rPr>
        <w:rFonts w:hint="default"/>
      </w:rPr>
    </w:lvl>
    <w:lvl w:ilvl="1" w:tplc="04090019" w:tentative="1">
      <w:start w:val="1"/>
      <w:numFmt w:val="lowerLetter"/>
      <w:lvlText w:val="%2)"/>
      <w:lvlJc w:val="left"/>
      <w:pPr>
        <w:ind w:left="2529" w:hanging="420"/>
      </w:pPr>
    </w:lvl>
    <w:lvl w:ilvl="2" w:tplc="0409001B" w:tentative="1">
      <w:start w:val="1"/>
      <w:numFmt w:val="lowerRoman"/>
      <w:lvlText w:val="%3."/>
      <w:lvlJc w:val="right"/>
      <w:pPr>
        <w:ind w:left="2949" w:hanging="420"/>
      </w:pPr>
    </w:lvl>
    <w:lvl w:ilvl="3" w:tplc="0409000F" w:tentative="1">
      <w:start w:val="1"/>
      <w:numFmt w:val="decimal"/>
      <w:lvlText w:val="%4."/>
      <w:lvlJc w:val="left"/>
      <w:pPr>
        <w:ind w:left="3369" w:hanging="420"/>
      </w:pPr>
    </w:lvl>
    <w:lvl w:ilvl="4" w:tplc="04090019" w:tentative="1">
      <w:start w:val="1"/>
      <w:numFmt w:val="lowerLetter"/>
      <w:lvlText w:val="%5)"/>
      <w:lvlJc w:val="left"/>
      <w:pPr>
        <w:ind w:left="3789" w:hanging="420"/>
      </w:pPr>
    </w:lvl>
    <w:lvl w:ilvl="5" w:tplc="0409001B" w:tentative="1">
      <w:start w:val="1"/>
      <w:numFmt w:val="lowerRoman"/>
      <w:lvlText w:val="%6."/>
      <w:lvlJc w:val="right"/>
      <w:pPr>
        <w:ind w:left="4209" w:hanging="420"/>
      </w:pPr>
    </w:lvl>
    <w:lvl w:ilvl="6" w:tplc="0409000F" w:tentative="1">
      <w:start w:val="1"/>
      <w:numFmt w:val="decimal"/>
      <w:lvlText w:val="%7."/>
      <w:lvlJc w:val="left"/>
      <w:pPr>
        <w:ind w:left="4629" w:hanging="420"/>
      </w:pPr>
    </w:lvl>
    <w:lvl w:ilvl="7" w:tplc="04090019" w:tentative="1">
      <w:start w:val="1"/>
      <w:numFmt w:val="lowerLetter"/>
      <w:lvlText w:val="%8)"/>
      <w:lvlJc w:val="left"/>
      <w:pPr>
        <w:ind w:left="5049" w:hanging="420"/>
      </w:pPr>
    </w:lvl>
    <w:lvl w:ilvl="8" w:tplc="0409001B" w:tentative="1">
      <w:start w:val="1"/>
      <w:numFmt w:val="lowerRoman"/>
      <w:lvlText w:val="%9."/>
      <w:lvlJc w:val="right"/>
      <w:pPr>
        <w:ind w:left="5469" w:hanging="420"/>
      </w:pPr>
    </w:lvl>
  </w:abstractNum>
  <w:abstractNum w:abstractNumId="4" w15:restartNumberingAfterBreak="0">
    <w:nsid w:val="5C352484"/>
    <w:multiLevelType w:val="hybridMultilevel"/>
    <w:tmpl w:val="18108BAA"/>
    <w:lvl w:ilvl="0" w:tplc="073A897E">
      <w:start w:val="1"/>
      <w:numFmt w:val="lowerLetter"/>
      <w:lvlText w:val="(%1)"/>
      <w:lvlJc w:val="left"/>
      <w:pPr>
        <w:ind w:left="2118" w:hanging="420"/>
      </w:pPr>
      <w:rPr>
        <w:rFonts w:hint="eastAsia"/>
      </w:rPr>
    </w:lvl>
    <w:lvl w:ilvl="1" w:tplc="04090019" w:tentative="1">
      <w:start w:val="1"/>
      <w:numFmt w:val="lowerLetter"/>
      <w:lvlText w:val="%2)"/>
      <w:lvlJc w:val="left"/>
      <w:pPr>
        <w:ind w:left="2538" w:hanging="420"/>
      </w:pPr>
    </w:lvl>
    <w:lvl w:ilvl="2" w:tplc="0409001B" w:tentative="1">
      <w:start w:val="1"/>
      <w:numFmt w:val="lowerRoman"/>
      <w:lvlText w:val="%3."/>
      <w:lvlJc w:val="right"/>
      <w:pPr>
        <w:ind w:left="2958" w:hanging="420"/>
      </w:pPr>
    </w:lvl>
    <w:lvl w:ilvl="3" w:tplc="0409000F" w:tentative="1">
      <w:start w:val="1"/>
      <w:numFmt w:val="decimal"/>
      <w:lvlText w:val="%4."/>
      <w:lvlJc w:val="left"/>
      <w:pPr>
        <w:ind w:left="3378" w:hanging="420"/>
      </w:pPr>
    </w:lvl>
    <w:lvl w:ilvl="4" w:tplc="04090019" w:tentative="1">
      <w:start w:val="1"/>
      <w:numFmt w:val="lowerLetter"/>
      <w:lvlText w:val="%5)"/>
      <w:lvlJc w:val="left"/>
      <w:pPr>
        <w:ind w:left="3798" w:hanging="420"/>
      </w:pPr>
    </w:lvl>
    <w:lvl w:ilvl="5" w:tplc="0409001B" w:tentative="1">
      <w:start w:val="1"/>
      <w:numFmt w:val="lowerRoman"/>
      <w:lvlText w:val="%6."/>
      <w:lvlJc w:val="right"/>
      <w:pPr>
        <w:ind w:left="4218" w:hanging="420"/>
      </w:pPr>
    </w:lvl>
    <w:lvl w:ilvl="6" w:tplc="0409000F" w:tentative="1">
      <w:start w:val="1"/>
      <w:numFmt w:val="decimal"/>
      <w:lvlText w:val="%7."/>
      <w:lvlJc w:val="left"/>
      <w:pPr>
        <w:ind w:left="4638" w:hanging="420"/>
      </w:pPr>
    </w:lvl>
    <w:lvl w:ilvl="7" w:tplc="04090019" w:tentative="1">
      <w:start w:val="1"/>
      <w:numFmt w:val="lowerLetter"/>
      <w:lvlText w:val="%8)"/>
      <w:lvlJc w:val="left"/>
      <w:pPr>
        <w:ind w:left="5058" w:hanging="420"/>
      </w:pPr>
    </w:lvl>
    <w:lvl w:ilvl="8" w:tplc="0409001B" w:tentative="1">
      <w:start w:val="1"/>
      <w:numFmt w:val="lowerRoman"/>
      <w:lvlText w:val="%9."/>
      <w:lvlJc w:val="right"/>
      <w:pPr>
        <w:ind w:left="5478"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40"/>
    <w:rsid w:val="00011483"/>
    <w:rsid w:val="00075080"/>
    <w:rsid w:val="000D319F"/>
    <w:rsid w:val="000E4D0E"/>
    <w:rsid w:val="00125AC6"/>
    <w:rsid w:val="00144B69"/>
    <w:rsid w:val="00153E86"/>
    <w:rsid w:val="00163855"/>
    <w:rsid w:val="001B1BD1"/>
    <w:rsid w:val="001B3F49"/>
    <w:rsid w:val="001C3EF2"/>
    <w:rsid w:val="001D17F6"/>
    <w:rsid w:val="001D2C3F"/>
    <w:rsid w:val="00204B42"/>
    <w:rsid w:val="002231C3"/>
    <w:rsid w:val="00243FAD"/>
    <w:rsid w:val="0024417F"/>
    <w:rsid w:val="00250F8D"/>
    <w:rsid w:val="002511F6"/>
    <w:rsid w:val="00273A97"/>
    <w:rsid w:val="002775BF"/>
    <w:rsid w:val="002A6B65"/>
    <w:rsid w:val="002C2DE7"/>
    <w:rsid w:val="002E1C97"/>
    <w:rsid w:val="002F4FA4"/>
    <w:rsid w:val="002F5834"/>
    <w:rsid w:val="0030512A"/>
    <w:rsid w:val="00326EBF"/>
    <w:rsid w:val="00327FE4"/>
    <w:rsid w:val="003724B6"/>
    <w:rsid w:val="00392F6C"/>
    <w:rsid w:val="003B27C9"/>
    <w:rsid w:val="003D7D4D"/>
    <w:rsid w:val="003F27E8"/>
    <w:rsid w:val="00413D23"/>
    <w:rsid w:val="00427F63"/>
    <w:rsid w:val="004A17D1"/>
    <w:rsid w:val="004A7575"/>
    <w:rsid w:val="004B67F2"/>
    <w:rsid w:val="004C4A0A"/>
    <w:rsid w:val="004E59A8"/>
    <w:rsid w:val="00543EBA"/>
    <w:rsid w:val="00551C33"/>
    <w:rsid w:val="00581E42"/>
    <w:rsid w:val="005C5129"/>
    <w:rsid w:val="005D0F8B"/>
    <w:rsid w:val="005D3846"/>
    <w:rsid w:val="005E403A"/>
    <w:rsid w:val="005F00C7"/>
    <w:rsid w:val="006101B5"/>
    <w:rsid w:val="00645F38"/>
    <w:rsid w:val="00680656"/>
    <w:rsid w:val="006B1119"/>
    <w:rsid w:val="006E3E46"/>
    <w:rsid w:val="006E71B1"/>
    <w:rsid w:val="006F3AB7"/>
    <w:rsid w:val="006F3F80"/>
    <w:rsid w:val="00705D89"/>
    <w:rsid w:val="00715FC3"/>
    <w:rsid w:val="00731A42"/>
    <w:rsid w:val="00745312"/>
    <w:rsid w:val="00767E69"/>
    <w:rsid w:val="0077079A"/>
    <w:rsid w:val="00796655"/>
    <w:rsid w:val="007A4CB7"/>
    <w:rsid w:val="007A5599"/>
    <w:rsid w:val="007C708B"/>
    <w:rsid w:val="007F6CDC"/>
    <w:rsid w:val="00816936"/>
    <w:rsid w:val="00856233"/>
    <w:rsid w:val="00860F27"/>
    <w:rsid w:val="00863E51"/>
    <w:rsid w:val="00872863"/>
    <w:rsid w:val="008B0560"/>
    <w:rsid w:val="008B2BFA"/>
    <w:rsid w:val="00936F03"/>
    <w:rsid w:val="00943528"/>
    <w:rsid w:val="00943B69"/>
    <w:rsid w:val="00944CB3"/>
    <w:rsid w:val="009864D6"/>
    <w:rsid w:val="00994524"/>
    <w:rsid w:val="00997E2F"/>
    <w:rsid w:val="009B09D7"/>
    <w:rsid w:val="009D35ED"/>
    <w:rsid w:val="009E455D"/>
    <w:rsid w:val="00A0159C"/>
    <w:rsid w:val="00A03CB6"/>
    <w:rsid w:val="00A1364C"/>
    <w:rsid w:val="00A21076"/>
    <w:rsid w:val="00A3739A"/>
    <w:rsid w:val="00A51F07"/>
    <w:rsid w:val="00A52DAF"/>
    <w:rsid w:val="00A55F5E"/>
    <w:rsid w:val="00A633D5"/>
    <w:rsid w:val="00A84072"/>
    <w:rsid w:val="00AA3EEB"/>
    <w:rsid w:val="00B16570"/>
    <w:rsid w:val="00B44B82"/>
    <w:rsid w:val="00B47B52"/>
    <w:rsid w:val="00B51620"/>
    <w:rsid w:val="00B53320"/>
    <w:rsid w:val="00BC6522"/>
    <w:rsid w:val="00C121D5"/>
    <w:rsid w:val="00C134D9"/>
    <w:rsid w:val="00C17349"/>
    <w:rsid w:val="00C351AA"/>
    <w:rsid w:val="00C7253F"/>
    <w:rsid w:val="00C91F60"/>
    <w:rsid w:val="00CA5EDE"/>
    <w:rsid w:val="00CB4106"/>
    <w:rsid w:val="00CC59E1"/>
    <w:rsid w:val="00CF66BF"/>
    <w:rsid w:val="00D00BDE"/>
    <w:rsid w:val="00D04F98"/>
    <w:rsid w:val="00D26A05"/>
    <w:rsid w:val="00D32465"/>
    <w:rsid w:val="00D94F15"/>
    <w:rsid w:val="00D97B98"/>
    <w:rsid w:val="00DA5440"/>
    <w:rsid w:val="00DC6100"/>
    <w:rsid w:val="00DC671F"/>
    <w:rsid w:val="00DD5D2F"/>
    <w:rsid w:val="00DE4DA7"/>
    <w:rsid w:val="00DF4D40"/>
    <w:rsid w:val="00E33B38"/>
    <w:rsid w:val="00E47FE5"/>
    <w:rsid w:val="00E574AF"/>
    <w:rsid w:val="00E61599"/>
    <w:rsid w:val="00EF1114"/>
    <w:rsid w:val="00F0702A"/>
    <w:rsid w:val="00F57BC9"/>
    <w:rsid w:val="00F714DA"/>
    <w:rsid w:val="00F90004"/>
    <w:rsid w:val="00FA5AF6"/>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BEA07"/>
  <w15:docId w15:val="{34C8749E-8051-4970-833E-32E1A43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semiHidden/>
    <w:rsid w:val="00645F38"/>
    <w:rPr>
      <w:color w:val="auto"/>
      <w:u w:val="none"/>
    </w:rPr>
  </w:style>
  <w:style w:type="paragraph" w:customStyle="1" w:styleId="HChG">
    <w:name w:val="_ H _Ch_G"/>
    <w:basedOn w:val="a"/>
    <w:next w:val="a"/>
    <w:rsid w:val="0030512A"/>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30512A"/>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H23G">
    <w:name w:val="_ H_2/3_G"/>
    <w:basedOn w:val="a"/>
    <w:next w:val="a"/>
    <w:rsid w:val="0030512A"/>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SingleTxtG">
    <w:name w:val="_ Single Txt_G"/>
    <w:basedOn w:val="a"/>
    <w:link w:val="SingleTxtGChar"/>
    <w:rsid w:val="0030512A"/>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30512A"/>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6FB3-5A2E-4ED8-95BB-7EE4ED9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8721</Words>
  <Characters>9097</Characters>
  <Application>Microsoft Office Word</Application>
  <DocSecurity>0</DocSecurity>
  <Lines>316</Lines>
  <Paragraphs>83</Paragraphs>
  <ScaleCrop>false</ScaleCrop>
  <Company>DCM</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CRPD/C/20/D/35/2016</dc:title>
  <dc:subject>1822328</dc:subject>
  <dc:creator>WUJS</dc:creator>
  <cp:keywords/>
  <dc:description/>
  <cp:lastModifiedBy>Xiaoqing Yang</cp:lastModifiedBy>
  <cp:revision>2</cp:revision>
  <cp:lastPrinted>2014-05-09T11:28:00Z</cp:lastPrinted>
  <dcterms:created xsi:type="dcterms:W3CDTF">2019-01-22T15:52:00Z</dcterms:created>
  <dcterms:modified xsi:type="dcterms:W3CDTF">2019-01-22T15:52:00Z</dcterms:modified>
</cp:coreProperties>
</file>