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1CF18D2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6021FD" w14:textId="77777777" w:rsidR="002D5AAC" w:rsidRDefault="002D5AAC" w:rsidP="00B145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A04AEEB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0B74498" w14:textId="77777777" w:rsidR="002D5AAC" w:rsidRDefault="00B145C5" w:rsidP="00B145C5">
            <w:pPr>
              <w:jc w:val="right"/>
            </w:pPr>
            <w:r w:rsidRPr="00B145C5">
              <w:rPr>
                <w:sz w:val="40"/>
              </w:rPr>
              <w:t>CCPR</w:t>
            </w:r>
            <w:r>
              <w:t>/C/PRY/CO/4</w:t>
            </w:r>
          </w:p>
        </w:tc>
      </w:tr>
      <w:tr w:rsidR="002D5AAC" w:rsidRPr="00A8799D" w14:paraId="691DFC06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F7DA19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865BC7" wp14:editId="1C7BC3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76E40F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F17F60F" w14:textId="77777777" w:rsidR="002D5AAC" w:rsidRPr="00B145C5" w:rsidRDefault="00B145C5" w:rsidP="00BC3629">
            <w:pPr>
              <w:spacing w:before="240"/>
              <w:rPr>
                <w:lang w:val="en-US"/>
              </w:rPr>
            </w:pPr>
            <w:r w:rsidRPr="00B145C5">
              <w:rPr>
                <w:lang w:val="en-US"/>
              </w:rPr>
              <w:t>Distr.: General</w:t>
            </w:r>
          </w:p>
          <w:p w14:paraId="7547526C" w14:textId="77777777" w:rsidR="00B145C5" w:rsidRPr="00B145C5" w:rsidRDefault="00B145C5" w:rsidP="00B145C5">
            <w:pPr>
              <w:spacing w:line="240" w:lineRule="exact"/>
              <w:rPr>
                <w:lang w:val="en-US"/>
              </w:rPr>
            </w:pPr>
            <w:r w:rsidRPr="00B145C5">
              <w:rPr>
                <w:lang w:val="en-US"/>
              </w:rPr>
              <w:t>20 August 2019</w:t>
            </w:r>
          </w:p>
          <w:p w14:paraId="4C31E32F" w14:textId="77777777" w:rsidR="00B145C5" w:rsidRPr="00B145C5" w:rsidRDefault="00B145C5" w:rsidP="00B145C5">
            <w:pPr>
              <w:spacing w:line="240" w:lineRule="exact"/>
              <w:rPr>
                <w:lang w:val="en-US"/>
              </w:rPr>
            </w:pPr>
            <w:r w:rsidRPr="00B145C5">
              <w:rPr>
                <w:lang w:val="en-US"/>
              </w:rPr>
              <w:t>Russian</w:t>
            </w:r>
          </w:p>
          <w:p w14:paraId="30E555EC" w14:textId="77777777" w:rsidR="00B145C5" w:rsidRPr="00B145C5" w:rsidRDefault="00B145C5" w:rsidP="00B145C5">
            <w:pPr>
              <w:spacing w:line="240" w:lineRule="exact"/>
              <w:rPr>
                <w:lang w:val="en-US"/>
              </w:rPr>
            </w:pPr>
            <w:r w:rsidRPr="00B145C5">
              <w:rPr>
                <w:lang w:val="en-US"/>
              </w:rPr>
              <w:t>Original: Spanish</w:t>
            </w:r>
          </w:p>
        </w:tc>
      </w:tr>
    </w:tbl>
    <w:p w14:paraId="3E5A6259" w14:textId="77777777" w:rsidR="00B145C5" w:rsidRPr="00A8799D" w:rsidRDefault="00B145C5" w:rsidP="00B145C5">
      <w:pPr>
        <w:spacing w:before="120"/>
        <w:rPr>
          <w:rFonts w:ascii="Times New Roman Bold" w:hAnsi="Times New Roman Bold"/>
          <w:b/>
          <w:color w:val="000000"/>
          <w:sz w:val="24"/>
          <w:szCs w:val="24"/>
        </w:rPr>
      </w:pPr>
      <w:r w:rsidRPr="00906561">
        <w:rPr>
          <w:b/>
          <w:bCs/>
          <w:sz w:val="24"/>
          <w:szCs w:val="24"/>
        </w:rPr>
        <w:t>Комитет по правам человека</w:t>
      </w:r>
    </w:p>
    <w:p w14:paraId="2C7BC6F3" w14:textId="77777777" w:rsidR="00B145C5" w:rsidRPr="000455BF" w:rsidRDefault="00B145C5" w:rsidP="00B145C5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четвертому периодическому докладу Парагвая</w:t>
      </w:r>
      <w:r w:rsidRPr="0090656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38C3138" w14:textId="77777777" w:rsidR="00B145C5" w:rsidRPr="000455BF" w:rsidRDefault="00B145C5" w:rsidP="00B145C5">
      <w:pPr>
        <w:spacing w:after="120"/>
        <w:ind w:left="1134" w:right="1134"/>
        <w:jc w:val="both"/>
      </w:pPr>
      <w:r>
        <w:t>1.</w:t>
      </w:r>
      <w:r>
        <w:tab/>
        <w:t>Комитет рассмотрел четвертый периодический доклад Парагвая (CCPR/C/PRY/4) на своих 3621-м и 3622-м заседаниях (CCPR/C/SR.3621 и 3622), состоявшихся 9 и 10 июля 2019 года. На своем 3638-м заседании, состоявшемся 22</w:t>
      </w:r>
      <w:r w:rsidR="00906561">
        <w:rPr>
          <w:lang w:val="en-US"/>
        </w:rPr>
        <w:t> </w:t>
      </w:r>
      <w:r>
        <w:t>июля 2019 года (CCPR/C/SR.3638), он принял настоящие заключительные замечания.</w:t>
      </w:r>
    </w:p>
    <w:p w14:paraId="5448FC1F" w14:textId="77777777" w:rsidR="00B145C5" w:rsidRPr="00906561" w:rsidRDefault="00906561" w:rsidP="00906561">
      <w:pPr>
        <w:pStyle w:val="H1G"/>
      </w:pPr>
      <w:r>
        <w:tab/>
      </w:r>
      <w:r w:rsidR="00B145C5" w:rsidRPr="00906561">
        <w:t>A.</w:t>
      </w:r>
      <w:r w:rsidR="00B145C5" w:rsidRPr="00906561">
        <w:tab/>
        <w:t>Введение</w:t>
      </w:r>
    </w:p>
    <w:p w14:paraId="0EFD15BE" w14:textId="77777777" w:rsidR="00B145C5" w:rsidRPr="000455BF" w:rsidRDefault="00B145C5" w:rsidP="00B145C5">
      <w:pPr>
        <w:spacing w:after="120"/>
        <w:ind w:left="1134" w:right="1134"/>
        <w:jc w:val="both"/>
      </w:pPr>
      <w:r>
        <w:t>2.</w:t>
      </w:r>
      <w:r>
        <w:tab/>
        <w:t>Комитет признателен государству-участнику за согласие следовать упрощенной процедуре отчетности и представление своего четвертого периодического доклада в ответ на перечень вопросов, направляемый до получения доклада, который был подготовлен в рамках этой процедуры (CCPR/C/PRY/QPR/4). Он выражает признательность за возможность возобновления конструктивного диалога с делегацией государства-участника по вопросу о мерах, принятых за отчетный период с целью осуществления положений Пакта. Комитет благодарит государство-участник за устные ответы членов делегации, а также за представленную ему в письменном виде обширную дополнительную информацию.</w:t>
      </w:r>
    </w:p>
    <w:p w14:paraId="1E37E3C1" w14:textId="77777777" w:rsidR="00B145C5" w:rsidRPr="000455BF" w:rsidRDefault="005F71FA" w:rsidP="00906561">
      <w:pPr>
        <w:pStyle w:val="H1G"/>
      </w:pPr>
      <w:r>
        <w:tab/>
      </w:r>
      <w:r w:rsidR="00B145C5">
        <w:t>B.</w:t>
      </w:r>
      <w:r w:rsidR="00B145C5">
        <w:tab/>
        <w:t>Позитивные аспекты</w:t>
      </w:r>
    </w:p>
    <w:p w14:paraId="612932C3" w14:textId="77777777" w:rsidR="00B145C5" w:rsidRPr="000455BF" w:rsidRDefault="00B145C5" w:rsidP="00B145C5">
      <w:pPr>
        <w:spacing w:after="120"/>
        <w:ind w:left="1134" w:right="1134"/>
        <w:jc w:val="both"/>
      </w:pPr>
      <w:r>
        <w:t>3.</w:t>
      </w:r>
      <w:r>
        <w:tab/>
        <w:t>Комитет приветствует принятые государством-участником в рассматриваемый период следующие законодательные и институциональные меры в области гражданских и политических прав:</w:t>
      </w:r>
    </w:p>
    <w:p w14:paraId="048D3FE8" w14:textId="77777777" w:rsidR="00B145C5" w:rsidRPr="00F43921" w:rsidRDefault="00B145C5" w:rsidP="00B145C5">
      <w:pPr>
        <w:spacing w:after="120"/>
        <w:ind w:left="1134" w:right="1134" w:firstLine="567"/>
        <w:jc w:val="both"/>
      </w:pPr>
      <w:r>
        <w:t>a)</w:t>
      </w:r>
      <w:r>
        <w:tab/>
      </w:r>
      <w:r w:rsidRPr="001A76E8">
        <w:t>постановление № 4367</w:t>
      </w:r>
      <w:r>
        <w:t xml:space="preserve"> от 2015 года о расширении полномочий межведомственной комиссии, отвечающей за осуществление необходимых мер по выполнению международных решений, с целью отнесения к ее ведению вопросов, касающихся рекомендаций и соображений правозащитных механизмов Организации Объединенных Наций, и принятия последующих мер в связи с ними, а также с целью обеспечения участия представителей гражданского общества;</w:t>
      </w:r>
    </w:p>
    <w:p w14:paraId="39D94B53" w14:textId="77777777" w:rsidR="00B145C5" w:rsidRPr="00C60FCC" w:rsidRDefault="00B145C5" w:rsidP="00B145C5">
      <w:pPr>
        <w:spacing w:after="120"/>
        <w:ind w:left="1134" w:right="1134" w:firstLine="567"/>
        <w:jc w:val="both"/>
      </w:pPr>
      <w:r>
        <w:t>b)</w:t>
      </w:r>
      <w:r>
        <w:tab/>
      </w:r>
      <w:r w:rsidRPr="001A76E8">
        <w:t>постановление № 4368</w:t>
      </w:r>
      <w:r>
        <w:t xml:space="preserve"> от 2015 года о создании Системы контроля за выполнением международных рекомендаций в области прав человека (СИМОРЕ), национального механизма, состоящего из более 80 координационных центров и 37</w:t>
      </w:r>
      <w:r w:rsidR="005F71FA">
        <w:rPr>
          <w:lang w:val="en-US"/>
        </w:rPr>
        <w:t> </w:t>
      </w:r>
      <w:r>
        <w:t xml:space="preserve">государственных учреждений и </w:t>
      </w:r>
      <w:r w:rsidRPr="00555F4C">
        <w:t>предложенного в духе сотрудничества еще другим семи странам</w:t>
      </w:r>
      <w:r>
        <w:t>;</w:t>
      </w:r>
    </w:p>
    <w:p w14:paraId="602B70CA" w14:textId="77777777" w:rsidR="00B145C5" w:rsidRPr="000455BF" w:rsidRDefault="00B145C5" w:rsidP="00B145C5">
      <w:pPr>
        <w:spacing w:after="120"/>
        <w:ind w:left="1134" w:right="1134" w:firstLine="567"/>
        <w:jc w:val="both"/>
      </w:pPr>
      <w:r>
        <w:lastRenderedPageBreak/>
        <w:t>c)</w:t>
      </w:r>
      <w:r>
        <w:tab/>
      </w:r>
      <w:r w:rsidRPr="001A76E8">
        <w:t>закон № 5419</w:t>
      </w:r>
      <w:r>
        <w:t xml:space="preserve"> от 2015 года о внесении поправок в Гражданский кодекс и повышении возраста вступления в брак до 18 лет;</w:t>
      </w:r>
    </w:p>
    <w:p w14:paraId="7D92D3B7" w14:textId="77777777" w:rsidR="00B145C5" w:rsidRPr="000455BF" w:rsidRDefault="00B145C5" w:rsidP="00B145C5">
      <w:pPr>
        <w:spacing w:after="120"/>
        <w:ind w:left="1134" w:right="1134" w:firstLine="567"/>
        <w:jc w:val="both"/>
      </w:pPr>
      <w:r>
        <w:t>d)</w:t>
      </w:r>
      <w:r>
        <w:tab/>
      </w:r>
      <w:r w:rsidRPr="000B20EB">
        <w:t xml:space="preserve">закон № 5777 от 2016 года </w:t>
      </w:r>
      <w:r w:rsidR="005F71FA">
        <w:t>«</w:t>
      </w:r>
      <w:r w:rsidRPr="000B20EB">
        <w:t>О всесторонней защите женщин от всех форм насилия</w:t>
      </w:r>
      <w:r w:rsidR="005F71FA">
        <w:t>»</w:t>
      </w:r>
      <w:r w:rsidRPr="000B20EB">
        <w:t xml:space="preserve"> </w:t>
      </w:r>
      <w:r w:rsidRPr="001A76E8">
        <w:t>и нормативное постановление</w:t>
      </w:r>
      <w:r>
        <w:t xml:space="preserve"> к нему № 6973, в котором </w:t>
      </w:r>
      <w:proofErr w:type="spellStart"/>
      <w:r>
        <w:t>фемицид</w:t>
      </w:r>
      <w:proofErr w:type="spellEnd"/>
      <w:r>
        <w:t xml:space="preserve"> квалифицируется в качестве уголовного преступления;</w:t>
      </w:r>
    </w:p>
    <w:p w14:paraId="04D107A0" w14:textId="77777777" w:rsidR="00B145C5" w:rsidRPr="000455BF" w:rsidRDefault="00B145C5" w:rsidP="00B145C5">
      <w:pPr>
        <w:spacing w:after="120"/>
        <w:ind w:left="1134" w:right="1134" w:firstLine="567"/>
        <w:jc w:val="both"/>
      </w:pPr>
      <w:r>
        <w:t>e)</w:t>
      </w:r>
      <w:r>
        <w:tab/>
      </w:r>
      <w:r w:rsidRPr="001A76E8">
        <w:t>приказ</w:t>
      </w:r>
      <w:r>
        <w:t xml:space="preserve"> № 309 от 2016 года об утверждении Общего протокола оказания помощи жертвам торговли людьми;</w:t>
      </w:r>
    </w:p>
    <w:p w14:paraId="621E2737" w14:textId="77777777" w:rsidR="00B145C5" w:rsidRPr="000455BF" w:rsidRDefault="00B145C5" w:rsidP="00B145C5">
      <w:pPr>
        <w:spacing w:after="120"/>
        <w:ind w:left="1134" w:right="1134" w:firstLine="567"/>
        <w:jc w:val="both"/>
      </w:pPr>
      <w:r w:rsidRPr="001A76E8">
        <w:t>f)</w:t>
      </w:r>
      <w:r>
        <w:tab/>
        <w:t>постановление № 5140 от 2016 года, на основании которого был утвержден Национальный план действий по борьбе с насилием в отношении женщин на период 2015–2020 годов;</w:t>
      </w:r>
    </w:p>
    <w:p w14:paraId="39D35B9F" w14:textId="77777777" w:rsidR="00B145C5" w:rsidRPr="000455BF" w:rsidRDefault="00B145C5" w:rsidP="00B145C5">
      <w:pPr>
        <w:spacing w:after="120"/>
        <w:ind w:left="1134" w:right="1134" w:firstLine="567"/>
        <w:jc w:val="both"/>
      </w:pPr>
      <w:r>
        <w:t>g)</w:t>
      </w:r>
      <w:r>
        <w:tab/>
        <w:t xml:space="preserve">закон № 5407 от 2015 года о труде домашних работников, который запрещает использовать несовершеннолетних в возрасте </w:t>
      </w:r>
      <w:r w:rsidR="00F028C0">
        <w:t>моложе</w:t>
      </w:r>
      <w:r>
        <w:t xml:space="preserve"> 18 лет в качестве домашних работников, а также закон № 6338 от 2019 года о внесении поправок в статью 10 закона № 5407/12 в целях предоставления домашним работникам права на официальную минимальную заработную плату.</w:t>
      </w:r>
    </w:p>
    <w:p w14:paraId="7C6EB927" w14:textId="77777777" w:rsidR="00B145C5" w:rsidRPr="00906561" w:rsidRDefault="00F028C0" w:rsidP="00906561">
      <w:pPr>
        <w:pStyle w:val="H1G"/>
      </w:pPr>
      <w:r>
        <w:tab/>
      </w:r>
      <w:r w:rsidR="00B145C5" w:rsidRPr="00906561">
        <w:t>C.</w:t>
      </w:r>
      <w:r w:rsidR="00B145C5" w:rsidRPr="00906561">
        <w:tab/>
        <w:t>Основные вопросы, вызывающие обеспокоенность, и</w:t>
      </w:r>
      <w:r w:rsidR="005F71FA">
        <w:rPr>
          <w:lang w:val="en-US"/>
        </w:rPr>
        <w:t> </w:t>
      </w:r>
      <w:r w:rsidR="00B145C5" w:rsidRPr="00906561">
        <w:t>рекомендации</w:t>
      </w:r>
    </w:p>
    <w:p w14:paraId="3EC1F791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>Осуществление Пакта во внутренней правовой системе</w:t>
      </w:r>
    </w:p>
    <w:p w14:paraId="32434CD2" w14:textId="77777777" w:rsidR="00B145C5" w:rsidRPr="000455BF" w:rsidRDefault="00B145C5" w:rsidP="00B145C5">
      <w:pPr>
        <w:spacing w:after="120"/>
        <w:ind w:left="1134" w:right="1134"/>
        <w:jc w:val="both"/>
      </w:pPr>
      <w:r>
        <w:t>4.</w:t>
      </w:r>
      <w:r>
        <w:tab/>
        <w:t>Отмечая, что ратифицированные государством-участником международные договоры имеют приоритет над внутренним законодательством, за исключением Конституции, Комитет с обеспокоенностью обращает внимание на небольш</w:t>
      </w:r>
      <w:r w:rsidR="005F71FA">
        <w:t>о</w:t>
      </w:r>
      <w:r>
        <w:t>е количество дел, в рамках которых правоприменительные органы ссылались на положения Пакта или применяли их (статья 2).</w:t>
      </w:r>
    </w:p>
    <w:p w14:paraId="5AE6D148" w14:textId="77777777" w:rsidR="00B145C5" w:rsidRPr="00C60FCC" w:rsidRDefault="00B145C5" w:rsidP="00B145C5">
      <w:pPr>
        <w:spacing w:after="120"/>
        <w:ind w:left="1134" w:right="1134"/>
        <w:jc w:val="both"/>
      </w:pPr>
      <w:r>
        <w:t>5.</w:t>
      </w:r>
      <w:r>
        <w:tab/>
      </w:r>
      <w:r>
        <w:rPr>
          <w:b/>
          <w:bCs/>
        </w:rPr>
        <w:t>Государству-участнику следует повышать уровень осведомленности о Пакте и его первом Факультативном протоколе среди судей, прокуроров и адвокатов, с тем чтобы гарантировать учет и применение их положений в национальных судах.</w:t>
      </w:r>
    </w:p>
    <w:p w14:paraId="63F78B73" w14:textId="77777777" w:rsidR="00B145C5" w:rsidRPr="000455BF" w:rsidRDefault="00B145C5" w:rsidP="00B145C5">
      <w:pPr>
        <w:pStyle w:val="H23G"/>
      </w:pPr>
      <w:r>
        <w:tab/>
      </w:r>
      <w:r>
        <w:tab/>
      </w:r>
      <w:r>
        <w:rPr>
          <w:bCs/>
        </w:rPr>
        <w:t>Осуществление Пакта и его Факультативного протокола</w:t>
      </w:r>
    </w:p>
    <w:p w14:paraId="2AADA1E1" w14:textId="77777777" w:rsidR="00B145C5" w:rsidRPr="000455BF" w:rsidRDefault="00B145C5" w:rsidP="00B145C5">
      <w:pPr>
        <w:spacing w:after="120"/>
        <w:ind w:left="1134" w:right="1134"/>
        <w:jc w:val="both"/>
      </w:pPr>
      <w:r>
        <w:t>6.</w:t>
      </w:r>
      <w:r>
        <w:tab/>
        <w:t>Комитет обеспокоен тем, что государство-участник до сих пор не выполнило в полном объеме Соображения, принятые Комитетом (</w:t>
      </w:r>
      <w:proofErr w:type="spellStart"/>
      <w:r w:rsidRPr="001A76E8">
        <w:rPr>
          <w:i/>
          <w:iCs/>
        </w:rPr>
        <w:t>Асенси</w:t>
      </w:r>
      <w:proofErr w:type="spellEnd"/>
      <w:r w:rsidRPr="001A76E8">
        <w:rPr>
          <w:i/>
          <w:iCs/>
        </w:rPr>
        <w:t xml:space="preserve"> Мартинес против Парагвая</w:t>
      </w:r>
      <w:r w:rsidRPr="001A76E8">
        <w:t xml:space="preserve"> (CCPR/C/95/D/1407/2005); </w:t>
      </w:r>
      <w:r w:rsidRPr="001A76E8">
        <w:rPr>
          <w:i/>
          <w:iCs/>
        </w:rPr>
        <w:t>Бланко Домингес против Парагвая</w:t>
      </w:r>
      <w:r w:rsidRPr="001A76E8">
        <w:t xml:space="preserve"> (CCPR/C/104/</w:t>
      </w:r>
      <w:r w:rsidR="005F71FA">
        <w:t xml:space="preserve"> </w:t>
      </w:r>
      <w:r w:rsidRPr="001A76E8">
        <w:t xml:space="preserve">D/1828/2008); </w:t>
      </w:r>
      <w:r w:rsidRPr="001A76E8">
        <w:rPr>
          <w:i/>
          <w:iCs/>
        </w:rPr>
        <w:t xml:space="preserve">Бенитес </w:t>
      </w:r>
      <w:proofErr w:type="spellStart"/>
      <w:r w:rsidRPr="001A76E8">
        <w:rPr>
          <w:i/>
          <w:iCs/>
        </w:rPr>
        <w:t>Гамарра</w:t>
      </w:r>
      <w:proofErr w:type="spellEnd"/>
      <w:r w:rsidRPr="001A76E8">
        <w:rPr>
          <w:i/>
          <w:iCs/>
        </w:rPr>
        <w:t xml:space="preserve"> против Парагвая</w:t>
      </w:r>
      <w:r w:rsidRPr="001A76E8">
        <w:t xml:space="preserve"> (CCPR/C/104/D/1829/2008) и</w:t>
      </w:r>
      <w:r w:rsidR="005F71FA">
        <w:t> </w:t>
      </w:r>
      <w:r w:rsidRPr="001A76E8">
        <w:rPr>
          <w:i/>
          <w:iCs/>
        </w:rPr>
        <w:t>Хименес против Парагвая</w:t>
      </w:r>
      <w:r>
        <w:t xml:space="preserve"> (CCPR/C/123/D/2372/2014)) (статья 2).</w:t>
      </w:r>
    </w:p>
    <w:p w14:paraId="62280C2E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7.</w:t>
      </w:r>
      <w:r>
        <w:tab/>
      </w:r>
      <w:r>
        <w:rPr>
          <w:b/>
          <w:bCs/>
        </w:rPr>
        <w:t>Государству-участнику следует принять необходимые меры в целях эффективного и полного выполнения Соображений Комитета и тем самым обеспечивать жертвам эффективные средства правовой защиты.</w:t>
      </w:r>
    </w:p>
    <w:p w14:paraId="35681994" w14:textId="77777777" w:rsidR="00B145C5" w:rsidRPr="000455BF" w:rsidRDefault="00B145C5" w:rsidP="00B145C5">
      <w:pPr>
        <w:pStyle w:val="H23G"/>
      </w:pPr>
      <w:r>
        <w:tab/>
      </w:r>
      <w:r>
        <w:tab/>
      </w:r>
      <w:r>
        <w:rPr>
          <w:bCs/>
        </w:rPr>
        <w:t>Национальный план действий в области прав человека</w:t>
      </w:r>
    </w:p>
    <w:p w14:paraId="75AA0693" w14:textId="77777777" w:rsidR="00B145C5" w:rsidRPr="000455BF" w:rsidRDefault="00B145C5" w:rsidP="00B145C5">
      <w:pPr>
        <w:spacing w:after="120"/>
        <w:ind w:left="1134" w:right="1134"/>
        <w:jc w:val="both"/>
      </w:pPr>
      <w:r>
        <w:t>8.</w:t>
      </w:r>
      <w:r>
        <w:tab/>
        <w:t>Комитет обеспокоен сообщениями о неполном осуществлении Национального плана действий в области прав человека и отсутствии достаточного количества ресурсов для его выполнения, а также тем фактом, что не был проведен его пересмотр в целях включения в него соглашений и договоренностей, достигнутых с государственными учреждениями и гражданским обществом, до его утверждения.</w:t>
      </w:r>
    </w:p>
    <w:p w14:paraId="16CB1E01" w14:textId="77777777" w:rsidR="00B145C5" w:rsidRPr="000455BF" w:rsidRDefault="00B145C5" w:rsidP="00B145C5">
      <w:pPr>
        <w:spacing w:after="120"/>
        <w:ind w:left="1134" w:right="1134"/>
        <w:jc w:val="both"/>
      </w:pPr>
      <w:r>
        <w:t>9.</w:t>
      </w:r>
      <w:r>
        <w:tab/>
      </w:r>
      <w:r>
        <w:rPr>
          <w:b/>
          <w:bCs/>
        </w:rPr>
        <w:t>Государству-участнику следует продолжать предпринимать усилия в целях эффективного осуществления и периодического мониторинга Национального плана действий в области прав человека и выделения ему необходимых людских, финансовых и технических ресурсов.</w:t>
      </w:r>
      <w:r>
        <w:t xml:space="preserve"> </w:t>
      </w:r>
      <w:r>
        <w:rPr>
          <w:b/>
          <w:bCs/>
        </w:rPr>
        <w:t>Ему следует также обеспечить активное участие гражданского общества, в том числе меньшинств, в разработке и осуществлении Плана.</w:t>
      </w:r>
    </w:p>
    <w:p w14:paraId="094AD5B9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>Национальные правозащитные учреждения</w:t>
      </w:r>
    </w:p>
    <w:p w14:paraId="16F5C704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10.</w:t>
      </w:r>
      <w:r>
        <w:tab/>
        <w:t xml:space="preserve">Комитет с сожалением отмечает, что после приостановления аккредитации Канцелярии Омбудсмена в 2014 году она не в полной мере соответствует принципам, касающимся статуса национальных учреждений, занимающихся поощрением и защитой прав человека (Парижские принципы), и что в марте 2019 года ей был присвоен статус </w:t>
      </w:r>
      <w:r w:rsidR="005F71FA">
        <w:t>«</w:t>
      </w:r>
      <w:r>
        <w:t>В</w:t>
      </w:r>
      <w:r w:rsidR="005F71FA">
        <w:t>»</w:t>
      </w:r>
      <w:r>
        <w:t>. В частности, Комитет обеспокоен вопросами, касающимися отбора и назначения омбудсмена, процедуры отстранения от должности, а также отсутствия достаточного количества ресурсов (статья 2).</w:t>
      </w:r>
    </w:p>
    <w:p w14:paraId="6DE0AFC1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11.</w:t>
      </w:r>
      <w:r>
        <w:tab/>
      </w:r>
      <w:r>
        <w:rPr>
          <w:b/>
          <w:bCs/>
        </w:rPr>
        <w:t>Государству-участнику следует принять необходимые меры, в том числе на конституционном уровне, по обеспечению приведения Канцелярии Омбудсмена в полное соответствие с Парижскими принципами.</w:t>
      </w:r>
      <w:r>
        <w:t xml:space="preserve"> </w:t>
      </w:r>
      <w:r>
        <w:rPr>
          <w:b/>
          <w:bCs/>
        </w:rPr>
        <w:t>В частности, государству-участнику следует официально закрепить и осуществлять четкий, транспарентный и основанный на участии процесс отбора и назначения;</w:t>
      </w:r>
      <w:r>
        <w:t xml:space="preserve"> </w:t>
      </w:r>
      <w:r>
        <w:rPr>
          <w:b/>
          <w:bCs/>
        </w:rPr>
        <w:t>выделять достаточное количество финансовых и людских ресурсов, с тем чтобы она могла выполнять свой мандат;</w:t>
      </w:r>
      <w:r>
        <w:t xml:space="preserve"> </w:t>
      </w:r>
      <w:r>
        <w:rPr>
          <w:b/>
          <w:bCs/>
        </w:rPr>
        <w:t>и увеличить степень ее взаимодействия с региональными и международными правозащитными системами.</w:t>
      </w:r>
    </w:p>
    <w:p w14:paraId="5FC36E01" w14:textId="77777777" w:rsidR="00B145C5" w:rsidRPr="000455BF" w:rsidRDefault="00B145C5" w:rsidP="00B145C5">
      <w:pPr>
        <w:pStyle w:val="H23G"/>
      </w:pPr>
      <w:r>
        <w:tab/>
      </w:r>
      <w:r>
        <w:tab/>
      </w:r>
      <w:r>
        <w:tab/>
      </w:r>
      <w:r>
        <w:rPr>
          <w:bCs/>
        </w:rPr>
        <w:t>Нарушения прав человека в период диктатуры</w:t>
      </w:r>
    </w:p>
    <w:p w14:paraId="676015F8" w14:textId="77777777" w:rsidR="00B145C5" w:rsidRPr="000455BF" w:rsidRDefault="00B145C5" w:rsidP="00B145C5">
      <w:pPr>
        <w:keepNext/>
        <w:keepLines/>
        <w:tabs>
          <w:tab w:val="right" w:pos="851"/>
        </w:tabs>
        <w:spacing w:before="240" w:after="120" w:line="240" w:lineRule="exact"/>
        <w:ind w:left="1134" w:right="1134"/>
        <w:jc w:val="both"/>
      </w:pPr>
      <w:r>
        <w:t>12.</w:t>
      </w:r>
      <w:r>
        <w:tab/>
        <w:t>Комитет выражает обеспокоенность по поводу незначительного и медленного прогресса в расследовании, судебном преследовании и осуждении виновных в совершении грубых нарушений прав человека, включая насильственные исчезновения, пытки, внесудебные казни и незаконное содержание под стражей, имевшие место в период диктатуры (1954</w:t>
      </w:r>
      <w:r w:rsidR="005F71FA">
        <w:t>–</w:t>
      </w:r>
      <w:r>
        <w:t>1989 годы) и в переходный период, продлившийся до 2003 года. Комитет с особой обеспокоенностью отмечает, что бездействие в уголовном судопроизводстве, будь то со стороны прокуратуры или судебных органов, привело к прекращению уголовных разбирательств, касающихся случаев пыток. Кроме того, Комитет обеспокоен незначительным прогрессом в деле предоставления жертвам и их семьям возмещения, а также сообщениями о нерегулярных выплатах компенсаций в связи с ретроспективным применением поправок к закону № 838/96, что идет в ущерб жертвам, причем закон № 4381/11 изменил полномочия Генеральной прокуратуры Республики, сделав ее решения обязательными для исполнения Канцелярией Омбудсмена. Отмечая усилия по розыску и идентификации пропавших без вести лиц, в том числе создание банка генетических данных, Комитет выражает обеспокоенность по поводу медленных темпов прогресса в этой области (статьи 2, 6 и 7).</w:t>
      </w:r>
    </w:p>
    <w:p w14:paraId="6C37C3BA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13.</w:t>
      </w:r>
      <w:r>
        <w:tab/>
      </w:r>
      <w:r>
        <w:rPr>
          <w:b/>
          <w:bCs/>
        </w:rPr>
        <w:t>Государству-участнику следует:</w:t>
      </w:r>
    </w:p>
    <w:p w14:paraId="325CA158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 надлежащее расследование всех случаев грубых нарушений прав человека, имевших место во время диктатуры (1954</w:t>
      </w:r>
      <w:r w:rsidR="005F71FA">
        <w:rPr>
          <w:b/>
          <w:bCs/>
        </w:rPr>
        <w:t>–</w:t>
      </w:r>
      <w:r>
        <w:rPr>
          <w:b/>
          <w:bCs/>
        </w:rPr>
        <w:t>1989 годов) и переходного периода, продлившегося до 2003 года, а также оперативное судебное преследование лиц, виновных в их совершении, и назначение им соответствующих мер наказания;</w:t>
      </w:r>
    </w:p>
    <w:p w14:paraId="26A680AA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 всем жертвам и членам их семей незамедлительный, справедливый и эффективный доступ к компенсации и возмещению в полном объеме, независимо от того, когда был подан соответствующий иск;</w:t>
      </w:r>
    </w:p>
    <w:p w14:paraId="5CA2CF79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ускорить розыск пропавших без вести лиц и идентификацию останков, найденных в контексте расследования случаев насильственных исчезновений, и обеспечить выделение необходимых людских, технических и финансовых ресурсов для этой цели.</w:t>
      </w:r>
    </w:p>
    <w:p w14:paraId="6CFE4D5D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 xml:space="preserve">Принцип </w:t>
      </w:r>
      <w:proofErr w:type="spellStart"/>
      <w:r w:rsidRPr="00906561">
        <w:t>недискриминации</w:t>
      </w:r>
      <w:proofErr w:type="spellEnd"/>
    </w:p>
    <w:p w14:paraId="72EAE503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14.</w:t>
      </w:r>
      <w:r>
        <w:tab/>
        <w:t xml:space="preserve">Комитет по-прежнему обеспокоен отсутствием всеобъемлющей нормативно-правовой базы в области борьбы с дискриминацией, а также сохранением дискриминации в отношении женщин, </w:t>
      </w:r>
      <w:proofErr w:type="spellStart"/>
      <w:r>
        <w:t>афропарагвайцев</w:t>
      </w:r>
      <w:proofErr w:type="spellEnd"/>
      <w:r>
        <w:t xml:space="preserve">, коренных народов, инвалидов, работников секс-индустрии, лесбиянок, геев, бисексуалов, трансгендеров и </w:t>
      </w:r>
      <w:proofErr w:type="spellStart"/>
      <w:r>
        <w:t>интерсексов</w:t>
      </w:r>
      <w:proofErr w:type="spellEnd"/>
      <w:r>
        <w:t xml:space="preserve"> (ЛГБТИ), а также лиц, инфицированных ВИЧ, особенно в таких областях, как образование, здравоохранение и трудоустройство. Он обеспокоен также сообщениями об ограничениях права ЛГБТИ на свободу ассоциации; финансировании гомофобных организаций за счет государственных средств; преступлениях на почве ненависти и насилия в отношении ЛГБТИ, в частности трансгендеров, а также высоком уровне безнаказанности за эти преступления (статьи 2, 3, 6, 7, 17, 21, 26 и 27).</w:t>
      </w:r>
    </w:p>
    <w:p w14:paraId="3860AA96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15.</w:t>
      </w:r>
      <w:r>
        <w:tab/>
      </w:r>
      <w:r>
        <w:rPr>
          <w:b/>
          <w:bCs/>
        </w:rPr>
        <w:t>Государству-участнику следует:</w:t>
      </w:r>
    </w:p>
    <w:p w14:paraId="6F7D1820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принять всеобъемлющее законодательство о запрете дискриминации, включая множественную, прямую и косвенную дискриминацию, во всех сферах и как в государственном, так и в частном секторе, по любым основаниям, перечисленным в Пакте;</w:t>
      </w:r>
    </w:p>
    <w:p w14:paraId="2D138973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 xml:space="preserve">обеспечить, в законодательном порядке и на практике, полную защиту от дискриминации женщин, </w:t>
      </w:r>
      <w:proofErr w:type="spellStart"/>
      <w:r>
        <w:rPr>
          <w:b/>
          <w:bCs/>
        </w:rPr>
        <w:t>афропарагвайцев</w:t>
      </w:r>
      <w:proofErr w:type="spellEnd"/>
      <w:r>
        <w:rPr>
          <w:b/>
          <w:bCs/>
        </w:rPr>
        <w:t>, коренных народов, инвалидов, работников секс-индустрии, ЛГБТИ и лиц, инфицированных ВИЧ, в</w:t>
      </w:r>
      <w:r w:rsidR="00756959">
        <w:rPr>
          <w:b/>
          <w:bCs/>
        </w:rPr>
        <w:t> </w:t>
      </w:r>
      <w:r>
        <w:rPr>
          <w:b/>
          <w:bCs/>
        </w:rPr>
        <w:t>том числе путем расширения программ подготовки для сотрудников правоохранительных органов и органов безопасности и увеличения числа информационно-пропагандистских кампаний, направленных на поощрение терпимости и уважительного отношения к разнообразию;</w:t>
      </w:r>
    </w:p>
    <w:p w14:paraId="618CC423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принять и осуществить эффективные стратегии для защиты прав ЛГБТИ и работников секс-индустрии, а также обеспечить систематическое расследование случаев дискриминации и насилия, совершенных частными лицами или государственными служащими, соответствующее наказание виновных и предоставление жертвам возмещения в полном объеме.</w:t>
      </w:r>
    </w:p>
    <w:p w14:paraId="704D57DE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>Равенство прав мужчин и женщин</w:t>
      </w:r>
    </w:p>
    <w:p w14:paraId="6230C1BA" w14:textId="77777777" w:rsidR="00B145C5" w:rsidRPr="000455BF" w:rsidRDefault="00B145C5" w:rsidP="00B145C5">
      <w:pPr>
        <w:spacing w:after="120"/>
        <w:ind w:left="1134" w:right="1134"/>
        <w:jc w:val="both"/>
      </w:pPr>
      <w:r>
        <w:t>16.</w:t>
      </w:r>
      <w:r>
        <w:tab/>
        <w:t xml:space="preserve">Комитет по-прежнему обеспокоен все еще наблюдающейся ограниченностью участия женщин в политической и общественной жизни и их недостаточной представленностью на руководящих должностях, на государственных и выборных постах, в том числе в судебных, законодательных и исполнительных органах власти. Кроме того, Комитет обеспокоен тем, что роль женщин в семье и в обществе продолжает определяться патриархальными стереотипами и предрассудками, а также обеспокоен гендерным разрывом в оплате труда (статьи 2, 3, 25 и 26). </w:t>
      </w:r>
    </w:p>
    <w:p w14:paraId="0384F3EF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17.</w:t>
      </w:r>
      <w:r>
        <w:tab/>
      </w:r>
      <w:r>
        <w:rPr>
          <w:b/>
          <w:bCs/>
        </w:rPr>
        <w:t>Государству-участнику следует активизировать свои усилия по расширению участия женщин в политической и общественной жизни, а также их представленности в государственном и частном секторах, особенно на руководящих постах и должностях высокого уровня, в том числе посредством, по</w:t>
      </w:r>
      <w:r w:rsidR="005F71FA">
        <w:rPr>
          <w:b/>
          <w:bCs/>
        </w:rPr>
        <w:t> </w:t>
      </w:r>
      <w:r>
        <w:rPr>
          <w:b/>
          <w:bCs/>
        </w:rPr>
        <w:t>мере необходимости, принятия специальных мер временного характера для осуществления в полной мере положений Пакта.</w:t>
      </w:r>
      <w:r>
        <w:t xml:space="preserve"> </w:t>
      </w:r>
      <w:r>
        <w:rPr>
          <w:b/>
          <w:bCs/>
        </w:rPr>
        <w:t>Ему также следует продолжать усилия по искоренению гендерного разрыва в оплате труда и гендерных стереотипов относительно роли и обязанностей мужчин и женщин в семье и обществе.</w:t>
      </w:r>
    </w:p>
    <w:p w14:paraId="1E8ED8DD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>Насилие в отношении женщин, девочек и подростков</w:t>
      </w:r>
    </w:p>
    <w:p w14:paraId="6922633C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18.</w:t>
      </w:r>
      <w:r>
        <w:tab/>
        <w:t xml:space="preserve">Комитет обеспокоен ростом масштабов домашнего и сексуального насилия в отношении женщин, девочек и подростков, а также информацией о вызывающем тревогу числе случаев </w:t>
      </w:r>
      <w:proofErr w:type="spellStart"/>
      <w:r>
        <w:t>фемицида</w:t>
      </w:r>
      <w:proofErr w:type="spellEnd"/>
      <w:r>
        <w:t xml:space="preserve">. В этой связи Комитет с обеспокоенностью обращает внимание на незначительное число расследований случаев </w:t>
      </w:r>
      <w:proofErr w:type="spellStart"/>
      <w:r>
        <w:t>фемицида</w:t>
      </w:r>
      <w:proofErr w:type="spellEnd"/>
      <w:r>
        <w:t xml:space="preserve"> с момента установления уголовной ответственности за его совершение в 2016 году и с сожалением отмечает отсутствие четких статистических и дезагрегированных данных о полученных жалобах на различные формы насилия в отношении женщин, девочек и подростков, проведенных расследованиях и их результатах, вынесенных приговорах и принятых мерах по возмещению жертвам ущерба (статьи 2, 3, 6, 7, 14, 24 и 26).</w:t>
      </w:r>
    </w:p>
    <w:p w14:paraId="6745E38A" w14:textId="77777777" w:rsidR="00B145C5" w:rsidRPr="000455BF" w:rsidRDefault="00B145C5" w:rsidP="00B145C5">
      <w:pPr>
        <w:spacing w:after="120"/>
        <w:ind w:left="1134" w:right="1134"/>
        <w:jc w:val="both"/>
        <w:rPr>
          <w:b/>
        </w:rPr>
      </w:pPr>
      <w:r>
        <w:t>19.</w:t>
      </w:r>
      <w:r>
        <w:tab/>
      </w:r>
      <w:r>
        <w:rPr>
          <w:b/>
          <w:bCs/>
        </w:rPr>
        <w:t>Государству-участнику следует:</w:t>
      </w:r>
    </w:p>
    <w:p w14:paraId="7F3710CD" w14:textId="77777777" w:rsidR="00B145C5" w:rsidRPr="000455BF" w:rsidRDefault="00B145C5" w:rsidP="00B145C5">
      <w:pPr>
        <w:spacing w:after="120"/>
        <w:ind w:left="1134" w:right="1134"/>
        <w:jc w:val="both"/>
        <w:rPr>
          <w:b/>
        </w:rPr>
      </w:pPr>
      <w:r>
        <w:tab/>
      </w:r>
      <w:r>
        <w:tab/>
      </w:r>
      <w:r>
        <w:rPr>
          <w:b/>
          <w:bCs/>
        </w:rPr>
        <w:t>a)</w:t>
      </w:r>
      <w:r>
        <w:tab/>
      </w:r>
      <w:r>
        <w:rPr>
          <w:b/>
          <w:bCs/>
        </w:rPr>
        <w:t>активизировать усилия, направленные на предупреждение и пресечение всех случаев насилия в отношении женщин, женщин и подростков и наказание за их совершение, в том числе посредством сбора статистических данных, а также обеспечить учреждениям и программам, занимающимся такой деятельностью, выделение соответствующих людских, финансовых и технических ресурсов;</w:t>
      </w:r>
    </w:p>
    <w:p w14:paraId="7E8C8959" w14:textId="77777777" w:rsidR="00B145C5" w:rsidRPr="00C60FCC" w:rsidRDefault="00B145C5" w:rsidP="00B145C5">
      <w:pPr>
        <w:spacing w:after="120"/>
        <w:ind w:left="1134" w:right="1134"/>
        <w:jc w:val="both"/>
        <w:rPr>
          <w:b/>
        </w:rPr>
      </w:pPr>
      <w:r>
        <w:tab/>
      </w:r>
      <w:r>
        <w:tab/>
      </w:r>
      <w:r>
        <w:rPr>
          <w:b/>
          <w:bCs/>
        </w:rPr>
        <w:t>b)</w:t>
      </w:r>
      <w:r>
        <w:tab/>
      </w:r>
      <w:r>
        <w:rPr>
          <w:b/>
          <w:bCs/>
        </w:rPr>
        <w:t xml:space="preserve">обеспечить оперативное, тщательное и беспристрастное расследование всех этих преступлений посредством надлежащей подготовки судей, прокуроров и сотрудников правоохранительных органов по вопросам расследования случаев </w:t>
      </w:r>
      <w:proofErr w:type="spellStart"/>
      <w:r>
        <w:rPr>
          <w:b/>
          <w:bCs/>
        </w:rPr>
        <w:t>фемицида</w:t>
      </w:r>
      <w:proofErr w:type="spellEnd"/>
      <w:r>
        <w:rPr>
          <w:b/>
          <w:bCs/>
        </w:rPr>
        <w:t xml:space="preserve"> и домашнего насилия и судебного преследования за них;</w:t>
      </w:r>
      <w:r>
        <w:t xml:space="preserve"> </w:t>
      </w:r>
      <w:r>
        <w:rPr>
          <w:b/>
          <w:bCs/>
        </w:rPr>
        <w:t>а также привлечение к ответственности и наказание виновных и предоставление жертвам возмещения в полном объеме;</w:t>
      </w:r>
    </w:p>
    <w:p w14:paraId="707E055A" w14:textId="77777777" w:rsidR="00B145C5" w:rsidRPr="000455BF" w:rsidRDefault="00B145C5" w:rsidP="00B145C5">
      <w:pPr>
        <w:spacing w:after="120"/>
        <w:ind w:left="1134" w:right="1134"/>
        <w:jc w:val="both"/>
        <w:rPr>
          <w:b/>
        </w:rPr>
      </w:pPr>
      <w:r>
        <w:tab/>
      </w:r>
      <w:r>
        <w:tab/>
      </w:r>
      <w:r>
        <w:rPr>
          <w:b/>
          <w:bCs/>
        </w:rPr>
        <w:t>c)</w:t>
      </w:r>
      <w:r>
        <w:tab/>
      </w:r>
      <w:r>
        <w:rPr>
          <w:b/>
          <w:bCs/>
        </w:rPr>
        <w:t>активизировать усилия для обеспечения всем жертвам доступа к помощи и защите, а также гарантировать осуществление права женщин, пострадавших от насилия, на доступ к правосудию, в том числе в сельских районах и общинах коренных народов;</w:t>
      </w:r>
    </w:p>
    <w:p w14:paraId="2DA04ECC" w14:textId="77777777" w:rsidR="00B145C5" w:rsidRPr="000455BF" w:rsidRDefault="00B145C5" w:rsidP="00B145C5">
      <w:pPr>
        <w:spacing w:after="120"/>
        <w:ind w:left="1134" w:right="1134"/>
        <w:jc w:val="both"/>
        <w:rPr>
          <w:b/>
        </w:rPr>
      </w:pPr>
      <w:r>
        <w:tab/>
      </w:r>
      <w:r>
        <w:tab/>
      </w:r>
      <w:r>
        <w:rPr>
          <w:b/>
          <w:bCs/>
        </w:rPr>
        <w:t>d)</w:t>
      </w:r>
      <w:r>
        <w:tab/>
      </w:r>
      <w:r>
        <w:rPr>
          <w:b/>
          <w:bCs/>
        </w:rPr>
        <w:t>продолжать предпринимать усилия по подготовке сотрудников судебных органов</w:t>
      </w:r>
      <w:r w:rsidRPr="00462C6E">
        <w:rPr>
          <w:b/>
          <w:bCs/>
        </w:rPr>
        <w:t xml:space="preserve"> </w:t>
      </w:r>
      <w:r>
        <w:rPr>
          <w:b/>
          <w:bCs/>
        </w:rPr>
        <w:t xml:space="preserve">и полиции, а также судебно-медицинских экспертов в целях искоренения гендерных стереотипов и недопущения повторной </w:t>
      </w:r>
      <w:proofErr w:type="spellStart"/>
      <w:r>
        <w:rPr>
          <w:b/>
          <w:bCs/>
        </w:rPr>
        <w:t>виктимизации</w:t>
      </w:r>
      <w:proofErr w:type="spellEnd"/>
      <w:r>
        <w:rPr>
          <w:b/>
          <w:bCs/>
        </w:rPr>
        <w:t xml:space="preserve"> жертв.</w:t>
      </w:r>
    </w:p>
    <w:p w14:paraId="79FBC0BF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>Добровольное прерывание беременности и репродуктивные права</w:t>
      </w:r>
    </w:p>
    <w:p w14:paraId="4A1E5B05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20.</w:t>
      </w:r>
      <w:r>
        <w:tab/>
        <w:t xml:space="preserve">Комитет обеспокоен установлением уголовной ответственности за добровольное прерывание беременности, в том числе в случаях изнасилования или инцеста, когда плод нежизнеспособен или когда жизнь беременной женщины или девочки находится под угрозой, что вынуждает женщин и девочек прибегать к небезопасным абортам, представляющим собой серьезную угрозу их жизни и здоровью. Он обеспокоен также полученной информацией о привлечении матерей беременных девочек, а также медицинских работников, которые проводят незаконные аборты, к уголовной ответственности. Кроме того, Комитет обеспокоен высокими показателями детской и подростковой беременности, а также высоким уровнем материнской смертности, особенно среди девочек и подростков. Комитет обеспокоен полученными сообщениями о низком уровне охвата услугами в области охраны репродуктивного здоровья и их невысоком качестве, а также отсутствием государственной политики, касающейся всеобъемлющего просвещения в области сексуального и репродуктивного здоровья. В этой связи Комитет с сожалением отмечает решение Министерства образования и науки запретить в соответствии с </w:t>
      </w:r>
      <w:r w:rsidRPr="001A76E8">
        <w:t>приказом № 29664</w:t>
      </w:r>
      <w:r>
        <w:t xml:space="preserve"> распространение и использование материалов, касающихся гендерной теории и/или идеологии, а также запретить в соответстви</w:t>
      </w:r>
      <w:r w:rsidRPr="001A76E8">
        <w:t>и с приказом</w:t>
      </w:r>
      <w:r w:rsidR="005F71FA">
        <w:t> </w:t>
      </w:r>
      <w:r>
        <w:t>№</w:t>
      </w:r>
      <w:r w:rsidR="005F71FA">
        <w:t> </w:t>
      </w:r>
      <w:r>
        <w:t xml:space="preserve">1761 использование в учебных заведениях </w:t>
      </w:r>
      <w:r w:rsidR="005F71FA">
        <w:t>«</w:t>
      </w:r>
      <w:r>
        <w:t>Руководства для преподавателей по всестороннему половому просвещению: постоянно</w:t>
      </w:r>
      <w:r w:rsidR="00DF48B3">
        <w:t>е</w:t>
      </w:r>
      <w:r>
        <w:t xml:space="preserve"> обучение</w:t>
      </w:r>
      <w:r w:rsidR="005F71FA">
        <w:t>»</w:t>
      </w:r>
      <w:r>
        <w:t>. Комитет также обеспокоен отсутствием разъяснений со стороны государства-участника относительно причин принятия в 2017 году закона № 5833/2017 о</w:t>
      </w:r>
      <w:r w:rsidR="005F71FA">
        <w:t> </w:t>
      </w:r>
      <w:r>
        <w:t>составлении записи акта гражданского состояния в случае неродившихся детей (статьи</w:t>
      </w:r>
      <w:r w:rsidR="005F71FA">
        <w:t> </w:t>
      </w:r>
      <w:r>
        <w:t>2, 3, 6, 7, 17, 24 и 26).</w:t>
      </w:r>
    </w:p>
    <w:p w14:paraId="09969D92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21.</w:t>
      </w:r>
      <w:r>
        <w:tab/>
      </w:r>
      <w:r>
        <w:rPr>
          <w:b/>
          <w:bCs/>
        </w:rPr>
        <w:t xml:space="preserve">Комитет настоятельно призывает государство-участник внести изменения в законодательство с целью обеспечения безопасного, законного и эффективного доступа к абортам, когда жизнь и здоровье беременной женщины или девочки находится под угрозой или когда </w:t>
      </w:r>
      <w:proofErr w:type="spellStart"/>
      <w:r>
        <w:rPr>
          <w:b/>
          <w:bCs/>
        </w:rPr>
        <w:t>донашивание</w:t>
      </w:r>
      <w:proofErr w:type="spellEnd"/>
      <w:r>
        <w:rPr>
          <w:b/>
          <w:bCs/>
        </w:rPr>
        <w:t xml:space="preserve"> плода может причинить им существенную боль или страдание, особенно если беременность является следствием изнасилования или </w:t>
      </w:r>
      <w:proofErr w:type="gramStart"/>
      <w:r>
        <w:rPr>
          <w:b/>
          <w:bCs/>
        </w:rPr>
        <w:t>инцеста</w:t>
      </w:r>
      <w:proofErr w:type="gramEnd"/>
      <w:r>
        <w:rPr>
          <w:b/>
          <w:bCs/>
        </w:rPr>
        <w:t xml:space="preserve"> или если плод нежизнеспособен.</w:t>
      </w:r>
      <w:r>
        <w:t xml:space="preserve"> </w:t>
      </w:r>
      <w:r>
        <w:rPr>
          <w:b/>
          <w:bCs/>
        </w:rPr>
        <w:t>Кроме того, ему следует обеспечить, чтобы женщины и девушки, прибегающие к аборту, и помогающие им врачи не привлекались к уголовной ответственности, поскольку такие меры вынуждают женщин и девочек прибегать к небезопасным абортам.</w:t>
      </w:r>
      <w:r>
        <w:t xml:space="preserve"> </w:t>
      </w:r>
      <w:r>
        <w:rPr>
          <w:b/>
          <w:bCs/>
        </w:rPr>
        <w:t>Государству-участнику следует также обеспечить, чтобы все мужчины, женщины и подростки на его территории имели доступ к надлежащим услугам по охране сексуального и репродуктивного здоровья средствам контрацепции и просвещению по этим вопросам.</w:t>
      </w:r>
      <w:r>
        <w:t xml:space="preserve"> </w:t>
      </w:r>
      <w:r>
        <w:rPr>
          <w:b/>
          <w:bCs/>
        </w:rPr>
        <w:t>Ему следует также расширить и обеспечить осуществление на формальном (государственные и частные школы и колледжи) и неформальном (средства массовой информации и т</w:t>
      </w:r>
      <w:r w:rsidR="005F71FA">
        <w:rPr>
          <w:b/>
          <w:bCs/>
        </w:rPr>
        <w:t> </w:t>
      </w:r>
      <w:r>
        <w:rPr>
          <w:b/>
          <w:bCs/>
        </w:rPr>
        <w:t>д.) уровнях просветительских и информационных программ, посвященных важности использования противозачаточных средств и правам на сексуальное и репродуктивное здоровье.</w:t>
      </w:r>
      <w:r>
        <w:t xml:space="preserve"> </w:t>
      </w:r>
      <w:r>
        <w:rPr>
          <w:b/>
          <w:bCs/>
        </w:rPr>
        <w:t>В этой связи Комитет рекомендует государству-участнику отменить приказы № 29664 и 1761 Министерства образования и науки.</w:t>
      </w:r>
    </w:p>
    <w:p w14:paraId="722799D7" w14:textId="77777777" w:rsidR="00B145C5" w:rsidRPr="000455BF" w:rsidRDefault="00B145C5" w:rsidP="00B145C5">
      <w:pPr>
        <w:pStyle w:val="H23G"/>
        <w:rPr>
          <w:bCs/>
        </w:rPr>
      </w:pPr>
      <w:r>
        <w:tab/>
      </w:r>
      <w:r>
        <w:tab/>
      </w:r>
      <w:r>
        <w:rPr>
          <w:bCs/>
        </w:rPr>
        <w:t>Объединенная целевая группа</w:t>
      </w:r>
      <w:r>
        <w:t xml:space="preserve"> </w:t>
      </w:r>
    </w:p>
    <w:p w14:paraId="7445C8F6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22.</w:t>
      </w:r>
      <w:r>
        <w:tab/>
        <w:t xml:space="preserve">Комитет отмечает существование только шести жалоб на нарушение прав человека сотрудниками Объединенной целевой группы, однако по-прежнему выражает обеспокоенность по поводу полученных многочисленных сообщений о пытках, внесудебных казнях, произвольных содержаниях под стражей и насильственных исчезновениях, совершенных этой группой. Отмечая существование законопроекта об отмене закона № 5036/2013 </w:t>
      </w:r>
      <w:r w:rsidR="005F71FA">
        <w:t>«</w:t>
      </w:r>
      <w:r>
        <w:t>О национальной обороне и внутренней безопасности</w:t>
      </w:r>
      <w:r w:rsidR="005F71FA">
        <w:t>»</w:t>
      </w:r>
      <w:r>
        <w:t>, Комитет с обеспокоенностью обращает внимание на медленные темпы этого процесса и, соответственно, на то, что вооруженные силы по-прежнему занимаются обеспечением общественной безопасности (статьи 2, 6, 7, 9 и 16).</w:t>
      </w:r>
    </w:p>
    <w:p w14:paraId="343B68F3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23.</w:t>
      </w:r>
      <w:r>
        <w:tab/>
      </w:r>
      <w:r>
        <w:rPr>
          <w:b/>
          <w:bCs/>
        </w:rPr>
        <w:t>Государству-участнику следует укрепить роль Национальной полиции в части ее функций по поддержанию общественного порядка и возложить на нее функции по поддержанию общественного порядка с помощью Объединенной оперативной группы.</w:t>
      </w:r>
      <w:r>
        <w:t xml:space="preserve"> </w:t>
      </w:r>
      <w:r>
        <w:rPr>
          <w:b/>
          <w:bCs/>
        </w:rPr>
        <w:t>В этой связи Комитет призывает государство-участник завершить процесс отмены закона № 5036/2013.</w:t>
      </w:r>
      <w:r>
        <w:t xml:space="preserve"> </w:t>
      </w:r>
      <w:r>
        <w:rPr>
          <w:b/>
          <w:bCs/>
        </w:rPr>
        <w:t>Государству-участнику следует также обеспечить оперативное, тщательное и беспристрастное расследование всех предполагаемых случаев пыток, внесудебных казней, произвольного содержания под стражей и насильственного исчезновения, розыск пропавших без вести лиц, привлечение к ответственности и наказание виновных, а также предоставление жертвам возмещения в полном объеме.</w:t>
      </w:r>
    </w:p>
    <w:p w14:paraId="6635F530" w14:textId="77777777" w:rsidR="00B145C5" w:rsidRPr="000455BF" w:rsidRDefault="00B145C5" w:rsidP="00B145C5">
      <w:pPr>
        <w:pStyle w:val="H23G"/>
      </w:pPr>
      <w:r>
        <w:tab/>
      </w:r>
      <w:r>
        <w:tab/>
      </w:r>
      <w:r>
        <w:rPr>
          <w:bCs/>
        </w:rPr>
        <w:t>Чрезмерное применение силы, произвольное содержание под стражей и пытки</w:t>
      </w:r>
    </w:p>
    <w:p w14:paraId="3F0C1425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24.</w:t>
      </w:r>
      <w:r>
        <w:tab/>
        <w:t xml:space="preserve">Комитет обеспокоен сообщениями о пытках, неправомерном обращении, чрезмерном применении силы и произвольном содержании под стражей сотрудниками правоохранительных органов и служб безопасности во время демонстраций в Асунсьоне 31 марта и 1 апреля 2017 года. Комитет обеспокоен также ограниченным прогрессом в расследовании жалоб на возможные пытки, внесудебные казни, нарушения процессуальных гарантий и права на защиту, которые могли быть совершены силами безопасности в ходе событий 15 июня 2012 года в </w:t>
      </w:r>
      <w:proofErr w:type="spellStart"/>
      <w:r>
        <w:t>Куругуати</w:t>
      </w:r>
      <w:proofErr w:type="spellEnd"/>
      <w:r>
        <w:t>. Он</w:t>
      </w:r>
      <w:r w:rsidR="00153A4F">
        <w:t> </w:t>
      </w:r>
      <w:r>
        <w:t>обеспокоен также сообщения о применении пыток в местах лишения свободы, в</w:t>
      </w:r>
      <w:r w:rsidR="00DF48B3">
        <w:t> </w:t>
      </w:r>
      <w:r>
        <w:t>частности сотрудниками национальной полиции. Кроме того, Комитет обеспокоен тем, что, несмотря на значительные усилия Министерства юстиции, включая принятие протоколов реагирования на случаи применения пыток в исправительных учреждениях, лица, лишенные свободы, по-прежнему не имеют быстрого и прямого доступа к безопасному каналу подачи жалоб, например в прокуратуру. Комитет принимает к сведению информацию о выделении ресурсов на национальный механизм по предупреждению пыток, однако выражает обеспокоенность в связи с тем, что этих мер будет недостаточно для выполнения его функций (статьи 2, 6, 7, 9, 10, 14 и 21).</w:t>
      </w:r>
    </w:p>
    <w:p w14:paraId="4D6DA3E3" w14:textId="77777777" w:rsidR="00B145C5" w:rsidRPr="000455BF" w:rsidRDefault="00B145C5" w:rsidP="00B145C5">
      <w:pPr>
        <w:spacing w:after="120"/>
        <w:ind w:left="1134" w:right="1134"/>
        <w:jc w:val="both"/>
        <w:rPr>
          <w:b/>
        </w:rPr>
      </w:pPr>
      <w:r>
        <w:t>25.</w:t>
      </w:r>
      <w:r>
        <w:tab/>
      </w:r>
      <w:r>
        <w:rPr>
          <w:b/>
          <w:bCs/>
        </w:rPr>
        <w:t>Государству-участнику следует:</w:t>
      </w:r>
    </w:p>
    <w:p w14:paraId="02350A25" w14:textId="77777777" w:rsidR="00B145C5" w:rsidRPr="00C60FCC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 оперативное, беспристрастное и тщательное расследование всех жалоб на произвольное содержание под стражей и чрезмерное применение силы, включая смертоносную силу, со стороны сотрудников правоохранительных органов;</w:t>
      </w:r>
      <w:r>
        <w:t xml:space="preserve"> </w:t>
      </w:r>
      <w:r>
        <w:rPr>
          <w:b/>
          <w:bCs/>
        </w:rPr>
        <w:t>привлечение виновных к ответственности и, в</w:t>
      </w:r>
      <w:r w:rsidR="00153A4F">
        <w:rPr>
          <w:b/>
          <w:bCs/>
        </w:rPr>
        <w:t> </w:t>
      </w:r>
      <w:r>
        <w:rPr>
          <w:b/>
          <w:bCs/>
        </w:rPr>
        <w:t>случае вынесения обвинительного приговора, их наказание соразмерно тяжести совершенных ими деяний</w:t>
      </w:r>
      <w:r w:rsidR="00E322F1">
        <w:rPr>
          <w:b/>
          <w:bCs/>
        </w:rPr>
        <w:t>;</w:t>
      </w:r>
      <w:r>
        <w:t xml:space="preserve"> </w:t>
      </w:r>
      <w:r>
        <w:rPr>
          <w:b/>
          <w:bCs/>
        </w:rPr>
        <w:t>а также предоставление жертвам возмещения в полном объеме;</w:t>
      </w:r>
    </w:p>
    <w:p w14:paraId="47D2D647" w14:textId="77777777" w:rsidR="00B145C5" w:rsidRPr="000455BF" w:rsidRDefault="00B145C5" w:rsidP="00B145C5">
      <w:pPr>
        <w:spacing w:after="120"/>
        <w:ind w:left="1134" w:right="1133" w:firstLine="567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 полное соответствие национального законодательства о применении силы, включая все учебные материалы, международным стандартам, включая Пакт и Основные принципы применения силы и огнестрельного оружия должностными лицами по поддержанию правопорядка, а</w:t>
      </w:r>
      <w:r w:rsidR="00153A4F">
        <w:rPr>
          <w:b/>
          <w:bCs/>
        </w:rPr>
        <w:t> </w:t>
      </w:r>
      <w:r>
        <w:rPr>
          <w:b/>
          <w:bCs/>
        </w:rPr>
        <w:t>также осуществление такого законодательства в полном соответствии с этими стандартами;</w:t>
      </w:r>
      <w:r>
        <w:t xml:space="preserve"> </w:t>
      </w:r>
      <w:r>
        <w:rPr>
          <w:b/>
          <w:bCs/>
        </w:rPr>
        <w:t>и регулярную подготовку сотрудников правоохранительных органов и служб безопасности по этим стандартам и их практическое применение такими сотрудниками, в том числе в контексте демонстраций;</w:t>
      </w:r>
    </w:p>
    <w:p w14:paraId="7E733B68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обеспечить оперативное, беспристрастное и тщательное расследование всех утверждений, касающихся пыток и других жестоких, бесчеловечных или унижающих достоинство видов обращения, в соответствии с положениями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протокол);</w:t>
      </w:r>
      <w:r>
        <w:t xml:space="preserve"> </w:t>
      </w:r>
      <w:r>
        <w:rPr>
          <w:b/>
          <w:bCs/>
        </w:rPr>
        <w:t>привлечение виновных к ответственности и, в случае вынесения обвинительного приговора, их наказание соразмерно тяжести совершенных ими деяний;</w:t>
      </w:r>
      <w:r>
        <w:t xml:space="preserve"> </w:t>
      </w:r>
      <w:r>
        <w:rPr>
          <w:b/>
          <w:bCs/>
        </w:rPr>
        <w:t>а также предоставление жертвам возмещения в полном объеме;</w:t>
      </w:r>
    </w:p>
    <w:p w14:paraId="25BAFEEB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обеспечить всем лицам, лишенным свободы, быстрый, эффективный и прямой доступ к органам, занимающимся приемом жалоб на пытки или жестокое обращение;</w:t>
      </w:r>
    </w:p>
    <w:p w14:paraId="11D233D9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e)</w:t>
      </w:r>
      <w:r>
        <w:tab/>
      </w:r>
      <w:r>
        <w:rPr>
          <w:b/>
          <w:bCs/>
        </w:rPr>
        <w:t>обеспечить наличие у национального механизма по предупреждению пыток необходимых ресурсов для его полноценного функционирования и гарантировать ему доступ ко всем предписанным законом местам.</w:t>
      </w:r>
    </w:p>
    <w:p w14:paraId="481BC155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>Лица, лишенные свободы, и условия содержания под стражей</w:t>
      </w:r>
    </w:p>
    <w:p w14:paraId="6BD4A7E0" w14:textId="77777777" w:rsidR="00B145C5" w:rsidRPr="00C60FCC" w:rsidRDefault="00B145C5" w:rsidP="00B145C5">
      <w:pPr>
        <w:spacing w:after="120"/>
        <w:ind w:left="1134" w:right="1134"/>
        <w:jc w:val="both"/>
        <w:rPr>
          <w:bCs/>
        </w:rPr>
      </w:pPr>
      <w:r>
        <w:t>26.</w:t>
      </w:r>
      <w:r>
        <w:tab/>
        <w:t>Комитет с обеспокоенностью отмечает, что государство-участник переживает кризис пенитенциарной системы. В частности, Комитет обеспокоен устойчиво сохраняющимися высокими показателями тесноты</w:t>
      </w:r>
      <w:r w:rsidRPr="008235C8">
        <w:t xml:space="preserve"> и переполненности мест содержания под стражей;</w:t>
      </w:r>
      <w:r>
        <w:t xml:space="preserve"> плохими бытовыми условиями, в том числе в учебных заведениях, полицейских участках и центрах содержания лиц с психическими расстройствами. Он обеспокоен также сообщениями о большом числе случаев смерти в местах лишения свободы, в том числе во время недавнего мятежа в региональной тюрьме в Сан-Педро-де-</w:t>
      </w:r>
      <w:proofErr w:type="spellStart"/>
      <w:r>
        <w:t>Икуамандию</w:t>
      </w:r>
      <w:proofErr w:type="spellEnd"/>
      <w:r>
        <w:t>. Кроме того, Комитет обеспокоен уязвимым положением, в котором находятся женщины и лишенные свободы лица из числа ЛГБТИ, в частности трансгендеры (статьи 6, 7, 9, 10, 14 и 26).</w:t>
      </w:r>
    </w:p>
    <w:p w14:paraId="58393FF3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27.</w:t>
      </w:r>
      <w:r>
        <w:tab/>
      </w:r>
      <w:r>
        <w:rPr>
          <w:b/>
          <w:bCs/>
        </w:rPr>
        <w:t>Государству-участнику следует:</w:t>
      </w:r>
    </w:p>
    <w:p w14:paraId="2757259F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a)</w:t>
      </w:r>
      <w:r>
        <w:t xml:space="preserve"> </w:t>
      </w:r>
      <w:r>
        <w:tab/>
      </w:r>
      <w:r>
        <w:rPr>
          <w:b/>
          <w:bCs/>
        </w:rPr>
        <w:t xml:space="preserve">удвоить усилия для улучшения условий содержания в тюрьмах, уменьшения их переполненности и приведения условий содержания в местах лишения свободы в соответствие со Стандартными минимальными правилами </w:t>
      </w:r>
      <w:r w:rsidRPr="003B7CA6">
        <w:rPr>
          <w:b/>
          <w:bCs/>
        </w:rPr>
        <w:t>Организации Объединенных Наций в отношении обращения с заключенными</w:t>
      </w:r>
      <w:r>
        <w:rPr>
          <w:b/>
          <w:bCs/>
        </w:rPr>
        <w:t xml:space="preserve"> (Правила Нельсона Манделы);</w:t>
      </w:r>
    </w:p>
    <w:p w14:paraId="554AFE28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b)</w:t>
      </w:r>
      <w:r>
        <w:tab/>
      </w:r>
      <w:r>
        <w:rPr>
          <w:b/>
          <w:bCs/>
        </w:rPr>
        <w:t>оперативно и тщательно расследовать все случаи смерти лиц, лишенных свободы, в том числе в образовательных учреждениях, привлекать виновных к ответственности и в соответствующих случаях наказывать</w:t>
      </w:r>
      <w:r w:rsidRPr="00C329E9">
        <w:rPr>
          <w:b/>
          <w:bCs/>
        </w:rPr>
        <w:t xml:space="preserve"> </w:t>
      </w:r>
      <w:r>
        <w:rPr>
          <w:b/>
          <w:bCs/>
        </w:rPr>
        <w:t>их и обеспечивать семьям жертв возмещение в полном объеме;</w:t>
      </w:r>
    </w:p>
    <w:p w14:paraId="3905239E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обеспечить надлежащий надзор за исправительными учреждениями и учреждениями, в которых несовершеннолетние находятся под опекой государства;</w:t>
      </w:r>
    </w:p>
    <w:p w14:paraId="15342B22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обеспечить соблюдение прав лиц, лишенных свободы и находящихся в особенно уязвимом положении, включая женщин и лиц из числа ЛГБТИ, в</w:t>
      </w:r>
      <w:r w:rsidR="00153A4F">
        <w:rPr>
          <w:b/>
          <w:bCs/>
        </w:rPr>
        <w:t> </w:t>
      </w:r>
      <w:r>
        <w:rPr>
          <w:b/>
          <w:bCs/>
        </w:rPr>
        <w:t>частности трансгендеров, в соответствии с международными стандартами, без дискриминации, в том числе путем проведения регулярной и постоянной подготовки сотрудников во всех местах лишения свободы.</w:t>
      </w:r>
    </w:p>
    <w:p w14:paraId="0D677CD0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28.</w:t>
      </w:r>
      <w:r>
        <w:tab/>
        <w:t>Комитет обеспокоен большим числом лиц, содержащихся под стражей до суда, составляющим 78</w:t>
      </w:r>
      <w:r w:rsidR="00153A4F">
        <w:t>%</w:t>
      </w:r>
      <w:r>
        <w:t xml:space="preserve"> от общего числа заключенных; длительными сроками содержания под стражей до суда, в частности представителей коренных народов; и крайне редким применением мер, являющихся альтернативой лишению свободы. В этой связи Комитет с удовлетворением отмечает принятие 11 июля 2019 года поправок к статье</w:t>
      </w:r>
      <w:r w:rsidR="00153A4F">
        <w:t> </w:t>
      </w:r>
      <w:r>
        <w:t>245 Уголовно-процессуального кодекса, который устанавливал ограничения на применение мер, альтернативных лишению свободы. Комитет по-прежнему обеспокоен сообщениями о трудностях, с которыми сталкиваются задержанные при попытке связаться с адвокатом сразу же после ареста и с кем-либо из членов семьи или доверенным лицом, в частности в полицейских участках (статьи 9 и 14).</w:t>
      </w:r>
    </w:p>
    <w:p w14:paraId="562BF9A6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29.</w:t>
      </w:r>
      <w:r>
        <w:tab/>
      </w:r>
      <w:r>
        <w:rPr>
          <w:b/>
          <w:bCs/>
        </w:rPr>
        <w:t>Государству-участнику следует:</w:t>
      </w:r>
    </w:p>
    <w:p w14:paraId="70153715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продолжать реформы, существенно сократить масштабы использования досудебного содержания под стражей и обеспечить, чтобы всегда принимались в расчет альтернативы задержанию, включая освобождение под залог или ношение электронных браслетов, а также создать условия, при которых содержание под стражей до судебного разбирательства будет рассматриваться как исключительная, обоснованная и необходимая во всех случаях мера, а его срок был бы как можно более коротким, в том числе в отношении подростков, находящихся в конфликте с законом;</w:t>
      </w:r>
    </w:p>
    <w:p w14:paraId="78EF2267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b)</w:t>
      </w:r>
      <w:r>
        <w:tab/>
      </w:r>
      <w:r>
        <w:rPr>
          <w:b/>
          <w:bCs/>
        </w:rPr>
        <w:t>гарантировать, чтобы каждому задержанному лицу сообщалось о причинах его ареста и о его правах и предоставлялись сразу после ареста эффективный доступ к адвокату и возможность связаться с членом семьи или доверенным лицом.</w:t>
      </w:r>
    </w:p>
    <w:p w14:paraId="0907BA57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30.</w:t>
      </w:r>
      <w:r>
        <w:tab/>
        <w:t>Комитет отмечает отсутствие на всей территории страны квалифицированных медицинских специалистов, получивших надлежащее образование, которые могли бы поставить диагноз и осуществить принудительную госпитализацию лиц с психическими расстройствами. Комитет также обеспокоен отсутствием мер, альтернативных изоляции таких лиц, а также отсутствием достаточной информации о правовых или административных процедурах, позволяющих осуществлять такое содержание под стражей или помещение таких лиц в исправительное учреждение (статьи 6, 7, 9 и 10).</w:t>
      </w:r>
    </w:p>
    <w:p w14:paraId="088444E5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31.</w:t>
      </w:r>
      <w:r>
        <w:tab/>
      </w:r>
      <w:r>
        <w:rPr>
          <w:b/>
          <w:bCs/>
        </w:rPr>
        <w:t>Государству-участнику следует:</w:t>
      </w:r>
    </w:p>
    <w:p w14:paraId="5553BBE3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обеспечить, чтобы принудительная госпитализация лиц с психическими расстройствами осуществлялась только в случае абсолютной необходимости и соразмерно обстоятельствам, а также лишь в качестве крайней меры и на как можно более короткий и соответствующий случаю срок;</w:t>
      </w:r>
    </w:p>
    <w:p w14:paraId="085BE43C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b)</w:t>
      </w:r>
      <w:r>
        <w:tab/>
      </w:r>
      <w:r>
        <w:rPr>
          <w:b/>
          <w:bCs/>
        </w:rPr>
        <w:t xml:space="preserve">предусмотреть такую процедуру недобровольной госпитализации, при которой уважается </w:t>
      </w:r>
      <w:proofErr w:type="gramStart"/>
      <w:r>
        <w:rPr>
          <w:b/>
          <w:bCs/>
        </w:rPr>
        <w:t>мнение соответствующего лица</w:t>
      </w:r>
      <w:proofErr w:type="gramEnd"/>
      <w:r>
        <w:rPr>
          <w:b/>
          <w:bCs/>
        </w:rPr>
        <w:t xml:space="preserve"> и которая осуществляется в соответствии с надлежащими процессуальными и материальными гарантиями, установленными законом, в том числе посредством обеспечения доступа к эффективной юридической помощи.</w:t>
      </w:r>
    </w:p>
    <w:p w14:paraId="484F936F" w14:textId="77777777" w:rsidR="00B145C5" w:rsidRPr="000455BF" w:rsidRDefault="00B145C5" w:rsidP="00B145C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Запрещение принудительного труда и торговли людьми</w:t>
      </w:r>
    </w:p>
    <w:p w14:paraId="2FD7E7A9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32.</w:t>
      </w:r>
      <w:r>
        <w:tab/>
        <w:t>Комитет с обеспокоенностью обращает внимание на сохраняющееся в государстве-участнике явление торговли людьми, особо затрагивающее женщин, особенно из числа коренных народов, детей, беженцев и просителей убежища; недостаточный объем защиты и помощи жертвам во всех регионах страны и незначительное число</w:t>
      </w:r>
      <w:r w:rsidR="00153A4F">
        <w:t xml:space="preserve"> </w:t>
      </w:r>
      <w:r>
        <w:t xml:space="preserve">случаев привлечения к ответственности и вынесенных обвинительных приговоров. Признавая прогресс, достигнутый в деле разработки законодательства о трудовых правах, Комитет выражает обеспокоенность по поводу сообщений об эксплуатации труда домашних работников, в частности женщин и девочек из числа коренных народов, а также широкой распространенности наихудших форм детского труда, в том числе практики </w:t>
      </w:r>
      <w:r w:rsidR="005F71FA">
        <w:t>«</w:t>
      </w:r>
      <w:proofErr w:type="spellStart"/>
      <w:r>
        <w:t>криадасго</w:t>
      </w:r>
      <w:proofErr w:type="spellEnd"/>
      <w:r w:rsidR="005F71FA">
        <w:t>»</w:t>
      </w:r>
      <w:r>
        <w:t xml:space="preserve"> (статьи 3, 7, 8 и 24).</w:t>
      </w:r>
    </w:p>
    <w:p w14:paraId="08DF0C2C" w14:textId="77777777" w:rsidR="00B145C5" w:rsidRPr="000455BF" w:rsidRDefault="00B145C5" w:rsidP="00B145C5">
      <w:pPr>
        <w:keepNext/>
        <w:spacing w:after="120"/>
        <w:ind w:right="1134" w:firstLine="1134"/>
        <w:jc w:val="both"/>
        <w:rPr>
          <w:b/>
        </w:rPr>
      </w:pPr>
      <w:r>
        <w:t>33.</w:t>
      </w:r>
      <w:r>
        <w:tab/>
      </w:r>
      <w:r>
        <w:rPr>
          <w:b/>
          <w:bCs/>
        </w:rPr>
        <w:t>Государству-участнику следует:</w:t>
      </w:r>
    </w:p>
    <w:p w14:paraId="6FE2BC4A" w14:textId="77777777" w:rsidR="00B145C5" w:rsidRPr="000455BF" w:rsidRDefault="00B145C5" w:rsidP="00B145C5">
      <w:pPr>
        <w:tabs>
          <w:tab w:val="left" w:pos="1134"/>
        </w:tabs>
        <w:spacing w:after="120"/>
        <w:ind w:left="1134" w:right="1134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a)</w:t>
      </w:r>
      <w:r>
        <w:tab/>
      </w:r>
      <w:r>
        <w:rPr>
          <w:b/>
          <w:bCs/>
        </w:rPr>
        <w:t>активизировать свои усилия по предупреждению, пресечению торговли людьми и наказанию за нее, в том числе посредством подготовки судей, прокуроров и сотрудников правоохранительных и иммиграционных служб, а</w:t>
      </w:r>
      <w:r w:rsidR="00153A4F">
        <w:rPr>
          <w:b/>
          <w:bCs/>
        </w:rPr>
        <w:t> </w:t>
      </w:r>
      <w:r>
        <w:rPr>
          <w:b/>
          <w:bCs/>
        </w:rPr>
        <w:t>также обеспечить эффективное осуществление принимаемых им мер, включая Национальную программу предупреждения торговли людьми, борьбы с ней и оказания помощи жертвам и Национальный инвестиционный фонд по предупреждению торговли людьми и оказанию помощи жертвам торговли людьми;</w:t>
      </w:r>
    </w:p>
    <w:p w14:paraId="685E4796" w14:textId="77777777" w:rsidR="00B145C5" w:rsidRPr="000455BF" w:rsidRDefault="00B145C5" w:rsidP="00B145C5">
      <w:pPr>
        <w:pStyle w:val="SingleTxtG"/>
      </w:pPr>
      <w:r>
        <w:tab/>
      </w:r>
      <w:r>
        <w:tab/>
      </w:r>
      <w:r>
        <w:rPr>
          <w:b/>
          <w:bCs/>
        </w:rPr>
        <w:t>b)</w:t>
      </w:r>
      <w:r>
        <w:tab/>
      </w:r>
      <w:r>
        <w:rPr>
          <w:b/>
          <w:bCs/>
        </w:rPr>
        <w:t>обеспечить расследование преступлений торговли людьми, привлечение к ответственности и наказание виновных, а также доступ жертв к надлежащей защите и помощи, в том числе к юридической;</w:t>
      </w:r>
    </w:p>
    <w:p w14:paraId="03ED2421" w14:textId="77777777" w:rsidR="00B145C5" w:rsidRPr="000455BF" w:rsidRDefault="00B145C5" w:rsidP="00B145C5">
      <w:pPr>
        <w:pStyle w:val="SingleTxtG"/>
        <w:rPr>
          <w:b/>
        </w:rPr>
      </w:pPr>
      <w:r>
        <w:tab/>
      </w:r>
      <w:r>
        <w:tab/>
      </w:r>
      <w:r>
        <w:rPr>
          <w:b/>
          <w:bCs/>
        </w:rPr>
        <w:t>c)</w:t>
      </w:r>
      <w:r>
        <w:tab/>
      </w:r>
      <w:r>
        <w:rPr>
          <w:b/>
          <w:bCs/>
        </w:rPr>
        <w:t>расширять сотрудничество с соседними странами в целях обеспечения защиты возможных жертв в приграничных районах и проводить информационно-просветительские кампании для повышения уровня осведомленности населения о негативных последствиях торговли людьми;</w:t>
      </w:r>
    </w:p>
    <w:p w14:paraId="3B8FC946" w14:textId="77777777" w:rsidR="00B145C5" w:rsidRPr="000455BF" w:rsidRDefault="00B145C5" w:rsidP="00B145C5">
      <w:pPr>
        <w:tabs>
          <w:tab w:val="left" w:pos="1134"/>
        </w:tabs>
        <w:spacing w:after="120"/>
        <w:ind w:left="1134" w:right="1134"/>
        <w:jc w:val="both"/>
        <w:rPr>
          <w:b/>
        </w:rPr>
      </w:pPr>
      <w:r>
        <w:tab/>
      </w:r>
      <w:r>
        <w:tab/>
      </w:r>
      <w:r>
        <w:rPr>
          <w:b/>
          <w:bCs/>
        </w:rPr>
        <w:t>d)</w:t>
      </w:r>
      <w:r>
        <w:tab/>
      </w:r>
      <w:r>
        <w:rPr>
          <w:b/>
          <w:bCs/>
        </w:rPr>
        <w:t>гарантировать соблюдение основных прав домашних работников, включая трудящихся-мигрантов, в том числе находящихся на нелегальном положении, и обеспечивать их защиту от любых видов бытового рабства, их</w:t>
      </w:r>
      <w:r w:rsidR="00153A4F">
        <w:rPr>
          <w:b/>
          <w:bCs/>
        </w:rPr>
        <w:t> </w:t>
      </w:r>
      <w:r>
        <w:rPr>
          <w:b/>
          <w:bCs/>
        </w:rPr>
        <w:t>эффективный доступ к правосудию, расследование и наказание за любые нарушения их прав;</w:t>
      </w:r>
    </w:p>
    <w:p w14:paraId="1629609E" w14:textId="77777777" w:rsidR="00B145C5" w:rsidRPr="000455BF" w:rsidRDefault="00B145C5" w:rsidP="00B145C5">
      <w:pPr>
        <w:tabs>
          <w:tab w:val="left" w:pos="1134"/>
        </w:tabs>
        <w:spacing w:after="120"/>
        <w:ind w:left="1134" w:right="1134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e)</w:t>
      </w:r>
      <w:r>
        <w:tab/>
      </w:r>
      <w:r>
        <w:rPr>
          <w:b/>
          <w:bCs/>
        </w:rPr>
        <w:t xml:space="preserve">активизировать свои усилия, направленные на предупреждение и пресечение детского труда, в том числе его наихудших форм, и наказание за него, и принять законодательные и стратегические меры в целях искоренения практики </w:t>
      </w:r>
      <w:r w:rsidR="005F71FA">
        <w:rPr>
          <w:b/>
          <w:bCs/>
        </w:rPr>
        <w:t>«</w:t>
      </w:r>
      <w:proofErr w:type="spellStart"/>
      <w:r>
        <w:rPr>
          <w:b/>
          <w:bCs/>
        </w:rPr>
        <w:t>криадасго</w:t>
      </w:r>
      <w:proofErr w:type="spellEnd"/>
      <w:r w:rsidR="005F71FA">
        <w:rPr>
          <w:b/>
          <w:bCs/>
        </w:rPr>
        <w:t>»</w:t>
      </w:r>
      <w:r>
        <w:rPr>
          <w:b/>
          <w:bCs/>
        </w:rPr>
        <w:t xml:space="preserve"> и, в частности, содействовать улучшению положения родных семей таких детей, разработке информационно-просветительских кампаний и программ обучения и профессиональной подготовки для детей и подростков из семей, находящихся в уязвимом положении на всей территории страны.</w:t>
      </w:r>
    </w:p>
    <w:p w14:paraId="4C6C4D3D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>Независимость судебных органов</w:t>
      </w:r>
    </w:p>
    <w:p w14:paraId="71DBEDB5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34.</w:t>
      </w:r>
      <w:r>
        <w:tab/>
        <w:t xml:space="preserve">Комитет обеспокоен многочисленными сообщениями о высоком уровне политизации и коррупции в органах судебной власти, в том числе вмешательством в их работу со стороны органов исполнительной и законодательной власти, а также значительным числом политических деятелей в органах, ответственных за отправление правосудия и соблюдение судебной этики. Комитет обеспокоен также полученной информацией о возможном вмешательстве прокуратуры в работу судебных органов, в частности по делу </w:t>
      </w:r>
      <w:proofErr w:type="spellStart"/>
      <w:r>
        <w:t>Куругуати</w:t>
      </w:r>
      <w:proofErr w:type="spellEnd"/>
      <w:r>
        <w:t xml:space="preserve">. Кроме того, Комитет обеспокоен тем, что порядок отбора и назначения судей и прокуроров, определенный Советом магистратуры, не гарантирует в достаточной степени независимость и компетентность судей и прокуроров (статьи 2 и 14). </w:t>
      </w:r>
    </w:p>
    <w:p w14:paraId="1D3B1CB6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35.</w:t>
      </w:r>
      <w:r>
        <w:tab/>
      </w:r>
      <w:r>
        <w:rPr>
          <w:b/>
          <w:bCs/>
        </w:rPr>
        <w:t>Государству-участнику следует:</w:t>
      </w:r>
    </w:p>
    <w:p w14:paraId="7FC93194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активизировать усилия по борьбе с коррупцией в судебной системе, в том числе посредством повышения уровня информированности судей, прокуроров и полиции о наиболее эффективных способах борьбы с коррупцией;</w:t>
      </w:r>
    </w:p>
    <w:p w14:paraId="647FF532" w14:textId="77777777" w:rsidR="00B145C5" w:rsidRPr="000455BF" w:rsidRDefault="00B145C5" w:rsidP="00B145C5">
      <w:pPr>
        <w:pStyle w:val="SingleTxtG"/>
        <w:ind w:firstLine="567"/>
      </w:pPr>
      <w:r>
        <w:rPr>
          <w:b/>
          <w:bCs/>
        </w:rPr>
        <w:t>b)</w:t>
      </w:r>
      <w:r>
        <w:tab/>
      </w:r>
      <w:r>
        <w:rPr>
          <w:b/>
          <w:bCs/>
        </w:rPr>
        <w:t>искоренять любые формы вмешательства органов других ветвей власти в деятельность судебных органов, а также обеспечивать проведение оперативных, тщательных, независимых и беспристрастных расследований по всем жалобам на вмешательство и коррупцию, а также преследовать в судебном порядке и наказывать виновных;</w:t>
      </w:r>
    </w:p>
    <w:p w14:paraId="1BEE77E0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осуществить пересмотр законов и функций учреждений, отвечающих за отправление правосудия, отбор судей и прокуроров, а также за соблюдение судебной этики, с тем чтобы существующая система могла обеспечивать в законодательном порядке и на практике независимость и беспристрастность судебной системы, независимость прокуратуры, а также транспарентность и возможность общественного контроля.</w:t>
      </w:r>
    </w:p>
    <w:p w14:paraId="267997C1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>Свобода выражения мнений и насилие в отношении правозащитников и</w:t>
      </w:r>
      <w:r w:rsidR="00153A4F">
        <w:t> </w:t>
      </w:r>
      <w:r w:rsidRPr="00906561">
        <w:t xml:space="preserve">журналистов </w:t>
      </w:r>
    </w:p>
    <w:p w14:paraId="21BF969D" w14:textId="77777777" w:rsidR="00B145C5" w:rsidRPr="000455BF" w:rsidRDefault="00B145C5" w:rsidP="00B145C5">
      <w:pPr>
        <w:spacing w:after="120"/>
        <w:ind w:left="1134" w:right="1134"/>
        <w:jc w:val="both"/>
      </w:pPr>
      <w:r>
        <w:t>36.</w:t>
      </w:r>
      <w:r>
        <w:tab/>
        <w:t xml:space="preserve">Комитет принимает к сведению наличие законопроекта о защите журналистов и правозащитников, предусматривающего создание национального механизма защиты. Вместе с тем он обеспокоен сообщениями о нападениях, репрессиях и актах агрессии в отношении этих лиц, а также незначительным числом осужденных по этим делам лиц и недостаточностью мер по их эффективной защите. Комитет обеспокоен также утверждениями о том, что государство осуществляет надзор за личными сообщениями, в том числе журналистов. Комитет принимает к сведению информацию об осуществлении закона № 5282/14 </w:t>
      </w:r>
      <w:r w:rsidR="005F71FA">
        <w:t>«</w:t>
      </w:r>
      <w:r>
        <w:t>О свободном доступе граждан к общественной информации и о транспарентности деятельности правительства</w:t>
      </w:r>
      <w:r w:rsidR="005F71FA">
        <w:t>»</w:t>
      </w:r>
      <w:r>
        <w:t>, однако с сожалением отмечает отсутствие независимого регулирующего органа для контроля за его применением (статьи 6, 7, 9, 17, 19 и 22).</w:t>
      </w:r>
    </w:p>
    <w:p w14:paraId="4E01D429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37.</w:t>
      </w:r>
      <w:r>
        <w:tab/>
      </w:r>
      <w:r>
        <w:rPr>
          <w:b/>
          <w:bCs/>
        </w:rPr>
        <w:t>Государству-участнику следует:</w:t>
      </w:r>
    </w:p>
    <w:p w14:paraId="3734FB8B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 эффективную помощь и защиту правозащитникам и журналистам, ставшим жертвами угроз, насилия и запугивания, а также гарантировать им возможность вести свою работу в надлежащих условиях, в том числе путем принятия специальных законодательных мер для их защиты и эффективного осуществления защитных мер;</w:t>
      </w:r>
    </w:p>
    <w:p w14:paraId="06A2C463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обеспечить оперативное, тщательное, независимое и беспристрастное расследование таких нападений, репрессий и актов агрессии в отношении правозащитников и журналистов, привлечение к ответственности и назначение соответствующих мер наказания виновным, а также предоставление возмещения жертвам в полном объеме;</w:t>
      </w:r>
    </w:p>
    <w:p w14:paraId="2D54C8FB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воздерживаться, по мере возможности, от осуществления государственного контроля, в частности за деятельностью журналистов и правозащитников, за исключением редких случаев, когда такие меры будут совместимы с Пактом, и создать механизм мониторинга проводимых государством расследований, касающихся личных сообщений;</w:t>
      </w:r>
      <w:bookmarkStart w:id="0" w:name="_Hlk14037064"/>
      <w:bookmarkStart w:id="1" w:name="_Hlk14037094"/>
      <w:bookmarkEnd w:id="0"/>
      <w:bookmarkEnd w:id="1"/>
    </w:p>
    <w:p w14:paraId="28AF15CF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учредить независимый регулирующий орган для надлежащего осуществления закона № 5282/14.</w:t>
      </w:r>
    </w:p>
    <w:p w14:paraId="5FE46AC2" w14:textId="77777777" w:rsidR="00B145C5" w:rsidRPr="000455BF" w:rsidRDefault="00B145C5" w:rsidP="00B145C5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Право голоса</w:t>
      </w:r>
    </w:p>
    <w:p w14:paraId="58E07608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38.</w:t>
      </w:r>
      <w:r>
        <w:tab/>
        <w:t>Отмечая наличие законопроекта, касающегося отмены ограничений на право голоса лиц, лишенных свободы, и неслышащих, изложенных в статье 91 Избирательного кодекса, Комитет выражает обеспокоенность по поводу задержек с принятием этого законопроекта (статья 25).</w:t>
      </w:r>
    </w:p>
    <w:p w14:paraId="361CFDC7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</w:rPr>
      </w:pPr>
      <w:r>
        <w:t>39.</w:t>
      </w:r>
      <w:r>
        <w:tab/>
      </w:r>
      <w:r>
        <w:rPr>
          <w:b/>
          <w:bCs/>
        </w:rPr>
        <w:t>Комитет рекомендует государству-участнику завершить процесс внесения поправок в статью 91 Избирательного кодекса и тем самым гарантировать право голоса лицам, лишенным свободы, и неслышащим.</w:t>
      </w:r>
    </w:p>
    <w:p w14:paraId="11409237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>Права ребенка и свидетельства о рождении</w:t>
      </w:r>
    </w:p>
    <w:p w14:paraId="7535F010" w14:textId="77777777" w:rsidR="00B145C5" w:rsidRPr="000455BF" w:rsidRDefault="00B145C5" w:rsidP="00B145C5">
      <w:pPr>
        <w:spacing w:after="120"/>
        <w:ind w:left="1134" w:right="1134"/>
        <w:jc w:val="both"/>
      </w:pPr>
      <w:r>
        <w:t>40.</w:t>
      </w:r>
      <w:r>
        <w:tab/>
        <w:t>Комитет с удовлетворением отмечает принятие в 2018 году соглашения о межведомственном сотрудничестве, которое предусматривает получение свидетельств о рождении в консульских учреждениях и консульских отделах дипломатических представительств Парагвая за рубежом. Комитет обеспокоен значительной долей незарегистрированных взрослых, детей, особенно в сельских районах, из числа коренных народов, беженцев, просителей убежища и апатридов (статьи 16, 23 и 24).</w:t>
      </w:r>
    </w:p>
    <w:p w14:paraId="31479CD6" w14:textId="77777777" w:rsidR="00B145C5" w:rsidRPr="00153A4F" w:rsidRDefault="00B145C5" w:rsidP="00B145C5">
      <w:pPr>
        <w:spacing w:after="120"/>
        <w:ind w:left="1134" w:right="1134"/>
        <w:jc w:val="both"/>
        <w:rPr>
          <w:b/>
        </w:rPr>
      </w:pPr>
      <w:r>
        <w:t>41.</w:t>
      </w:r>
      <w:r>
        <w:tab/>
      </w:r>
      <w:r w:rsidRPr="00153A4F">
        <w:rPr>
          <w:b/>
          <w:bCs/>
        </w:rPr>
        <w:t>Государству-участнику следует активизировать усилия в целях обеспечения регистрации всех детей, рожденных на его территории, в том числе от матерей-подростков, и предоставления им официального свидетельства о рождении.</w:t>
      </w:r>
      <w:r w:rsidRPr="00153A4F">
        <w:rPr>
          <w:b/>
        </w:rPr>
        <w:t xml:space="preserve"> </w:t>
      </w:r>
      <w:r w:rsidRPr="00153A4F">
        <w:rPr>
          <w:b/>
          <w:bCs/>
        </w:rPr>
        <w:t>В этой связи ему следует продолжать усилия по открытию в центрах здоровья матери и ребенка, а также в сельских общинах и общинах коренных народов отделов записи актов гражданского состояния.</w:t>
      </w:r>
      <w:r w:rsidRPr="00153A4F">
        <w:rPr>
          <w:b/>
        </w:rPr>
        <w:t xml:space="preserve"> </w:t>
      </w:r>
      <w:r w:rsidRPr="00153A4F">
        <w:rPr>
          <w:b/>
          <w:bCs/>
        </w:rPr>
        <w:t>Ему следует также обеспечить эффективное осуществление соглашения о межведомственном сотрудничестве в целях гарантирования регистрации в консульствах рождений детей, рожденных за границей от парагвайских родителей.</w:t>
      </w:r>
      <w:r w:rsidRPr="00153A4F">
        <w:rPr>
          <w:b/>
        </w:rPr>
        <w:t xml:space="preserve"> Кроме того, е</w:t>
      </w:r>
      <w:r w:rsidRPr="00153A4F">
        <w:rPr>
          <w:b/>
          <w:bCs/>
        </w:rPr>
        <w:t>му следует активизировать кампании, направленные на регистрацию всех незарегистрированных взрослых лиц.</w:t>
      </w:r>
    </w:p>
    <w:p w14:paraId="23587D82" w14:textId="77777777" w:rsidR="00B145C5" w:rsidRPr="000455BF" w:rsidRDefault="00B145C5" w:rsidP="00B145C5">
      <w:pPr>
        <w:pStyle w:val="H23G"/>
      </w:pPr>
      <w:r>
        <w:tab/>
      </w:r>
      <w:r>
        <w:tab/>
      </w:r>
      <w:r>
        <w:rPr>
          <w:bCs/>
        </w:rPr>
        <w:t>Мигранты, просители убежища и внутренне перемещенные лица</w:t>
      </w:r>
      <w:r>
        <w:t xml:space="preserve"> </w:t>
      </w:r>
    </w:p>
    <w:p w14:paraId="14D3ADCF" w14:textId="77777777" w:rsidR="00B145C5" w:rsidRPr="00C60FCC" w:rsidRDefault="00B145C5" w:rsidP="00B145C5">
      <w:pPr>
        <w:spacing w:after="120"/>
        <w:ind w:left="1134" w:right="1134"/>
        <w:jc w:val="both"/>
      </w:pPr>
      <w:r>
        <w:t>42.</w:t>
      </w:r>
      <w:r>
        <w:tab/>
        <w:t>Комитет обеспокоен полученной информацией о том, что, несмотря на принятие в 2002 году Закона о беженцах, до сих пор еще не приняты указ и внутренние административные процедуры, необходимые для его осуществления, например в отношении воссоединения семей или несопровождаемых детей-мигрантов (статьи 2, 12, 13, 14, 24 и 26).</w:t>
      </w:r>
    </w:p>
    <w:p w14:paraId="17BF9FEA" w14:textId="77777777" w:rsidR="00B145C5" w:rsidRPr="000455BF" w:rsidRDefault="00B145C5" w:rsidP="00B145C5">
      <w:pPr>
        <w:spacing w:after="120"/>
        <w:ind w:left="1134" w:right="1134"/>
        <w:jc w:val="both"/>
        <w:rPr>
          <w:b/>
          <w:bCs/>
          <w:iCs/>
        </w:rPr>
      </w:pPr>
      <w:r>
        <w:t>43.</w:t>
      </w:r>
      <w:r>
        <w:tab/>
      </w:r>
      <w:r>
        <w:rPr>
          <w:b/>
          <w:bCs/>
        </w:rPr>
        <w:t>Государству-участнику следует:</w:t>
      </w:r>
    </w:p>
    <w:p w14:paraId="2D6692F3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  <w:i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обеспечить соответствие национального законодательства в отношении иммиграции, включая Закон о беженцах, Пакту и другим международным стандартам, и принять в этой связи необходимые правовые и административные меры;</w:t>
      </w:r>
    </w:p>
    <w:p w14:paraId="53203DEE" w14:textId="77777777" w:rsidR="00B145C5" w:rsidRPr="00C60FCC" w:rsidRDefault="00B145C5" w:rsidP="00B145C5">
      <w:pPr>
        <w:spacing w:after="120"/>
        <w:ind w:left="1134" w:right="1134" w:firstLine="567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гарантировать защиту и помощь просителям убежища и обеспечить их идентификацию, прием и передачу органам национальной системы по приему просителей убежища на границах государства-участника.</w:t>
      </w:r>
    </w:p>
    <w:p w14:paraId="16F4C282" w14:textId="77777777" w:rsidR="00B145C5" w:rsidRPr="00906561" w:rsidRDefault="00B145C5" w:rsidP="00906561">
      <w:pPr>
        <w:pStyle w:val="H23G"/>
      </w:pPr>
      <w:r w:rsidRPr="00906561">
        <w:tab/>
      </w:r>
      <w:r w:rsidRPr="00906561">
        <w:tab/>
        <w:t xml:space="preserve">Коренные народы </w:t>
      </w:r>
    </w:p>
    <w:p w14:paraId="46D6B00C" w14:textId="77777777" w:rsidR="00B145C5" w:rsidRPr="000455BF" w:rsidRDefault="00B145C5" w:rsidP="00B145C5">
      <w:pPr>
        <w:spacing w:after="120"/>
        <w:ind w:left="1134" w:right="1134"/>
        <w:jc w:val="both"/>
        <w:rPr>
          <w:bCs/>
        </w:rPr>
      </w:pPr>
      <w:r>
        <w:t>44.</w:t>
      </w:r>
      <w:r>
        <w:tab/>
        <w:t>Комитет с удовлетворением отмечает недавнее принятие постановления</w:t>
      </w:r>
      <w:r w:rsidR="00153A4F">
        <w:t> </w:t>
      </w:r>
      <w:r>
        <w:t>№</w:t>
      </w:r>
      <w:r w:rsidR="00153A4F">
        <w:t> </w:t>
      </w:r>
      <w:r>
        <w:t xml:space="preserve">1039/18, утвердившего Протокол проведения консультаций с коренными народами, проживающими в Парагвае, и получения их свободного, предварительного и осознанного согласия. Вместе с тем Комитет по-прежнему обеспокоен все еще недостаточным прогрессом в деле защиты и поощрения прав коренных народов. В этой связи Комитет выражает обеспокоенность по поводу высоких показателей бедности в этих общинах и трудностей, с которыми они сталкивается в процессе доступа к образованию и здравоохранению; длительного процесса регистрации и возвращения земель и, как следствие, отсутствия всеобъемлющего доступа к их территориям и природным ресурсам; и незначительного прогресса в осуществлении решений, вынесенных Межамериканским судом по правам человека по делам общин </w:t>
      </w:r>
      <w:proofErr w:type="spellStart"/>
      <w:r>
        <w:t>саугоямакса</w:t>
      </w:r>
      <w:proofErr w:type="spellEnd"/>
      <w:r>
        <w:t>, яки-</w:t>
      </w:r>
      <w:proofErr w:type="spellStart"/>
      <w:r>
        <w:t>акса</w:t>
      </w:r>
      <w:proofErr w:type="spellEnd"/>
      <w:r>
        <w:t xml:space="preserve"> и </w:t>
      </w:r>
      <w:proofErr w:type="spellStart"/>
      <w:r>
        <w:t>ксакмок-касек</w:t>
      </w:r>
      <w:proofErr w:type="spellEnd"/>
      <w:r>
        <w:t xml:space="preserve">, несмотря на наблюдаемое в последние три года увеличение в процентном отношении числа случаев выполнения обязательств, принятых в рамках межамериканской системы прав человека. Кроме того, принимая к сведению представленную государством-участником информацию об общине </w:t>
      </w:r>
      <w:proofErr w:type="spellStart"/>
      <w:r>
        <w:t>айорео-тотобьегосоде</w:t>
      </w:r>
      <w:proofErr w:type="spellEnd"/>
      <w:r>
        <w:t>, Комитет с сожалением отмечает, что так и не получил достаточной информации об осуществлении решения</w:t>
      </w:r>
      <w:r w:rsidR="00204B32">
        <w:t> </w:t>
      </w:r>
      <w:r>
        <w:t>166/2016, касающегося проведения частными компании деятельности по обезлесению на территории этой общины. Комитет обеспокоен также ограниченным участием коренных народов в политической и общественной жизни (статьи 2, 25, 26 и</w:t>
      </w:r>
      <w:r w:rsidR="00204B32">
        <w:t> </w:t>
      </w:r>
      <w:r>
        <w:t>27).</w:t>
      </w:r>
      <w:bookmarkStart w:id="2" w:name="_Hlk14040434"/>
      <w:bookmarkEnd w:id="2"/>
    </w:p>
    <w:p w14:paraId="352C8664" w14:textId="77777777" w:rsidR="00B145C5" w:rsidRPr="000455BF" w:rsidRDefault="00B145C5" w:rsidP="00B145C5">
      <w:pPr>
        <w:spacing w:after="120"/>
        <w:ind w:left="1134" w:right="1134"/>
        <w:jc w:val="both"/>
        <w:rPr>
          <w:b/>
        </w:rPr>
      </w:pPr>
      <w:r>
        <w:t>45.</w:t>
      </w:r>
      <w:r>
        <w:tab/>
      </w:r>
      <w:r>
        <w:rPr>
          <w:b/>
          <w:bCs/>
        </w:rPr>
        <w:t xml:space="preserve">Государству-участнику следует продолжать свои усилия по обеспечению поощрения и защиты прав коренных народов, </w:t>
      </w:r>
      <w:proofErr w:type="gramStart"/>
      <w:r>
        <w:rPr>
          <w:b/>
          <w:bCs/>
        </w:rPr>
        <w:t>и в частности</w:t>
      </w:r>
      <w:proofErr w:type="gramEnd"/>
      <w:r>
        <w:rPr>
          <w:b/>
          <w:bCs/>
        </w:rPr>
        <w:t xml:space="preserve"> ему следует:</w:t>
      </w:r>
    </w:p>
    <w:p w14:paraId="082C6F7E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гарантировать доступ всех коренных народов к образованию и здравоохранению;</w:t>
      </w:r>
    </w:p>
    <w:p w14:paraId="2BBDDAFD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создать эффективный национальный консультационный механизм, гарантирующий свободное, предварительное и осознанное согласие коренных народов в целях содействия их участию в процессе принятия решений на всех уровнях управления;</w:t>
      </w:r>
    </w:p>
    <w:p w14:paraId="2D86E7D0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 xml:space="preserve">обеспечивать эффективный доступ к процедурам урегулирования конфликтных ситуаций, ускорить возвращение и регистрацию земель и природных ресурсов коренным народам, гарантировать выполнение решений Межамериканского суда по правам человека в отношении общин </w:t>
      </w:r>
      <w:proofErr w:type="spellStart"/>
      <w:r>
        <w:rPr>
          <w:b/>
          <w:bCs/>
        </w:rPr>
        <w:t>саугоямакса</w:t>
      </w:r>
      <w:proofErr w:type="spellEnd"/>
      <w:r>
        <w:rPr>
          <w:b/>
          <w:bCs/>
        </w:rPr>
        <w:t>, яки-</w:t>
      </w:r>
      <w:proofErr w:type="spellStart"/>
      <w:r>
        <w:rPr>
          <w:b/>
          <w:bCs/>
        </w:rPr>
        <w:t>акса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ксакмок-касек</w:t>
      </w:r>
      <w:proofErr w:type="spellEnd"/>
      <w:r>
        <w:rPr>
          <w:b/>
          <w:bCs/>
        </w:rPr>
        <w:t xml:space="preserve">, а также защиту земель и ресурсов общины </w:t>
      </w:r>
      <w:proofErr w:type="spellStart"/>
      <w:r>
        <w:rPr>
          <w:b/>
          <w:bCs/>
        </w:rPr>
        <w:t>айорео-тотобьегосоде</w:t>
      </w:r>
      <w:proofErr w:type="spellEnd"/>
      <w:r>
        <w:rPr>
          <w:b/>
          <w:bCs/>
        </w:rPr>
        <w:t>;</w:t>
      </w:r>
    </w:p>
    <w:p w14:paraId="2B77F07A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укрепить потенциал Парагвайского института по проблемам коренных народов и гарантировать его независимость, с тем чтобы его деятельность обеспечивала защиту и поощрение прав коренных народов в полном объеме;</w:t>
      </w:r>
    </w:p>
    <w:p w14:paraId="335150F6" w14:textId="77777777" w:rsidR="00B145C5" w:rsidRPr="000455BF" w:rsidRDefault="00B145C5" w:rsidP="00B145C5">
      <w:pPr>
        <w:spacing w:after="120"/>
        <w:ind w:left="1134" w:right="1134" w:firstLine="567"/>
        <w:jc w:val="both"/>
        <w:rPr>
          <w:b/>
          <w:bCs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принять меры по обеспечению полноценного участия представителей коренных народов в политической жизни.</w:t>
      </w:r>
    </w:p>
    <w:p w14:paraId="519BC2A3" w14:textId="77777777" w:rsidR="00B145C5" w:rsidRPr="00906561" w:rsidRDefault="00153A4F" w:rsidP="00906561">
      <w:pPr>
        <w:pStyle w:val="H1G"/>
      </w:pPr>
      <w:r>
        <w:tab/>
      </w:r>
      <w:r w:rsidR="00B145C5" w:rsidRPr="00906561">
        <w:t>D.</w:t>
      </w:r>
      <w:r w:rsidR="00B145C5" w:rsidRPr="00906561">
        <w:tab/>
        <w:t>Распространение информации и последующая деятельность</w:t>
      </w:r>
    </w:p>
    <w:p w14:paraId="5F86B5D0" w14:textId="77777777" w:rsidR="00B145C5" w:rsidRPr="000455BF" w:rsidRDefault="00B145C5" w:rsidP="00B145C5">
      <w:pPr>
        <w:spacing w:after="120"/>
        <w:ind w:left="1134" w:right="1134"/>
        <w:jc w:val="both"/>
        <w:rPr>
          <w:b/>
        </w:rPr>
      </w:pPr>
      <w:r>
        <w:t>46.</w:t>
      </w:r>
      <w:r>
        <w:tab/>
      </w:r>
      <w:r>
        <w:rPr>
          <w:b/>
          <w:bCs/>
        </w:rPr>
        <w:t>Государству-участнику следует обеспечить широкое распространение Пакта и двух Факультативных протоколов к нему, своего четвертого периодического доклада и настоящих заключительных замечаний, с тем чтобы повысить уровень осведомленности о закрепленных в Пакте правах среди представителей судебных, законодательных и административных органов, гражданского общества и действующих в стране неправительственных организаций, а также широкой общественности, включая представителей меньшинств и коренных народов.</w:t>
      </w:r>
    </w:p>
    <w:p w14:paraId="4DF9DB28" w14:textId="77777777" w:rsidR="00B145C5" w:rsidRPr="000455BF" w:rsidRDefault="00B145C5" w:rsidP="00906561">
      <w:pPr>
        <w:spacing w:after="120"/>
        <w:ind w:left="1134" w:right="1134"/>
        <w:jc w:val="both"/>
        <w:rPr>
          <w:b/>
        </w:rPr>
      </w:pPr>
      <w:r>
        <w:t>47.</w:t>
      </w:r>
      <w:r>
        <w:tab/>
      </w:r>
      <w:r>
        <w:rPr>
          <w:b/>
          <w:bCs/>
        </w:rPr>
        <w:t>В соответствии с пунктом 5 правила 71 правил процедуры Комитета государству-участнику предлагается в течение двух лет с момента принятия настоящих заключительных замечаний, а именно к 26 июля 2021 года, предоставить информацию о выполнении им рекомендаций Комитета, изложенных в пунктах 13 (нарушения прав человека в период диктатуры), 29</w:t>
      </w:r>
      <w:r w:rsidR="00153A4F">
        <w:rPr>
          <w:b/>
          <w:bCs/>
        </w:rPr>
        <w:t> </w:t>
      </w:r>
      <w:r>
        <w:rPr>
          <w:b/>
          <w:bCs/>
        </w:rPr>
        <w:t>(досудебное содержание под стражей и основополагающие гарантии) и</w:t>
      </w:r>
      <w:r w:rsidR="00153A4F">
        <w:rPr>
          <w:b/>
          <w:bCs/>
        </w:rPr>
        <w:t> </w:t>
      </w:r>
      <w:r>
        <w:rPr>
          <w:b/>
          <w:bCs/>
        </w:rPr>
        <w:t>35</w:t>
      </w:r>
      <w:r w:rsidR="00153A4F">
        <w:rPr>
          <w:b/>
          <w:bCs/>
        </w:rPr>
        <w:t> </w:t>
      </w:r>
      <w:r>
        <w:rPr>
          <w:b/>
          <w:bCs/>
        </w:rPr>
        <w:t>(независимость судебных органов).</w:t>
      </w:r>
    </w:p>
    <w:p w14:paraId="05596B45" w14:textId="77777777" w:rsidR="00B145C5" w:rsidRPr="000455BF" w:rsidRDefault="00B145C5" w:rsidP="00906561">
      <w:pPr>
        <w:spacing w:after="120"/>
        <w:ind w:left="1134" w:right="1134"/>
        <w:jc w:val="both"/>
        <w:rPr>
          <w:b/>
        </w:rPr>
      </w:pPr>
      <w:r>
        <w:t>48.</w:t>
      </w:r>
      <w:r>
        <w:tab/>
      </w:r>
      <w:r>
        <w:rPr>
          <w:b/>
          <w:bCs/>
        </w:rPr>
        <w:t>Комитет просит госуда</w:t>
      </w:r>
      <w:bookmarkStart w:id="3" w:name="_GoBack"/>
      <w:bookmarkEnd w:id="3"/>
      <w:r>
        <w:rPr>
          <w:b/>
          <w:bCs/>
        </w:rPr>
        <w:t>рство-участник представить свой следующий периодический доклад к 26 июля 2025 года.</w:t>
      </w:r>
      <w:r>
        <w:t xml:space="preserve"> </w:t>
      </w:r>
      <w:r>
        <w:rPr>
          <w:b/>
          <w:bCs/>
        </w:rPr>
        <w:t>Поскольку государство-участник согласилось следовать упрощенной процедуре отчетности, Комитет в надлежащее время направит ему перечень вопросов до получения его доклада.</w:t>
      </w:r>
      <w:r>
        <w:t xml:space="preserve"> </w:t>
      </w:r>
      <w:r>
        <w:rPr>
          <w:b/>
          <w:bCs/>
        </w:rPr>
        <w:t>Ответы государства-участника на этот пересечь составят его пятый периодический доклад.</w:t>
      </w:r>
      <w:r>
        <w:t xml:space="preserve"> </w:t>
      </w:r>
      <w:r>
        <w:rPr>
          <w:b/>
          <w:bCs/>
        </w:rPr>
        <w:t>В соответствии с резолюцией 68/268 Генеральной Ассамблеи объем доклада не должен превышать 21 200 слов.</w:t>
      </w:r>
    </w:p>
    <w:p w14:paraId="5274F275" w14:textId="77777777" w:rsidR="00B145C5" w:rsidRPr="000455BF" w:rsidRDefault="00B145C5" w:rsidP="00B145C5">
      <w:pPr>
        <w:spacing w:before="240"/>
        <w:ind w:left="1134" w:right="1134"/>
        <w:jc w:val="center"/>
        <w:rPr>
          <w:u w:val="single"/>
        </w:rPr>
      </w:pPr>
      <w:r w:rsidRPr="000455BF">
        <w:rPr>
          <w:u w:val="single"/>
        </w:rPr>
        <w:tab/>
      </w:r>
      <w:r w:rsidRPr="000455BF">
        <w:rPr>
          <w:u w:val="single"/>
        </w:rPr>
        <w:tab/>
      </w:r>
      <w:r w:rsidRPr="000455BF">
        <w:rPr>
          <w:u w:val="single"/>
        </w:rPr>
        <w:tab/>
      </w:r>
      <w:r w:rsidRPr="000455BF">
        <w:rPr>
          <w:u w:val="single"/>
        </w:rPr>
        <w:tab/>
      </w:r>
    </w:p>
    <w:sectPr w:rsidR="00B145C5" w:rsidRPr="000455BF" w:rsidSect="00B14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3F21F" w14:textId="77777777" w:rsidR="001E4530" w:rsidRPr="00A312BC" w:rsidRDefault="001E4530" w:rsidP="00A312BC"/>
  </w:endnote>
  <w:endnote w:type="continuationSeparator" w:id="0">
    <w:p w14:paraId="38C1C232" w14:textId="77777777" w:rsidR="001E4530" w:rsidRPr="00A312BC" w:rsidRDefault="001E45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635C" w14:textId="77777777" w:rsidR="00B145C5" w:rsidRPr="00B145C5" w:rsidRDefault="00B145C5">
    <w:pPr>
      <w:pStyle w:val="a8"/>
    </w:pPr>
    <w:r w:rsidRPr="00B145C5">
      <w:rPr>
        <w:b/>
        <w:sz w:val="18"/>
      </w:rPr>
      <w:fldChar w:fldCharType="begin"/>
    </w:r>
    <w:r w:rsidRPr="00B145C5">
      <w:rPr>
        <w:b/>
        <w:sz w:val="18"/>
      </w:rPr>
      <w:instrText xml:space="preserve"> PAGE  \* MERGEFORMAT </w:instrText>
    </w:r>
    <w:r w:rsidRPr="00B145C5">
      <w:rPr>
        <w:b/>
        <w:sz w:val="18"/>
      </w:rPr>
      <w:fldChar w:fldCharType="separate"/>
    </w:r>
    <w:r w:rsidRPr="00B145C5">
      <w:rPr>
        <w:b/>
        <w:noProof/>
        <w:sz w:val="18"/>
      </w:rPr>
      <w:t>2</w:t>
    </w:r>
    <w:r w:rsidRPr="00B145C5">
      <w:rPr>
        <w:b/>
        <w:sz w:val="18"/>
      </w:rPr>
      <w:fldChar w:fldCharType="end"/>
    </w:r>
    <w:r>
      <w:rPr>
        <w:b/>
        <w:sz w:val="18"/>
      </w:rPr>
      <w:tab/>
    </w:r>
    <w:r>
      <w:t>GE.19-14116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CEEE" w14:textId="77777777" w:rsidR="00B145C5" w:rsidRPr="00B145C5" w:rsidRDefault="00B145C5" w:rsidP="00B145C5">
    <w:pPr>
      <w:pStyle w:val="a8"/>
      <w:tabs>
        <w:tab w:val="clear" w:pos="9639"/>
        <w:tab w:val="right" w:pos="9638"/>
      </w:tabs>
      <w:rPr>
        <w:b/>
        <w:sz w:val="18"/>
      </w:rPr>
    </w:pPr>
    <w:r>
      <w:t>GE.19-14116</w:t>
    </w:r>
    <w:r>
      <w:tab/>
    </w:r>
    <w:r w:rsidRPr="00B145C5">
      <w:rPr>
        <w:b/>
        <w:sz w:val="18"/>
      </w:rPr>
      <w:fldChar w:fldCharType="begin"/>
    </w:r>
    <w:r w:rsidRPr="00B145C5">
      <w:rPr>
        <w:b/>
        <w:sz w:val="18"/>
      </w:rPr>
      <w:instrText xml:space="preserve"> PAGE  \* MERGEFORMAT </w:instrText>
    </w:r>
    <w:r w:rsidRPr="00B145C5">
      <w:rPr>
        <w:b/>
        <w:sz w:val="18"/>
      </w:rPr>
      <w:fldChar w:fldCharType="separate"/>
    </w:r>
    <w:r w:rsidRPr="00B145C5">
      <w:rPr>
        <w:b/>
        <w:noProof/>
        <w:sz w:val="18"/>
      </w:rPr>
      <w:t>3</w:t>
    </w:r>
    <w:r w:rsidRPr="00B145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2FE4" w14:textId="77777777" w:rsidR="00042B72" w:rsidRPr="00B145C5" w:rsidRDefault="00B145C5" w:rsidP="00B145C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BDF4F6" wp14:editId="316B38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14116  (</w:t>
    </w:r>
    <w:proofErr w:type="gramEnd"/>
    <w:r>
      <w:t>R)</w:t>
    </w:r>
    <w:r>
      <w:rPr>
        <w:lang w:val="en-US"/>
      </w:rPr>
      <w:t xml:space="preserve">  270919  </w:t>
    </w:r>
    <w:r w:rsidR="00A8799D">
      <w:rPr>
        <w:lang w:val="en-US"/>
      </w:rPr>
      <w:t>01</w:t>
    </w:r>
    <w:r>
      <w:rPr>
        <w:lang w:val="en-US"/>
      </w:rPr>
      <w:t>1019</w:t>
    </w:r>
    <w:r>
      <w:br/>
    </w:r>
    <w:r w:rsidRPr="00B145C5">
      <w:rPr>
        <w:rFonts w:ascii="C39T30Lfz" w:hAnsi="C39T30Lfz"/>
        <w:kern w:val="14"/>
        <w:sz w:val="56"/>
      </w:rPr>
      <w:t></w:t>
    </w:r>
    <w:r w:rsidRPr="00B145C5">
      <w:rPr>
        <w:rFonts w:ascii="C39T30Lfz" w:hAnsi="C39T30Lfz"/>
        <w:kern w:val="14"/>
        <w:sz w:val="56"/>
      </w:rPr>
      <w:t></w:t>
    </w:r>
    <w:r w:rsidRPr="00B145C5">
      <w:rPr>
        <w:rFonts w:ascii="C39T30Lfz" w:hAnsi="C39T30Lfz"/>
        <w:kern w:val="14"/>
        <w:sz w:val="56"/>
      </w:rPr>
      <w:t></w:t>
    </w:r>
    <w:r w:rsidRPr="00B145C5">
      <w:rPr>
        <w:rFonts w:ascii="C39T30Lfz" w:hAnsi="C39T30Lfz"/>
        <w:kern w:val="14"/>
        <w:sz w:val="56"/>
      </w:rPr>
      <w:t></w:t>
    </w:r>
    <w:r w:rsidRPr="00B145C5">
      <w:rPr>
        <w:rFonts w:ascii="C39T30Lfz" w:hAnsi="C39T30Lfz"/>
        <w:kern w:val="14"/>
        <w:sz w:val="56"/>
      </w:rPr>
      <w:t></w:t>
    </w:r>
    <w:r w:rsidRPr="00B145C5">
      <w:rPr>
        <w:rFonts w:ascii="C39T30Lfz" w:hAnsi="C39T30Lfz"/>
        <w:kern w:val="14"/>
        <w:sz w:val="56"/>
      </w:rPr>
      <w:t></w:t>
    </w:r>
    <w:r w:rsidRPr="00B145C5">
      <w:rPr>
        <w:rFonts w:ascii="C39T30Lfz" w:hAnsi="C39T30Lfz"/>
        <w:kern w:val="14"/>
        <w:sz w:val="56"/>
      </w:rPr>
      <w:t></w:t>
    </w:r>
    <w:r w:rsidRPr="00B145C5">
      <w:rPr>
        <w:rFonts w:ascii="C39T30Lfz" w:hAnsi="C39T30Lfz"/>
        <w:kern w:val="14"/>
        <w:sz w:val="56"/>
      </w:rPr>
      <w:t></w:t>
    </w:r>
    <w:r w:rsidRPr="00B145C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724D27" wp14:editId="3106D89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CPR/C/PRY/CO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PRY/CO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588E" w14:textId="77777777" w:rsidR="001E4530" w:rsidRPr="001075E9" w:rsidRDefault="001E45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629CA9" w14:textId="77777777" w:rsidR="001E4530" w:rsidRDefault="001E45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AEEED7" w14:textId="77777777" w:rsidR="00B145C5" w:rsidRPr="000455BF" w:rsidRDefault="00B145C5" w:rsidP="00B145C5">
      <w:pPr>
        <w:pStyle w:val="ad"/>
      </w:pPr>
      <w:r>
        <w:tab/>
        <w:t>*</w:t>
      </w:r>
      <w:r>
        <w:tab/>
        <w:t>Приняты Комитетом на его 126-й сессии (1</w:t>
      </w:r>
      <w:r w:rsidR="0028282B" w:rsidRPr="00F028C0">
        <w:t>–</w:t>
      </w:r>
      <w:r>
        <w:t>26 июля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DF94" w14:textId="7F50D51B" w:rsidR="00B145C5" w:rsidRPr="00B145C5" w:rsidRDefault="008570B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CCPR/C/PRY/CO/4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F158" w14:textId="082BED7E" w:rsidR="00B145C5" w:rsidRPr="00B145C5" w:rsidRDefault="008570BB" w:rsidP="00B145C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CCPR/C/PRY/CO/4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5132" w14:textId="77777777" w:rsidR="00B145C5" w:rsidRDefault="00B145C5" w:rsidP="00B145C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0"/>
    <w:rsid w:val="00033EE1"/>
    <w:rsid w:val="00042B72"/>
    <w:rsid w:val="0005371D"/>
    <w:rsid w:val="000558BD"/>
    <w:rsid w:val="000B57E7"/>
    <w:rsid w:val="000B6373"/>
    <w:rsid w:val="000F09DF"/>
    <w:rsid w:val="000F61B2"/>
    <w:rsid w:val="001075E9"/>
    <w:rsid w:val="00111353"/>
    <w:rsid w:val="00153A4F"/>
    <w:rsid w:val="00180183"/>
    <w:rsid w:val="0018024D"/>
    <w:rsid w:val="0018649F"/>
    <w:rsid w:val="00196389"/>
    <w:rsid w:val="001A0040"/>
    <w:rsid w:val="001B3EF6"/>
    <w:rsid w:val="001C7A89"/>
    <w:rsid w:val="001D678B"/>
    <w:rsid w:val="001E4530"/>
    <w:rsid w:val="00204B32"/>
    <w:rsid w:val="00236B0E"/>
    <w:rsid w:val="00254812"/>
    <w:rsid w:val="0028282B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278C5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65671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71FA"/>
    <w:rsid w:val="00601B8E"/>
    <w:rsid w:val="00613C1F"/>
    <w:rsid w:val="00666B97"/>
    <w:rsid w:val="00681A10"/>
    <w:rsid w:val="006A1ED8"/>
    <w:rsid w:val="006B39A1"/>
    <w:rsid w:val="006C2031"/>
    <w:rsid w:val="006D461A"/>
    <w:rsid w:val="006F35EE"/>
    <w:rsid w:val="007021FF"/>
    <w:rsid w:val="00712895"/>
    <w:rsid w:val="0075523D"/>
    <w:rsid w:val="00756959"/>
    <w:rsid w:val="00757357"/>
    <w:rsid w:val="00787D3A"/>
    <w:rsid w:val="00791B9D"/>
    <w:rsid w:val="00825F8D"/>
    <w:rsid w:val="00834B71"/>
    <w:rsid w:val="008570BB"/>
    <w:rsid w:val="0086445C"/>
    <w:rsid w:val="00894693"/>
    <w:rsid w:val="008A08D7"/>
    <w:rsid w:val="008B6909"/>
    <w:rsid w:val="00906561"/>
    <w:rsid w:val="00906890"/>
    <w:rsid w:val="00911BE4"/>
    <w:rsid w:val="00931A71"/>
    <w:rsid w:val="00944A01"/>
    <w:rsid w:val="00951972"/>
    <w:rsid w:val="009608F3"/>
    <w:rsid w:val="009918E2"/>
    <w:rsid w:val="009A24AC"/>
    <w:rsid w:val="009D21FD"/>
    <w:rsid w:val="00A14DA8"/>
    <w:rsid w:val="00A312BC"/>
    <w:rsid w:val="00A34D07"/>
    <w:rsid w:val="00A4704E"/>
    <w:rsid w:val="00A84021"/>
    <w:rsid w:val="00A84D35"/>
    <w:rsid w:val="00A8799D"/>
    <w:rsid w:val="00A917B3"/>
    <w:rsid w:val="00AB4B51"/>
    <w:rsid w:val="00AD6F87"/>
    <w:rsid w:val="00B10CC7"/>
    <w:rsid w:val="00B136DB"/>
    <w:rsid w:val="00B145C5"/>
    <w:rsid w:val="00B539E7"/>
    <w:rsid w:val="00B62458"/>
    <w:rsid w:val="00B75332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2600F"/>
    <w:rsid w:val="00D33D63"/>
    <w:rsid w:val="00D90028"/>
    <w:rsid w:val="00D90138"/>
    <w:rsid w:val="00D9090B"/>
    <w:rsid w:val="00DD78D1"/>
    <w:rsid w:val="00DE32CD"/>
    <w:rsid w:val="00DF48B3"/>
    <w:rsid w:val="00DF71B9"/>
    <w:rsid w:val="00E005F7"/>
    <w:rsid w:val="00E06BEE"/>
    <w:rsid w:val="00E322F1"/>
    <w:rsid w:val="00E46656"/>
    <w:rsid w:val="00E73F76"/>
    <w:rsid w:val="00EA2C9F"/>
    <w:rsid w:val="00EA420E"/>
    <w:rsid w:val="00ED0BDA"/>
    <w:rsid w:val="00EF1360"/>
    <w:rsid w:val="00EF3220"/>
    <w:rsid w:val="00F028C0"/>
    <w:rsid w:val="00F43903"/>
    <w:rsid w:val="00F5599F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549A0"/>
  <w15:docId w15:val="{821797A7-D18A-4056-97FE-5F9F8A00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,Footnote,Footnotes refss,Style 10,ftref,16 Point,Superscript 6 Point,Footnote number,Endnote Text1,Rimando nota a pièdi pagina1,Footnote symbol,Знак сноски 1,Texto de nota al pie,referencia nota al pie,BVI fnr,callout,f"/>
    <w:basedOn w:val="a0"/>
    <w:link w:val="f1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145C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B145C5"/>
    <w:rPr>
      <w:lang w:val="ru-RU" w:eastAsia="en-US"/>
    </w:rPr>
  </w:style>
  <w:style w:type="character" w:styleId="af3">
    <w:name w:val="annotation reference"/>
    <w:uiPriority w:val="99"/>
    <w:unhideWhenUsed/>
    <w:rsid w:val="00B145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B145C5"/>
    <w:pPr>
      <w:suppressAutoHyphens w:val="0"/>
      <w:spacing w:after="160" w:line="240" w:lineRule="auto"/>
    </w:pPr>
    <w:rPr>
      <w:rFonts w:ascii="Calibri" w:eastAsia="Calibri" w:hAnsi="Calibri" w:cs="Times New Roman"/>
      <w:szCs w:val="20"/>
      <w:lang w:val="en-GB"/>
    </w:rPr>
  </w:style>
  <w:style w:type="character" w:customStyle="1" w:styleId="af5">
    <w:name w:val="Текст примечания Знак"/>
    <w:basedOn w:val="a0"/>
    <w:link w:val="af4"/>
    <w:uiPriority w:val="99"/>
    <w:rsid w:val="00B145C5"/>
    <w:rPr>
      <w:rFonts w:ascii="Calibri" w:eastAsia="Calibri" w:hAnsi="Calibri"/>
      <w:lang w:val="en-GB" w:eastAsia="en-US"/>
    </w:rPr>
  </w:style>
  <w:style w:type="paragraph" w:customStyle="1" w:styleId="f1">
    <w:name w:val="f1"/>
    <w:aliases w:val="Ref. de nota al pie.,Texto nota al pie,Ref. de nota al pi,Re"/>
    <w:basedOn w:val="a"/>
    <w:link w:val="aa"/>
    <w:rsid w:val="00B145C5"/>
    <w:pPr>
      <w:suppressAutoHyphens w:val="0"/>
      <w:spacing w:after="160" w:line="240" w:lineRule="exact"/>
    </w:pPr>
    <w:rPr>
      <w:rFonts w:eastAsia="Times New Roman" w:cs="Times New Roman"/>
      <w:sz w:val="18"/>
      <w:szCs w:val="20"/>
      <w:vertAlign w:val="superscript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12</Pages>
  <Words>4875</Words>
  <Characters>33644</Characters>
  <Application>Microsoft Office Word</Application>
  <DocSecurity>0</DocSecurity>
  <Lines>611</Lines>
  <Paragraphs>147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CCPR/C/PRY/CO/4</vt:lpstr>
      <vt:lpstr>A/</vt:lpstr>
      <vt:lpstr>A/</vt:lpstr>
    </vt:vector>
  </TitlesOfParts>
  <Company>DCM</Company>
  <LinksUpToDate>false</LinksUpToDate>
  <CharactersWithSpaces>38372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CCPR/C/PRY/CO/4</dc:title>
  <dc:subject/>
  <dc:creator>Shuvalova NATALIA</dc:creator>
  <cp:keywords/>
  <cp:lastModifiedBy>Natalia Shuvalova</cp:lastModifiedBy>
  <cp:revision>3</cp:revision>
  <cp:lastPrinted>2019-10-01T06:36:00Z</cp:lastPrinted>
  <dcterms:created xsi:type="dcterms:W3CDTF">2019-10-01T06:36:00Z</dcterms:created>
  <dcterms:modified xsi:type="dcterms:W3CDTF">2019-10-01T06:37:00Z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