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43" w:rsidRPr="00854760" w:rsidRDefault="00854760" w:rsidP="00854760">
      <w:pPr>
        <w:spacing w:line="240" w:lineRule="auto"/>
        <w:rPr>
          <w:sz w:val="6"/>
        </w:rPr>
        <w:sectPr w:rsidR="00444D43" w:rsidRPr="00854760" w:rsidSect="00444D4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sz w:val="6"/>
        </w:rPr>
        <w:t xml:space="preserve">  </w:t>
      </w:r>
    </w:p>
    <w:p w:rsidR="00444D43" w:rsidRPr="00517BD6" w:rsidRDefault="00444D43" w:rsidP="00444D43">
      <w:pPr>
        <w:pStyle w:val="H1"/>
        <w:rPr>
          <w:lang w:val="fr-CH"/>
        </w:rPr>
      </w:pPr>
      <w:r w:rsidRPr="00517BD6">
        <w:rPr>
          <w:lang w:val="fr-CH"/>
        </w:rPr>
        <w:lastRenderedPageBreak/>
        <w:t>Comité des droits de l’enfant</w:t>
      </w:r>
    </w:p>
    <w:p w:rsidR="00B71088" w:rsidRPr="00517BD6" w:rsidRDefault="00B71088" w:rsidP="00B71088">
      <w:pPr>
        <w:pStyle w:val="SingleTxt"/>
        <w:spacing w:after="0" w:line="120" w:lineRule="exact"/>
        <w:rPr>
          <w:sz w:val="10"/>
          <w:lang w:val="fr-CH"/>
        </w:rPr>
      </w:pPr>
    </w:p>
    <w:p w:rsidR="00B71088" w:rsidRPr="00517BD6" w:rsidRDefault="00B71088" w:rsidP="00B71088">
      <w:pPr>
        <w:pStyle w:val="SingleTxt"/>
        <w:spacing w:after="0" w:line="120" w:lineRule="exact"/>
        <w:rPr>
          <w:sz w:val="10"/>
          <w:lang w:val="fr-CH"/>
        </w:rPr>
      </w:pPr>
    </w:p>
    <w:p w:rsidR="00B71088" w:rsidRPr="00517BD6" w:rsidRDefault="00B71088" w:rsidP="00B71088">
      <w:pPr>
        <w:pStyle w:val="SingleTxt"/>
        <w:spacing w:after="0" w:line="120" w:lineRule="exact"/>
        <w:rPr>
          <w:sz w:val="10"/>
          <w:lang w:val="fr-CH"/>
        </w:rPr>
      </w:pPr>
    </w:p>
    <w:p w:rsidR="007B2356" w:rsidRPr="00517BD6" w:rsidRDefault="00B71088" w:rsidP="007B235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17BD6">
        <w:rPr>
          <w:lang w:val="fr-CH"/>
        </w:rPr>
        <w:tab/>
      </w:r>
      <w:r w:rsidRPr="00517BD6">
        <w:rPr>
          <w:lang w:val="fr-CH"/>
        </w:rPr>
        <w:tab/>
      </w:r>
      <w:r w:rsidR="007B2356" w:rsidRPr="00517BD6">
        <w:rPr>
          <w:lang w:val="fr-CH"/>
        </w:rPr>
        <w:t>Communication n</w:t>
      </w:r>
      <w:r w:rsidR="007B2356" w:rsidRPr="00517BD6">
        <w:rPr>
          <w:vertAlign w:val="superscript"/>
          <w:lang w:val="fr-CH"/>
        </w:rPr>
        <w:t>o </w:t>
      </w:r>
      <w:r w:rsidR="007B2356" w:rsidRPr="00517BD6">
        <w:rPr>
          <w:lang w:val="fr-CH"/>
        </w:rPr>
        <w:t>1/2014</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spacing w:after="0" w:line="120" w:lineRule="exact"/>
        <w:rPr>
          <w:sz w:val="10"/>
          <w:lang w:val="fr-CH"/>
        </w:rPr>
      </w:pPr>
    </w:p>
    <w:p w:rsidR="007B2356" w:rsidRDefault="00517BD6" w:rsidP="00517B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r>
      <w:r w:rsidR="007B2356" w:rsidRPr="00517BD6">
        <w:rPr>
          <w:lang w:val="fr-CH"/>
        </w:rPr>
        <w:t>Décision adoptée par le Comité à</w:t>
      </w:r>
      <w:r w:rsidRPr="00517BD6">
        <w:rPr>
          <w:lang w:val="fr-CH"/>
        </w:rPr>
        <w:t xml:space="preserve"> sa soi</w:t>
      </w:r>
      <w:bookmarkStart w:id="0" w:name="_GoBack"/>
      <w:bookmarkEnd w:id="0"/>
      <w:r w:rsidRPr="00517BD6">
        <w:rPr>
          <w:lang w:val="fr-CH"/>
        </w:rPr>
        <w:t xml:space="preserve">xante-neuvième session </w:t>
      </w:r>
      <w:r w:rsidRPr="00517BD6">
        <w:rPr>
          <w:lang w:val="fr-CH"/>
        </w:rPr>
        <w:br/>
      </w:r>
      <w:r w:rsidR="007B2356" w:rsidRPr="00517BD6">
        <w:rPr>
          <w:lang w:val="fr-CH"/>
        </w:rPr>
        <w:t>(18 mai-5 juin 2015)</w:t>
      </w:r>
    </w:p>
    <w:p w:rsidR="00934897" w:rsidRPr="00934897" w:rsidRDefault="00934897" w:rsidP="00934897">
      <w:pPr>
        <w:pStyle w:val="SingleTxt"/>
        <w:spacing w:after="0" w:line="120" w:lineRule="exact"/>
        <w:rPr>
          <w:sz w:val="10"/>
          <w:lang w:val="fr-CH"/>
        </w:rPr>
      </w:pPr>
    </w:p>
    <w:p w:rsidR="00934897" w:rsidRPr="00934897" w:rsidRDefault="00934897" w:rsidP="00934897">
      <w:pPr>
        <w:pStyle w:val="SingleTxt"/>
        <w:spacing w:after="0" w:line="120" w:lineRule="exact"/>
        <w:rPr>
          <w:sz w:val="10"/>
          <w:lang w:val="fr-CH"/>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4284"/>
      </w:tblGrid>
      <w:tr w:rsidR="00517BD6" w:rsidRPr="00BF21C0" w:rsidTr="00517BD6">
        <w:tc>
          <w:tcPr>
            <w:tcW w:w="2835" w:type="dxa"/>
            <w:shd w:val="clear" w:color="auto" w:fill="auto"/>
          </w:tcPr>
          <w:p w:rsidR="00517BD6" w:rsidRPr="00BF21C0" w:rsidRDefault="00517BD6" w:rsidP="00032100">
            <w:pPr>
              <w:spacing w:after="120"/>
              <w:rPr>
                <w:i/>
                <w:lang w:val="fr-CH"/>
              </w:rPr>
            </w:pPr>
            <w:r w:rsidRPr="00BF21C0">
              <w:rPr>
                <w:i/>
                <w:lang w:val="fr-CH"/>
              </w:rPr>
              <w:t>Objet</w:t>
            </w:r>
            <w:r w:rsidR="00934897">
              <w:rPr>
                <w:i/>
                <w:lang w:val="fr-CH"/>
              </w:rPr>
              <w:t> </w:t>
            </w:r>
            <w:r w:rsidRPr="00BF21C0">
              <w:rPr>
                <w:lang w:val="fr-CH"/>
              </w:rPr>
              <w:t>:</w:t>
            </w:r>
          </w:p>
        </w:tc>
        <w:tc>
          <w:tcPr>
            <w:tcW w:w="4284" w:type="dxa"/>
            <w:shd w:val="clear" w:color="auto" w:fill="auto"/>
          </w:tcPr>
          <w:p w:rsidR="00517BD6" w:rsidRPr="00BF21C0" w:rsidRDefault="00934897" w:rsidP="00032100">
            <w:pPr>
              <w:spacing w:after="120"/>
              <w:rPr>
                <w:lang w:val="fr-CH"/>
              </w:rPr>
            </w:pPr>
            <w:r w:rsidRPr="00517BD6">
              <w:rPr>
                <w:lang w:val="fr-CH"/>
              </w:rPr>
              <w:t>Détermination de l’âge dans le cadre d’une procédure relative à l’octroi d’une protection spéciale à un enfant privé de son milieu familial</w:t>
            </w:r>
          </w:p>
        </w:tc>
      </w:tr>
      <w:tr w:rsidR="00517BD6" w:rsidRPr="00BF21C0" w:rsidTr="00517BD6">
        <w:tc>
          <w:tcPr>
            <w:tcW w:w="2835" w:type="dxa"/>
            <w:shd w:val="clear" w:color="auto" w:fill="auto"/>
          </w:tcPr>
          <w:p w:rsidR="00517BD6" w:rsidRPr="00BF21C0" w:rsidRDefault="00517BD6" w:rsidP="00032100">
            <w:pPr>
              <w:spacing w:after="120"/>
              <w:rPr>
                <w:i/>
                <w:lang w:val="fr-CH"/>
              </w:rPr>
            </w:pPr>
            <w:r w:rsidRPr="00BF21C0">
              <w:rPr>
                <w:i/>
                <w:lang w:val="fr-CH"/>
              </w:rPr>
              <w:t>Question(s) de procédure</w:t>
            </w:r>
            <w:r w:rsidR="00934897">
              <w:rPr>
                <w:i/>
                <w:lang w:val="fr-CH"/>
              </w:rPr>
              <w:t> </w:t>
            </w:r>
            <w:r w:rsidRPr="00BF21C0">
              <w:rPr>
                <w:lang w:val="fr-CH"/>
              </w:rPr>
              <w:t>:</w:t>
            </w:r>
          </w:p>
        </w:tc>
        <w:tc>
          <w:tcPr>
            <w:tcW w:w="4284" w:type="dxa"/>
            <w:shd w:val="clear" w:color="auto" w:fill="auto"/>
          </w:tcPr>
          <w:p w:rsidR="00517BD6" w:rsidRPr="00BF21C0" w:rsidRDefault="00934897" w:rsidP="00032100">
            <w:pPr>
              <w:spacing w:after="120"/>
              <w:rPr>
                <w:lang w:val="fr-CH"/>
              </w:rPr>
            </w:pPr>
            <w:r w:rsidRPr="00517BD6">
              <w:rPr>
                <w:lang w:val="fr-CH"/>
              </w:rPr>
              <w:t xml:space="preserve">Compétence </w:t>
            </w:r>
            <w:proofErr w:type="spellStart"/>
            <w:r w:rsidRPr="00517BD6">
              <w:rPr>
                <w:i/>
                <w:lang w:val="fr-CH"/>
              </w:rPr>
              <w:t>ratione</w:t>
            </w:r>
            <w:proofErr w:type="spellEnd"/>
            <w:r w:rsidRPr="00517BD6">
              <w:rPr>
                <w:i/>
                <w:lang w:val="fr-CH"/>
              </w:rPr>
              <w:t xml:space="preserve"> </w:t>
            </w:r>
            <w:proofErr w:type="spellStart"/>
            <w:r w:rsidRPr="00517BD6">
              <w:rPr>
                <w:i/>
                <w:lang w:val="fr-CH"/>
              </w:rPr>
              <w:t>temporis</w:t>
            </w:r>
            <w:proofErr w:type="spellEnd"/>
            <w:r w:rsidRPr="00517BD6">
              <w:rPr>
                <w:lang w:val="fr-CH"/>
              </w:rPr>
              <w:t xml:space="preserve"> du Comité</w:t>
            </w:r>
          </w:p>
        </w:tc>
      </w:tr>
      <w:tr w:rsidR="00517BD6" w:rsidRPr="00BF21C0" w:rsidTr="00517BD6">
        <w:tc>
          <w:tcPr>
            <w:tcW w:w="2835" w:type="dxa"/>
            <w:shd w:val="clear" w:color="auto" w:fill="auto"/>
          </w:tcPr>
          <w:p w:rsidR="00517BD6" w:rsidRPr="00BF21C0" w:rsidRDefault="00517BD6" w:rsidP="00934897">
            <w:pPr>
              <w:spacing w:after="120"/>
              <w:rPr>
                <w:i/>
                <w:lang w:val="fr-CH"/>
              </w:rPr>
            </w:pPr>
            <w:r w:rsidRPr="00BF21C0">
              <w:rPr>
                <w:i/>
                <w:lang w:val="fr-CH"/>
              </w:rPr>
              <w:t xml:space="preserve">Article(s) </w:t>
            </w:r>
            <w:r w:rsidR="00934897">
              <w:rPr>
                <w:i/>
                <w:lang w:val="fr-CH"/>
              </w:rPr>
              <w:t>de la Convention :</w:t>
            </w:r>
          </w:p>
        </w:tc>
        <w:tc>
          <w:tcPr>
            <w:tcW w:w="4284" w:type="dxa"/>
            <w:shd w:val="clear" w:color="auto" w:fill="auto"/>
          </w:tcPr>
          <w:p w:rsidR="00517BD6" w:rsidRPr="00BF21C0" w:rsidRDefault="00934897" w:rsidP="00032100">
            <w:pPr>
              <w:spacing w:after="120"/>
              <w:rPr>
                <w:lang w:val="fr-CH"/>
              </w:rPr>
            </w:pPr>
            <w:r w:rsidRPr="00517BD6">
              <w:rPr>
                <w:lang w:val="fr-CH"/>
              </w:rPr>
              <w:t>Article 3, lu conjointement avec les articles 18 (par. 2) et 20 (par. 1), et articles 8, 20, 27 et 29</w:t>
            </w:r>
          </w:p>
        </w:tc>
      </w:tr>
      <w:tr w:rsidR="00517BD6" w:rsidRPr="00CD2D9D" w:rsidTr="00517BD6">
        <w:tc>
          <w:tcPr>
            <w:tcW w:w="2835" w:type="dxa"/>
            <w:shd w:val="clear" w:color="auto" w:fill="auto"/>
          </w:tcPr>
          <w:p w:rsidR="00517BD6" w:rsidRPr="00BF21C0" w:rsidRDefault="00517BD6" w:rsidP="00032100">
            <w:pPr>
              <w:spacing w:after="120"/>
              <w:rPr>
                <w:i/>
                <w:lang w:val="fr-CH"/>
              </w:rPr>
            </w:pPr>
            <w:r w:rsidRPr="00BF21C0">
              <w:rPr>
                <w:i/>
                <w:lang w:val="fr-CH"/>
              </w:rPr>
              <w:t>Article(s) du Protocole facultatif</w:t>
            </w:r>
            <w:r w:rsidR="00934897">
              <w:rPr>
                <w:i/>
                <w:lang w:val="fr-CH"/>
              </w:rPr>
              <w:t> </w:t>
            </w:r>
            <w:r w:rsidRPr="00517BD6">
              <w:rPr>
                <w:lang w:val="fr-CH"/>
              </w:rPr>
              <w:t>:</w:t>
            </w:r>
          </w:p>
        </w:tc>
        <w:tc>
          <w:tcPr>
            <w:tcW w:w="4284" w:type="dxa"/>
            <w:shd w:val="clear" w:color="auto" w:fill="auto"/>
          </w:tcPr>
          <w:p w:rsidR="00517BD6" w:rsidRPr="00BF21C0" w:rsidRDefault="00934897" w:rsidP="00032100">
            <w:pPr>
              <w:spacing w:after="120"/>
              <w:rPr>
                <w:lang w:val="fr-CH"/>
              </w:rPr>
            </w:pPr>
            <w:r w:rsidRPr="00517BD6">
              <w:rPr>
                <w:lang w:val="fr-CH"/>
              </w:rPr>
              <w:t>7 g)</w:t>
            </w:r>
          </w:p>
        </w:tc>
      </w:tr>
    </w:tbl>
    <w:p w:rsidR="00517BD6" w:rsidRPr="00CD2D9D" w:rsidRDefault="00517BD6" w:rsidP="00517BD6">
      <w:pPr>
        <w:rPr>
          <w:lang w:val="fr-FR"/>
        </w:rPr>
      </w:pPr>
    </w:p>
    <w:p w:rsidR="007B2356" w:rsidRPr="00517BD6" w:rsidRDefault="007B2356" w:rsidP="007B2356">
      <w:pPr>
        <w:spacing w:line="240" w:lineRule="auto"/>
        <w:rPr>
          <w:lang w:val="fr-CH"/>
        </w:rPr>
      </w:pPr>
      <w:r w:rsidRPr="00517BD6">
        <w:rPr>
          <w:lang w:val="fr-CH"/>
        </w:rPr>
        <w:br w:type="page"/>
      </w:r>
    </w:p>
    <w:p w:rsidR="007B2356" w:rsidRPr="00517BD6" w:rsidRDefault="007B2356" w:rsidP="007B235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17BD6">
        <w:rPr>
          <w:lang w:val="fr-CH"/>
        </w:rPr>
        <w:lastRenderedPageBreak/>
        <w:t>Annexe</w:t>
      </w:r>
    </w:p>
    <w:p w:rsidR="007B2356" w:rsidRPr="00517BD6" w:rsidRDefault="007B2356" w:rsidP="007B2356">
      <w:pPr>
        <w:pStyle w:val="SingleTxt"/>
        <w:spacing w:after="0" w:line="120" w:lineRule="exact"/>
        <w:rPr>
          <w:sz w:val="10"/>
          <w:lang w:val="fr-CH"/>
        </w:rPr>
      </w:pPr>
    </w:p>
    <w:p w:rsidR="007B2356" w:rsidRPr="00517BD6" w:rsidRDefault="006E7689" w:rsidP="006E76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r>
      <w:r w:rsidR="007B2356" w:rsidRPr="00517BD6">
        <w:rPr>
          <w:lang w:val="fr-CH"/>
        </w:rPr>
        <w:t xml:space="preserve">Décision du Comité des droits de l’enfant en vertu </w:t>
      </w:r>
      <w:r w:rsidR="007B2356" w:rsidRPr="00517BD6">
        <w:rPr>
          <w:lang w:val="fr-CH"/>
        </w:rPr>
        <w:br/>
        <w:t xml:space="preserve">du Protocole facultatif à la Convention relative </w:t>
      </w:r>
      <w:r w:rsidR="007B2356" w:rsidRPr="00517BD6">
        <w:rPr>
          <w:lang w:val="fr-CH"/>
        </w:rPr>
        <w:br/>
        <w:t xml:space="preserve">aux droits de l’enfant établissant une procédure </w:t>
      </w:r>
      <w:r w:rsidR="007B2356" w:rsidRPr="00517BD6">
        <w:rPr>
          <w:lang w:val="fr-CH"/>
        </w:rPr>
        <w:br/>
        <w:t>de présentation de communications</w:t>
      </w:r>
      <w:r w:rsidR="007B2356" w:rsidRPr="00517BD6">
        <w:rPr>
          <w:lang w:val="fr-CH"/>
        </w:rPr>
        <w:br/>
        <w:t>(soixante-neuvième session)</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spacing w:after="0" w:line="120" w:lineRule="exact"/>
        <w:rPr>
          <w:sz w:val="10"/>
          <w:lang w:val="fr-CH"/>
        </w:rPr>
      </w:pPr>
    </w:p>
    <w:p w:rsidR="007B2356" w:rsidRPr="00517BD6" w:rsidRDefault="007B2356" w:rsidP="007B2356">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17BD6">
        <w:rPr>
          <w:lang w:val="fr-CH"/>
        </w:rPr>
        <w:tab/>
      </w:r>
      <w:r w:rsidRPr="00517BD6">
        <w:rPr>
          <w:lang w:val="fr-CH"/>
        </w:rPr>
        <w:tab/>
        <w:t>concernant la</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spacing w:after="0" w:line="120" w:lineRule="exact"/>
        <w:rPr>
          <w:sz w:val="10"/>
          <w:lang w:val="fr-CH"/>
        </w:rPr>
      </w:pPr>
    </w:p>
    <w:p w:rsidR="007B2356" w:rsidRDefault="007B2356" w:rsidP="007B23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517BD6">
        <w:rPr>
          <w:lang w:val="fr-CH"/>
        </w:rPr>
        <w:tab/>
      </w:r>
      <w:r w:rsidRPr="00517BD6">
        <w:rPr>
          <w:lang w:val="fr-CH"/>
        </w:rPr>
        <w:tab/>
        <w:t>Communication n</w:t>
      </w:r>
      <w:r w:rsidRPr="00517BD6">
        <w:rPr>
          <w:vertAlign w:val="superscript"/>
          <w:lang w:val="fr-CH"/>
        </w:rPr>
        <w:t>o </w:t>
      </w:r>
      <w:r w:rsidRPr="00517BD6">
        <w:rPr>
          <w:lang w:val="fr-CH"/>
        </w:rPr>
        <w:t>1/2014</w:t>
      </w:r>
      <w:r w:rsidRPr="00934897">
        <w:rPr>
          <w:rStyle w:val="FootnoteReference"/>
          <w:b w:val="0"/>
          <w:sz w:val="20"/>
          <w:szCs w:val="20"/>
          <w:vertAlign w:val="baseline"/>
          <w:lang w:val="fr-CH"/>
        </w:rPr>
        <w:footnoteReference w:customMarkFollows="1" w:id="1"/>
        <w:t>*</w:t>
      </w:r>
    </w:p>
    <w:p w:rsidR="00934897" w:rsidRPr="00934897" w:rsidRDefault="00934897" w:rsidP="00934897">
      <w:pPr>
        <w:pStyle w:val="SingleTxt"/>
        <w:spacing w:after="0" w:line="120" w:lineRule="exact"/>
        <w:rPr>
          <w:sz w:val="10"/>
          <w:lang w:val="fr-CH"/>
        </w:rPr>
      </w:pPr>
    </w:p>
    <w:p w:rsidR="00934897" w:rsidRPr="00934897" w:rsidRDefault="00934897" w:rsidP="00934897">
      <w:pPr>
        <w:pStyle w:val="SingleTxt"/>
        <w:tabs>
          <w:tab w:val="left" w:pos="8820"/>
        </w:tabs>
        <w:spacing w:after="0" w:line="120" w:lineRule="exact"/>
        <w:rPr>
          <w:sz w:val="10"/>
          <w:lang w:val="fr-CH"/>
        </w:rPr>
      </w:pPr>
    </w:p>
    <w:tbl>
      <w:tblPr>
        <w:tblW w:w="7029" w:type="dxa"/>
        <w:tblInd w:w="1701" w:type="dxa"/>
        <w:tblLayout w:type="fixed"/>
        <w:tblCellMar>
          <w:left w:w="0" w:type="dxa"/>
          <w:right w:w="0" w:type="dxa"/>
        </w:tblCellMar>
        <w:tblLook w:val="01E0" w:firstRow="1" w:lastRow="1" w:firstColumn="1" w:lastColumn="1" w:noHBand="0" w:noVBand="0"/>
      </w:tblPr>
      <w:tblGrid>
        <w:gridCol w:w="2410"/>
        <w:gridCol w:w="4619"/>
      </w:tblGrid>
      <w:tr w:rsidR="00934897" w:rsidRPr="005844A6" w:rsidTr="00934897">
        <w:tc>
          <w:tcPr>
            <w:tcW w:w="2410" w:type="dxa"/>
            <w:shd w:val="clear" w:color="auto" w:fill="auto"/>
          </w:tcPr>
          <w:p w:rsidR="00934897" w:rsidRPr="00700477" w:rsidRDefault="00934897" w:rsidP="00032100">
            <w:pPr>
              <w:spacing w:after="120"/>
              <w:rPr>
                <w:i/>
              </w:rPr>
            </w:pPr>
            <w:proofErr w:type="spellStart"/>
            <w:r w:rsidRPr="00700477">
              <w:rPr>
                <w:i/>
              </w:rPr>
              <w:t>Présentée</w:t>
            </w:r>
            <w:proofErr w:type="spellEnd"/>
            <w:r w:rsidRPr="00700477">
              <w:rPr>
                <w:i/>
              </w:rPr>
              <w:t xml:space="preserve"> par</w:t>
            </w:r>
            <w:r>
              <w:rPr>
                <w:i/>
              </w:rPr>
              <w:t> </w:t>
            </w:r>
            <w:r w:rsidRPr="00233D47">
              <w:t>:</w:t>
            </w:r>
          </w:p>
        </w:tc>
        <w:tc>
          <w:tcPr>
            <w:tcW w:w="4619" w:type="dxa"/>
            <w:shd w:val="clear" w:color="auto" w:fill="auto"/>
          </w:tcPr>
          <w:p w:rsidR="00934897" w:rsidRPr="00517BD6" w:rsidRDefault="00934897" w:rsidP="00032100">
            <w:pPr>
              <w:kinsoku w:val="0"/>
              <w:overflowPunct w:val="0"/>
              <w:autoSpaceDE w:val="0"/>
              <w:autoSpaceDN w:val="0"/>
              <w:adjustRightInd w:val="0"/>
              <w:snapToGrid w:val="0"/>
              <w:spacing w:after="120"/>
              <w:rPr>
                <w:sz w:val="24"/>
                <w:lang w:val="fr-CH"/>
              </w:rPr>
            </w:pPr>
            <w:r w:rsidRPr="00517BD6">
              <w:rPr>
                <w:lang w:val="fr-CH"/>
              </w:rPr>
              <w:t xml:space="preserve">A. H. A. (représenté par un conseil, Albert Parés Casanova, de </w:t>
            </w:r>
            <w:proofErr w:type="spellStart"/>
            <w:r w:rsidRPr="00517BD6">
              <w:rPr>
                <w:lang w:val="fr-CH"/>
              </w:rPr>
              <w:t>Collectiu</w:t>
            </w:r>
            <w:proofErr w:type="spellEnd"/>
            <w:r w:rsidRPr="00517BD6">
              <w:rPr>
                <w:lang w:val="fr-CH"/>
              </w:rPr>
              <w:t xml:space="preserve"> </w:t>
            </w:r>
            <w:proofErr w:type="spellStart"/>
            <w:r w:rsidRPr="00517BD6">
              <w:rPr>
                <w:lang w:val="fr-CH"/>
              </w:rPr>
              <w:t>Iuris</w:t>
            </w:r>
            <w:proofErr w:type="spellEnd"/>
            <w:r w:rsidRPr="00517BD6">
              <w:rPr>
                <w:lang w:val="fr-CH"/>
              </w:rPr>
              <w:t xml:space="preserve"> et </w:t>
            </w:r>
            <w:proofErr w:type="spellStart"/>
            <w:r w:rsidRPr="00517BD6">
              <w:rPr>
                <w:lang w:val="fr-CH"/>
              </w:rPr>
              <w:t>Associació</w:t>
            </w:r>
            <w:proofErr w:type="spellEnd"/>
            <w:r w:rsidRPr="00517BD6">
              <w:rPr>
                <w:lang w:val="fr-CH"/>
              </w:rPr>
              <w:t xml:space="preserve"> Noves Vies)</w:t>
            </w:r>
          </w:p>
        </w:tc>
      </w:tr>
      <w:tr w:rsidR="00934897" w:rsidRPr="00233D47" w:rsidTr="00934897">
        <w:tc>
          <w:tcPr>
            <w:tcW w:w="2410" w:type="dxa"/>
            <w:shd w:val="clear" w:color="auto" w:fill="auto"/>
          </w:tcPr>
          <w:p w:rsidR="00934897" w:rsidRPr="00700477" w:rsidRDefault="00934897" w:rsidP="00032100">
            <w:pPr>
              <w:spacing w:after="120"/>
              <w:rPr>
                <w:i/>
              </w:rPr>
            </w:pPr>
            <w:r w:rsidRPr="00700477">
              <w:rPr>
                <w:i/>
              </w:rPr>
              <w:t>Au nom de</w:t>
            </w:r>
            <w:r>
              <w:rPr>
                <w:i/>
              </w:rPr>
              <w:t> </w:t>
            </w:r>
            <w:r w:rsidRPr="00233D47">
              <w:t>:</w:t>
            </w:r>
          </w:p>
        </w:tc>
        <w:tc>
          <w:tcPr>
            <w:tcW w:w="4619" w:type="dxa"/>
            <w:shd w:val="clear" w:color="auto" w:fill="auto"/>
          </w:tcPr>
          <w:p w:rsidR="00934897" w:rsidRPr="00517BD6" w:rsidRDefault="00934897" w:rsidP="00032100">
            <w:pPr>
              <w:kinsoku w:val="0"/>
              <w:overflowPunct w:val="0"/>
              <w:autoSpaceDE w:val="0"/>
              <w:autoSpaceDN w:val="0"/>
              <w:adjustRightInd w:val="0"/>
              <w:snapToGrid w:val="0"/>
              <w:spacing w:after="120"/>
              <w:rPr>
                <w:sz w:val="24"/>
                <w:lang w:val="fr-CH"/>
              </w:rPr>
            </w:pPr>
            <w:r w:rsidRPr="00517BD6">
              <w:rPr>
                <w:lang w:val="fr-CH"/>
              </w:rPr>
              <w:t>L’auteur</w:t>
            </w:r>
          </w:p>
        </w:tc>
      </w:tr>
      <w:tr w:rsidR="00934897" w:rsidRPr="00233D47" w:rsidTr="00934897">
        <w:tc>
          <w:tcPr>
            <w:tcW w:w="2410" w:type="dxa"/>
            <w:shd w:val="clear" w:color="auto" w:fill="auto"/>
          </w:tcPr>
          <w:p w:rsidR="00934897" w:rsidRPr="00700477" w:rsidRDefault="00934897" w:rsidP="00032100">
            <w:pPr>
              <w:spacing w:after="120"/>
              <w:rPr>
                <w:i/>
              </w:rPr>
            </w:pPr>
            <w:proofErr w:type="spellStart"/>
            <w:r w:rsidRPr="00700477">
              <w:rPr>
                <w:i/>
              </w:rPr>
              <w:t>État</w:t>
            </w:r>
            <w:proofErr w:type="spellEnd"/>
            <w:r w:rsidRPr="00700477">
              <w:rPr>
                <w:i/>
              </w:rPr>
              <w:t xml:space="preserve"> </w:t>
            </w:r>
            <w:proofErr w:type="spellStart"/>
            <w:r w:rsidRPr="00700477">
              <w:rPr>
                <w:i/>
              </w:rPr>
              <w:t>partie</w:t>
            </w:r>
            <w:proofErr w:type="spellEnd"/>
            <w:r>
              <w:rPr>
                <w:i/>
              </w:rPr>
              <w:t> </w:t>
            </w:r>
            <w:r w:rsidRPr="00233D47">
              <w:t>:</w:t>
            </w:r>
          </w:p>
        </w:tc>
        <w:tc>
          <w:tcPr>
            <w:tcW w:w="4619" w:type="dxa"/>
            <w:shd w:val="clear" w:color="auto" w:fill="auto"/>
          </w:tcPr>
          <w:p w:rsidR="00934897" w:rsidRPr="00517BD6" w:rsidRDefault="00934897" w:rsidP="00032100">
            <w:pPr>
              <w:kinsoku w:val="0"/>
              <w:overflowPunct w:val="0"/>
              <w:autoSpaceDE w:val="0"/>
              <w:autoSpaceDN w:val="0"/>
              <w:adjustRightInd w:val="0"/>
              <w:snapToGrid w:val="0"/>
              <w:spacing w:after="120"/>
              <w:rPr>
                <w:sz w:val="24"/>
                <w:lang w:val="fr-CH"/>
              </w:rPr>
            </w:pPr>
            <w:r w:rsidRPr="00517BD6">
              <w:rPr>
                <w:lang w:val="fr-CH"/>
              </w:rPr>
              <w:t>Espagne</w:t>
            </w:r>
          </w:p>
        </w:tc>
      </w:tr>
      <w:tr w:rsidR="00934897" w:rsidRPr="005844A6" w:rsidTr="00934897">
        <w:tc>
          <w:tcPr>
            <w:tcW w:w="2410" w:type="dxa"/>
            <w:shd w:val="clear" w:color="auto" w:fill="auto"/>
          </w:tcPr>
          <w:p w:rsidR="00934897" w:rsidRPr="00700477" w:rsidRDefault="00934897" w:rsidP="00032100">
            <w:pPr>
              <w:spacing w:after="120"/>
              <w:rPr>
                <w:i/>
              </w:rPr>
            </w:pPr>
            <w:r w:rsidRPr="00700477">
              <w:rPr>
                <w:i/>
              </w:rPr>
              <w:t>Date de la communication</w:t>
            </w:r>
            <w:r>
              <w:rPr>
                <w:i/>
              </w:rPr>
              <w:t> </w:t>
            </w:r>
            <w:r w:rsidRPr="00233D47">
              <w:t>:</w:t>
            </w:r>
          </w:p>
        </w:tc>
        <w:tc>
          <w:tcPr>
            <w:tcW w:w="4619" w:type="dxa"/>
            <w:shd w:val="clear" w:color="auto" w:fill="auto"/>
          </w:tcPr>
          <w:p w:rsidR="00934897" w:rsidRPr="00BF21C0" w:rsidRDefault="00934897" w:rsidP="00032100">
            <w:pPr>
              <w:spacing w:after="120"/>
              <w:rPr>
                <w:lang w:val="fr-CH"/>
              </w:rPr>
            </w:pPr>
            <w:r w:rsidRPr="00517BD6">
              <w:rPr>
                <w:lang w:val="fr-CH"/>
              </w:rPr>
              <w:t>23 septembre 2014</w:t>
            </w:r>
          </w:p>
        </w:tc>
      </w:tr>
    </w:tbl>
    <w:p w:rsidR="007B2356" w:rsidRPr="00517BD6" w:rsidRDefault="007B2356" w:rsidP="007B2356">
      <w:pPr>
        <w:pStyle w:val="SingleTxt"/>
        <w:rPr>
          <w:szCs w:val="20"/>
          <w:lang w:val="fr-CH"/>
        </w:rPr>
      </w:pPr>
      <w:r w:rsidRPr="00517BD6">
        <w:rPr>
          <w:i/>
          <w:lang w:val="fr-CH"/>
        </w:rPr>
        <w:tab/>
        <w:t>Le Comité des droits de l’enfant</w:t>
      </w:r>
      <w:r w:rsidRPr="00517BD6">
        <w:rPr>
          <w:lang w:val="fr-CH"/>
        </w:rPr>
        <w:t>, institué en vertu de l’article 43 de la Convention relative aux droits de l’enfant,</w:t>
      </w:r>
    </w:p>
    <w:p w:rsidR="007B2356" w:rsidRPr="00517BD6" w:rsidRDefault="007B2356" w:rsidP="007B2356">
      <w:pPr>
        <w:pStyle w:val="SingleTxt"/>
        <w:rPr>
          <w:lang w:val="fr-CH"/>
        </w:rPr>
      </w:pPr>
      <w:r w:rsidRPr="00517BD6">
        <w:rPr>
          <w:i/>
          <w:lang w:val="fr-CH"/>
        </w:rPr>
        <w:tab/>
        <w:t>Réuni le</w:t>
      </w:r>
      <w:r w:rsidRPr="00517BD6">
        <w:rPr>
          <w:lang w:val="fr-CH"/>
        </w:rPr>
        <w:t xml:space="preserve"> 4 juin 2015,</w:t>
      </w:r>
    </w:p>
    <w:p w:rsidR="007B2356" w:rsidRPr="00517BD6" w:rsidRDefault="007B2356" w:rsidP="007B2356">
      <w:pPr>
        <w:pStyle w:val="SingleTxt"/>
        <w:rPr>
          <w:lang w:val="fr-CH"/>
        </w:rPr>
      </w:pPr>
      <w:r w:rsidRPr="00517BD6">
        <w:rPr>
          <w:i/>
          <w:lang w:val="fr-CH"/>
        </w:rPr>
        <w:tab/>
        <w:t>Ayant achevé</w:t>
      </w:r>
      <w:r w:rsidRPr="00517BD6">
        <w:rPr>
          <w:lang w:val="fr-CH"/>
        </w:rPr>
        <w:t xml:space="preserve"> l’examen de la communication n</w:t>
      </w:r>
      <w:r w:rsidRPr="00517BD6">
        <w:rPr>
          <w:vertAlign w:val="superscript"/>
          <w:lang w:val="fr-CH"/>
        </w:rPr>
        <w:t>o</w:t>
      </w:r>
      <w:r w:rsidRPr="00517BD6">
        <w:rPr>
          <w:lang w:val="fr-CH"/>
        </w:rPr>
        <w:t> 1/2014 qui lui a été soumise en vertu du Protocole facultatif à la Convention relative aux droits de l’enfant établissant une procédure de présentation de communications,</w:t>
      </w:r>
    </w:p>
    <w:p w:rsidR="007B2356" w:rsidRPr="00517BD6" w:rsidRDefault="007B2356" w:rsidP="007B2356">
      <w:pPr>
        <w:pStyle w:val="SingleTxt"/>
        <w:rPr>
          <w:i/>
          <w:iCs/>
          <w:lang w:val="fr-CH"/>
        </w:rPr>
      </w:pPr>
      <w:r w:rsidRPr="00517BD6">
        <w:rPr>
          <w:i/>
          <w:iCs/>
          <w:lang w:val="fr-CH"/>
        </w:rPr>
        <w:tab/>
        <w:t>Adopte</w:t>
      </w:r>
      <w:r w:rsidRPr="00517BD6">
        <w:rPr>
          <w:lang w:val="fr-CH"/>
        </w:rPr>
        <w:t xml:space="preserve"> ce qui suit :</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spacing w:after="0" w:line="120" w:lineRule="exact"/>
        <w:rPr>
          <w:sz w:val="10"/>
          <w:lang w:val="fr-CH"/>
        </w:rPr>
      </w:pPr>
    </w:p>
    <w:p w:rsidR="007B2356" w:rsidRPr="00517BD6" w:rsidRDefault="007B2356" w:rsidP="007B23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t>Décision concernant la recevabilité</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rPr>
          <w:lang w:val="fr-CH"/>
        </w:rPr>
      </w:pPr>
      <w:r w:rsidRPr="00517BD6">
        <w:rPr>
          <w:lang w:val="fr-CH"/>
        </w:rPr>
        <w:t>1.</w:t>
      </w:r>
      <w:r w:rsidRPr="00517BD6">
        <w:rPr>
          <w:lang w:val="fr-CH"/>
        </w:rPr>
        <w:tab/>
        <w:t>L’auteur de la communication est A. H. A., de nationalité ghanéenne, qui déclare être né le 24 juillet 1994 et se dit victime d’une violation par l’État partie des droits qui lui sont reconnus à l’article 3, lu conjointement avec les articles 18 (par. 2) et 20 (par. 1), et aux articles 8, 20, 27 et 29 de la Convention</w:t>
      </w:r>
      <w:r w:rsidRPr="00934897">
        <w:rPr>
          <w:rStyle w:val="FootnoteReference"/>
          <w:lang w:val="fr-CH"/>
        </w:rPr>
        <w:footnoteReference w:id="2"/>
      </w:r>
      <w:r w:rsidRPr="00517BD6">
        <w:rPr>
          <w:lang w:val="fr-CH"/>
        </w:rPr>
        <w:t>. L’auteur est représenté par un conseil.</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t>Rappel des faits présentés par l’auteur</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rPr>
          <w:lang w:val="fr-CH"/>
        </w:rPr>
      </w:pPr>
      <w:r w:rsidRPr="00517BD6">
        <w:rPr>
          <w:lang w:val="fr-CH"/>
        </w:rPr>
        <w:t>2.1</w:t>
      </w:r>
      <w:r w:rsidRPr="00517BD6">
        <w:rPr>
          <w:lang w:val="fr-CH"/>
        </w:rPr>
        <w:tab/>
        <w:t xml:space="preserve">Après son arrivée en Espagne, l’auteur a été signalé par la police en tant que mineur non accompagné. Le 24 octobre 2010, la Direction générale pour la protection des enfants et des adolescents a engagé une procédure pour établir que l’auteur était </w:t>
      </w:r>
      <w:r w:rsidRPr="00517BD6">
        <w:rPr>
          <w:lang w:val="fr-CH"/>
        </w:rPr>
        <w:lastRenderedPageBreak/>
        <w:t>abandonné et qu’il avait besoin de la protection des autorités nationales. Toutefois, des examens médicaux ont permis de conclure que l’auteur avait au moins 19 ans. Par conséquent, le 16 novembre 2010, l’auteur a été informé par la Direction générale qu’il ne pouvait pas bénéficier de la protection de l’État car il avait été établi qu’il était adulte.</w:t>
      </w:r>
    </w:p>
    <w:p w:rsidR="007B2356" w:rsidRPr="00517BD6" w:rsidRDefault="007B2356" w:rsidP="007B2356">
      <w:pPr>
        <w:pStyle w:val="SingleTxt"/>
        <w:rPr>
          <w:lang w:val="fr-CH"/>
        </w:rPr>
      </w:pPr>
      <w:r w:rsidRPr="00517BD6">
        <w:rPr>
          <w:lang w:val="fr-CH"/>
        </w:rPr>
        <w:t>2.2</w:t>
      </w:r>
      <w:r w:rsidRPr="00517BD6">
        <w:rPr>
          <w:lang w:val="fr-CH"/>
        </w:rPr>
        <w:tab/>
        <w:t>L’auteur a contesté la décision de la Direction générale devant le tribunal de première instance n</w:t>
      </w:r>
      <w:r w:rsidRPr="00517BD6">
        <w:rPr>
          <w:vertAlign w:val="superscript"/>
          <w:lang w:val="fr-CH"/>
        </w:rPr>
        <w:t>o</w:t>
      </w:r>
      <w:r w:rsidRPr="00517BD6">
        <w:rPr>
          <w:lang w:val="fr-CH"/>
        </w:rPr>
        <w:t xml:space="preserve"> 18 de Barcelone. Il a affirmé qu’il était mineur et qu’il était né le 24 juillet 1994, comme indiqué sur son acte de naissance et sur le passeport que lui avait délivré le consulat du Ghana à Madrid, le 21 décembre 2010, et qu’il pouvait donc prétendre à la protection de l’État. Le 22 juillet 2011, le tribunal a rejeté sa requête. </w:t>
      </w:r>
    </w:p>
    <w:p w:rsidR="007B2356" w:rsidRPr="00517BD6" w:rsidRDefault="007B2356" w:rsidP="007B2356">
      <w:pPr>
        <w:pStyle w:val="SingleTxt"/>
        <w:rPr>
          <w:lang w:val="fr-CH"/>
        </w:rPr>
      </w:pPr>
      <w:r w:rsidRPr="00517BD6">
        <w:rPr>
          <w:lang w:val="fr-CH"/>
        </w:rPr>
        <w:t>2.3</w:t>
      </w:r>
      <w:r w:rsidRPr="00517BD6">
        <w:rPr>
          <w:lang w:val="fr-CH"/>
        </w:rPr>
        <w:tab/>
        <w:t>L’auteur a interjeté appel de la décision du tribunal n</w:t>
      </w:r>
      <w:r w:rsidRPr="00517BD6">
        <w:rPr>
          <w:vertAlign w:val="superscript"/>
          <w:lang w:val="fr-CH"/>
        </w:rPr>
        <w:t>o</w:t>
      </w:r>
      <w:r w:rsidRPr="00517BD6">
        <w:rPr>
          <w:lang w:val="fr-CH"/>
        </w:rPr>
        <w:t> 18. Le 5 octobre 2011, le tribunal provincial de Barcelone a rejeté cet appel. Le 5 novembre 2012, l’auteur a formé un pourvoi en cassation devant la Cour suprême qui, le 17 septembre 2013, l’a déclaré irrecevable.</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t>Teneur de la plainte</w:t>
      </w:r>
    </w:p>
    <w:p w:rsidR="007B2356" w:rsidRPr="00517BD6" w:rsidRDefault="007B2356" w:rsidP="007B2356">
      <w:pPr>
        <w:pStyle w:val="SingleTxt"/>
        <w:spacing w:after="0" w:line="120" w:lineRule="exact"/>
        <w:rPr>
          <w:bCs/>
          <w:sz w:val="10"/>
          <w:lang w:val="fr-CH"/>
        </w:rPr>
      </w:pPr>
    </w:p>
    <w:p w:rsidR="007B2356" w:rsidRPr="00517BD6" w:rsidRDefault="007B2356" w:rsidP="007B2356">
      <w:pPr>
        <w:pStyle w:val="SingleTxt"/>
        <w:rPr>
          <w:lang w:val="fr-CH"/>
        </w:rPr>
      </w:pPr>
      <w:r w:rsidRPr="00517BD6">
        <w:rPr>
          <w:bCs/>
          <w:lang w:val="fr-CH"/>
        </w:rPr>
        <w:t>3.1</w:t>
      </w:r>
      <w:r w:rsidRPr="00517BD6">
        <w:rPr>
          <w:bCs/>
          <w:lang w:val="fr-CH"/>
        </w:rPr>
        <w:tab/>
      </w:r>
      <w:r w:rsidRPr="00517BD6">
        <w:rPr>
          <w:lang w:val="fr-CH"/>
        </w:rPr>
        <w:t xml:space="preserve">L’auteur affirme que l’État partie a violé les droits qui lui sont reconnus à l’article 3, lu conjointement avec les articles 18 (par. 2) et 20 (par. 1), et aux articles 8, 20, 27 et 29 de la Convention. </w:t>
      </w:r>
    </w:p>
    <w:p w:rsidR="007B2356" w:rsidRPr="00517BD6" w:rsidRDefault="007B2356" w:rsidP="007B2356">
      <w:pPr>
        <w:pStyle w:val="SingleTxt"/>
        <w:rPr>
          <w:lang w:val="fr-CH"/>
        </w:rPr>
      </w:pPr>
      <w:r w:rsidRPr="00517BD6">
        <w:rPr>
          <w:bCs/>
          <w:lang w:val="fr-CH"/>
        </w:rPr>
        <w:t>3.2</w:t>
      </w:r>
      <w:r w:rsidRPr="00517BD6">
        <w:rPr>
          <w:bCs/>
          <w:lang w:val="fr-CH"/>
        </w:rPr>
        <w:tab/>
        <w:t xml:space="preserve">L’auteur soutient que les autorités ont arbitrairement refusé de le reconnaître en tant que mineur et qu’elles n’ont pas tenu compte de la date de naissance indiquée sur son passeport, alors qu’elles n’ont jamais contesté la validité de ce document. Les examens médicaux auxquels les autorités ont procédé pour déterminer son âge n’ont pas été conduits par un </w:t>
      </w:r>
      <w:r w:rsidRPr="00517BD6">
        <w:rPr>
          <w:lang w:val="fr-CH"/>
        </w:rPr>
        <w:t>médecin expérimenté et les technologies et les tests appropriés pour la détermination de l’âge n’ont pas été utilisés</w:t>
      </w:r>
      <w:r w:rsidR="001D46CB" w:rsidRPr="00934897">
        <w:rPr>
          <w:rStyle w:val="FootnoteReference"/>
          <w:lang w:val="fr-CH"/>
        </w:rPr>
        <w:footnoteReference w:id="3"/>
      </w:r>
      <w:r w:rsidRPr="00517BD6">
        <w:rPr>
          <w:lang w:val="fr-CH"/>
        </w:rPr>
        <w:t>. L’auteur fait en outre valoir que les examens médicaux visant à déterminer l’âge d’une personne devraient être effectués uniquement lorsque cette personne n’a pas de document indiquant sa date de naissance ou son âge.</w:t>
      </w:r>
    </w:p>
    <w:p w:rsidR="007B2356" w:rsidRPr="00517BD6" w:rsidRDefault="007B2356" w:rsidP="007B2356">
      <w:pPr>
        <w:pStyle w:val="SingleTxt"/>
        <w:rPr>
          <w:lang w:val="fr-CH"/>
        </w:rPr>
      </w:pPr>
      <w:r w:rsidRPr="00517BD6">
        <w:rPr>
          <w:lang w:val="fr-CH"/>
        </w:rPr>
        <w:t>3.3</w:t>
      </w:r>
      <w:r w:rsidRPr="00517BD6">
        <w:rPr>
          <w:lang w:val="fr-CH"/>
        </w:rPr>
        <w:tab/>
        <w:t xml:space="preserve">La décision des autorités nationales a privé l’auteur de son droit d’être protégé par l’État en tant que mineur, ce qui continue de lui porter préjudice. </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17BD6">
        <w:rPr>
          <w:lang w:val="fr-CH"/>
        </w:rPr>
        <w:tab/>
      </w:r>
      <w:r w:rsidRPr="00517BD6">
        <w:rPr>
          <w:lang w:val="fr-CH"/>
        </w:rPr>
        <w:tab/>
        <w:t>Délibérations du Comité</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17BD6">
        <w:rPr>
          <w:lang w:val="fr-CH"/>
        </w:rPr>
        <w:tab/>
      </w:r>
      <w:r w:rsidRPr="00517BD6">
        <w:rPr>
          <w:lang w:val="fr-CH"/>
        </w:rPr>
        <w:tab/>
        <w:t>Examen de la recevabilité</w:t>
      </w:r>
    </w:p>
    <w:p w:rsidR="007B2356" w:rsidRPr="00517BD6" w:rsidRDefault="007B2356" w:rsidP="007B2356">
      <w:pPr>
        <w:pStyle w:val="SingleTxt"/>
        <w:spacing w:after="0" w:line="120" w:lineRule="exact"/>
        <w:rPr>
          <w:sz w:val="10"/>
          <w:lang w:val="fr-CH"/>
        </w:rPr>
      </w:pPr>
    </w:p>
    <w:p w:rsidR="007B2356" w:rsidRPr="00517BD6" w:rsidRDefault="007B2356" w:rsidP="007B2356">
      <w:pPr>
        <w:pStyle w:val="SingleTxt"/>
        <w:rPr>
          <w:lang w:val="fr-CH"/>
        </w:rPr>
      </w:pPr>
      <w:r w:rsidRPr="00517BD6">
        <w:rPr>
          <w:lang w:val="fr-CH"/>
        </w:rPr>
        <w:t>4.1</w:t>
      </w:r>
      <w:r w:rsidRPr="00517BD6">
        <w:rPr>
          <w:lang w:val="fr-CH"/>
        </w:rPr>
        <w:tab/>
        <w:t>Avant d’examiner toute plainte soumise dans une communication, le Comité doit, conformément à l’article 20 de son règlement intérieur au titre du Protocole facultatif, déterminer si la communication est recevable en vertu du Protocole facultatif établissant une procédure de présentation de communications.</w:t>
      </w:r>
    </w:p>
    <w:p w:rsidR="007B2356" w:rsidRPr="00517BD6" w:rsidRDefault="007B2356" w:rsidP="007B2356">
      <w:pPr>
        <w:pStyle w:val="SingleTxt"/>
        <w:rPr>
          <w:lang w:val="fr-CH"/>
        </w:rPr>
      </w:pPr>
      <w:r w:rsidRPr="00517BD6">
        <w:rPr>
          <w:lang w:val="fr-CH"/>
        </w:rPr>
        <w:t>4.2</w:t>
      </w:r>
      <w:r w:rsidRPr="00517BD6">
        <w:rPr>
          <w:lang w:val="fr-CH"/>
        </w:rPr>
        <w:tab/>
        <w:t xml:space="preserve">Le Comité note que l’auteur affirme que, le 16 novembre 2010, la Direction générale pour la protection des enfants et des adolescents a conclu qu’il n’était pas mineur et l’a informé qu’il ne pouvait pas bénéficier de la protection accordée aux enfants, que tous ses recours ont été rejetés et que, le 17 septembre 2013, la Cour suprême a déclaré son pourvoi en cassation irrecevable. Le Comité remarque que tous les faits mentionnés dans la communication, y compris la décision rendue en dernière instance, ont eu lieu avant le 14 avril 2014, date d’entrée en vigueur du Protocole facultatif pour l’État partie. Dès lors, et conformément à l’article 7 g) du Protocole facultatif, le Comité conclut qu’il est empêché </w:t>
      </w:r>
      <w:proofErr w:type="spellStart"/>
      <w:r w:rsidRPr="00517BD6">
        <w:rPr>
          <w:i/>
          <w:lang w:val="fr-CH"/>
        </w:rPr>
        <w:t>ratione</w:t>
      </w:r>
      <w:proofErr w:type="spellEnd"/>
      <w:r w:rsidRPr="00517BD6">
        <w:rPr>
          <w:lang w:val="fr-CH"/>
        </w:rPr>
        <w:t xml:space="preserve"> </w:t>
      </w:r>
      <w:proofErr w:type="spellStart"/>
      <w:r w:rsidRPr="00517BD6">
        <w:rPr>
          <w:i/>
          <w:lang w:val="fr-CH"/>
        </w:rPr>
        <w:t>temporis</w:t>
      </w:r>
      <w:proofErr w:type="spellEnd"/>
      <w:r w:rsidRPr="00517BD6">
        <w:rPr>
          <w:lang w:val="fr-CH"/>
        </w:rPr>
        <w:t xml:space="preserve"> d’examiner la présente communication.</w:t>
      </w:r>
    </w:p>
    <w:p w:rsidR="007B2356" w:rsidRPr="00517BD6" w:rsidRDefault="007B2356" w:rsidP="007B2356">
      <w:pPr>
        <w:pStyle w:val="SingleTxt"/>
        <w:keepNext/>
        <w:rPr>
          <w:lang w:val="fr-CH"/>
        </w:rPr>
      </w:pPr>
      <w:r w:rsidRPr="00517BD6">
        <w:rPr>
          <w:lang w:val="fr-CH"/>
        </w:rPr>
        <w:t>5.</w:t>
      </w:r>
      <w:r w:rsidRPr="00517BD6">
        <w:rPr>
          <w:lang w:val="fr-CH"/>
        </w:rPr>
        <w:tab/>
        <w:t>En conséquence, le Comité décide :</w:t>
      </w:r>
    </w:p>
    <w:p w:rsidR="007B2356" w:rsidRPr="00517BD6" w:rsidRDefault="007B2356" w:rsidP="007B2356">
      <w:pPr>
        <w:pStyle w:val="SingleTxt"/>
        <w:rPr>
          <w:lang w:val="fr-CH"/>
        </w:rPr>
      </w:pPr>
      <w:r w:rsidRPr="00517BD6">
        <w:rPr>
          <w:lang w:val="fr-CH"/>
        </w:rPr>
        <w:tab/>
        <w:t>a)</w:t>
      </w:r>
      <w:r w:rsidRPr="00517BD6">
        <w:rPr>
          <w:lang w:val="fr-CH"/>
        </w:rPr>
        <w:tab/>
        <w:t xml:space="preserve">Que la communication est irrecevable conformément à l’article 7 g) du Protocole facultatif; </w:t>
      </w:r>
    </w:p>
    <w:p w:rsidR="007B2356" w:rsidRPr="00517BD6" w:rsidRDefault="007B2356" w:rsidP="007B2356">
      <w:pPr>
        <w:pStyle w:val="SingleTxt"/>
        <w:rPr>
          <w:szCs w:val="24"/>
          <w:lang w:val="fr-CH"/>
        </w:rPr>
      </w:pPr>
      <w:r w:rsidRPr="00517BD6">
        <w:rPr>
          <w:lang w:val="fr-CH"/>
        </w:rPr>
        <w:tab/>
        <w:t>b)</w:t>
      </w:r>
      <w:r w:rsidRPr="00517BD6">
        <w:rPr>
          <w:lang w:val="fr-CH"/>
        </w:rPr>
        <w:tab/>
        <w:t>Que la présente décision sera communiquée à l’auteur de la communication ainsi qu’à l’État partie pour information.</w:t>
      </w:r>
    </w:p>
    <w:p w:rsidR="00444D43" w:rsidRPr="00B71088" w:rsidRDefault="00B71088" w:rsidP="00B71088">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44D43" w:rsidRPr="00B71088" w:rsidSect="00444D4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A7" w:rsidRDefault="004512A7" w:rsidP="00F3330B">
      <w:pPr>
        <w:spacing w:line="240" w:lineRule="auto"/>
      </w:pPr>
      <w:r>
        <w:separator/>
      </w:r>
    </w:p>
  </w:endnote>
  <w:endnote w:type="continuationSeparator" w:id="0">
    <w:p w:rsidR="004512A7" w:rsidRDefault="004512A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4D43" w:rsidTr="00444D43">
      <w:trPr>
        <w:jc w:val="center"/>
      </w:trPr>
      <w:tc>
        <w:tcPr>
          <w:tcW w:w="5126" w:type="dxa"/>
          <w:shd w:val="clear" w:color="auto" w:fill="auto"/>
        </w:tcPr>
        <w:p w:rsidR="00444D43" w:rsidRPr="00444D43" w:rsidRDefault="00444D43" w:rsidP="00444D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71FE">
            <w:rPr>
              <w:b w:val="0"/>
              <w:w w:val="103"/>
              <w:sz w:val="14"/>
            </w:rPr>
            <w:t>GE. 15-11335</w:t>
          </w:r>
          <w:r>
            <w:rPr>
              <w:b w:val="0"/>
              <w:w w:val="103"/>
              <w:sz w:val="14"/>
            </w:rPr>
            <w:fldChar w:fldCharType="end"/>
          </w:r>
        </w:p>
      </w:tc>
      <w:tc>
        <w:tcPr>
          <w:tcW w:w="5127" w:type="dxa"/>
          <w:shd w:val="clear" w:color="auto" w:fill="auto"/>
        </w:tcPr>
        <w:p w:rsidR="00444D43" w:rsidRPr="00444D43" w:rsidRDefault="00444D43" w:rsidP="00444D43">
          <w:pPr>
            <w:pStyle w:val="Footer"/>
            <w:rPr>
              <w:w w:val="103"/>
            </w:rPr>
          </w:pPr>
          <w:r>
            <w:rPr>
              <w:w w:val="103"/>
            </w:rPr>
            <w:fldChar w:fldCharType="begin"/>
          </w:r>
          <w:r>
            <w:rPr>
              <w:w w:val="103"/>
            </w:rPr>
            <w:instrText xml:space="preserve"> PAGE  \* Arabic  \* MERGEFORMAT </w:instrText>
          </w:r>
          <w:r>
            <w:rPr>
              <w:w w:val="103"/>
            </w:rPr>
            <w:fldChar w:fldCharType="separate"/>
          </w:r>
          <w:r w:rsidR="000871F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71FE">
            <w:rPr>
              <w:noProof/>
              <w:w w:val="103"/>
            </w:rPr>
            <w:t>4</w:t>
          </w:r>
          <w:r>
            <w:rPr>
              <w:w w:val="103"/>
            </w:rPr>
            <w:fldChar w:fldCharType="end"/>
          </w:r>
        </w:p>
      </w:tc>
    </w:tr>
  </w:tbl>
  <w:p w:rsidR="00444D43" w:rsidRPr="00444D43" w:rsidRDefault="00444D43" w:rsidP="00444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4D43" w:rsidTr="00444D43">
      <w:trPr>
        <w:jc w:val="center"/>
      </w:trPr>
      <w:tc>
        <w:tcPr>
          <w:tcW w:w="5126" w:type="dxa"/>
          <w:shd w:val="clear" w:color="auto" w:fill="auto"/>
        </w:tcPr>
        <w:p w:rsidR="00444D43" w:rsidRPr="00444D43" w:rsidRDefault="00444D43" w:rsidP="00444D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71F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71FE">
            <w:rPr>
              <w:noProof/>
              <w:w w:val="103"/>
            </w:rPr>
            <w:t>4</w:t>
          </w:r>
          <w:r>
            <w:rPr>
              <w:w w:val="103"/>
            </w:rPr>
            <w:fldChar w:fldCharType="end"/>
          </w:r>
        </w:p>
      </w:tc>
      <w:tc>
        <w:tcPr>
          <w:tcW w:w="5127" w:type="dxa"/>
          <w:shd w:val="clear" w:color="auto" w:fill="auto"/>
        </w:tcPr>
        <w:p w:rsidR="00444D43" w:rsidRPr="00444D43" w:rsidRDefault="00444D43" w:rsidP="00444D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71FE">
            <w:rPr>
              <w:b w:val="0"/>
              <w:w w:val="103"/>
              <w:sz w:val="14"/>
            </w:rPr>
            <w:t>GE. 15-11335</w:t>
          </w:r>
          <w:r>
            <w:rPr>
              <w:b w:val="0"/>
              <w:w w:val="103"/>
              <w:sz w:val="14"/>
            </w:rPr>
            <w:fldChar w:fldCharType="end"/>
          </w:r>
        </w:p>
      </w:tc>
    </w:tr>
  </w:tbl>
  <w:p w:rsidR="00444D43" w:rsidRPr="00444D43" w:rsidRDefault="00444D43" w:rsidP="00444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43" w:rsidRDefault="00444D43">
    <w:pPr>
      <w:pStyle w:val="Footer"/>
    </w:pPr>
    <w:r>
      <w:rPr>
        <w:noProof/>
      </w:rPr>
      <w:drawing>
        <wp:anchor distT="0" distB="0" distL="114300" distR="114300" simplePos="0" relativeHeight="251658240" behindDoc="0" locked="0" layoutInCell="1" allowOverlap="1" wp14:anchorId="7CB479A9" wp14:editId="32AC513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RC/C/69/D/1/20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69/D/1/20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44D43" w:rsidTr="00444D43">
      <w:tc>
        <w:tcPr>
          <w:tcW w:w="3859" w:type="dxa"/>
        </w:tcPr>
        <w:p w:rsidR="00444D43" w:rsidRDefault="00444D43" w:rsidP="00444D4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871FE">
            <w:rPr>
              <w:b w:val="0"/>
              <w:sz w:val="20"/>
            </w:rPr>
            <w:t>GE. 15-11335 (F)</w:t>
          </w:r>
          <w:r>
            <w:rPr>
              <w:b w:val="0"/>
              <w:sz w:val="20"/>
            </w:rPr>
            <w:fldChar w:fldCharType="end"/>
          </w:r>
          <w:r>
            <w:rPr>
              <w:b w:val="0"/>
              <w:sz w:val="20"/>
            </w:rPr>
            <w:t xml:space="preserve">    2</w:t>
          </w:r>
          <w:r w:rsidR="00B71088">
            <w:rPr>
              <w:b w:val="0"/>
              <w:sz w:val="20"/>
            </w:rPr>
            <w:t>4</w:t>
          </w:r>
          <w:r>
            <w:rPr>
              <w:b w:val="0"/>
              <w:sz w:val="20"/>
            </w:rPr>
            <w:t xml:space="preserve">0715    </w:t>
          </w:r>
          <w:r w:rsidR="00934897">
            <w:rPr>
              <w:b w:val="0"/>
              <w:sz w:val="20"/>
            </w:rPr>
            <w:t>05</w:t>
          </w:r>
          <w:r>
            <w:rPr>
              <w:b w:val="0"/>
              <w:sz w:val="20"/>
            </w:rPr>
            <w:t>0</w:t>
          </w:r>
          <w:r w:rsidR="00934897">
            <w:rPr>
              <w:b w:val="0"/>
              <w:sz w:val="20"/>
            </w:rPr>
            <w:t>8</w:t>
          </w:r>
          <w:r>
            <w:rPr>
              <w:b w:val="0"/>
              <w:sz w:val="20"/>
            </w:rPr>
            <w:t>15</w:t>
          </w:r>
        </w:p>
        <w:p w:rsidR="00444D43" w:rsidRPr="00444D43" w:rsidRDefault="00444D43" w:rsidP="00444D4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871FE">
            <w:rPr>
              <w:rFonts w:ascii="Barcode 3 of 9 by request" w:hAnsi="Barcode 3 of 9 by request"/>
              <w:b w:val="0"/>
              <w:spacing w:val="0"/>
              <w:w w:val="100"/>
              <w:sz w:val="24"/>
            </w:rPr>
            <w:t>*1511335*</w:t>
          </w:r>
          <w:r>
            <w:rPr>
              <w:rFonts w:ascii="Barcode 3 of 9 by request" w:hAnsi="Barcode 3 of 9 by request"/>
              <w:b w:val="0"/>
              <w:spacing w:val="0"/>
              <w:w w:val="100"/>
              <w:sz w:val="24"/>
            </w:rPr>
            <w:fldChar w:fldCharType="end"/>
          </w:r>
        </w:p>
      </w:tc>
      <w:tc>
        <w:tcPr>
          <w:tcW w:w="5127" w:type="dxa"/>
        </w:tcPr>
        <w:p w:rsidR="00444D43" w:rsidRDefault="00444D43" w:rsidP="00444D43">
          <w:pPr>
            <w:pStyle w:val="Footer"/>
            <w:spacing w:line="240" w:lineRule="atLeast"/>
            <w:jc w:val="right"/>
            <w:rPr>
              <w:b w:val="0"/>
              <w:sz w:val="20"/>
            </w:rPr>
          </w:pPr>
          <w:r>
            <w:rPr>
              <w:b w:val="0"/>
              <w:noProof/>
              <w:sz w:val="20"/>
            </w:rPr>
            <w:drawing>
              <wp:inline distT="0" distB="0" distL="0" distR="0" wp14:anchorId="17B47862" wp14:editId="017B136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44D43" w:rsidRPr="00444D43" w:rsidRDefault="00444D43" w:rsidP="00444D4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A7" w:rsidRPr="00934897" w:rsidRDefault="00934897" w:rsidP="00934897">
      <w:pPr>
        <w:pStyle w:val="Footer"/>
        <w:spacing w:after="80"/>
        <w:ind w:left="792"/>
        <w:rPr>
          <w:sz w:val="16"/>
        </w:rPr>
      </w:pPr>
      <w:r w:rsidRPr="00934897">
        <w:rPr>
          <w:sz w:val="16"/>
        </w:rPr>
        <w:t>__________________</w:t>
      </w:r>
    </w:p>
  </w:footnote>
  <w:footnote w:type="continuationSeparator" w:id="0">
    <w:p w:rsidR="004512A7" w:rsidRPr="00934897" w:rsidRDefault="00934897" w:rsidP="00934897">
      <w:pPr>
        <w:pStyle w:val="Footer"/>
        <w:spacing w:after="80"/>
        <w:ind w:left="792"/>
        <w:rPr>
          <w:sz w:val="16"/>
        </w:rPr>
      </w:pPr>
      <w:r w:rsidRPr="00934897">
        <w:rPr>
          <w:sz w:val="16"/>
        </w:rPr>
        <w:t>__________________</w:t>
      </w:r>
    </w:p>
  </w:footnote>
  <w:footnote w:id="1">
    <w:p w:rsidR="007B2356" w:rsidRDefault="007B2356" w:rsidP="00934897">
      <w:pPr>
        <w:pStyle w:val="FootnoteText"/>
        <w:tabs>
          <w:tab w:val="right" w:pos="1195"/>
          <w:tab w:val="left" w:pos="1267"/>
          <w:tab w:val="left" w:pos="1742"/>
          <w:tab w:val="left" w:pos="2218"/>
          <w:tab w:val="left" w:pos="2693"/>
        </w:tabs>
        <w:ind w:left="1267" w:right="1260" w:hanging="432"/>
        <w:rPr>
          <w:lang w:val="fr-CH"/>
        </w:rPr>
      </w:pPr>
      <w:r>
        <w:tab/>
      </w:r>
      <w:r w:rsidRPr="00CB21BF">
        <w:rPr>
          <w:rStyle w:val="FootnoteReference"/>
          <w:vertAlign w:val="baseline"/>
        </w:rPr>
        <w:t>*</w:t>
      </w:r>
      <w:r w:rsidRPr="00CB21BF">
        <w:tab/>
      </w:r>
      <w:r>
        <w:t xml:space="preserve">Les </w:t>
      </w:r>
      <w:proofErr w:type="spellStart"/>
      <w:r>
        <w:t>membres</w:t>
      </w:r>
      <w:proofErr w:type="spellEnd"/>
      <w:r>
        <w:t xml:space="preserve"> du </w:t>
      </w:r>
      <w:proofErr w:type="spellStart"/>
      <w:r>
        <w:t>Comité</w:t>
      </w:r>
      <w:proofErr w:type="spellEnd"/>
      <w:r>
        <w:t xml:space="preserve"> </w:t>
      </w:r>
      <w:proofErr w:type="spellStart"/>
      <w:r>
        <w:t>dont</w:t>
      </w:r>
      <w:proofErr w:type="spellEnd"/>
      <w:r>
        <w:t xml:space="preserve"> le nom suit </w:t>
      </w:r>
      <w:proofErr w:type="spellStart"/>
      <w:r>
        <w:t>ont</w:t>
      </w:r>
      <w:proofErr w:type="spellEnd"/>
      <w:r>
        <w:t xml:space="preserve"> </w:t>
      </w:r>
      <w:proofErr w:type="spellStart"/>
      <w:r>
        <w:t>participé</w:t>
      </w:r>
      <w:proofErr w:type="spellEnd"/>
      <w:r>
        <w:t xml:space="preserve"> à </w:t>
      </w:r>
      <w:proofErr w:type="spellStart"/>
      <w:r>
        <w:t>l’examen</w:t>
      </w:r>
      <w:proofErr w:type="spellEnd"/>
      <w:r>
        <w:t xml:space="preserve"> de la </w:t>
      </w:r>
      <w:proofErr w:type="spellStart"/>
      <w:r>
        <w:t>présente</w:t>
      </w:r>
      <w:proofErr w:type="spellEnd"/>
      <w:r>
        <w:t xml:space="preserve"> communication: </w:t>
      </w:r>
      <w:proofErr w:type="spellStart"/>
      <w:r>
        <w:t>Amal</w:t>
      </w:r>
      <w:proofErr w:type="spellEnd"/>
      <w:r>
        <w:t xml:space="preserve"> Salman </w:t>
      </w:r>
      <w:proofErr w:type="spellStart"/>
      <w:r>
        <w:t>Aldoseri</w:t>
      </w:r>
      <w:proofErr w:type="spellEnd"/>
      <w:r>
        <w:t xml:space="preserve">, Suzanne </w:t>
      </w:r>
      <w:proofErr w:type="spellStart"/>
      <w:r>
        <w:t>Aho</w:t>
      </w:r>
      <w:proofErr w:type="spellEnd"/>
      <w:r>
        <w:t xml:space="preserve"> </w:t>
      </w:r>
      <w:proofErr w:type="spellStart"/>
      <w:r>
        <w:t>Assouma</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Bernard </w:t>
      </w:r>
      <w:proofErr w:type="spellStart"/>
      <w:r>
        <w:t>Gastaud</w:t>
      </w:r>
      <w:proofErr w:type="spellEnd"/>
      <w:r>
        <w:t xml:space="preserve">, Peter </w:t>
      </w:r>
      <w:proofErr w:type="spellStart"/>
      <w:r>
        <w:t>Gurán</w:t>
      </w:r>
      <w:proofErr w:type="spellEnd"/>
      <w:r>
        <w:t xml:space="preserve">, Olga A. </w:t>
      </w:r>
      <w:proofErr w:type="spellStart"/>
      <w:r>
        <w:t>Khazova</w:t>
      </w:r>
      <w:proofErr w:type="spellEnd"/>
      <w:r>
        <w:t xml:space="preserve">, Hatem </w:t>
      </w:r>
      <w:proofErr w:type="spellStart"/>
      <w:r>
        <w:t>Kotrane</w:t>
      </w:r>
      <w:proofErr w:type="spellEnd"/>
      <w:r>
        <w:t xml:space="preserve">, </w:t>
      </w:r>
      <w:proofErr w:type="spellStart"/>
      <w:r>
        <w:t>Benyam</w:t>
      </w:r>
      <w:proofErr w:type="spellEnd"/>
      <w:r>
        <w:t xml:space="preserve"> </w:t>
      </w:r>
      <w:proofErr w:type="spellStart"/>
      <w:r>
        <w:t>Dawit</w:t>
      </w:r>
      <w:proofErr w:type="spellEnd"/>
      <w:r>
        <w:t xml:space="preserve"> </w:t>
      </w:r>
      <w:proofErr w:type="spellStart"/>
      <w:r>
        <w:t>Mezmur</w:t>
      </w:r>
      <w:proofErr w:type="spellEnd"/>
      <w:r>
        <w:t xml:space="preserve">, Yasmeen Muhamad </w:t>
      </w:r>
      <w:proofErr w:type="spellStart"/>
      <w:r>
        <w:t>Shariff</w:t>
      </w:r>
      <w:proofErr w:type="spellEnd"/>
      <w:r>
        <w:t xml:space="preserve">, Clarence Nelson, </w:t>
      </w:r>
      <w:proofErr w:type="spellStart"/>
      <w:r>
        <w:t>Wanderlino</w:t>
      </w:r>
      <w:proofErr w:type="spellEnd"/>
      <w:r>
        <w:t xml:space="preserve"> </w:t>
      </w:r>
      <w:proofErr w:type="spellStart"/>
      <w:r>
        <w:t>Nogueira</w:t>
      </w:r>
      <w:proofErr w:type="spellEnd"/>
      <w:r>
        <w:t xml:space="preserve"> </w:t>
      </w:r>
      <w:proofErr w:type="spellStart"/>
      <w:r>
        <w:t>Neto</w:t>
      </w:r>
      <w:proofErr w:type="spellEnd"/>
      <w:r>
        <w:t xml:space="preserve">, Sara de </w:t>
      </w:r>
      <w:proofErr w:type="spellStart"/>
      <w:r>
        <w:t>Jesús</w:t>
      </w:r>
      <w:proofErr w:type="spellEnd"/>
      <w:r>
        <w:t xml:space="preserve"> Oviedo Fierro, José Angel Rodríguez Reyes, Kirsten Sandberg et Renate Winter.</w:t>
      </w:r>
    </w:p>
    <w:p w:rsidR="007B2356" w:rsidRPr="00CB21BF" w:rsidRDefault="007B2356" w:rsidP="00934897">
      <w:pPr>
        <w:pStyle w:val="FootnoteText"/>
        <w:tabs>
          <w:tab w:val="right" w:pos="1195"/>
          <w:tab w:val="left" w:pos="1267"/>
          <w:tab w:val="left" w:pos="1742"/>
          <w:tab w:val="left" w:pos="2218"/>
          <w:tab w:val="left" w:pos="2693"/>
        </w:tabs>
        <w:ind w:left="1267" w:right="1260" w:hanging="432"/>
      </w:pPr>
      <w:r>
        <w:tab/>
      </w:r>
      <w:r>
        <w:tab/>
      </w:r>
      <w:proofErr w:type="spellStart"/>
      <w:r w:rsidRPr="000F71C8">
        <w:rPr>
          <w:szCs w:val="17"/>
        </w:rPr>
        <w:t>Conformément</w:t>
      </w:r>
      <w:proofErr w:type="spellEnd"/>
      <w:r w:rsidRPr="000F71C8">
        <w:rPr>
          <w:szCs w:val="17"/>
        </w:rPr>
        <w:t xml:space="preserve"> au </w:t>
      </w:r>
      <w:proofErr w:type="spellStart"/>
      <w:r w:rsidRPr="000F71C8">
        <w:rPr>
          <w:szCs w:val="17"/>
        </w:rPr>
        <w:t>paragraphe</w:t>
      </w:r>
      <w:proofErr w:type="spellEnd"/>
      <w:r w:rsidRPr="000F71C8">
        <w:rPr>
          <w:szCs w:val="17"/>
        </w:rPr>
        <w:t xml:space="preserve"> 1 a) de </w:t>
      </w:r>
      <w:proofErr w:type="spellStart"/>
      <w:r w:rsidRPr="000F71C8">
        <w:rPr>
          <w:szCs w:val="17"/>
        </w:rPr>
        <w:t>l’article</w:t>
      </w:r>
      <w:proofErr w:type="spellEnd"/>
      <w:r w:rsidRPr="000F71C8">
        <w:rPr>
          <w:szCs w:val="17"/>
        </w:rPr>
        <w:t xml:space="preserve"> 8 du </w:t>
      </w:r>
      <w:proofErr w:type="spellStart"/>
      <w:r w:rsidRPr="000F71C8">
        <w:rPr>
          <w:szCs w:val="17"/>
        </w:rPr>
        <w:t>Règlement</w:t>
      </w:r>
      <w:proofErr w:type="spellEnd"/>
      <w:r w:rsidRPr="000F71C8">
        <w:rPr>
          <w:szCs w:val="17"/>
        </w:rPr>
        <w:t xml:space="preserve"> </w:t>
      </w:r>
      <w:proofErr w:type="spellStart"/>
      <w:r w:rsidRPr="000F71C8">
        <w:rPr>
          <w:szCs w:val="17"/>
        </w:rPr>
        <w:t>intérieur</w:t>
      </w:r>
      <w:proofErr w:type="spellEnd"/>
      <w:r w:rsidRPr="000F71C8">
        <w:rPr>
          <w:szCs w:val="17"/>
        </w:rPr>
        <w:t xml:space="preserve"> du </w:t>
      </w:r>
      <w:proofErr w:type="spellStart"/>
      <w:r w:rsidRPr="000F71C8">
        <w:rPr>
          <w:szCs w:val="17"/>
        </w:rPr>
        <w:t>Comité</w:t>
      </w:r>
      <w:proofErr w:type="spellEnd"/>
      <w:r w:rsidRPr="000F71C8">
        <w:rPr>
          <w:szCs w:val="17"/>
        </w:rPr>
        <w:t xml:space="preserve"> </w:t>
      </w:r>
      <w:r w:rsidRPr="000F71C8">
        <w:rPr>
          <w:szCs w:val="17"/>
          <w:lang w:val="fr-FR"/>
        </w:rPr>
        <w:t>au titre du Protocole facultatif à la Convention relative aux droits de</w:t>
      </w:r>
      <w:r>
        <w:rPr>
          <w:szCs w:val="17"/>
          <w:lang w:val="fr-FR"/>
        </w:rPr>
        <w:t xml:space="preserve"> </w:t>
      </w:r>
      <w:r w:rsidRPr="000F71C8">
        <w:rPr>
          <w:szCs w:val="17"/>
          <w:lang w:val="fr-FR"/>
        </w:rPr>
        <w:t>l’enfa</w:t>
      </w:r>
      <w:r>
        <w:rPr>
          <w:szCs w:val="17"/>
          <w:lang w:val="fr-FR"/>
        </w:rPr>
        <w:t xml:space="preserve">nt établissant une procédure de </w:t>
      </w:r>
      <w:r w:rsidRPr="000F71C8">
        <w:rPr>
          <w:szCs w:val="17"/>
          <w:lang w:val="fr-FR"/>
        </w:rPr>
        <w:t>présentation de communications</w:t>
      </w:r>
      <w:r w:rsidRPr="000F71C8">
        <w:rPr>
          <w:szCs w:val="17"/>
        </w:rPr>
        <w:t xml:space="preserve">, Jorge Cardona </w:t>
      </w:r>
      <w:proofErr w:type="spellStart"/>
      <w:r w:rsidRPr="000F71C8">
        <w:rPr>
          <w:szCs w:val="17"/>
        </w:rPr>
        <w:t>Llorens</w:t>
      </w:r>
      <w:proofErr w:type="spellEnd"/>
      <w:r w:rsidRPr="000F71C8">
        <w:rPr>
          <w:szCs w:val="17"/>
        </w:rPr>
        <w:t xml:space="preserve">  </w:t>
      </w:r>
      <w:proofErr w:type="spellStart"/>
      <w:r w:rsidRPr="000F71C8">
        <w:rPr>
          <w:szCs w:val="17"/>
        </w:rPr>
        <w:t>n’a</w:t>
      </w:r>
      <w:proofErr w:type="spellEnd"/>
      <w:r w:rsidRPr="000F71C8">
        <w:rPr>
          <w:szCs w:val="17"/>
        </w:rPr>
        <w:t xml:space="preserve"> pas </w:t>
      </w:r>
      <w:proofErr w:type="spellStart"/>
      <w:r w:rsidRPr="000F71C8">
        <w:rPr>
          <w:szCs w:val="17"/>
        </w:rPr>
        <w:t>participé</w:t>
      </w:r>
      <w:proofErr w:type="spellEnd"/>
      <w:r w:rsidRPr="000F71C8">
        <w:rPr>
          <w:szCs w:val="17"/>
        </w:rPr>
        <w:t xml:space="preserve"> à </w:t>
      </w:r>
      <w:proofErr w:type="spellStart"/>
      <w:r w:rsidRPr="000F71C8">
        <w:rPr>
          <w:szCs w:val="17"/>
        </w:rPr>
        <w:t>l’examen</w:t>
      </w:r>
      <w:proofErr w:type="spellEnd"/>
      <w:r w:rsidRPr="000F71C8">
        <w:rPr>
          <w:szCs w:val="17"/>
        </w:rPr>
        <w:t xml:space="preserve"> de la </w:t>
      </w:r>
      <w:r w:rsidRPr="00CB21BF">
        <w:t>communication</w:t>
      </w:r>
      <w:r>
        <w:t>.</w:t>
      </w:r>
    </w:p>
  </w:footnote>
  <w:footnote w:id="2">
    <w:p w:rsidR="007B2356" w:rsidRPr="00CB21BF" w:rsidRDefault="007B2356" w:rsidP="0093489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Le </w:t>
      </w:r>
      <w:proofErr w:type="spellStart"/>
      <w:r>
        <w:t>Protocole</w:t>
      </w:r>
      <w:proofErr w:type="spellEnd"/>
      <w:r>
        <w:t xml:space="preserve"> </w:t>
      </w:r>
      <w:proofErr w:type="spellStart"/>
      <w:r>
        <w:t>facultatif</w:t>
      </w:r>
      <w:proofErr w:type="spellEnd"/>
      <w:r>
        <w:t xml:space="preserve"> à la Convention relative aux droits de </w:t>
      </w:r>
      <w:proofErr w:type="spellStart"/>
      <w:r>
        <w:t>l’enfant</w:t>
      </w:r>
      <w:proofErr w:type="spellEnd"/>
      <w:r>
        <w:t xml:space="preserve"> </w:t>
      </w:r>
      <w:proofErr w:type="spellStart"/>
      <w:r>
        <w:t>établissant</w:t>
      </w:r>
      <w:proofErr w:type="spellEnd"/>
      <w:r>
        <w:t xml:space="preserve"> </w:t>
      </w:r>
      <w:proofErr w:type="spellStart"/>
      <w:r>
        <w:t>une</w:t>
      </w:r>
      <w:proofErr w:type="spellEnd"/>
      <w:r>
        <w:t xml:space="preserve"> </w:t>
      </w:r>
      <w:proofErr w:type="spellStart"/>
      <w:r>
        <w:t>procédure</w:t>
      </w:r>
      <w:proofErr w:type="spellEnd"/>
      <w:r>
        <w:t xml:space="preserve"> de </w:t>
      </w:r>
      <w:proofErr w:type="spellStart"/>
      <w:r>
        <w:t>présentation</w:t>
      </w:r>
      <w:proofErr w:type="spellEnd"/>
      <w:r>
        <w:t xml:space="preserve"> de communications </w:t>
      </w:r>
      <w:proofErr w:type="spellStart"/>
      <w:r>
        <w:t>est</w:t>
      </w:r>
      <w:proofErr w:type="spellEnd"/>
      <w:r>
        <w:t xml:space="preserve"> </w:t>
      </w:r>
      <w:proofErr w:type="spellStart"/>
      <w:r>
        <w:t>entré</w:t>
      </w:r>
      <w:proofErr w:type="spellEnd"/>
      <w:r>
        <w:t xml:space="preserve"> </w:t>
      </w:r>
      <w:proofErr w:type="spellStart"/>
      <w:r>
        <w:t>en</w:t>
      </w:r>
      <w:proofErr w:type="spellEnd"/>
      <w:r>
        <w:t xml:space="preserve"> </w:t>
      </w:r>
      <w:proofErr w:type="spellStart"/>
      <w:r>
        <w:t>vigueur</w:t>
      </w:r>
      <w:proofErr w:type="spellEnd"/>
      <w:r>
        <w:t xml:space="preserve"> pour </w:t>
      </w:r>
      <w:proofErr w:type="spellStart"/>
      <w:r>
        <w:t>l’État</w:t>
      </w:r>
      <w:proofErr w:type="spellEnd"/>
      <w:r>
        <w:t xml:space="preserve"> </w:t>
      </w:r>
      <w:proofErr w:type="spellStart"/>
      <w:r>
        <w:t>partie</w:t>
      </w:r>
      <w:proofErr w:type="spellEnd"/>
      <w:r>
        <w:t xml:space="preserve"> le 14 </w:t>
      </w:r>
      <w:proofErr w:type="spellStart"/>
      <w:r>
        <w:t>avril</w:t>
      </w:r>
      <w:proofErr w:type="spellEnd"/>
      <w:r>
        <w:t xml:space="preserve"> 2014.</w:t>
      </w:r>
    </w:p>
  </w:footnote>
  <w:footnote w:id="3">
    <w:p w:rsidR="001D46CB" w:rsidRPr="001D46CB" w:rsidRDefault="001D46CB" w:rsidP="0093489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proofErr w:type="spellStart"/>
      <w:r>
        <w:t>L’auteur</w:t>
      </w:r>
      <w:proofErr w:type="spellEnd"/>
      <w:r>
        <w:t xml:space="preserve"> fait </w:t>
      </w:r>
      <w:proofErr w:type="spellStart"/>
      <w:r>
        <w:t>référence</w:t>
      </w:r>
      <w:proofErr w:type="spellEnd"/>
      <w:r>
        <w:t xml:space="preserve"> à </w:t>
      </w:r>
      <w:r w:rsidRPr="009E35EB">
        <w:t>la p</w:t>
      </w:r>
      <w:r>
        <w:t xml:space="preserve">ublication du </w:t>
      </w:r>
      <w:proofErr w:type="spellStart"/>
      <w:r>
        <w:t>Fonds</w:t>
      </w:r>
      <w:proofErr w:type="spellEnd"/>
      <w:r>
        <w:t xml:space="preserve"> des Nations </w:t>
      </w:r>
      <w:proofErr w:type="spellStart"/>
      <w:r w:rsidRPr="009E35EB">
        <w:t>Unies</w:t>
      </w:r>
      <w:proofErr w:type="spellEnd"/>
      <w:r w:rsidRPr="009E35EB">
        <w:t xml:space="preserve"> pour </w:t>
      </w:r>
      <w:proofErr w:type="spellStart"/>
      <w:r w:rsidRPr="009E35EB">
        <w:t>l’enfance</w:t>
      </w:r>
      <w:proofErr w:type="spellEnd"/>
      <w:r w:rsidRPr="009E35EB">
        <w:t xml:space="preserve"> </w:t>
      </w:r>
      <w:proofErr w:type="spellStart"/>
      <w:r w:rsidRPr="009E35EB">
        <w:t>intitulée</w:t>
      </w:r>
      <w:proofErr w:type="spellEnd"/>
      <w:r w:rsidRPr="009E35EB">
        <w:t xml:space="preserve"> «</w:t>
      </w:r>
      <w:r w:rsidR="00A44917">
        <w:t> </w:t>
      </w:r>
      <w:r w:rsidRPr="009E35EB">
        <w:rPr>
          <w:i/>
        </w:rPr>
        <w:t>Ni</w:t>
      </w:r>
      <w:r>
        <w:rPr>
          <w:i/>
        </w:rPr>
        <w:t> </w:t>
      </w:r>
      <w:proofErr w:type="spellStart"/>
      <w:r w:rsidRPr="009E35EB">
        <w:rPr>
          <w:i/>
        </w:rPr>
        <w:t>ilegales</w:t>
      </w:r>
      <w:proofErr w:type="spellEnd"/>
      <w:r w:rsidRPr="009E35EB">
        <w:rPr>
          <w:i/>
        </w:rPr>
        <w:t xml:space="preserve"> </w:t>
      </w:r>
      <w:proofErr w:type="spellStart"/>
      <w:r w:rsidRPr="009E35EB">
        <w:rPr>
          <w:i/>
        </w:rPr>
        <w:t>ni</w:t>
      </w:r>
      <w:proofErr w:type="spellEnd"/>
      <w:r w:rsidRPr="009E35EB">
        <w:rPr>
          <w:i/>
        </w:rPr>
        <w:t xml:space="preserve"> invisibles. </w:t>
      </w:r>
      <w:r w:rsidRPr="009E35EB">
        <w:rPr>
          <w:i/>
          <w:lang w:val="es-ES"/>
        </w:rPr>
        <w:t xml:space="preserve">Realidad </w:t>
      </w:r>
      <w:proofErr w:type="spellStart"/>
      <w:r w:rsidRPr="009E35EB">
        <w:rPr>
          <w:i/>
          <w:lang w:val="es-ES"/>
        </w:rPr>
        <w:t>juridíca</w:t>
      </w:r>
      <w:proofErr w:type="spellEnd"/>
      <w:r w:rsidRPr="009E35EB">
        <w:rPr>
          <w:i/>
          <w:lang w:val="es-ES"/>
        </w:rPr>
        <w:t xml:space="preserve"> y social de los menores extranjeros en España</w:t>
      </w:r>
      <w:r w:rsidR="00A44917">
        <w:rPr>
          <w:i/>
          <w:lang w:val="es-ES"/>
        </w:rPr>
        <w:t> </w:t>
      </w:r>
      <w:r w:rsidRPr="009E35EB">
        <w:rPr>
          <w:lang w:val="es-ES"/>
        </w:rPr>
        <w:t>» (2009)</w:t>
      </w:r>
      <w:r w:rsidRPr="00195E5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4D43" w:rsidTr="00444D43">
      <w:trPr>
        <w:trHeight w:hRule="exact" w:val="864"/>
        <w:jc w:val="center"/>
      </w:trPr>
      <w:tc>
        <w:tcPr>
          <w:tcW w:w="4882" w:type="dxa"/>
          <w:shd w:val="clear" w:color="auto" w:fill="auto"/>
          <w:vAlign w:val="bottom"/>
        </w:tcPr>
        <w:p w:rsidR="00444D43" w:rsidRPr="00444D43" w:rsidRDefault="00444D43" w:rsidP="00444D43">
          <w:pPr>
            <w:pStyle w:val="Header"/>
            <w:spacing w:after="80"/>
            <w:rPr>
              <w:b/>
            </w:rPr>
          </w:pPr>
          <w:r>
            <w:rPr>
              <w:b/>
            </w:rPr>
            <w:fldChar w:fldCharType="begin"/>
          </w:r>
          <w:r>
            <w:rPr>
              <w:b/>
            </w:rPr>
            <w:instrText xml:space="preserve"> DOCVARIABLE "sss1" \* MERGEFORMAT </w:instrText>
          </w:r>
          <w:r>
            <w:rPr>
              <w:b/>
            </w:rPr>
            <w:fldChar w:fldCharType="separate"/>
          </w:r>
          <w:r w:rsidR="000871FE">
            <w:rPr>
              <w:b/>
            </w:rPr>
            <w:t>CRC/C/69/D/1/2014</w:t>
          </w:r>
          <w:r>
            <w:rPr>
              <w:b/>
            </w:rPr>
            <w:fldChar w:fldCharType="end"/>
          </w:r>
        </w:p>
      </w:tc>
      <w:tc>
        <w:tcPr>
          <w:tcW w:w="5127" w:type="dxa"/>
          <w:shd w:val="clear" w:color="auto" w:fill="auto"/>
          <w:vAlign w:val="bottom"/>
        </w:tcPr>
        <w:p w:rsidR="00444D43" w:rsidRDefault="00444D43" w:rsidP="00444D43">
          <w:pPr>
            <w:pStyle w:val="Header"/>
          </w:pPr>
        </w:p>
      </w:tc>
    </w:tr>
  </w:tbl>
  <w:p w:rsidR="00444D43" w:rsidRPr="00444D43" w:rsidRDefault="00444D43" w:rsidP="00444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4D43" w:rsidTr="00444D43">
      <w:trPr>
        <w:trHeight w:hRule="exact" w:val="864"/>
        <w:jc w:val="center"/>
      </w:trPr>
      <w:tc>
        <w:tcPr>
          <w:tcW w:w="4882" w:type="dxa"/>
          <w:shd w:val="clear" w:color="auto" w:fill="auto"/>
          <w:vAlign w:val="bottom"/>
        </w:tcPr>
        <w:p w:rsidR="00444D43" w:rsidRDefault="00444D43" w:rsidP="00444D43">
          <w:pPr>
            <w:pStyle w:val="Header"/>
          </w:pPr>
        </w:p>
      </w:tc>
      <w:tc>
        <w:tcPr>
          <w:tcW w:w="5127" w:type="dxa"/>
          <w:shd w:val="clear" w:color="auto" w:fill="auto"/>
          <w:vAlign w:val="bottom"/>
        </w:tcPr>
        <w:p w:rsidR="00444D43" w:rsidRPr="00444D43" w:rsidRDefault="00444D43" w:rsidP="00444D43">
          <w:pPr>
            <w:pStyle w:val="Header"/>
            <w:spacing w:after="80"/>
            <w:jc w:val="right"/>
            <w:rPr>
              <w:b/>
            </w:rPr>
          </w:pPr>
          <w:r>
            <w:rPr>
              <w:b/>
            </w:rPr>
            <w:fldChar w:fldCharType="begin"/>
          </w:r>
          <w:r>
            <w:rPr>
              <w:b/>
            </w:rPr>
            <w:instrText xml:space="preserve"> DOCVARIABLE "sss1" \* MERGEFORMAT </w:instrText>
          </w:r>
          <w:r>
            <w:rPr>
              <w:b/>
            </w:rPr>
            <w:fldChar w:fldCharType="separate"/>
          </w:r>
          <w:r w:rsidR="000871FE">
            <w:rPr>
              <w:b/>
            </w:rPr>
            <w:t>CRC/C/69/D/1/2014</w:t>
          </w:r>
          <w:r>
            <w:rPr>
              <w:b/>
            </w:rPr>
            <w:fldChar w:fldCharType="end"/>
          </w:r>
        </w:p>
      </w:tc>
    </w:tr>
  </w:tbl>
  <w:p w:rsidR="00444D43" w:rsidRPr="00444D43" w:rsidRDefault="00444D43" w:rsidP="00444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44D43" w:rsidTr="00444D43">
      <w:trPr>
        <w:trHeight w:hRule="exact" w:val="864"/>
      </w:trPr>
      <w:tc>
        <w:tcPr>
          <w:tcW w:w="1267" w:type="dxa"/>
          <w:tcBorders>
            <w:bottom w:val="single" w:sz="4" w:space="0" w:color="auto"/>
          </w:tcBorders>
          <w:shd w:val="clear" w:color="auto" w:fill="auto"/>
          <w:vAlign w:val="bottom"/>
        </w:tcPr>
        <w:p w:rsidR="00444D43" w:rsidRDefault="00444D43" w:rsidP="00444D43">
          <w:pPr>
            <w:pStyle w:val="Header"/>
            <w:spacing w:after="120"/>
          </w:pPr>
        </w:p>
      </w:tc>
      <w:tc>
        <w:tcPr>
          <w:tcW w:w="2059" w:type="dxa"/>
          <w:tcBorders>
            <w:bottom w:val="single" w:sz="4" w:space="0" w:color="auto"/>
          </w:tcBorders>
          <w:shd w:val="clear" w:color="auto" w:fill="auto"/>
          <w:vAlign w:val="bottom"/>
        </w:tcPr>
        <w:p w:rsidR="00444D43" w:rsidRPr="00444D43" w:rsidRDefault="00444D43" w:rsidP="00444D43">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444D43" w:rsidRDefault="00444D43" w:rsidP="00444D43">
          <w:pPr>
            <w:pStyle w:val="Header"/>
            <w:spacing w:after="120"/>
          </w:pPr>
        </w:p>
      </w:tc>
      <w:tc>
        <w:tcPr>
          <w:tcW w:w="6653" w:type="dxa"/>
          <w:gridSpan w:val="4"/>
          <w:tcBorders>
            <w:bottom w:val="single" w:sz="4" w:space="0" w:color="auto"/>
          </w:tcBorders>
          <w:shd w:val="clear" w:color="auto" w:fill="auto"/>
          <w:vAlign w:val="bottom"/>
        </w:tcPr>
        <w:p w:rsidR="00444D43" w:rsidRPr="00444D43" w:rsidRDefault="00444D43" w:rsidP="00444D43">
          <w:pPr>
            <w:spacing w:after="80" w:line="240" w:lineRule="auto"/>
            <w:jc w:val="right"/>
            <w:rPr>
              <w:position w:val="-4"/>
            </w:rPr>
          </w:pPr>
          <w:r>
            <w:rPr>
              <w:position w:val="-4"/>
              <w:sz w:val="40"/>
            </w:rPr>
            <w:t>CRC</w:t>
          </w:r>
          <w:r>
            <w:rPr>
              <w:position w:val="-4"/>
            </w:rPr>
            <w:t>/C/69/D/1/2014</w:t>
          </w:r>
        </w:p>
      </w:tc>
    </w:tr>
    <w:tr w:rsidR="00444D43" w:rsidRPr="00444D43" w:rsidTr="00444D43">
      <w:trPr>
        <w:gridAfter w:val="1"/>
        <w:wAfter w:w="18" w:type="dxa"/>
        <w:trHeight w:hRule="exact" w:val="2880"/>
      </w:trPr>
      <w:tc>
        <w:tcPr>
          <w:tcW w:w="1267" w:type="dxa"/>
          <w:tcBorders>
            <w:top w:val="single" w:sz="4" w:space="0" w:color="auto"/>
            <w:bottom w:val="single" w:sz="12" w:space="0" w:color="auto"/>
          </w:tcBorders>
          <w:shd w:val="clear" w:color="auto" w:fill="auto"/>
        </w:tcPr>
        <w:p w:rsidR="00444D43" w:rsidRPr="00444D43" w:rsidRDefault="00444D43" w:rsidP="00444D43">
          <w:pPr>
            <w:pStyle w:val="Header"/>
            <w:spacing w:before="120" w:line="240" w:lineRule="auto"/>
            <w:ind w:left="-72"/>
            <w:jc w:val="center"/>
          </w:pPr>
          <w:r>
            <w:t xml:space="preserve">  </w:t>
          </w:r>
          <w:r>
            <w:rPr>
              <w:noProof/>
            </w:rPr>
            <w:drawing>
              <wp:inline distT="0" distB="0" distL="0" distR="0" wp14:anchorId="009D3CD8" wp14:editId="2B33C90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44D43" w:rsidRPr="00444D43" w:rsidRDefault="00444D43" w:rsidP="00444D43">
          <w:pPr>
            <w:pStyle w:val="XLarge"/>
            <w:spacing w:before="109" w:line="330" w:lineRule="exact"/>
            <w:rPr>
              <w:sz w:val="34"/>
            </w:rPr>
          </w:pPr>
          <w:r>
            <w:rPr>
              <w:sz w:val="34"/>
            </w:rPr>
            <w:t>Convention relative</w:t>
          </w:r>
          <w:r>
            <w:rPr>
              <w:sz w:val="34"/>
            </w:rPr>
            <w:br/>
            <w:t xml:space="preserve">aux droits de </w:t>
          </w:r>
          <w:proofErr w:type="spellStart"/>
          <w:r>
            <w:rPr>
              <w:sz w:val="34"/>
            </w:rPr>
            <w:t>l’enfant</w:t>
          </w:r>
          <w:proofErr w:type="spellEnd"/>
        </w:p>
      </w:tc>
      <w:tc>
        <w:tcPr>
          <w:tcW w:w="245" w:type="dxa"/>
          <w:tcBorders>
            <w:top w:val="single" w:sz="4" w:space="0" w:color="auto"/>
            <w:bottom w:val="single" w:sz="12" w:space="0" w:color="auto"/>
          </w:tcBorders>
          <w:shd w:val="clear" w:color="auto" w:fill="auto"/>
        </w:tcPr>
        <w:p w:rsidR="00444D43" w:rsidRPr="00444D43" w:rsidRDefault="00444D43" w:rsidP="00444D43">
          <w:pPr>
            <w:pStyle w:val="Header"/>
            <w:spacing w:before="109"/>
          </w:pPr>
        </w:p>
      </w:tc>
      <w:tc>
        <w:tcPr>
          <w:tcW w:w="3280" w:type="dxa"/>
          <w:tcBorders>
            <w:top w:val="single" w:sz="4" w:space="0" w:color="auto"/>
            <w:bottom w:val="single" w:sz="12" w:space="0" w:color="auto"/>
          </w:tcBorders>
          <w:shd w:val="clear" w:color="auto" w:fill="auto"/>
        </w:tcPr>
        <w:p w:rsidR="00444D43" w:rsidRDefault="00444D43" w:rsidP="00444D43">
          <w:pPr>
            <w:pStyle w:val="Distribution"/>
            <w:rPr>
              <w:color w:val="000000"/>
            </w:rPr>
          </w:pPr>
          <w:r>
            <w:rPr>
              <w:color w:val="000000"/>
            </w:rPr>
            <w:t xml:space="preserve">Distr. </w:t>
          </w:r>
          <w:proofErr w:type="spellStart"/>
          <w:r>
            <w:rPr>
              <w:color w:val="000000"/>
            </w:rPr>
            <w:t>générale</w:t>
          </w:r>
          <w:proofErr w:type="spellEnd"/>
        </w:p>
        <w:p w:rsidR="00444D43" w:rsidRDefault="00444D43" w:rsidP="00444D43">
          <w:pPr>
            <w:pStyle w:val="Publication"/>
            <w:rPr>
              <w:color w:val="000000"/>
            </w:rPr>
          </w:pPr>
          <w:r>
            <w:rPr>
              <w:color w:val="000000"/>
            </w:rPr>
            <w:t xml:space="preserve">8 </w:t>
          </w:r>
          <w:proofErr w:type="spellStart"/>
          <w:r>
            <w:rPr>
              <w:color w:val="000000"/>
            </w:rPr>
            <w:t>juillet</w:t>
          </w:r>
          <w:proofErr w:type="spellEnd"/>
          <w:r>
            <w:rPr>
              <w:color w:val="000000"/>
            </w:rPr>
            <w:t xml:space="preserve"> 2015</w:t>
          </w:r>
        </w:p>
        <w:p w:rsidR="00444D43" w:rsidRDefault="00444D43" w:rsidP="00444D43">
          <w:proofErr w:type="spellStart"/>
          <w:r>
            <w:t>Français</w:t>
          </w:r>
          <w:proofErr w:type="spellEnd"/>
        </w:p>
        <w:p w:rsidR="00444D43" w:rsidRPr="00444D43" w:rsidRDefault="00444D43" w:rsidP="00444D43">
          <w:pPr>
            <w:pStyle w:val="Original"/>
            <w:rPr>
              <w:color w:val="000000"/>
            </w:rPr>
          </w:pPr>
          <w:r>
            <w:rPr>
              <w:color w:val="000000"/>
            </w:rPr>
            <w:t xml:space="preserve">Original : </w:t>
          </w:r>
          <w:proofErr w:type="spellStart"/>
          <w:r>
            <w:rPr>
              <w:color w:val="000000"/>
            </w:rPr>
            <w:t>anglais</w:t>
          </w:r>
          <w:proofErr w:type="spellEnd"/>
        </w:p>
      </w:tc>
    </w:tr>
  </w:tbl>
  <w:p w:rsidR="00444D43" w:rsidRPr="00444D43" w:rsidRDefault="00444D43" w:rsidP="00444D4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35*"/>
    <w:docVar w:name="CreationDt" w:val="7/27/2015 11:47 AM"/>
    <w:docVar w:name="DocCategory" w:val="Doc"/>
    <w:docVar w:name="DocType" w:val="Final"/>
    <w:docVar w:name="DutyStation" w:val="Geneva"/>
    <w:docVar w:name="FooterJN" w:val="GE. 15-11335"/>
    <w:docVar w:name="jobn" w:val="GE. 15-11335 (F)"/>
    <w:docVar w:name="jobnDT" w:val="GE. 15-11335 (F)   270715"/>
    <w:docVar w:name="jobnDTDT" w:val="GE. 15-11335 (F)   270715   270715"/>
    <w:docVar w:name="JobNo" w:val="GE. 1511335F"/>
    <w:docVar w:name="JobNo2" w:val="GE. 1515141F"/>
    <w:docVar w:name="LocalDrive" w:val="0"/>
    <w:docVar w:name="OandT" w:val="BEAUNEE"/>
    <w:docVar w:name="PaperSize" w:val="A4"/>
    <w:docVar w:name="sss1" w:val="CRC/C/69/D/1/2014"/>
    <w:docVar w:name="sss2" w:val="-"/>
    <w:docVar w:name="Symbol1" w:val="CRC/C/69/D/1/2014"/>
    <w:docVar w:name="Symbol2" w:val="-"/>
  </w:docVars>
  <w:rsids>
    <w:rsidRoot w:val="004512A7"/>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871FE"/>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299"/>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D46CB"/>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62B"/>
    <w:rsid w:val="00245B48"/>
    <w:rsid w:val="00246425"/>
    <w:rsid w:val="00252402"/>
    <w:rsid w:val="00254656"/>
    <w:rsid w:val="0025545A"/>
    <w:rsid w:val="00261E82"/>
    <w:rsid w:val="002626D6"/>
    <w:rsid w:val="0026332C"/>
    <w:rsid w:val="0026552F"/>
    <w:rsid w:val="0026565F"/>
    <w:rsid w:val="00266AFD"/>
    <w:rsid w:val="002730C7"/>
    <w:rsid w:val="0027435B"/>
    <w:rsid w:val="00276E85"/>
    <w:rsid w:val="00280143"/>
    <w:rsid w:val="002810F0"/>
    <w:rsid w:val="00281BC7"/>
    <w:rsid w:val="00284CE1"/>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44D43"/>
    <w:rsid w:val="00450D24"/>
    <w:rsid w:val="004512A7"/>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BD6"/>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B76"/>
    <w:rsid w:val="006D5832"/>
    <w:rsid w:val="006E215F"/>
    <w:rsid w:val="006E3D5C"/>
    <w:rsid w:val="006E4078"/>
    <w:rsid w:val="006E4E12"/>
    <w:rsid w:val="006E5649"/>
    <w:rsid w:val="006E768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2356"/>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4760"/>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4897"/>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4917"/>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4193"/>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088"/>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17A0"/>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
    <w:unhideWhenUsed/>
    <w:qFormat/>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4D43"/>
    <w:rPr>
      <w:sz w:val="16"/>
      <w:szCs w:val="16"/>
    </w:rPr>
  </w:style>
  <w:style w:type="paragraph" w:styleId="CommentText">
    <w:name w:val="annotation text"/>
    <w:basedOn w:val="Normal"/>
    <w:link w:val="CommentTextChar"/>
    <w:uiPriority w:val="99"/>
    <w:semiHidden/>
    <w:unhideWhenUsed/>
    <w:rsid w:val="00444D43"/>
    <w:pPr>
      <w:spacing w:line="240" w:lineRule="auto"/>
    </w:pPr>
    <w:rPr>
      <w:szCs w:val="20"/>
    </w:rPr>
  </w:style>
  <w:style w:type="character" w:customStyle="1" w:styleId="CommentTextChar">
    <w:name w:val="Comment Text Char"/>
    <w:basedOn w:val="DefaultParagraphFont"/>
    <w:link w:val="CommentText"/>
    <w:uiPriority w:val="99"/>
    <w:semiHidden/>
    <w:rsid w:val="00444D43"/>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4D43"/>
    <w:rPr>
      <w:b/>
      <w:bCs/>
    </w:rPr>
  </w:style>
  <w:style w:type="character" w:customStyle="1" w:styleId="CommentSubjectChar">
    <w:name w:val="Comment Subject Char"/>
    <w:basedOn w:val="CommentTextChar"/>
    <w:link w:val="CommentSubject"/>
    <w:uiPriority w:val="99"/>
    <w:semiHidden/>
    <w:rsid w:val="00444D43"/>
    <w:rPr>
      <w:rFonts w:ascii="Times New Roman" w:hAnsi="Times New Roman"/>
      <w:b/>
      <w:bCs/>
      <w:spacing w:val="4"/>
      <w:w w:val="103"/>
      <w:kern w:val="14"/>
    </w:rPr>
  </w:style>
  <w:style w:type="table" w:styleId="TableGrid">
    <w:name w:val="Table Grid"/>
    <w:basedOn w:val="TableNormal"/>
    <w:rsid w:val="007B2356"/>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
    <w:unhideWhenUsed/>
    <w:qFormat/>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4D43"/>
    <w:rPr>
      <w:sz w:val="16"/>
      <w:szCs w:val="16"/>
    </w:rPr>
  </w:style>
  <w:style w:type="paragraph" w:styleId="CommentText">
    <w:name w:val="annotation text"/>
    <w:basedOn w:val="Normal"/>
    <w:link w:val="CommentTextChar"/>
    <w:uiPriority w:val="99"/>
    <w:semiHidden/>
    <w:unhideWhenUsed/>
    <w:rsid w:val="00444D43"/>
    <w:pPr>
      <w:spacing w:line="240" w:lineRule="auto"/>
    </w:pPr>
    <w:rPr>
      <w:szCs w:val="20"/>
    </w:rPr>
  </w:style>
  <w:style w:type="character" w:customStyle="1" w:styleId="CommentTextChar">
    <w:name w:val="Comment Text Char"/>
    <w:basedOn w:val="DefaultParagraphFont"/>
    <w:link w:val="CommentText"/>
    <w:uiPriority w:val="99"/>
    <w:semiHidden/>
    <w:rsid w:val="00444D43"/>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4D43"/>
    <w:rPr>
      <w:b/>
      <w:bCs/>
    </w:rPr>
  </w:style>
  <w:style w:type="character" w:customStyle="1" w:styleId="CommentSubjectChar">
    <w:name w:val="Comment Subject Char"/>
    <w:basedOn w:val="CommentTextChar"/>
    <w:link w:val="CommentSubject"/>
    <w:uiPriority w:val="99"/>
    <w:semiHidden/>
    <w:rsid w:val="00444D43"/>
    <w:rPr>
      <w:rFonts w:ascii="Times New Roman" w:hAnsi="Times New Roman"/>
      <w:b/>
      <w:bCs/>
      <w:spacing w:val="4"/>
      <w:w w:val="103"/>
      <w:kern w:val="14"/>
    </w:rPr>
  </w:style>
  <w:style w:type="table" w:styleId="TableGrid">
    <w:name w:val="Table Grid"/>
    <w:basedOn w:val="TableNormal"/>
    <w:rsid w:val="007B2356"/>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DC3B-6335-44D4-999A-F51B99D2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4683</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Rakotobe</dc:creator>
  <cp:lastModifiedBy>Beaunee</cp:lastModifiedBy>
  <cp:revision>3</cp:revision>
  <cp:lastPrinted>2015-07-27T09:55:00Z</cp:lastPrinted>
  <dcterms:created xsi:type="dcterms:W3CDTF">2015-07-27T15:49:00Z</dcterms:created>
  <dcterms:modified xsi:type="dcterms:W3CDTF">2015-07-27T15:53:00Z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1511335F</vt:lpwstr>
  </property>
  <property fmtid="{D5CDD505-2E9C-101B-9397-08002B2CF9AE}" pid="3" name="ODSRefJobNo">
    <vt:lpwstr>1515141F</vt:lpwstr>
  </property>
  <property fmtid="{D5CDD505-2E9C-101B-9397-08002B2CF9AE}" pid="4" name="Symbol1">
    <vt:lpwstr>CRC/C/69/D/1/2014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8 juillet 2015</vt:lpwstr>
  </property>
  <property fmtid="{D5CDD505-2E9C-101B-9397-08002B2CF9AE}" pid="9" name="Original">
    <vt:lpwstr>anglais</vt:lpwstr>
  </property>
  <property fmtid="{D5CDD505-2E9C-101B-9397-08002B2CF9AE}" pid="10" name="Release Date">
    <vt:lpwstr>270715</vt:lpwstr>
  </property>
  <property fmtid="{D5CDD505-2E9C-101B-9397-08002B2CF9AE}" pid="11" name="Comment">
    <vt:lpwstr/>
  </property>
  <property fmtid="{D5CDD505-2E9C-101B-9397-08002B2CF9AE}" pid="12" name="DraftPages">
    <vt:lpwstr> </vt:lpwstr>
  </property>
  <property fmtid="{D5CDD505-2E9C-101B-9397-08002B2CF9AE}" pid="13" name="Operator">
    <vt:lpwstr>BEAUNEE</vt:lpwstr>
  </property>
</Properties>
</file>