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bookmarkStart w:id="0" w:name="_GoBack"/>
            <w:bookmarkEnd w:id="0"/>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CE1D1C" w:rsidRPr="0009384D" w:rsidRDefault="0009384D" w:rsidP="000D4726">
            <w:pPr>
              <w:spacing w:line="240" w:lineRule="atLeast"/>
              <w:jc w:val="right"/>
              <w:rPr>
                <w:sz w:val="20"/>
                <w:szCs w:val="21"/>
              </w:rPr>
            </w:pPr>
            <w:r w:rsidRPr="0009384D">
              <w:rPr>
                <w:sz w:val="40"/>
                <w:szCs w:val="21"/>
              </w:rPr>
              <w:t>C</w:t>
            </w:r>
            <w:r w:rsidRPr="0009384D">
              <w:rPr>
                <w:sz w:val="40"/>
                <w:szCs w:val="40"/>
              </w:rPr>
              <w:t>CPR</w:t>
            </w:r>
            <w:r>
              <w:rPr>
                <w:sz w:val="20"/>
                <w:szCs w:val="21"/>
              </w:rPr>
              <w:t>/C/ECU/CO/6</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2E51D89D" wp14:editId="14EFC8E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0D4726">
            <w:pPr>
              <w:spacing w:before="240" w:line="240" w:lineRule="atLeast"/>
              <w:rPr>
                <w:sz w:val="20"/>
              </w:rPr>
            </w:pPr>
            <w:r w:rsidRPr="00F124C6">
              <w:rPr>
                <w:sz w:val="20"/>
              </w:rPr>
              <w:t xml:space="preserve">Distr.: </w:t>
            </w:r>
            <w:r w:rsidR="0009384D" w:rsidRPr="0009384D">
              <w:rPr>
                <w:sz w:val="20"/>
              </w:rPr>
              <w:t>General</w:t>
            </w:r>
          </w:p>
          <w:p w:rsidR="00CE1D1C" w:rsidRPr="00F124C6" w:rsidRDefault="0009384D" w:rsidP="000D4726">
            <w:pPr>
              <w:spacing w:line="240" w:lineRule="atLeast"/>
              <w:rPr>
                <w:sz w:val="20"/>
              </w:rPr>
            </w:pPr>
            <w:r w:rsidRPr="0009384D">
              <w:rPr>
                <w:sz w:val="20"/>
              </w:rPr>
              <w:t>11</w:t>
            </w:r>
            <w:r>
              <w:rPr>
                <w:rFonts w:hint="eastAsia"/>
                <w:sz w:val="20"/>
              </w:rPr>
              <w:t xml:space="preserve"> </w:t>
            </w:r>
            <w:r w:rsidRPr="0009384D">
              <w:rPr>
                <w:sz w:val="20"/>
              </w:rPr>
              <w:t>August</w:t>
            </w:r>
            <w:r w:rsidR="00EA7E67">
              <w:rPr>
                <w:sz w:val="20"/>
              </w:rPr>
              <w:t xml:space="preserve"> 201</w:t>
            </w:r>
            <w:r w:rsidR="000F5EB8">
              <w:rPr>
                <w:rFonts w:hint="eastAsia"/>
                <w:sz w:val="20"/>
              </w:rPr>
              <w:t>6</w:t>
            </w:r>
          </w:p>
          <w:p w:rsidR="00CE1D1C" w:rsidRPr="00F124C6" w:rsidRDefault="00CE1D1C" w:rsidP="000D4726">
            <w:pPr>
              <w:spacing w:line="240" w:lineRule="atLeast"/>
              <w:rPr>
                <w:sz w:val="20"/>
              </w:rPr>
            </w:pPr>
            <w:r w:rsidRPr="00F124C6">
              <w:rPr>
                <w:sz w:val="20"/>
              </w:rPr>
              <w:t xml:space="preserve">Chinese </w:t>
            </w:r>
          </w:p>
          <w:p w:rsidR="00CE1D1C" w:rsidRPr="00F124C6" w:rsidRDefault="00CE1D1C" w:rsidP="000D4726">
            <w:pPr>
              <w:spacing w:line="240" w:lineRule="atLeast"/>
            </w:pPr>
            <w:r w:rsidRPr="00F124C6">
              <w:rPr>
                <w:sz w:val="20"/>
              </w:rPr>
              <w:t xml:space="preserve">Original: </w:t>
            </w:r>
            <w:r w:rsidR="00B465D9" w:rsidRPr="00B465D9">
              <w:rPr>
                <w:sz w:val="20"/>
              </w:rPr>
              <w:t>Spanish</w:t>
            </w:r>
          </w:p>
        </w:tc>
      </w:tr>
    </w:tbl>
    <w:p w:rsidR="0009384D" w:rsidRDefault="0009384D" w:rsidP="00172E04">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09384D" w:rsidRDefault="0009384D" w:rsidP="0009384D">
      <w:pPr>
        <w:pStyle w:val="HChGC"/>
      </w:pPr>
      <w:r>
        <w:rPr>
          <w:rFonts w:hint="eastAsia"/>
        </w:rPr>
        <w:tab/>
      </w:r>
      <w:r>
        <w:rPr>
          <w:rFonts w:hint="eastAsia"/>
        </w:rPr>
        <w:tab/>
      </w:r>
      <w:r>
        <w:rPr>
          <w:rFonts w:hint="eastAsia"/>
        </w:rPr>
        <w:t>关于厄瓜多尔第六次定期报告的结论性意见</w:t>
      </w:r>
      <w:r w:rsidR="00B465D9" w:rsidRPr="00B465D9">
        <w:footnoteReference w:customMarkFollows="1" w:id="2"/>
        <w:t>*</w:t>
      </w:r>
    </w:p>
    <w:p w:rsidR="0009384D" w:rsidRDefault="0009384D" w:rsidP="0009384D">
      <w:pPr>
        <w:pStyle w:val="SingleTxtGC"/>
      </w:pPr>
      <w:r>
        <w:rPr>
          <w:rFonts w:hint="eastAsia"/>
        </w:rPr>
        <w:t xml:space="preserve">1.  </w:t>
      </w:r>
      <w:r>
        <w:rPr>
          <w:rFonts w:hint="eastAsia"/>
        </w:rPr>
        <w:t>委员会在</w:t>
      </w:r>
      <w:r>
        <w:rPr>
          <w:rFonts w:hint="eastAsia"/>
        </w:rPr>
        <w:t>2016</w:t>
      </w:r>
      <w:r>
        <w:rPr>
          <w:rFonts w:hint="eastAsia"/>
        </w:rPr>
        <w:t>年</w:t>
      </w:r>
      <w:r>
        <w:rPr>
          <w:rFonts w:hint="eastAsia"/>
        </w:rPr>
        <w:t>6</w:t>
      </w:r>
      <w:r>
        <w:rPr>
          <w:rFonts w:hint="eastAsia"/>
        </w:rPr>
        <w:t>月</w:t>
      </w:r>
      <w:r>
        <w:rPr>
          <w:rFonts w:hint="eastAsia"/>
        </w:rPr>
        <w:t>27</w:t>
      </w:r>
      <w:r>
        <w:rPr>
          <w:rFonts w:hint="eastAsia"/>
        </w:rPr>
        <w:t>日和</w:t>
      </w:r>
      <w:r>
        <w:rPr>
          <w:rFonts w:hint="eastAsia"/>
        </w:rPr>
        <w:t>28</w:t>
      </w:r>
      <w:r>
        <w:rPr>
          <w:rFonts w:hint="eastAsia"/>
        </w:rPr>
        <w:t>日举行的第</w:t>
      </w:r>
      <w:r>
        <w:rPr>
          <w:rFonts w:hint="eastAsia"/>
        </w:rPr>
        <w:t>3277</w:t>
      </w:r>
      <w:r>
        <w:rPr>
          <w:rFonts w:hint="eastAsia"/>
        </w:rPr>
        <w:t>次和第</w:t>
      </w:r>
      <w:r>
        <w:rPr>
          <w:rFonts w:hint="eastAsia"/>
        </w:rPr>
        <w:t>3278</w:t>
      </w:r>
      <w:r>
        <w:rPr>
          <w:rFonts w:hint="eastAsia"/>
        </w:rPr>
        <w:t>次会议</w:t>
      </w:r>
      <w:r>
        <w:rPr>
          <w:rFonts w:hint="eastAsia"/>
        </w:rPr>
        <w:t>(CCPR/C/SR.3277</w:t>
      </w:r>
      <w:r>
        <w:rPr>
          <w:rFonts w:hint="eastAsia"/>
        </w:rPr>
        <w:t>和</w:t>
      </w:r>
      <w:r>
        <w:rPr>
          <w:rFonts w:hint="eastAsia"/>
        </w:rPr>
        <w:t>3278)</w:t>
      </w:r>
      <w:r>
        <w:rPr>
          <w:rFonts w:hint="eastAsia"/>
        </w:rPr>
        <w:t>上审议了厄瓜多尔提交的第六次定期报告</w:t>
      </w:r>
      <w:r>
        <w:rPr>
          <w:rFonts w:hint="eastAsia"/>
        </w:rPr>
        <w:t>(CCPR/C/ECU/6)</w:t>
      </w:r>
      <w:r>
        <w:rPr>
          <w:rFonts w:hint="eastAsia"/>
        </w:rPr>
        <w:t>，并在</w:t>
      </w:r>
      <w:r>
        <w:rPr>
          <w:rFonts w:hint="eastAsia"/>
        </w:rPr>
        <w:t>2016</w:t>
      </w:r>
      <w:r>
        <w:rPr>
          <w:rFonts w:hint="eastAsia"/>
        </w:rPr>
        <w:t>年</w:t>
      </w:r>
      <w:r>
        <w:rPr>
          <w:rFonts w:hint="eastAsia"/>
        </w:rPr>
        <w:t>7</w:t>
      </w:r>
      <w:r>
        <w:rPr>
          <w:rFonts w:hint="eastAsia"/>
        </w:rPr>
        <w:t>月</w:t>
      </w:r>
      <w:r>
        <w:rPr>
          <w:rFonts w:hint="eastAsia"/>
        </w:rPr>
        <w:t>11</w:t>
      </w:r>
      <w:r>
        <w:rPr>
          <w:rFonts w:hint="eastAsia"/>
        </w:rPr>
        <w:t>日举行的第</w:t>
      </w:r>
      <w:r>
        <w:rPr>
          <w:rFonts w:hint="eastAsia"/>
        </w:rPr>
        <w:t>3294</w:t>
      </w:r>
      <w:r>
        <w:rPr>
          <w:rFonts w:hint="eastAsia"/>
        </w:rPr>
        <w:t>次会议上通过了本结论性意见。</w:t>
      </w:r>
    </w:p>
    <w:p w:rsidR="0009384D" w:rsidRDefault="0009384D" w:rsidP="00B465D9">
      <w:pPr>
        <w:pStyle w:val="H1GC"/>
      </w:pPr>
      <w:r>
        <w:rPr>
          <w:rFonts w:hint="eastAsia"/>
        </w:rPr>
        <w:tab/>
        <w:t>A.</w:t>
      </w:r>
      <w:r>
        <w:rPr>
          <w:rFonts w:hint="eastAsia"/>
        </w:rPr>
        <w:tab/>
      </w:r>
      <w:r>
        <w:rPr>
          <w:rFonts w:hint="eastAsia"/>
        </w:rPr>
        <w:t>导言</w:t>
      </w:r>
    </w:p>
    <w:p w:rsidR="0009384D" w:rsidRDefault="0009384D" w:rsidP="0009384D">
      <w:pPr>
        <w:pStyle w:val="SingleTxtGC"/>
      </w:pPr>
      <w:r>
        <w:rPr>
          <w:rFonts w:hint="eastAsia"/>
        </w:rPr>
        <w:t xml:space="preserve">2.  </w:t>
      </w:r>
      <w:r>
        <w:rPr>
          <w:rFonts w:hint="eastAsia"/>
        </w:rPr>
        <w:t>委员会感谢缔约国接受简化程序，并依照该程序，提交了第六次定期报告，作为对报告前问题清单</w:t>
      </w:r>
      <w:r>
        <w:rPr>
          <w:rFonts w:hint="eastAsia"/>
        </w:rPr>
        <w:t>(CCPR/C/ECU/QPR/6)</w:t>
      </w:r>
      <w:r>
        <w:rPr>
          <w:rFonts w:hint="eastAsia"/>
        </w:rPr>
        <w:t>的答复。委员会赞赏有机会重新就报告所涉期间为执行《公约》规定而采取的措施，与缔约国高级别代表团开展建设性对话。委员会感谢缔约国代表团作出的口头答复及其提供的书面补充资料。</w:t>
      </w:r>
    </w:p>
    <w:p w:rsidR="0009384D" w:rsidRDefault="0009384D" w:rsidP="00B465D9">
      <w:pPr>
        <w:pStyle w:val="H1GC"/>
      </w:pPr>
      <w:r>
        <w:rPr>
          <w:rFonts w:hint="eastAsia"/>
        </w:rPr>
        <w:tab/>
        <w:t>B.</w:t>
      </w:r>
      <w:r>
        <w:rPr>
          <w:rFonts w:hint="eastAsia"/>
        </w:rPr>
        <w:tab/>
      </w:r>
      <w:r>
        <w:rPr>
          <w:rFonts w:hint="eastAsia"/>
        </w:rPr>
        <w:t>积极方面</w:t>
      </w:r>
    </w:p>
    <w:p w:rsidR="0009384D" w:rsidRDefault="0009384D" w:rsidP="0009384D">
      <w:pPr>
        <w:pStyle w:val="SingleTxtGC"/>
      </w:pPr>
      <w:r>
        <w:rPr>
          <w:rFonts w:hint="eastAsia"/>
        </w:rPr>
        <w:t xml:space="preserve">3.  </w:t>
      </w:r>
      <w:r>
        <w:rPr>
          <w:rFonts w:hint="eastAsia"/>
        </w:rPr>
        <w:t>委员会欢迎缔约国采取的下列立法和体制措施：</w:t>
      </w:r>
    </w:p>
    <w:p w:rsidR="0009384D" w:rsidRDefault="0009384D" w:rsidP="00FD19C9">
      <w:pPr>
        <w:pStyle w:val="SingleTxtGC"/>
        <w:numPr>
          <w:ilvl w:val="0"/>
          <w:numId w:val="10"/>
        </w:numPr>
      </w:pPr>
      <w:r>
        <w:rPr>
          <w:rFonts w:hint="eastAsia"/>
        </w:rPr>
        <w:t>2014</w:t>
      </w:r>
      <w:r>
        <w:rPr>
          <w:rFonts w:hint="eastAsia"/>
        </w:rPr>
        <w:t>年通过了《刑事组织法通则》；</w:t>
      </w:r>
    </w:p>
    <w:p w:rsidR="0009384D" w:rsidRDefault="0009384D" w:rsidP="00FD19C9">
      <w:pPr>
        <w:pStyle w:val="SingleTxtGC"/>
        <w:numPr>
          <w:ilvl w:val="0"/>
          <w:numId w:val="10"/>
        </w:numPr>
      </w:pPr>
      <w:r>
        <w:rPr>
          <w:rFonts w:hint="eastAsia"/>
        </w:rPr>
        <w:t>2014</w:t>
      </w:r>
      <w:r>
        <w:rPr>
          <w:rFonts w:hint="eastAsia"/>
        </w:rPr>
        <w:t>年通过了《国家平等理事会组织法》；</w:t>
      </w:r>
    </w:p>
    <w:p w:rsidR="0009384D" w:rsidRDefault="0009384D" w:rsidP="00FD19C9">
      <w:pPr>
        <w:pStyle w:val="SingleTxtGC"/>
        <w:numPr>
          <w:ilvl w:val="0"/>
          <w:numId w:val="10"/>
        </w:numPr>
      </w:pPr>
      <w:r>
        <w:rPr>
          <w:rFonts w:hint="eastAsia"/>
        </w:rPr>
        <w:t>2013</w:t>
      </w:r>
      <w:r>
        <w:rPr>
          <w:rFonts w:hint="eastAsia"/>
        </w:rPr>
        <w:t>年通过了《</w:t>
      </w:r>
      <w:r>
        <w:rPr>
          <w:rFonts w:hint="eastAsia"/>
        </w:rPr>
        <w:t>1983</w:t>
      </w:r>
      <w:r>
        <w:rPr>
          <w:rFonts w:hint="eastAsia"/>
        </w:rPr>
        <w:t>年</w:t>
      </w:r>
      <w:r>
        <w:rPr>
          <w:rFonts w:hint="eastAsia"/>
        </w:rPr>
        <w:t>10</w:t>
      </w:r>
      <w:r>
        <w:rPr>
          <w:rFonts w:hint="eastAsia"/>
        </w:rPr>
        <w:t>月</w:t>
      </w:r>
      <w:r>
        <w:rPr>
          <w:rFonts w:hint="eastAsia"/>
        </w:rPr>
        <w:t>4</w:t>
      </w:r>
      <w:r>
        <w:rPr>
          <w:rFonts w:hint="eastAsia"/>
        </w:rPr>
        <w:t>日至</w:t>
      </w:r>
      <w:r>
        <w:rPr>
          <w:rFonts w:hint="eastAsia"/>
        </w:rPr>
        <w:t>2008</w:t>
      </w:r>
      <w:r>
        <w:rPr>
          <w:rFonts w:hint="eastAsia"/>
        </w:rPr>
        <w:t>年</w:t>
      </w:r>
      <w:r>
        <w:rPr>
          <w:rFonts w:hint="eastAsia"/>
        </w:rPr>
        <w:t>12</w:t>
      </w:r>
      <w:r>
        <w:rPr>
          <w:rFonts w:hint="eastAsia"/>
        </w:rPr>
        <w:t>月</w:t>
      </w:r>
      <w:r>
        <w:rPr>
          <w:rFonts w:hint="eastAsia"/>
        </w:rPr>
        <w:t>31</w:t>
      </w:r>
      <w:r>
        <w:rPr>
          <w:rFonts w:hint="eastAsia"/>
        </w:rPr>
        <w:t>日期间在厄瓜多尔发生的严重侵犯人权行为和反人类罪受害者赔偿与起诉法案》；</w:t>
      </w:r>
    </w:p>
    <w:p w:rsidR="0009384D" w:rsidRDefault="0009384D" w:rsidP="00FD19C9">
      <w:pPr>
        <w:pStyle w:val="SingleTxtGC"/>
        <w:numPr>
          <w:ilvl w:val="0"/>
          <w:numId w:val="10"/>
        </w:numPr>
      </w:pPr>
      <w:r>
        <w:rPr>
          <w:rFonts w:hint="eastAsia"/>
        </w:rPr>
        <w:t>通过了《</w:t>
      </w:r>
      <w:r>
        <w:rPr>
          <w:rFonts w:hint="eastAsia"/>
        </w:rPr>
        <w:t>2013-2017</w:t>
      </w:r>
      <w:r>
        <w:rPr>
          <w:rFonts w:hint="eastAsia"/>
        </w:rPr>
        <w:t>年美好生活国家计划》；</w:t>
      </w:r>
    </w:p>
    <w:p w:rsidR="0009384D" w:rsidRDefault="0009384D" w:rsidP="00FD19C9">
      <w:pPr>
        <w:pStyle w:val="SingleTxtGC"/>
        <w:numPr>
          <w:ilvl w:val="0"/>
          <w:numId w:val="10"/>
        </w:numPr>
      </w:pPr>
      <w:r>
        <w:rPr>
          <w:rFonts w:hint="eastAsia"/>
        </w:rPr>
        <w:t>2012</w:t>
      </w:r>
      <w:r>
        <w:rPr>
          <w:rFonts w:hint="eastAsia"/>
        </w:rPr>
        <w:t>年通过了《残疾人组织法》；</w:t>
      </w:r>
    </w:p>
    <w:p w:rsidR="0009384D" w:rsidRDefault="0009384D" w:rsidP="00FD19C9">
      <w:pPr>
        <w:pStyle w:val="SingleTxtGC"/>
        <w:numPr>
          <w:ilvl w:val="0"/>
          <w:numId w:val="10"/>
        </w:numPr>
      </w:pPr>
      <w:r>
        <w:rPr>
          <w:rFonts w:hint="eastAsia"/>
        </w:rPr>
        <w:lastRenderedPageBreak/>
        <w:t>2011</w:t>
      </w:r>
      <w:r>
        <w:rPr>
          <w:rFonts w:hint="eastAsia"/>
        </w:rPr>
        <w:t>年通过了《跨文化教育组织法》；</w:t>
      </w:r>
    </w:p>
    <w:p w:rsidR="0009384D" w:rsidRDefault="0009384D" w:rsidP="00FD19C9">
      <w:pPr>
        <w:pStyle w:val="SingleTxtGC"/>
        <w:numPr>
          <w:ilvl w:val="0"/>
          <w:numId w:val="10"/>
        </w:numPr>
      </w:pPr>
      <w:r>
        <w:rPr>
          <w:rFonts w:hint="eastAsia"/>
        </w:rPr>
        <w:t>2011</w:t>
      </w:r>
      <w:r>
        <w:rPr>
          <w:rFonts w:hint="eastAsia"/>
        </w:rPr>
        <w:t>年通过了《消除教育系统性犯罪综合国家计划》；</w:t>
      </w:r>
    </w:p>
    <w:p w:rsidR="0009384D" w:rsidRDefault="0009384D" w:rsidP="00FD19C9">
      <w:pPr>
        <w:pStyle w:val="SingleTxtGC"/>
        <w:numPr>
          <w:ilvl w:val="0"/>
          <w:numId w:val="10"/>
        </w:numPr>
      </w:pPr>
      <w:r>
        <w:rPr>
          <w:rFonts w:hint="eastAsia"/>
        </w:rPr>
        <w:t>2009</w:t>
      </w:r>
      <w:r>
        <w:rPr>
          <w:rFonts w:hint="eastAsia"/>
        </w:rPr>
        <w:t>年通过了《消除种族歧视、民族排斥和文化排斥多民族计划》。</w:t>
      </w:r>
    </w:p>
    <w:p w:rsidR="0009384D" w:rsidRDefault="0009384D" w:rsidP="0009384D">
      <w:pPr>
        <w:pStyle w:val="SingleTxtGC"/>
      </w:pPr>
      <w:r>
        <w:rPr>
          <w:rFonts w:hint="eastAsia"/>
        </w:rPr>
        <w:t xml:space="preserve">4.  </w:t>
      </w:r>
      <w:r>
        <w:rPr>
          <w:rFonts w:hint="eastAsia"/>
        </w:rPr>
        <w:t>委员会欢迎缔约国批准下列国际文书：</w:t>
      </w:r>
    </w:p>
    <w:p w:rsidR="0009384D" w:rsidRDefault="0009384D" w:rsidP="00FD19C9">
      <w:pPr>
        <w:pStyle w:val="SingleTxtGC"/>
        <w:numPr>
          <w:ilvl w:val="0"/>
          <w:numId w:val="11"/>
        </w:numPr>
        <w:tabs>
          <w:tab w:val="clear" w:pos="2426"/>
          <w:tab w:val="left" w:pos="2427"/>
        </w:tabs>
      </w:pPr>
      <w:r>
        <w:rPr>
          <w:rFonts w:hint="eastAsia"/>
        </w:rPr>
        <w:t>2010</w:t>
      </w:r>
      <w:r>
        <w:rPr>
          <w:rFonts w:hint="eastAsia"/>
        </w:rPr>
        <w:t>年</w:t>
      </w:r>
      <w:r>
        <w:rPr>
          <w:rFonts w:hint="eastAsia"/>
        </w:rPr>
        <w:t>7</w:t>
      </w:r>
      <w:r>
        <w:rPr>
          <w:rFonts w:hint="eastAsia"/>
        </w:rPr>
        <w:t>月</w:t>
      </w:r>
      <w:r>
        <w:rPr>
          <w:rFonts w:hint="eastAsia"/>
        </w:rPr>
        <w:t>20</w:t>
      </w:r>
      <w:r>
        <w:rPr>
          <w:rFonts w:hint="eastAsia"/>
        </w:rPr>
        <w:t>日批准了《禁止酷刑和其他残忍、不人道或有辱人格的待遇或处罚公约任择议定书》；</w:t>
      </w:r>
    </w:p>
    <w:p w:rsidR="0009384D" w:rsidRDefault="0009384D" w:rsidP="00FD19C9">
      <w:pPr>
        <w:pStyle w:val="SingleTxtGC"/>
        <w:numPr>
          <w:ilvl w:val="0"/>
          <w:numId w:val="11"/>
        </w:numPr>
        <w:tabs>
          <w:tab w:val="clear" w:pos="2426"/>
          <w:tab w:val="left" w:pos="2427"/>
        </w:tabs>
      </w:pPr>
      <w:r>
        <w:rPr>
          <w:rFonts w:hint="eastAsia"/>
        </w:rPr>
        <w:t>2010</w:t>
      </w:r>
      <w:r>
        <w:rPr>
          <w:rFonts w:hint="eastAsia"/>
        </w:rPr>
        <w:t>年</w:t>
      </w:r>
      <w:r>
        <w:rPr>
          <w:rFonts w:hint="eastAsia"/>
        </w:rPr>
        <w:t>6</w:t>
      </w:r>
      <w:r>
        <w:rPr>
          <w:rFonts w:hint="eastAsia"/>
        </w:rPr>
        <w:t>月</w:t>
      </w:r>
      <w:r>
        <w:rPr>
          <w:rFonts w:hint="eastAsia"/>
        </w:rPr>
        <w:t>11</w:t>
      </w:r>
      <w:r>
        <w:rPr>
          <w:rFonts w:hint="eastAsia"/>
        </w:rPr>
        <w:t>日批准了《经济、社会、文化权利国际公约任择议定书》；</w:t>
      </w:r>
    </w:p>
    <w:p w:rsidR="0009384D" w:rsidRDefault="0009384D" w:rsidP="00FD19C9">
      <w:pPr>
        <w:pStyle w:val="SingleTxtGC"/>
        <w:numPr>
          <w:ilvl w:val="0"/>
          <w:numId w:val="11"/>
        </w:numPr>
        <w:tabs>
          <w:tab w:val="clear" w:pos="2426"/>
          <w:tab w:val="left" w:pos="2427"/>
        </w:tabs>
      </w:pPr>
      <w:r>
        <w:rPr>
          <w:rFonts w:hint="eastAsia"/>
        </w:rPr>
        <w:t>2009</w:t>
      </w:r>
      <w:r>
        <w:rPr>
          <w:rFonts w:hint="eastAsia"/>
        </w:rPr>
        <w:t>年</w:t>
      </w:r>
      <w:r>
        <w:rPr>
          <w:rFonts w:hint="eastAsia"/>
        </w:rPr>
        <w:t>10</w:t>
      </w:r>
      <w:r>
        <w:rPr>
          <w:rFonts w:hint="eastAsia"/>
        </w:rPr>
        <w:t>月</w:t>
      </w:r>
      <w:r>
        <w:rPr>
          <w:rFonts w:hint="eastAsia"/>
        </w:rPr>
        <w:t>20</w:t>
      </w:r>
      <w:r>
        <w:rPr>
          <w:rFonts w:hint="eastAsia"/>
        </w:rPr>
        <w:t>日批准了《保护所有人免遭强迫失踪国际公约》。</w:t>
      </w:r>
    </w:p>
    <w:p w:rsidR="0009384D" w:rsidRDefault="0009384D" w:rsidP="00B465D9">
      <w:pPr>
        <w:pStyle w:val="H1GC"/>
      </w:pPr>
      <w:r>
        <w:rPr>
          <w:rFonts w:hint="eastAsia"/>
        </w:rPr>
        <w:tab/>
        <w:t>C.</w:t>
      </w:r>
      <w:r>
        <w:rPr>
          <w:rFonts w:hint="eastAsia"/>
        </w:rPr>
        <w:tab/>
      </w:r>
      <w:r>
        <w:rPr>
          <w:rFonts w:hint="eastAsia"/>
        </w:rPr>
        <w:t>关注的主要问题及建议</w:t>
      </w:r>
    </w:p>
    <w:p w:rsidR="0009384D" w:rsidRDefault="0009384D" w:rsidP="009C2C37">
      <w:pPr>
        <w:pStyle w:val="H23GC"/>
      </w:pPr>
      <w:r>
        <w:rPr>
          <w:rFonts w:hint="eastAsia"/>
        </w:rPr>
        <w:tab/>
      </w:r>
      <w:r>
        <w:rPr>
          <w:rFonts w:hint="eastAsia"/>
        </w:rPr>
        <w:tab/>
      </w:r>
      <w:r>
        <w:rPr>
          <w:rFonts w:hint="eastAsia"/>
        </w:rPr>
        <w:t>落实委员会根据《公约任择议定书》提出的意见</w:t>
      </w:r>
    </w:p>
    <w:p w:rsidR="0009384D" w:rsidRDefault="0009384D" w:rsidP="0009384D">
      <w:pPr>
        <w:pStyle w:val="SingleTxtGC"/>
      </w:pPr>
      <w:r>
        <w:rPr>
          <w:rFonts w:hint="eastAsia"/>
        </w:rPr>
        <w:t xml:space="preserve">5.  </w:t>
      </w:r>
      <w:r>
        <w:rPr>
          <w:rFonts w:hint="eastAsia"/>
        </w:rPr>
        <w:t>委员会感到遗憾的是，尚未收到最新资料，说明为落实委员会关于第</w:t>
      </w:r>
      <w:r>
        <w:rPr>
          <w:rFonts w:hint="eastAsia"/>
        </w:rPr>
        <w:t>277/1988</w:t>
      </w:r>
      <w:r>
        <w:rPr>
          <w:rFonts w:hint="eastAsia"/>
        </w:rPr>
        <w:t>号</w:t>
      </w:r>
      <w:r>
        <w:rPr>
          <w:rFonts w:hint="eastAsia"/>
        </w:rPr>
        <w:t>(</w:t>
      </w:r>
      <w:r w:rsidRPr="009C2C37">
        <w:t>Terán Jijón</w:t>
      </w:r>
      <w:r w:rsidRPr="009C2C37">
        <w:rPr>
          <w:rFonts w:ascii="KaiTi_GB2312" w:eastAsia="KaiTi_GB2312" w:hint="eastAsia"/>
        </w:rPr>
        <w:t>诉厄瓜多尔案</w:t>
      </w:r>
      <w:r>
        <w:rPr>
          <w:rFonts w:hint="eastAsia"/>
        </w:rPr>
        <w:t>)</w:t>
      </w:r>
      <w:r>
        <w:rPr>
          <w:rFonts w:hint="eastAsia"/>
        </w:rPr>
        <w:t>和第</w:t>
      </w:r>
      <w:r>
        <w:rPr>
          <w:rFonts w:hint="eastAsia"/>
        </w:rPr>
        <w:t>319/1988</w:t>
      </w:r>
      <w:r>
        <w:rPr>
          <w:rFonts w:hint="eastAsia"/>
        </w:rPr>
        <w:t>号</w:t>
      </w:r>
      <w:r>
        <w:rPr>
          <w:rFonts w:hint="eastAsia"/>
        </w:rPr>
        <w:t>(</w:t>
      </w:r>
      <w:r w:rsidRPr="009C2C37">
        <w:t>Cañón García</w:t>
      </w:r>
      <w:r w:rsidRPr="009C2C37">
        <w:rPr>
          <w:rFonts w:ascii="KaiTi_GB2312" w:eastAsia="KaiTi_GB2312" w:hint="eastAsia"/>
        </w:rPr>
        <w:t>诉厄瓜多尔案</w:t>
      </w:r>
      <w:r>
        <w:rPr>
          <w:rFonts w:hint="eastAsia"/>
        </w:rPr>
        <w:t>)</w:t>
      </w:r>
      <w:r>
        <w:rPr>
          <w:rFonts w:hint="eastAsia"/>
        </w:rPr>
        <w:t>来文的意见而采取的具体措施，在上述意见中，委员会确定了缔约国的责任</w:t>
      </w:r>
      <w:r>
        <w:rPr>
          <w:rFonts w:hint="eastAsia"/>
        </w:rPr>
        <w:t>(</w:t>
      </w:r>
      <w:r>
        <w:rPr>
          <w:rFonts w:hint="eastAsia"/>
        </w:rPr>
        <w:t>第二条</w:t>
      </w:r>
      <w:r>
        <w:rPr>
          <w:rFonts w:hint="eastAsia"/>
        </w:rPr>
        <w:t>)</w:t>
      </w:r>
      <w:r>
        <w:rPr>
          <w:rFonts w:hint="eastAsia"/>
        </w:rPr>
        <w:t>。</w:t>
      </w:r>
    </w:p>
    <w:p w:rsidR="0009384D" w:rsidRPr="00206D89" w:rsidRDefault="0009384D" w:rsidP="0009384D">
      <w:pPr>
        <w:pStyle w:val="SingleTxtGC"/>
        <w:rPr>
          <w:rFonts w:eastAsia="SimHei"/>
        </w:rPr>
      </w:pPr>
      <w:r w:rsidRPr="00206D89">
        <w:rPr>
          <w:rFonts w:eastAsia="SimHei"/>
        </w:rPr>
        <w:t xml:space="preserve">6.  </w:t>
      </w:r>
      <w:r w:rsidRPr="00206D89">
        <w:rPr>
          <w:rFonts w:eastAsia="SimHei"/>
        </w:rPr>
        <w:t>缔约国应采取必要措施，有效跟进和全面落实确定了缔约国的责任、但尚未得到执行的委员会的意见，以期确保依照第二条第</w:t>
      </w:r>
      <w:r w:rsidRPr="00206D89">
        <w:rPr>
          <w:rFonts w:eastAsia="SimHei"/>
        </w:rPr>
        <w:t>3</w:t>
      </w:r>
      <w:r w:rsidRPr="00206D89">
        <w:rPr>
          <w:rFonts w:eastAsia="SimHei"/>
        </w:rPr>
        <w:t>款，在发生违反《公约》的情况时提供有效补救。</w:t>
      </w:r>
    </w:p>
    <w:p w:rsidR="0009384D" w:rsidRDefault="0009384D" w:rsidP="009C2C37">
      <w:pPr>
        <w:pStyle w:val="H23GC"/>
      </w:pPr>
      <w:r>
        <w:rPr>
          <w:rFonts w:hint="eastAsia"/>
        </w:rPr>
        <w:tab/>
      </w:r>
      <w:r>
        <w:rPr>
          <w:rFonts w:hint="eastAsia"/>
        </w:rPr>
        <w:tab/>
      </w:r>
      <w:r>
        <w:rPr>
          <w:rFonts w:hint="eastAsia"/>
        </w:rPr>
        <w:t>男子和妇女之间的平等权利</w:t>
      </w:r>
    </w:p>
    <w:p w:rsidR="0009384D" w:rsidRDefault="0009384D" w:rsidP="0009384D">
      <w:pPr>
        <w:pStyle w:val="SingleTxtGC"/>
      </w:pPr>
      <w:r>
        <w:rPr>
          <w:rFonts w:hint="eastAsia"/>
        </w:rPr>
        <w:t xml:space="preserve">7.  </w:t>
      </w:r>
      <w:r>
        <w:rPr>
          <w:rFonts w:hint="eastAsia"/>
        </w:rPr>
        <w:t>委员会满意地注意到缔约国为实现两性平等所采取的措施和在劳工问题上取得的进展，包括妇女失业率和就业不足率下降。然而，它感到关切的是，有资料表明妇女依然比男子更容易受到失业影响，而且，尽管工资差距显著缩小，但仍然存在。委员会还欢迎提供资料说明了妇女参与公共生活的情况，特别是在公务员系统、国民大会和宪法法院中的参与情况。不过，它感到关切的是，妇女在地方一级的个人选举中代表性受限，尽管它注意到缔约国正在考虑采取多种可能途径解决该问题</w:t>
      </w:r>
      <w:r>
        <w:rPr>
          <w:rFonts w:hint="eastAsia"/>
        </w:rPr>
        <w:t>(</w:t>
      </w:r>
      <w:r>
        <w:rPr>
          <w:rFonts w:hint="eastAsia"/>
        </w:rPr>
        <w:t>第三条和第二十六条</w:t>
      </w:r>
      <w:r>
        <w:rPr>
          <w:rFonts w:hint="eastAsia"/>
        </w:rPr>
        <w:t>)</w:t>
      </w:r>
      <w:r>
        <w:rPr>
          <w:rFonts w:hint="eastAsia"/>
        </w:rPr>
        <w:t>。</w:t>
      </w:r>
    </w:p>
    <w:p w:rsidR="0009384D" w:rsidRPr="00206D89" w:rsidRDefault="0009384D" w:rsidP="0009384D">
      <w:pPr>
        <w:pStyle w:val="SingleTxtGC"/>
        <w:rPr>
          <w:rFonts w:eastAsia="SimHei"/>
        </w:rPr>
      </w:pPr>
      <w:r w:rsidRPr="00206D89">
        <w:rPr>
          <w:rFonts w:eastAsia="SimHei" w:hint="eastAsia"/>
        </w:rPr>
        <w:t xml:space="preserve">8.  </w:t>
      </w:r>
      <w:r w:rsidRPr="00206D89">
        <w:rPr>
          <w:rFonts w:eastAsia="SimHei" w:hint="eastAsia"/>
        </w:rPr>
        <w:t>缔约国应继续加倍努力，确保有效执行关于两性平等的现行法律和政策，以期在包括劳工领域在内的各个领域，实现男子和妇女完全享有平等权利。它还应采取有效措施，在地方一级提高妇女在个人选举中的参与度。缔约国还应加大努力，消除家庭和社会中关于男子和妇女的作用与责任的性别陈规定型观念。</w:t>
      </w:r>
    </w:p>
    <w:p w:rsidR="0009384D" w:rsidRDefault="0009384D" w:rsidP="009C2C37">
      <w:pPr>
        <w:pStyle w:val="H23GC"/>
      </w:pPr>
      <w:r>
        <w:rPr>
          <w:rFonts w:hint="eastAsia"/>
        </w:rPr>
        <w:lastRenderedPageBreak/>
        <w:tab/>
      </w:r>
      <w:r>
        <w:rPr>
          <w:rFonts w:hint="eastAsia"/>
        </w:rPr>
        <w:tab/>
      </w:r>
      <w:r>
        <w:rPr>
          <w:rFonts w:hint="eastAsia"/>
        </w:rPr>
        <w:t>国家平等理事会</w:t>
      </w:r>
    </w:p>
    <w:p w:rsidR="0009384D" w:rsidRDefault="0009384D" w:rsidP="0009384D">
      <w:pPr>
        <w:pStyle w:val="SingleTxtGC"/>
      </w:pPr>
      <w:r>
        <w:rPr>
          <w:rFonts w:hint="eastAsia"/>
        </w:rPr>
        <w:t xml:space="preserve">9.  </w:t>
      </w:r>
      <w:r>
        <w:rPr>
          <w:rFonts w:hint="eastAsia"/>
        </w:rPr>
        <w:t>委员会欢迎《国家平等理事会法》在</w:t>
      </w:r>
      <w:r>
        <w:rPr>
          <w:rFonts w:hint="eastAsia"/>
        </w:rPr>
        <w:t>2014</w:t>
      </w:r>
      <w:r>
        <w:rPr>
          <w:rFonts w:hint="eastAsia"/>
        </w:rPr>
        <w:t>年获得通过，但它感到遗憾的是，根据该法设立的五个理事会中的两个，即民族和人民国家平等理事会与人口流动国家平等理事会尚未开始工作</w:t>
      </w:r>
      <w:r>
        <w:rPr>
          <w:rFonts w:hint="eastAsia"/>
        </w:rPr>
        <w:t>(</w:t>
      </w:r>
      <w:r>
        <w:rPr>
          <w:rFonts w:hint="eastAsia"/>
        </w:rPr>
        <w:t>第二条和第二十六条</w:t>
      </w:r>
      <w:r>
        <w:rPr>
          <w:rFonts w:hint="eastAsia"/>
        </w:rPr>
        <w:t>)</w:t>
      </w:r>
      <w:r>
        <w:rPr>
          <w:rFonts w:hint="eastAsia"/>
        </w:rPr>
        <w:t>。</w:t>
      </w:r>
    </w:p>
    <w:p w:rsidR="0009384D" w:rsidRPr="00206D89" w:rsidRDefault="0009384D" w:rsidP="0009384D">
      <w:pPr>
        <w:pStyle w:val="SingleTxtGC"/>
        <w:rPr>
          <w:rFonts w:eastAsia="SimHei"/>
        </w:rPr>
      </w:pPr>
      <w:r w:rsidRPr="00206D89">
        <w:rPr>
          <w:rFonts w:eastAsia="SimHei" w:hint="eastAsia"/>
        </w:rPr>
        <w:t xml:space="preserve">10.  </w:t>
      </w:r>
      <w:r w:rsidRPr="00206D89">
        <w:rPr>
          <w:rFonts w:eastAsia="SimHei" w:hint="eastAsia"/>
        </w:rPr>
        <w:t>缔约国应采取必要措施，确保民族和人民国家平等理事会与人口流动国家平等理事会尽快开始工作。</w:t>
      </w:r>
    </w:p>
    <w:p w:rsidR="0009384D" w:rsidRDefault="0009384D" w:rsidP="009C2C37">
      <w:pPr>
        <w:pStyle w:val="H23GC"/>
      </w:pPr>
      <w:r>
        <w:rPr>
          <w:rFonts w:hint="eastAsia"/>
        </w:rPr>
        <w:tab/>
      </w:r>
      <w:r>
        <w:rPr>
          <w:rFonts w:hint="eastAsia"/>
        </w:rPr>
        <w:tab/>
      </w:r>
      <w:r>
        <w:rPr>
          <w:rFonts w:hint="eastAsia"/>
        </w:rPr>
        <w:t>基于性取向或性别认同的歧视和暴力行为</w:t>
      </w:r>
    </w:p>
    <w:p w:rsidR="0009384D" w:rsidRDefault="0009384D" w:rsidP="0009384D">
      <w:pPr>
        <w:pStyle w:val="SingleTxtGC"/>
      </w:pPr>
      <w:r>
        <w:rPr>
          <w:rFonts w:hint="eastAsia"/>
        </w:rPr>
        <w:t xml:space="preserve">11.  </w:t>
      </w:r>
      <w:r>
        <w:rPr>
          <w:rFonts w:hint="eastAsia"/>
        </w:rPr>
        <w:t>委员会满意地注意到缔约国就女同性恋、男同性恋、双性恋、变性人和双性人权利采取的有关措施，并称赞缔约国已将禁止基于性别认同和性取向的歧视纳入《宪法》。不过，它对以下指控感到关切，即有报告称，在报告所述期间，这些群体因其性取向或性别认同而遭到一系列歧视和暴力行为，包括谋杀。委员会还注意到缔约国采取行动解救许多被安置在戒毒所以接受“性取向或性别认同治疗”的人员并关闭其中一些戒毒所。不过，忆及其之前的结论性意见</w:t>
      </w:r>
      <w:r>
        <w:rPr>
          <w:rFonts w:hint="eastAsia"/>
        </w:rPr>
        <w:t>(CCPR/C/ECU/CO/5</w:t>
      </w:r>
      <w:r>
        <w:rPr>
          <w:rFonts w:hint="eastAsia"/>
        </w:rPr>
        <w:t>，第</w:t>
      </w:r>
      <w:r>
        <w:rPr>
          <w:rFonts w:hint="eastAsia"/>
        </w:rPr>
        <w:t>12</w:t>
      </w:r>
      <w:r>
        <w:rPr>
          <w:rFonts w:hint="eastAsia"/>
        </w:rPr>
        <w:t>段</w:t>
      </w:r>
      <w:r>
        <w:rPr>
          <w:rFonts w:hint="eastAsia"/>
        </w:rPr>
        <w:t>)</w:t>
      </w:r>
      <w:r>
        <w:rPr>
          <w:rFonts w:hint="eastAsia"/>
        </w:rPr>
        <w:t>，委员会对以下指控感到关切，即在审查所涉期间，仍有关于此类“治疗”案件的报告，鉴于缔约国的资料表明诉讼已多达四次，委员会感到遗憾的是，它尚未收到详细资料，说明对此类“治疗”的责任人提起的刑事诉讼及其结果</w:t>
      </w:r>
      <w:r>
        <w:rPr>
          <w:rFonts w:hint="eastAsia"/>
        </w:rPr>
        <w:t>(</w:t>
      </w:r>
      <w:r>
        <w:rPr>
          <w:rFonts w:hint="eastAsia"/>
        </w:rPr>
        <w:t>第二、第六、第七和第二十六条</w:t>
      </w:r>
      <w:r>
        <w:rPr>
          <w:rFonts w:hint="eastAsia"/>
        </w:rPr>
        <w:t>)</w:t>
      </w:r>
      <w:r>
        <w:rPr>
          <w:rFonts w:hint="eastAsia"/>
        </w:rPr>
        <w:t>。</w:t>
      </w:r>
    </w:p>
    <w:p w:rsidR="0009384D" w:rsidRPr="00206D89" w:rsidRDefault="0009384D" w:rsidP="0009384D">
      <w:pPr>
        <w:pStyle w:val="SingleTxtGC"/>
        <w:rPr>
          <w:rFonts w:eastAsia="SimHei"/>
        </w:rPr>
      </w:pPr>
      <w:r w:rsidRPr="00206D89">
        <w:rPr>
          <w:rFonts w:eastAsia="SimHei" w:hint="eastAsia"/>
        </w:rPr>
        <w:t xml:space="preserve">12.  </w:t>
      </w:r>
      <w:r w:rsidRPr="00206D89">
        <w:rPr>
          <w:rFonts w:eastAsia="SimHei" w:hint="eastAsia"/>
        </w:rPr>
        <w:t>缔约国应加倍努力，打击对女同性恋、男同性恋、双性恋、变性人和双性人的陈规定型观念和偏见，并确保防止歧视行为；切实调查、起诉和适当惩处对女同性恋、男同性恋、双性恋、变性人和双性人实施暴力行为的责任人；以及为受害者提供全面救济。它还应加倍努力，彻底消除将此类人员安置在机构中接受治疗以“治愈其性取向或性别认同”的做法；采取必要措施调查、起诉和适当惩处此类“治疗”的责任人；以及为受害者提供充分赔偿，包括康复和补偿。</w:t>
      </w:r>
    </w:p>
    <w:p w:rsidR="0009384D" w:rsidRDefault="0009384D" w:rsidP="009C2C37">
      <w:pPr>
        <w:pStyle w:val="H23GC"/>
      </w:pPr>
      <w:r>
        <w:rPr>
          <w:rFonts w:hint="eastAsia"/>
        </w:rPr>
        <w:tab/>
      </w:r>
      <w:r>
        <w:rPr>
          <w:rFonts w:hint="eastAsia"/>
        </w:rPr>
        <w:tab/>
      </w:r>
      <w:r>
        <w:rPr>
          <w:rFonts w:hint="eastAsia"/>
        </w:rPr>
        <w:t>暴力侵害妇女行为</w:t>
      </w:r>
    </w:p>
    <w:p w:rsidR="0009384D" w:rsidRDefault="0009384D" w:rsidP="0009384D">
      <w:pPr>
        <w:pStyle w:val="SingleTxtGC"/>
      </w:pPr>
      <w:r>
        <w:rPr>
          <w:rFonts w:hint="eastAsia"/>
        </w:rPr>
        <w:t xml:space="preserve">13.  </w:t>
      </w:r>
      <w:r>
        <w:rPr>
          <w:rFonts w:hint="eastAsia"/>
        </w:rPr>
        <w:t>委员会注意到缔约国为打击和惩处暴力侵害妇女行为所采取的大量措施。然而，它感到关切的是，有资料表明此类暴力行为仍然是一个严重问题，对责任人提起的诉讼和施加的惩处很少</w:t>
      </w:r>
      <w:r>
        <w:rPr>
          <w:rFonts w:hint="eastAsia"/>
        </w:rPr>
        <w:t>(</w:t>
      </w:r>
      <w:r>
        <w:rPr>
          <w:rFonts w:hint="eastAsia"/>
        </w:rPr>
        <w:t>第三、第六和第七条</w:t>
      </w:r>
      <w:r>
        <w:rPr>
          <w:rFonts w:hint="eastAsia"/>
        </w:rPr>
        <w:t>)</w:t>
      </w:r>
      <w:r>
        <w:rPr>
          <w:rFonts w:hint="eastAsia"/>
        </w:rPr>
        <w:t>。</w:t>
      </w:r>
    </w:p>
    <w:p w:rsidR="0009384D" w:rsidRPr="00206D89" w:rsidRDefault="0009384D" w:rsidP="0009384D">
      <w:pPr>
        <w:pStyle w:val="SingleTxtGC"/>
        <w:rPr>
          <w:rFonts w:eastAsia="SimHei"/>
        </w:rPr>
      </w:pPr>
      <w:r w:rsidRPr="00206D89">
        <w:rPr>
          <w:rFonts w:eastAsia="SimHei" w:hint="eastAsia"/>
        </w:rPr>
        <w:t xml:space="preserve">14.  </w:t>
      </w:r>
      <w:r w:rsidRPr="00206D89">
        <w:rPr>
          <w:rFonts w:eastAsia="SimHei" w:hint="eastAsia"/>
        </w:rPr>
        <w:t>缔约国应加倍努力，防止和打击一切暴力侵害妇女行为，并调查、起诉和适当惩处此类行为的责任人。缔约国还应加倍努力，加强全国各地司法人员的能力，以确保充分跟进申诉，并使所有受害者都能及时获得救济和适当保护措施。它还应确保继续监测《根除针对儿童、青少年和妇女的性别暴力国家计划》的实施情况，以期达到特定基准。</w:t>
      </w:r>
    </w:p>
    <w:p w:rsidR="0009384D" w:rsidRDefault="0009384D" w:rsidP="009C2C37">
      <w:pPr>
        <w:pStyle w:val="H23GC"/>
      </w:pPr>
      <w:r>
        <w:rPr>
          <w:rFonts w:hint="eastAsia"/>
        </w:rPr>
        <w:tab/>
      </w:r>
      <w:r>
        <w:rPr>
          <w:rFonts w:hint="eastAsia"/>
        </w:rPr>
        <w:tab/>
      </w:r>
      <w:r>
        <w:rPr>
          <w:rFonts w:hint="eastAsia"/>
        </w:rPr>
        <w:t>自愿终止妊娠</w:t>
      </w:r>
    </w:p>
    <w:p w:rsidR="0009384D" w:rsidRDefault="0009384D" w:rsidP="0009384D">
      <w:pPr>
        <w:pStyle w:val="SingleTxtGC"/>
      </w:pPr>
      <w:r>
        <w:rPr>
          <w:rFonts w:hint="eastAsia"/>
        </w:rPr>
        <w:t xml:space="preserve">15.  </w:t>
      </w:r>
      <w:r>
        <w:rPr>
          <w:rFonts w:hint="eastAsia"/>
        </w:rPr>
        <w:t>委员会关切地注意到新《刑事组织法通则》将自愿终止妊娠定为刑事犯罪，除非“其目的是为了避免对孕妇的生命或健康造成危险，并且这种危险无法</w:t>
      </w:r>
      <w:r>
        <w:rPr>
          <w:rFonts w:hint="eastAsia"/>
        </w:rPr>
        <w:lastRenderedPageBreak/>
        <w:t>通过其他方式避免”，或者怀孕是因“患有精神残疾的妇女”遭到强奸而造成的。这导致许多孕妇继续使用不安全的堕胎服务，从而使其生命与健康面临风险</w:t>
      </w:r>
      <w:r>
        <w:rPr>
          <w:rFonts w:hint="eastAsia"/>
        </w:rPr>
        <w:t>(</w:t>
      </w:r>
      <w:r>
        <w:rPr>
          <w:rFonts w:hint="eastAsia"/>
        </w:rPr>
        <w:t>第三、第六、第七和第十七条</w:t>
      </w:r>
      <w:r>
        <w:rPr>
          <w:rFonts w:hint="eastAsia"/>
        </w:rPr>
        <w:t>)</w:t>
      </w:r>
      <w:r>
        <w:rPr>
          <w:rFonts w:hint="eastAsia"/>
        </w:rPr>
        <w:t>。</w:t>
      </w:r>
    </w:p>
    <w:p w:rsidR="0009384D" w:rsidRPr="00206D89" w:rsidRDefault="0009384D" w:rsidP="0009384D">
      <w:pPr>
        <w:pStyle w:val="SingleTxtGC"/>
        <w:rPr>
          <w:rFonts w:eastAsia="SimHei"/>
        </w:rPr>
      </w:pPr>
      <w:r w:rsidRPr="00206D89">
        <w:rPr>
          <w:rFonts w:eastAsia="SimHei" w:hint="eastAsia"/>
        </w:rPr>
        <w:t xml:space="preserve">16.  </w:t>
      </w:r>
      <w:r w:rsidRPr="00206D89">
        <w:rPr>
          <w:rFonts w:eastAsia="SimHei" w:hint="eastAsia"/>
        </w:rPr>
        <w:t>缔约国应审查《刑事组织法通则》，以期提出禁止自愿终止妊娠的其他例外情况，包括即使妇女未患精神疾病，但怀孕是乱伦或强奸造成的结果，或者胎儿有致命损伤等情况，并确保妇女不会因为法律障碍而被迫诉诸可能会使其生命和健康面临风险的不安全堕胎。缔约国还应加大努力，确保全国各地的妇女和少女都能获得适当的性健康和生殖健康服务，并针对使用避孕药具的重要性以及性健康和生殖健康权利，开展更多的教育和提高认识方案。</w:t>
      </w:r>
    </w:p>
    <w:p w:rsidR="0009384D" w:rsidRDefault="0009384D" w:rsidP="009C2C37">
      <w:pPr>
        <w:pStyle w:val="H23GC"/>
      </w:pPr>
      <w:r>
        <w:rPr>
          <w:rFonts w:hint="eastAsia"/>
        </w:rPr>
        <w:tab/>
      </w:r>
      <w:r>
        <w:rPr>
          <w:rFonts w:hint="eastAsia"/>
        </w:rPr>
        <w:tab/>
      </w:r>
      <w:r>
        <w:rPr>
          <w:rFonts w:hint="eastAsia"/>
        </w:rPr>
        <w:t>教育机构中的虐待和性暴力行为</w:t>
      </w:r>
    </w:p>
    <w:p w:rsidR="0009384D" w:rsidRDefault="0009384D" w:rsidP="0009384D">
      <w:pPr>
        <w:pStyle w:val="SingleTxtGC"/>
      </w:pPr>
      <w:r>
        <w:rPr>
          <w:rFonts w:hint="eastAsia"/>
        </w:rPr>
        <w:t xml:space="preserve">17.  </w:t>
      </w:r>
      <w:r>
        <w:rPr>
          <w:rFonts w:hint="eastAsia"/>
        </w:rPr>
        <w:t>委员会注意到缔约国为预防、消除和惩处教育机构中的虐待和性暴力行为所采取的措施。然而，尽管它注意到了教育部提出的程序以及</w:t>
      </w:r>
      <w:r>
        <w:rPr>
          <w:rFonts w:hint="eastAsia"/>
        </w:rPr>
        <w:t>2016</w:t>
      </w:r>
      <w:r>
        <w:rPr>
          <w:rFonts w:hint="eastAsia"/>
        </w:rPr>
        <w:t>年</w:t>
      </w:r>
      <w:r>
        <w:rPr>
          <w:rFonts w:hint="eastAsia"/>
        </w:rPr>
        <w:t>2</w:t>
      </w:r>
      <w:r>
        <w:rPr>
          <w:rFonts w:hint="eastAsia"/>
        </w:rPr>
        <w:t>月至</w:t>
      </w:r>
      <w:r>
        <w:rPr>
          <w:rFonts w:hint="eastAsia"/>
        </w:rPr>
        <w:t>6</w:t>
      </w:r>
      <w:r>
        <w:rPr>
          <w:rFonts w:hint="eastAsia"/>
        </w:rPr>
        <w:t>月期间在打击性暴力方面取得的成果，但它对缔约国报告</w:t>
      </w:r>
      <w:r>
        <w:rPr>
          <w:rFonts w:hint="eastAsia"/>
        </w:rPr>
        <w:t>(CCPR/C/ECU/6</w:t>
      </w:r>
      <w:r>
        <w:rPr>
          <w:rFonts w:hint="eastAsia"/>
        </w:rPr>
        <w:t>，第</w:t>
      </w:r>
      <w:r>
        <w:rPr>
          <w:rFonts w:hint="eastAsia"/>
        </w:rPr>
        <w:t>139</w:t>
      </w:r>
      <w:r>
        <w:rPr>
          <w:rFonts w:hint="eastAsia"/>
        </w:rPr>
        <w:t>段</w:t>
      </w:r>
      <w:r>
        <w:rPr>
          <w:rFonts w:hint="eastAsia"/>
        </w:rPr>
        <w:t>)</w:t>
      </w:r>
      <w:r>
        <w:rPr>
          <w:rFonts w:hint="eastAsia"/>
        </w:rPr>
        <w:t>中的信息感到关切，该报告指出，关于教育机构中的性犯罪的申诉数量巨大，但相比而言，犯罪者被定罪的数量却很低，并且，据称存在某些此类行为的实施者不受惩罚的现象</w:t>
      </w:r>
      <w:r>
        <w:rPr>
          <w:rFonts w:hint="eastAsia"/>
        </w:rPr>
        <w:t>(</w:t>
      </w:r>
      <w:r>
        <w:rPr>
          <w:rFonts w:hint="eastAsia"/>
        </w:rPr>
        <w:t>第七和第二十四条</w:t>
      </w:r>
      <w:r>
        <w:rPr>
          <w:rFonts w:hint="eastAsia"/>
        </w:rPr>
        <w:t>)</w:t>
      </w:r>
      <w:r>
        <w:rPr>
          <w:rFonts w:hint="eastAsia"/>
        </w:rPr>
        <w:t>。</w:t>
      </w:r>
    </w:p>
    <w:p w:rsidR="0009384D" w:rsidRPr="00206D89" w:rsidRDefault="0009384D" w:rsidP="0009384D">
      <w:pPr>
        <w:pStyle w:val="SingleTxtGC"/>
        <w:rPr>
          <w:rFonts w:eastAsia="SimHei"/>
        </w:rPr>
      </w:pPr>
      <w:r w:rsidRPr="00206D89">
        <w:rPr>
          <w:rFonts w:eastAsia="SimHei" w:hint="eastAsia"/>
        </w:rPr>
        <w:t xml:space="preserve">18.  </w:t>
      </w:r>
      <w:r w:rsidRPr="00206D89">
        <w:rPr>
          <w:rFonts w:eastAsia="SimHei" w:hint="eastAsia"/>
        </w:rPr>
        <w:t>缔约国应加倍努力，成功预防、打击和惩处教育机构中的虐待和性暴力行为。因此，它应采取更强有力的行动，促进和鼓励受害者提出申诉，确保彻底、独立、公正且毫不拖延地调查一切虐待和性暴力案件；对犯罪者进行审判，如果认定有罪，则根据其行为的严重程度给予相称的惩处；并确保受害者获得包括康复在内的充分赔偿。</w:t>
      </w:r>
    </w:p>
    <w:p w:rsidR="0009384D" w:rsidRDefault="0009384D" w:rsidP="009C2C37">
      <w:pPr>
        <w:pStyle w:val="H23GC"/>
      </w:pPr>
      <w:r>
        <w:rPr>
          <w:rFonts w:hint="eastAsia"/>
        </w:rPr>
        <w:tab/>
      </w:r>
      <w:r>
        <w:rPr>
          <w:rFonts w:hint="eastAsia"/>
        </w:rPr>
        <w:tab/>
      </w:r>
      <w:r>
        <w:rPr>
          <w:rFonts w:hint="eastAsia"/>
        </w:rPr>
        <w:t>真相委员会</w:t>
      </w:r>
    </w:p>
    <w:p w:rsidR="0009384D" w:rsidRDefault="0009384D" w:rsidP="0009384D">
      <w:pPr>
        <w:pStyle w:val="SingleTxtGC"/>
      </w:pPr>
      <w:r>
        <w:rPr>
          <w:rFonts w:hint="eastAsia"/>
        </w:rPr>
        <w:t xml:space="preserve">19.  </w:t>
      </w:r>
      <w:r>
        <w:rPr>
          <w:rFonts w:hint="eastAsia"/>
        </w:rPr>
        <w:t>委员会满意地注意到，真相委员会于</w:t>
      </w:r>
      <w:r>
        <w:rPr>
          <w:rFonts w:hint="eastAsia"/>
        </w:rPr>
        <w:t>2010</w:t>
      </w:r>
      <w:r>
        <w:rPr>
          <w:rFonts w:hint="eastAsia"/>
        </w:rPr>
        <w:t>年提交了其最后报告“没有真相就没有正义”，并欢迎《</w:t>
      </w:r>
      <w:r>
        <w:rPr>
          <w:rFonts w:hint="eastAsia"/>
        </w:rPr>
        <w:t>1983</w:t>
      </w:r>
      <w:r>
        <w:rPr>
          <w:rFonts w:hint="eastAsia"/>
        </w:rPr>
        <w:t>年</w:t>
      </w:r>
      <w:r>
        <w:rPr>
          <w:rFonts w:hint="eastAsia"/>
        </w:rPr>
        <w:t>10</w:t>
      </w:r>
      <w:r>
        <w:rPr>
          <w:rFonts w:hint="eastAsia"/>
        </w:rPr>
        <w:t>月</w:t>
      </w:r>
      <w:r>
        <w:rPr>
          <w:rFonts w:hint="eastAsia"/>
        </w:rPr>
        <w:t>4</w:t>
      </w:r>
      <w:r>
        <w:rPr>
          <w:rFonts w:hint="eastAsia"/>
        </w:rPr>
        <w:t>日至</w:t>
      </w:r>
      <w:r>
        <w:rPr>
          <w:rFonts w:hint="eastAsia"/>
        </w:rPr>
        <w:t>2008</w:t>
      </w:r>
      <w:r>
        <w:rPr>
          <w:rFonts w:hint="eastAsia"/>
        </w:rPr>
        <w:t>年</w:t>
      </w:r>
      <w:r>
        <w:rPr>
          <w:rFonts w:hint="eastAsia"/>
        </w:rPr>
        <w:t>12</w:t>
      </w:r>
      <w:r>
        <w:rPr>
          <w:rFonts w:hint="eastAsia"/>
        </w:rPr>
        <w:t>月</w:t>
      </w:r>
      <w:r>
        <w:rPr>
          <w:rFonts w:hint="eastAsia"/>
        </w:rPr>
        <w:t>31</w:t>
      </w:r>
      <w:r>
        <w:rPr>
          <w:rFonts w:hint="eastAsia"/>
        </w:rPr>
        <w:t>日期间在厄瓜多尔发生的严重侵犯人权行为和反人类罪受害者赔偿与起诉法案》于</w:t>
      </w:r>
      <w:r>
        <w:rPr>
          <w:rFonts w:hint="eastAsia"/>
        </w:rPr>
        <w:t>2013</w:t>
      </w:r>
      <w:r>
        <w:rPr>
          <w:rFonts w:hint="eastAsia"/>
        </w:rPr>
        <w:t>年通过。然而，它感到关切的是，有资料表明针对真相委员会报告所列侵犯人权案件的司法调查大多进展缓慢。委员会还表示注意到监察员办公室为向受害者提供救济所采取的行动，但它感到关切的是补偿方面进展缓慢</w:t>
      </w:r>
      <w:r>
        <w:rPr>
          <w:rFonts w:hint="eastAsia"/>
        </w:rPr>
        <w:t>(</w:t>
      </w:r>
      <w:r>
        <w:rPr>
          <w:rFonts w:hint="eastAsia"/>
        </w:rPr>
        <w:t>第二、第六和第七条</w:t>
      </w:r>
      <w:r>
        <w:rPr>
          <w:rFonts w:hint="eastAsia"/>
        </w:rPr>
        <w:t>)</w:t>
      </w:r>
      <w:r>
        <w:rPr>
          <w:rFonts w:hint="eastAsia"/>
        </w:rPr>
        <w:t>。</w:t>
      </w:r>
    </w:p>
    <w:p w:rsidR="0009384D" w:rsidRPr="00206D89" w:rsidRDefault="0009384D" w:rsidP="0009384D">
      <w:pPr>
        <w:pStyle w:val="SingleTxtGC"/>
        <w:rPr>
          <w:rFonts w:eastAsia="SimHei"/>
        </w:rPr>
      </w:pPr>
      <w:r w:rsidRPr="00206D89">
        <w:rPr>
          <w:rFonts w:eastAsia="SimHei" w:hint="eastAsia"/>
        </w:rPr>
        <w:t xml:space="preserve">20.  </w:t>
      </w:r>
      <w:r w:rsidRPr="00206D89">
        <w:rPr>
          <w:rFonts w:eastAsia="SimHei" w:hint="eastAsia"/>
        </w:rPr>
        <w:t>缔约国应采取必要措施，加快对真相委员会报告所列侵犯人权案件的司法调查，并确保起诉据称对这些行为负责的人员，如果认定有罪，则根据其行为的严重程度给予相称的惩处。缔约国还应加大努力，采取一切必要措施，确保受害者及其家庭成员及时获得包括补偿在内的充分赔偿。</w:t>
      </w:r>
    </w:p>
    <w:p w:rsidR="0009384D" w:rsidRDefault="0009384D" w:rsidP="009C2C37">
      <w:pPr>
        <w:pStyle w:val="H23GC"/>
      </w:pPr>
      <w:r>
        <w:rPr>
          <w:rFonts w:hint="eastAsia"/>
        </w:rPr>
        <w:tab/>
      </w:r>
      <w:r>
        <w:rPr>
          <w:rFonts w:hint="eastAsia"/>
        </w:rPr>
        <w:tab/>
      </w:r>
      <w:r>
        <w:rPr>
          <w:rFonts w:hint="eastAsia"/>
        </w:rPr>
        <w:t>农民防御网络</w:t>
      </w:r>
    </w:p>
    <w:p w:rsidR="0009384D" w:rsidRDefault="0009384D" w:rsidP="0009384D">
      <w:pPr>
        <w:pStyle w:val="SingleTxtGC"/>
      </w:pPr>
      <w:r>
        <w:rPr>
          <w:rFonts w:hint="eastAsia"/>
        </w:rPr>
        <w:t xml:space="preserve">21.  </w:t>
      </w:r>
      <w:r>
        <w:rPr>
          <w:rFonts w:hint="eastAsia"/>
        </w:rPr>
        <w:t>委员会感到关切的是，迄今为止，在针对据称由农民防御网络成员实施的虐待行为提起的司法诉讼中，尚无人被定罪。在这方面，委员会饶有兴趣地注意</w:t>
      </w:r>
      <w:r>
        <w:rPr>
          <w:rFonts w:hint="eastAsia"/>
        </w:rPr>
        <w:lastRenderedPageBreak/>
        <w:t>到缔约国提供的资料表明，正在采取措施加强对此类案件的调查程序</w:t>
      </w:r>
      <w:r>
        <w:rPr>
          <w:rFonts w:hint="eastAsia"/>
        </w:rPr>
        <w:t>(CCPR/C/ECU/6</w:t>
      </w:r>
      <w:r>
        <w:rPr>
          <w:rFonts w:hint="eastAsia"/>
        </w:rPr>
        <w:t>，第</w:t>
      </w:r>
      <w:r>
        <w:rPr>
          <w:rFonts w:hint="eastAsia"/>
        </w:rPr>
        <w:t>165</w:t>
      </w:r>
      <w:r>
        <w:rPr>
          <w:rFonts w:hint="eastAsia"/>
        </w:rPr>
        <w:t>和第</w:t>
      </w:r>
      <w:r>
        <w:rPr>
          <w:rFonts w:hint="eastAsia"/>
        </w:rPr>
        <w:t>166</w:t>
      </w:r>
      <w:r>
        <w:rPr>
          <w:rFonts w:hint="eastAsia"/>
        </w:rPr>
        <w:t>段</w:t>
      </w:r>
      <w:r>
        <w:rPr>
          <w:rFonts w:hint="eastAsia"/>
        </w:rPr>
        <w:t>)(</w:t>
      </w:r>
      <w:r>
        <w:rPr>
          <w:rFonts w:hint="eastAsia"/>
        </w:rPr>
        <w:t>第二和第七条</w:t>
      </w:r>
      <w:r>
        <w:rPr>
          <w:rFonts w:hint="eastAsia"/>
        </w:rPr>
        <w:t>)</w:t>
      </w:r>
      <w:r>
        <w:rPr>
          <w:rFonts w:hint="eastAsia"/>
        </w:rPr>
        <w:t>。</w:t>
      </w:r>
    </w:p>
    <w:p w:rsidR="0009384D" w:rsidRPr="00206D89" w:rsidRDefault="0009384D" w:rsidP="0009384D">
      <w:pPr>
        <w:pStyle w:val="SingleTxtGC"/>
        <w:rPr>
          <w:rFonts w:eastAsia="SimHei"/>
        </w:rPr>
      </w:pPr>
      <w:r w:rsidRPr="00206D89">
        <w:rPr>
          <w:rFonts w:eastAsia="SimHei" w:hint="eastAsia"/>
        </w:rPr>
        <w:t xml:space="preserve">22.  </w:t>
      </w:r>
      <w:r w:rsidRPr="00206D89">
        <w:rPr>
          <w:rFonts w:eastAsia="SimHei" w:hint="eastAsia"/>
        </w:rPr>
        <w:t>缔约国应采取有效措施确保农民防御网络成员对其行为负责。</w:t>
      </w:r>
    </w:p>
    <w:p w:rsidR="0009384D" w:rsidRDefault="0009384D" w:rsidP="009C2C37">
      <w:pPr>
        <w:pStyle w:val="H23GC"/>
      </w:pPr>
      <w:r>
        <w:rPr>
          <w:rFonts w:hint="eastAsia"/>
        </w:rPr>
        <w:tab/>
      </w:r>
      <w:r>
        <w:rPr>
          <w:rFonts w:hint="eastAsia"/>
        </w:rPr>
        <w:tab/>
      </w:r>
      <w:r>
        <w:rPr>
          <w:rFonts w:hint="eastAsia"/>
        </w:rPr>
        <w:t>拘留条件和监狱暴力</w:t>
      </w:r>
    </w:p>
    <w:p w:rsidR="0009384D" w:rsidRDefault="0009384D" w:rsidP="0009384D">
      <w:pPr>
        <w:pStyle w:val="SingleTxtGC"/>
      </w:pPr>
      <w:r>
        <w:rPr>
          <w:rFonts w:hint="eastAsia"/>
        </w:rPr>
        <w:t xml:space="preserve">23.  </w:t>
      </w:r>
      <w:r>
        <w:rPr>
          <w:rFonts w:hint="eastAsia"/>
        </w:rPr>
        <w:t>委员会注意到缔约国为改善监狱基础设施和解决过度拥挤问题所作的努力。然而，它感到关切的是，有报告称在某些拘留场所仍然存在过度拥挤现象，导致此类场所缺乏适当的拘留条件。委员会还关切地注意到，有记录指出在</w:t>
      </w:r>
      <w:r>
        <w:rPr>
          <w:rFonts w:hint="eastAsia"/>
        </w:rPr>
        <w:t>2014</w:t>
      </w:r>
      <w:r>
        <w:rPr>
          <w:rFonts w:hint="eastAsia"/>
        </w:rPr>
        <w:t>年至</w:t>
      </w:r>
      <w:r>
        <w:rPr>
          <w:rFonts w:hint="eastAsia"/>
        </w:rPr>
        <w:t>2016</w:t>
      </w:r>
      <w:r>
        <w:rPr>
          <w:rFonts w:hint="eastAsia"/>
        </w:rPr>
        <w:t>年间，拘留场所共发生了</w:t>
      </w:r>
      <w:r>
        <w:rPr>
          <w:rFonts w:hint="eastAsia"/>
        </w:rPr>
        <w:t>16</w:t>
      </w:r>
      <w:r>
        <w:rPr>
          <w:rFonts w:hint="eastAsia"/>
        </w:rPr>
        <w:t>起暴力致死案件，监狱当局多次被指控没有采取适当措施预防暴力行为。委员会注意到，针对上述</w:t>
      </w:r>
      <w:r>
        <w:rPr>
          <w:rFonts w:hint="eastAsia"/>
        </w:rPr>
        <w:t>16</w:t>
      </w:r>
      <w:r>
        <w:rPr>
          <w:rFonts w:hint="eastAsia"/>
        </w:rPr>
        <w:t>起暴力致死案件提起了诉讼，其中，有</w:t>
      </w:r>
      <w:r>
        <w:rPr>
          <w:rFonts w:hint="eastAsia"/>
        </w:rPr>
        <w:t>13</w:t>
      </w:r>
      <w:r>
        <w:rPr>
          <w:rFonts w:hint="eastAsia"/>
        </w:rPr>
        <w:t>起案件的责任人被定罪</w:t>
      </w:r>
      <w:r>
        <w:rPr>
          <w:rFonts w:hint="eastAsia"/>
        </w:rPr>
        <w:t>(</w:t>
      </w:r>
      <w:r>
        <w:rPr>
          <w:rFonts w:hint="eastAsia"/>
        </w:rPr>
        <w:t>第六、第九和第十条</w:t>
      </w:r>
      <w:r>
        <w:rPr>
          <w:rFonts w:hint="eastAsia"/>
        </w:rPr>
        <w:t>)</w:t>
      </w:r>
      <w:r>
        <w:rPr>
          <w:rFonts w:hint="eastAsia"/>
        </w:rPr>
        <w:t>。</w:t>
      </w:r>
    </w:p>
    <w:p w:rsidR="0009384D" w:rsidRPr="00206D89" w:rsidRDefault="0009384D" w:rsidP="0009384D">
      <w:pPr>
        <w:pStyle w:val="SingleTxtGC"/>
        <w:rPr>
          <w:rFonts w:eastAsia="SimHei"/>
        </w:rPr>
      </w:pPr>
      <w:r w:rsidRPr="00206D89">
        <w:rPr>
          <w:rFonts w:eastAsia="SimHei" w:hint="eastAsia"/>
        </w:rPr>
        <w:t xml:space="preserve">24.  </w:t>
      </w:r>
      <w:r w:rsidRPr="00206D89">
        <w:rPr>
          <w:rFonts w:eastAsia="SimHei" w:hint="eastAsia"/>
        </w:rPr>
        <w:t>缔约国应适当注意到之前的结论性意见</w:t>
      </w:r>
      <w:r w:rsidRPr="00206D89">
        <w:rPr>
          <w:rFonts w:eastAsia="SimHei" w:hint="eastAsia"/>
        </w:rPr>
        <w:t>(CCPR/C/ECU/CO/5</w:t>
      </w:r>
      <w:r w:rsidRPr="00206D89">
        <w:rPr>
          <w:rFonts w:eastAsia="SimHei" w:hint="eastAsia"/>
        </w:rPr>
        <w:t>，第</w:t>
      </w:r>
      <w:r w:rsidRPr="00206D89">
        <w:rPr>
          <w:rFonts w:eastAsia="SimHei" w:hint="eastAsia"/>
        </w:rPr>
        <w:t>17</w:t>
      </w:r>
      <w:r w:rsidRPr="00206D89">
        <w:rPr>
          <w:rFonts w:eastAsia="SimHei" w:hint="eastAsia"/>
        </w:rPr>
        <w:t>段</w:t>
      </w:r>
      <w:r w:rsidRPr="00206D89">
        <w:rPr>
          <w:rFonts w:eastAsia="SimHei" w:hint="eastAsia"/>
        </w:rPr>
        <w:t>)</w:t>
      </w:r>
      <w:r w:rsidRPr="00206D89">
        <w:rPr>
          <w:rFonts w:eastAsia="SimHei" w:hint="eastAsia"/>
        </w:rPr>
        <w:t>，加大努力继续改善拘留条件并消除过度拥挤现象，特别是确保有效执行与剥夺自由替代措施有关的条例。它还建议缔约国加倍努力，预防和消除拘留场所的暴力行为，并继续确保调查囚犯之间的所有暴力事件，特别是致死事件，以及根据责任人行为的严重程度给予相称的惩处。</w:t>
      </w:r>
    </w:p>
    <w:p w:rsidR="0009384D" w:rsidRDefault="0009384D" w:rsidP="009C2C37">
      <w:pPr>
        <w:pStyle w:val="H23GC"/>
      </w:pPr>
      <w:r>
        <w:rPr>
          <w:rFonts w:hint="eastAsia"/>
        </w:rPr>
        <w:tab/>
      </w:r>
      <w:r>
        <w:rPr>
          <w:rFonts w:hint="eastAsia"/>
        </w:rPr>
        <w:tab/>
      </w:r>
      <w:r>
        <w:rPr>
          <w:rFonts w:hint="eastAsia"/>
        </w:rPr>
        <w:t>司法机关的独立性</w:t>
      </w:r>
    </w:p>
    <w:p w:rsidR="0009384D" w:rsidRDefault="0009384D" w:rsidP="0009384D">
      <w:pPr>
        <w:pStyle w:val="SingleTxtGC"/>
      </w:pPr>
      <w:r>
        <w:rPr>
          <w:rFonts w:hint="eastAsia"/>
        </w:rPr>
        <w:t xml:space="preserve">25.  </w:t>
      </w:r>
      <w:r>
        <w:rPr>
          <w:rFonts w:hint="eastAsia"/>
        </w:rPr>
        <w:t>委员会感到关切的是，有指控称司法委员会频繁利用《司法机关法》规定的惩戒制度来解雇法官，特别是使用该法第</w:t>
      </w:r>
      <w:r>
        <w:rPr>
          <w:rFonts w:hint="eastAsia"/>
        </w:rPr>
        <w:t>109</w:t>
      </w:r>
      <w:r>
        <w:rPr>
          <w:rFonts w:hint="eastAsia"/>
        </w:rPr>
        <w:t>条第</w:t>
      </w:r>
      <w:r>
        <w:rPr>
          <w:rFonts w:hint="eastAsia"/>
        </w:rPr>
        <w:t>7</w:t>
      </w:r>
      <w:r>
        <w:rPr>
          <w:rFonts w:hint="eastAsia"/>
        </w:rPr>
        <w:t>款所载的“不可原谅的错误”这一总称词。委员会还感到关切的是，有指控称法官在履行职责时会遭到司法诉讼威胁，并称实际上，已有此类诉讼发生，而且司法制度也被用于向批判政府者和反对派成员施加严酷刑罚，令人对其公正性产生怀疑</w:t>
      </w:r>
      <w:r>
        <w:rPr>
          <w:rFonts w:hint="eastAsia"/>
        </w:rPr>
        <w:t>(</w:t>
      </w:r>
      <w:r>
        <w:rPr>
          <w:rFonts w:hint="eastAsia"/>
        </w:rPr>
        <w:t>第十四条</w:t>
      </w:r>
      <w:r>
        <w:rPr>
          <w:rFonts w:hint="eastAsia"/>
        </w:rPr>
        <w:t>)</w:t>
      </w:r>
      <w:r>
        <w:rPr>
          <w:rFonts w:hint="eastAsia"/>
        </w:rPr>
        <w:t>。</w:t>
      </w:r>
    </w:p>
    <w:p w:rsidR="0009384D" w:rsidRPr="00206D89" w:rsidRDefault="0009384D" w:rsidP="0009384D">
      <w:pPr>
        <w:pStyle w:val="SingleTxtGC"/>
        <w:rPr>
          <w:rFonts w:eastAsia="SimHei"/>
        </w:rPr>
      </w:pPr>
      <w:r w:rsidRPr="00206D89">
        <w:rPr>
          <w:rFonts w:eastAsia="SimHei" w:hint="eastAsia"/>
        </w:rPr>
        <w:t xml:space="preserve">26.  </w:t>
      </w:r>
      <w:r w:rsidRPr="00206D89">
        <w:rPr>
          <w:rFonts w:eastAsia="SimHei" w:hint="eastAsia"/>
        </w:rPr>
        <w:t>缔约国应加大努力，确保和保护司法机关的完全独立和公正，保证其能够履行司法职能而不受任何形式的压力或干预。缔约国应确保法官不会因其作出的裁决而遭解雇，并且在职法官能够享有任期保障。</w:t>
      </w:r>
    </w:p>
    <w:p w:rsidR="0009384D" w:rsidRDefault="0009384D" w:rsidP="009C2C37">
      <w:pPr>
        <w:pStyle w:val="H23GC"/>
      </w:pPr>
      <w:r>
        <w:rPr>
          <w:rFonts w:hint="eastAsia"/>
        </w:rPr>
        <w:tab/>
      </w:r>
      <w:r>
        <w:rPr>
          <w:rFonts w:hint="eastAsia"/>
        </w:rPr>
        <w:tab/>
      </w:r>
      <w:r>
        <w:rPr>
          <w:rFonts w:hint="eastAsia"/>
        </w:rPr>
        <w:t>言论自由与和平集会自由</w:t>
      </w:r>
    </w:p>
    <w:p w:rsidR="0009384D" w:rsidRDefault="0009384D" w:rsidP="0009384D">
      <w:pPr>
        <w:pStyle w:val="SingleTxtGC"/>
      </w:pPr>
      <w:r>
        <w:rPr>
          <w:rFonts w:hint="eastAsia"/>
        </w:rPr>
        <w:t xml:space="preserve">27.  </w:t>
      </w:r>
      <w:r>
        <w:rPr>
          <w:rFonts w:hint="eastAsia"/>
        </w:rPr>
        <w:t>委员会感到关切的是，有指控称在报告所述期间，存在在示威游行活动中过度使用武力的情况。委员会注意到，有资料表明，在</w:t>
      </w:r>
      <w:r>
        <w:rPr>
          <w:rFonts w:hint="eastAsia"/>
        </w:rPr>
        <w:t>2015</w:t>
      </w:r>
      <w:r>
        <w:rPr>
          <w:rFonts w:hint="eastAsia"/>
        </w:rPr>
        <w:t>年举行的公共示威游行期间，有些示威者曾对安全部队和执法人员诉诸暴力，而缔约国完全有权利调查此类行动。不过，委员会感到关切的是，有指控称，在某些情况下，警察或军官会过度使用武力，以应对此类暴力行为或驱散示威游行队伍。因此，委员会感到遗憾的是，尚未获悉有无对这些指控进行调查。委员会还感到关切的是，有指控称，已经基于破坏行为和恐怖主义等旧版《刑法》所载措辞笼统的罪行，对参与社会抗议和其他公共示威游行的人员提起刑事诉讼。委员会感到遗憾的是，尚未收到任何资料，说明在报告所述期间，有多少人因为社会抗议或其他公共示</w:t>
      </w:r>
      <w:r>
        <w:rPr>
          <w:rFonts w:hint="eastAsia"/>
        </w:rPr>
        <w:lastRenderedPageBreak/>
        <w:t>威游行而被根据旧版《刑法》或新的《刑事组织法通则》，控以恐怖主义罪或破坏行为罪</w:t>
      </w:r>
      <w:r>
        <w:rPr>
          <w:rFonts w:hint="eastAsia"/>
        </w:rPr>
        <w:t>(</w:t>
      </w:r>
      <w:r>
        <w:rPr>
          <w:rFonts w:hint="eastAsia"/>
        </w:rPr>
        <w:t>第七、第十九和第二十一条</w:t>
      </w:r>
      <w:r>
        <w:rPr>
          <w:rFonts w:hint="eastAsia"/>
        </w:rPr>
        <w:t>)</w:t>
      </w:r>
      <w:r>
        <w:rPr>
          <w:rFonts w:hint="eastAsia"/>
        </w:rPr>
        <w:t>。</w:t>
      </w:r>
    </w:p>
    <w:p w:rsidR="0009384D" w:rsidRPr="00206D89" w:rsidRDefault="0009384D" w:rsidP="0009384D">
      <w:pPr>
        <w:pStyle w:val="SingleTxtGC"/>
        <w:rPr>
          <w:rFonts w:eastAsia="SimHei"/>
        </w:rPr>
      </w:pPr>
      <w:r w:rsidRPr="00206D89">
        <w:rPr>
          <w:rFonts w:eastAsia="SimHei" w:hint="eastAsia"/>
        </w:rPr>
        <w:t xml:space="preserve">28.  </w:t>
      </w:r>
      <w:r w:rsidRPr="00206D89">
        <w:rPr>
          <w:rFonts w:eastAsia="SimHei" w:hint="eastAsia"/>
        </w:rPr>
        <w:t>缔约国应采取适当措施，确保其管辖之下的所有人都能实际行使其和平集会自由权；加倍努力以预防和消除执法人员和安全部队成员一切形式的过度使用武力行为；并开展适当行动，确保彻底、独立和公正地调查所有关于过度使用武力的指控，将犯罪者绳之以法，而且，如认定有罪，则根据其行为的严重程度给予相称的惩处。</w:t>
      </w:r>
    </w:p>
    <w:p w:rsidR="0009384D" w:rsidRDefault="0009384D" w:rsidP="0009384D">
      <w:pPr>
        <w:pStyle w:val="SingleTxtGC"/>
      </w:pPr>
      <w:r>
        <w:rPr>
          <w:rFonts w:hint="eastAsia"/>
        </w:rPr>
        <w:t xml:space="preserve">29.  </w:t>
      </w:r>
      <w:r>
        <w:rPr>
          <w:rFonts w:hint="eastAsia"/>
        </w:rPr>
        <w:t>委员会对关于一系列法律规定和做法的指控感到关切，这些规定和做法可能会阻遏身居要职人员或报道公众利益相关事项的关键媒体和社会媒体的言论，并对行使言论自由造成不利影响。在这方面，委员会感到关切的是，有资料表明尽管《通信组织法》规定了与言论自由权有关的重要原则，但它仍载有某些可能会对充分行使该权利造成影响的规定，其中包括施加大量可能会被证实是模糊或不适当的义务，例如向媒体施加的“报道和传播公众利益相关事实”的义务，或者禁止传播“经事先安排直接或通过第三方在一个或多个通信媒体上不断发布以期损害某自然人或法人信誉或削弱其公信力的信息”</w:t>
      </w:r>
      <w:r>
        <w:rPr>
          <w:rFonts w:hint="eastAsia"/>
        </w:rPr>
        <w:t>(</w:t>
      </w:r>
      <w:r>
        <w:rPr>
          <w:rFonts w:hint="eastAsia"/>
        </w:rPr>
        <w:t>“媒体私刑”</w:t>
      </w:r>
      <w:r>
        <w:rPr>
          <w:rFonts w:hint="eastAsia"/>
        </w:rPr>
        <w:t>)</w:t>
      </w:r>
      <w:r>
        <w:rPr>
          <w:rFonts w:hint="eastAsia"/>
        </w:rPr>
        <w:t>的规定，而不遵守这些义务或规定可能会招致严重刑罚。委员会还感到关切的是，有指控称，包括记者和社交媒体用户在内的某些批判政府的个人在政府官员于媒体指明其姓名后会受到骚扰和匿名威胁，并称司法制度曾被用于压制批评意见，所采用的手段即法律诉讼</w:t>
      </w:r>
      <w:r>
        <w:rPr>
          <w:rFonts w:hint="eastAsia"/>
        </w:rPr>
        <w:t>(</w:t>
      </w:r>
      <w:r>
        <w:rPr>
          <w:rFonts w:hint="eastAsia"/>
        </w:rPr>
        <w:t>第十九条</w:t>
      </w:r>
      <w:r>
        <w:rPr>
          <w:rFonts w:hint="eastAsia"/>
        </w:rPr>
        <w:t>)</w:t>
      </w:r>
      <w:r>
        <w:rPr>
          <w:rFonts w:hint="eastAsia"/>
        </w:rPr>
        <w:t>。</w:t>
      </w:r>
    </w:p>
    <w:p w:rsidR="0009384D" w:rsidRPr="00206D89" w:rsidRDefault="0009384D" w:rsidP="0009384D">
      <w:pPr>
        <w:pStyle w:val="SingleTxtGC"/>
        <w:rPr>
          <w:rFonts w:eastAsia="SimHei"/>
        </w:rPr>
      </w:pPr>
      <w:r w:rsidRPr="00206D89">
        <w:rPr>
          <w:rFonts w:eastAsia="SimHei" w:hint="eastAsia"/>
        </w:rPr>
        <w:t xml:space="preserve">30.  </w:t>
      </w:r>
      <w:r w:rsidRPr="00206D89">
        <w:rPr>
          <w:rFonts w:eastAsia="SimHei" w:hint="eastAsia"/>
        </w:rPr>
        <w:t>缔约国应采取一切必要措施，依照《公约》第十九条，保证充分和有效行使一切形式的见解和言论自由权。在这方面，缔约国应确保其法律，特别是《通信组织法》完全符合《公约》第十九条的规定，并确保对行使言论自由权的任何限制都完全符合《公约》第十九条第</w:t>
      </w:r>
      <w:r w:rsidRPr="00206D89">
        <w:rPr>
          <w:rFonts w:eastAsia="SimHei" w:hint="eastAsia"/>
        </w:rPr>
        <w:t>3</w:t>
      </w:r>
      <w:r w:rsidRPr="00206D89">
        <w:rPr>
          <w:rFonts w:eastAsia="SimHei" w:hint="eastAsia"/>
        </w:rPr>
        <w:t>款所列并经委员会关于见解自由和言论自由的第</w:t>
      </w:r>
      <w:r w:rsidRPr="00206D89">
        <w:rPr>
          <w:rFonts w:eastAsia="SimHei" w:hint="eastAsia"/>
        </w:rPr>
        <w:t>34(2011)</w:t>
      </w:r>
      <w:r w:rsidRPr="00206D89">
        <w:rPr>
          <w:rFonts w:eastAsia="SimHei" w:hint="eastAsia"/>
        </w:rPr>
        <w:t>号一般性意见进一步阐述的各项严格要求。缔约国还应为因行使其见解和言论自由权而遭受骚扰或威胁的人员提供适当保护，并确保及时、彻底、独立和公正地调查所有与此种性质的行为有关的指控，并将犯罪者绳之以法。</w:t>
      </w:r>
    </w:p>
    <w:p w:rsidR="0009384D" w:rsidRDefault="0009384D" w:rsidP="009C2C37">
      <w:pPr>
        <w:pStyle w:val="H23GC"/>
      </w:pPr>
      <w:r>
        <w:rPr>
          <w:rFonts w:hint="eastAsia"/>
        </w:rPr>
        <w:tab/>
      </w:r>
      <w:r>
        <w:rPr>
          <w:rFonts w:hint="eastAsia"/>
        </w:rPr>
        <w:tab/>
      </w:r>
      <w:r>
        <w:rPr>
          <w:rFonts w:hint="eastAsia"/>
        </w:rPr>
        <w:t>结社自由</w:t>
      </w:r>
    </w:p>
    <w:p w:rsidR="0009384D" w:rsidRDefault="0009384D" w:rsidP="0009384D">
      <w:pPr>
        <w:pStyle w:val="SingleTxtGC"/>
      </w:pPr>
      <w:r>
        <w:rPr>
          <w:rFonts w:hint="eastAsia"/>
        </w:rPr>
        <w:t xml:space="preserve">31.  </w:t>
      </w:r>
      <w:r>
        <w:rPr>
          <w:rFonts w:hint="eastAsia"/>
        </w:rPr>
        <w:t>委员会感到关切的是，有报告称缔约国的法律载有一些规定，允许以一些可能过于宽泛或模糊理由为由，解散具有法人地位的社会组织</w:t>
      </w:r>
      <w:r>
        <w:rPr>
          <w:rFonts w:hint="eastAsia"/>
        </w:rPr>
        <w:t>(</w:t>
      </w:r>
      <w:r>
        <w:rPr>
          <w:rFonts w:hint="eastAsia"/>
        </w:rPr>
        <w:t>第二十二条</w:t>
      </w:r>
      <w:r>
        <w:rPr>
          <w:rFonts w:hint="eastAsia"/>
        </w:rPr>
        <w:t>)</w:t>
      </w:r>
      <w:r>
        <w:rPr>
          <w:rFonts w:hint="eastAsia"/>
        </w:rPr>
        <w:t>。</w:t>
      </w:r>
    </w:p>
    <w:p w:rsidR="0009384D" w:rsidRPr="00206D89" w:rsidRDefault="0009384D" w:rsidP="0009384D">
      <w:pPr>
        <w:pStyle w:val="SingleTxtGC"/>
        <w:rPr>
          <w:rFonts w:eastAsia="SimHei"/>
        </w:rPr>
      </w:pPr>
      <w:r w:rsidRPr="00206D89">
        <w:rPr>
          <w:rFonts w:eastAsia="SimHei" w:hint="eastAsia"/>
        </w:rPr>
        <w:t xml:space="preserve">32.  </w:t>
      </w:r>
      <w:r w:rsidRPr="00206D89">
        <w:rPr>
          <w:rFonts w:eastAsia="SimHei" w:hint="eastAsia"/>
        </w:rPr>
        <w:t>委员会建议缔约国采取必要措施，确保其管辖下的所有人都能够充分享有其结社自由权，并确保对行使该权利施加的任何限制都完全符合《公约》第二十二条第</w:t>
      </w:r>
      <w:r w:rsidRPr="00206D89">
        <w:rPr>
          <w:rFonts w:eastAsia="SimHei" w:hint="eastAsia"/>
        </w:rPr>
        <w:t>2</w:t>
      </w:r>
      <w:r w:rsidRPr="00206D89">
        <w:rPr>
          <w:rFonts w:eastAsia="SimHei" w:hint="eastAsia"/>
        </w:rPr>
        <w:t>款的严格要求。特别是，委员会建议缔约国审查其法律，以确保其完全符合《公约》第二十二条的规定。</w:t>
      </w:r>
    </w:p>
    <w:p w:rsidR="0009384D" w:rsidRDefault="0009384D" w:rsidP="009C2C37">
      <w:pPr>
        <w:pStyle w:val="H23GC"/>
      </w:pPr>
      <w:r>
        <w:rPr>
          <w:rFonts w:hint="eastAsia"/>
        </w:rPr>
        <w:lastRenderedPageBreak/>
        <w:tab/>
      </w:r>
      <w:r>
        <w:rPr>
          <w:rFonts w:hint="eastAsia"/>
        </w:rPr>
        <w:tab/>
      </w:r>
      <w:r>
        <w:rPr>
          <w:rFonts w:hint="eastAsia"/>
        </w:rPr>
        <w:t>童工</w:t>
      </w:r>
    </w:p>
    <w:p w:rsidR="0009384D" w:rsidRDefault="0009384D" w:rsidP="0009384D">
      <w:pPr>
        <w:pStyle w:val="SingleTxtGC"/>
      </w:pPr>
      <w:r>
        <w:rPr>
          <w:rFonts w:hint="eastAsia"/>
        </w:rPr>
        <w:t xml:space="preserve">33.  </w:t>
      </w:r>
      <w:r>
        <w:rPr>
          <w:rFonts w:hint="eastAsia"/>
        </w:rPr>
        <w:t>尽管委员会注意到缔约国为消除童工现象所采取的措施以及童工比例显著下降，但它也关切地注意到有资料表明，在缔约国，仍有大量童工在工作</w:t>
      </w:r>
      <w:r>
        <w:rPr>
          <w:rFonts w:hint="eastAsia"/>
        </w:rPr>
        <w:t>(</w:t>
      </w:r>
      <w:r>
        <w:rPr>
          <w:rFonts w:hint="eastAsia"/>
        </w:rPr>
        <w:t>第二十四条</w:t>
      </w:r>
      <w:r>
        <w:rPr>
          <w:rFonts w:hint="eastAsia"/>
        </w:rPr>
        <w:t>)</w:t>
      </w:r>
      <w:r>
        <w:rPr>
          <w:rFonts w:hint="eastAsia"/>
        </w:rPr>
        <w:t>。</w:t>
      </w:r>
    </w:p>
    <w:p w:rsidR="0009384D" w:rsidRPr="00206D89" w:rsidRDefault="0009384D" w:rsidP="0009384D">
      <w:pPr>
        <w:pStyle w:val="SingleTxtGC"/>
        <w:rPr>
          <w:rFonts w:eastAsia="SimHei"/>
        </w:rPr>
      </w:pPr>
      <w:r w:rsidRPr="00206D89">
        <w:rPr>
          <w:rFonts w:eastAsia="SimHei" w:hint="eastAsia"/>
        </w:rPr>
        <w:t xml:space="preserve">34.  </w:t>
      </w:r>
      <w:r w:rsidRPr="00206D89">
        <w:rPr>
          <w:rFonts w:eastAsia="SimHei" w:hint="eastAsia"/>
        </w:rPr>
        <w:t>缔约国应继续努力减少童工数量，并确保违反童工相关法律而雇用童工的人员受到惩处。</w:t>
      </w:r>
    </w:p>
    <w:p w:rsidR="0009384D" w:rsidRDefault="0009384D" w:rsidP="009C2C37">
      <w:pPr>
        <w:pStyle w:val="H23GC"/>
      </w:pPr>
      <w:r>
        <w:rPr>
          <w:rFonts w:hint="eastAsia"/>
        </w:rPr>
        <w:tab/>
      </w:r>
      <w:r>
        <w:rPr>
          <w:rFonts w:hint="eastAsia"/>
        </w:rPr>
        <w:tab/>
      </w:r>
      <w:r>
        <w:rPr>
          <w:rFonts w:hint="eastAsia"/>
        </w:rPr>
        <w:t>土著人民的权利</w:t>
      </w:r>
    </w:p>
    <w:p w:rsidR="0009384D" w:rsidRDefault="0009384D" w:rsidP="0009384D">
      <w:pPr>
        <w:pStyle w:val="SingleTxtGC"/>
      </w:pPr>
      <w:r>
        <w:rPr>
          <w:rFonts w:hint="eastAsia"/>
        </w:rPr>
        <w:t xml:space="preserve">35.  </w:t>
      </w:r>
      <w:r>
        <w:rPr>
          <w:rFonts w:hint="eastAsia"/>
        </w:rPr>
        <w:t>委员会注意到宪法法院第</w:t>
      </w:r>
      <w:r>
        <w:rPr>
          <w:rFonts w:hint="eastAsia"/>
        </w:rPr>
        <w:t>001-10-SEP-CC</w:t>
      </w:r>
      <w:r>
        <w:rPr>
          <w:rFonts w:hint="eastAsia"/>
        </w:rPr>
        <w:t>号裁决和第</w:t>
      </w:r>
      <w:r>
        <w:rPr>
          <w:rFonts w:hint="eastAsia"/>
        </w:rPr>
        <w:t>1247</w:t>
      </w:r>
      <w:r>
        <w:rPr>
          <w:rFonts w:hint="eastAsia"/>
        </w:rPr>
        <w:t>号行政令，但它感到关切的是，有报告称，在土著领土上授予某些石油特许权时，并未事先与受影响社区进行磋商。委员会还感到关切的是，在通过关于与厄瓜多尔公社、社区、人民和各民族进行协商的法案方面存在延误。尽管委员会注意到《第</w:t>
      </w:r>
      <w:r>
        <w:rPr>
          <w:rFonts w:hint="eastAsia"/>
        </w:rPr>
        <w:t>120</w:t>
      </w:r>
      <w:r>
        <w:rPr>
          <w:rFonts w:hint="eastAsia"/>
        </w:rPr>
        <w:t>号部际协定》规定了在厄瓜多尔亚马逊地区参与石油相关活动且毗邻不可侵犯地区的上市和私营企业需要遵守的行为准则，但还是对以下说法感到关切，即自愿与世隔离的</w:t>
      </w:r>
      <w:r>
        <w:rPr>
          <w:rFonts w:hint="eastAsia"/>
        </w:rPr>
        <w:t>Tagaeri</w:t>
      </w:r>
      <w:r>
        <w:rPr>
          <w:rFonts w:hint="eastAsia"/>
        </w:rPr>
        <w:t>族和</w:t>
      </w:r>
      <w:r>
        <w:rPr>
          <w:rFonts w:hint="eastAsia"/>
        </w:rPr>
        <w:t>Taromenane</w:t>
      </w:r>
      <w:r>
        <w:rPr>
          <w:rFonts w:hint="eastAsia"/>
        </w:rPr>
        <w:t>族土著人民的处境岌岌可危，除其他外，这要归因于其所居住领土上进行的自然资源开采</w:t>
      </w:r>
      <w:r>
        <w:rPr>
          <w:rFonts w:hint="eastAsia"/>
        </w:rPr>
        <w:t>(</w:t>
      </w:r>
      <w:r>
        <w:rPr>
          <w:rFonts w:hint="eastAsia"/>
        </w:rPr>
        <w:t>第二十七条</w:t>
      </w:r>
      <w:r>
        <w:rPr>
          <w:rFonts w:hint="eastAsia"/>
        </w:rPr>
        <w:t>)</w:t>
      </w:r>
      <w:r>
        <w:rPr>
          <w:rFonts w:hint="eastAsia"/>
        </w:rPr>
        <w:t>。</w:t>
      </w:r>
    </w:p>
    <w:p w:rsidR="0009384D" w:rsidRPr="00206D89" w:rsidRDefault="0009384D" w:rsidP="0009384D">
      <w:pPr>
        <w:pStyle w:val="SingleTxtGC"/>
        <w:rPr>
          <w:rFonts w:eastAsia="SimHei"/>
        </w:rPr>
      </w:pPr>
      <w:r w:rsidRPr="00206D89">
        <w:rPr>
          <w:rFonts w:eastAsia="SimHei" w:hint="eastAsia"/>
        </w:rPr>
        <w:t xml:space="preserve">36.  </w:t>
      </w:r>
      <w:r w:rsidRPr="00206D89">
        <w:rPr>
          <w:rFonts w:eastAsia="SimHei" w:hint="eastAsia"/>
        </w:rPr>
        <w:t>缔约国应：</w:t>
      </w:r>
    </w:p>
    <w:p w:rsidR="0009384D" w:rsidRDefault="0009384D" w:rsidP="00FD19C9">
      <w:pPr>
        <w:pStyle w:val="SingleTxtGC"/>
        <w:numPr>
          <w:ilvl w:val="0"/>
          <w:numId w:val="13"/>
        </w:numPr>
        <w:tabs>
          <w:tab w:val="clear" w:pos="2426"/>
          <w:tab w:val="left" w:pos="2427"/>
        </w:tabs>
      </w:pPr>
      <w:r w:rsidRPr="00206D89">
        <w:rPr>
          <w:rFonts w:eastAsia="SimHei" w:hint="eastAsia"/>
        </w:rPr>
        <w:t>采取必要措施，确保与土著公社、社区、人民和民族进行适当磋商，以事先就可能会对其生活方式和文化产生实质性影响的措施获得他们的自由、知情同意</w:t>
      </w:r>
      <w:r>
        <w:rPr>
          <w:rFonts w:hint="eastAsia"/>
        </w:rPr>
        <w:t>；</w:t>
      </w:r>
    </w:p>
    <w:p w:rsidR="0009384D" w:rsidRDefault="0009384D" w:rsidP="00FD19C9">
      <w:pPr>
        <w:pStyle w:val="SingleTxtGC"/>
        <w:numPr>
          <w:ilvl w:val="0"/>
          <w:numId w:val="13"/>
        </w:numPr>
        <w:tabs>
          <w:tab w:val="clear" w:pos="2426"/>
          <w:tab w:val="left" w:pos="2427"/>
        </w:tabs>
      </w:pPr>
      <w:r w:rsidRPr="00206D89">
        <w:rPr>
          <w:rFonts w:eastAsia="SimHei" w:hint="eastAsia"/>
        </w:rPr>
        <w:t>加快通过关于与厄瓜多尔公社、社区、人民和各民族进行协商的法案，并确保在此进程中，与土著公社、社区、人民和各民族进行适当磋商</w:t>
      </w:r>
      <w:r>
        <w:rPr>
          <w:rFonts w:hint="eastAsia"/>
        </w:rPr>
        <w:t>；</w:t>
      </w:r>
    </w:p>
    <w:p w:rsidR="0009384D" w:rsidRDefault="0009384D" w:rsidP="00FD19C9">
      <w:pPr>
        <w:pStyle w:val="SingleTxtGC"/>
        <w:numPr>
          <w:ilvl w:val="0"/>
          <w:numId w:val="13"/>
        </w:numPr>
        <w:tabs>
          <w:tab w:val="clear" w:pos="2426"/>
          <w:tab w:val="left" w:pos="2427"/>
        </w:tabs>
      </w:pPr>
      <w:r w:rsidRPr="00206D89">
        <w:rPr>
          <w:rFonts w:eastAsia="SimHei" w:hint="eastAsia"/>
        </w:rPr>
        <w:t>加大努力，保护与世隔绝的土著人民的生命并保障其生计，特别是确保不会开展可能会使其处境更加脆弱的采掘或任何其他活动</w:t>
      </w:r>
      <w:r>
        <w:rPr>
          <w:rFonts w:hint="eastAsia"/>
        </w:rPr>
        <w:t>。</w:t>
      </w:r>
    </w:p>
    <w:p w:rsidR="0009384D" w:rsidRDefault="0009384D" w:rsidP="009C2C37">
      <w:pPr>
        <w:pStyle w:val="H23GC"/>
      </w:pPr>
      <w:r>
        <w:rPr>
          <w:rFonts w:hint="eastAsia"/>
        </w:rPr>
        <w:tab/>
      </w:r>
      <w:r>
        <w:rPr>
          <w:rFonts w:hint="eastAsia"/>
        </w:rPr>
        <w:tab/>
      </w:r>
      <w:r>
        <w:rPr>
          <w:rFonts w:hint="eastAsia"/>
        </w:rPr>
        <w:t>土著法院</w:t>
      </w:r>
    </w:p>
    <w:p w:rsidR="0009384D" w:rsidRDefault="0009384D" w:rsidP="0009384D">
      <w:pPr>
        <w:pStyle w:val="SingleTxtGC"/>
      </w:pPr>
      <w:r>
        <w:rPr>
          <w:rFonts w:hint="eastAsia"/>
        </w:rPr>
        <w:t xml:space="preserve">37.  </w:t>
      </w:r>
      <w:r>
        <w:rPr>
          <w:rFonts w:hint="eastAsia"/>
        </w:rPr>
        <w:t>委员会感到关切的是，缺少专门管辖土著法院和普通法院职责分工的法律和体制框架</w:t>
      </w:r>
      <w:r>
        <w:rPr>
          <w:rFonts w:hint="eastAsia"/>
        </w:rPr>
        <w:t>(</w:t>
      </w:r>
      <w:r>
        <w:rPr>
          <w:rFonts w:hint="eastAsia"/>
        </w:rPr>
        <w:t>第十四条和第二十七条</w:t>
      </w:r>
      <w:r>
        <w:rPr>
          <w:rFonts w:hint="eastAsia"/>
        </w:rPr>
        <w:t>)</w:t>
      </w:r>
      <w:r>
        <w:rPr>
          <w:rFonts w:hint="eastAsia"/>
        </w:rPr>
        <w:t>。</w:t>
      </w:r>
    </w:p>
    <w:p w:rsidR="0009384D" w:rsidRPr="00206D89" w:rsidRDefault="0009384D" w:rsidP="0009384D">
      <w:pPr>
        <w:pStyle w:val="SingleTxtGC"/>
        <w:rPr>
          <w:rFonts w:eastAsia="SimHei"/>
        </w:rPr>
      </w:pPr>
      <w:r w:rsidRPr="00206D89">
        <w:rPr>
          <w:rFonts w:eastAsia="SimHei" w:hint="eastAsia"/>
        </w:rPr>
        <w:t xml:space="preserve">38.  </w:t>
      </w:r>
      <w:r w:rsidRPr="00206D89">
        <w:rPr>
          <w:rFonts w:eastAsia="SimHei" w:hint="eastAsia"/>
        </w:rPr>
        <w:t>缔约国应采取必要措施，通过一个专门管辖土著法院和普通法院职责分工的法律和体制框架，保证尊重土著社区、人民和各民族的权利与利益，并确保此类社区的所有成员都能充分享有《公约》规定的权利。</w:t>
      </w:r>
    </w:p>
    <w:p w:rsidR="0009384D" w:rsidRDefault="0009384D" w:rsidP="00B465D9">
      <w:pPr>
        <w:pStyle w:val="H1GC"/>
      </w:pPr>
      <w:r>
        <w:rPr>
          <w:rFonts w:hint="eastAsia"/>
        </w:rPr>
        <w:tab/>
        <w:t>D.</w:t>
      </w:r>
      <w:r>
        <w:rPr>
          <w:rFonts w:hint="eastAsia"/>
        </w:rPr>
        <w:tab/>
      </w:r>
      <w:r>
        <w:rPr>
          <w:rFonts w:hint="eastAsia"/>
        </w:rPr>
        <w:t>传播与《公约》有关的资料</w:t>
      </w:r>
    </w:p>
    <w:p w:rsidR="0009384D" w:rsidRDefault="0009384D" w:rsidP="0009384D">
      <w:pPr>
        <w:pStyle w:val="SingleTxtGC"/>
      </w:pPr>
      <w:r>
        <w:rPr>
          <w:rFonts w:hint="eastAsia"/>
        </w:rPr>
        <w:t xml:space="preserve">39.  </w:t>
      </w:r>
      <w:r>
        <w:rPr>
          <w:rFonts w:hint="eastAsia"/>
        </w:rPr>
        <w:t>缔约国应广泛传播《公约》及其两项《任择议定书》、缔约国的第六次定期报告和本结论性意见，以提高司法、立法和行政机构、民间社会、在缔约国开展活动的非政府组织及广大公众对《公约》所规定权利的认识。</w:t>
      </w:r>
    </w:p>
    <w:p w:rsidR="0009384D" w:rsidRDefault="0009384D" w:rsidP="0009384D">
      <w:pPr>
        <w:pStyle w:val="SingleTxtGC"/>
      </w:pPr>
      <w:r>
        <w:rPr>
          <w:rFonts w:hint="eastAsia"/>
        </w:rPr>
        <w:lastRenderedPageBreak/>
        <w:t xml:space="preserve">40.  </w:t>
      </w:r>
      <w:r>
        <w:rPr>
          <w:rFonts w:hint="eastAsia"/>
        </w:rPr>
        <w:t>根据委员会议事规则第</w:t>
      </w:r>
      <w:r>
        <w:rPr>
          <w:rFonts w:hint="eastAsia"/>
        </w:rPr>
        <w:t>71</w:t>
      </w:r>
      <w:r>
        <w:rPr>
          <w:rFonts w:hint="eastAsia"/>
        </w:rPr>
        <w:t>条第</w:t>
      </w:r>
      <w:r>
        <w:rPr>
          <w:rFonts w:hint="eastAsia"/>
        </w:rPr>
        <w:t>5</w:t>
      </w:r>
      <w:r>
        <w:rPr>
          <w:rFonts w:hint="eastAsia"/>
        </w:rPr>
        <w:t>段，缔约国应在本结论性意见通过后一年之内提供有关资料，说明委员会在第</w:t>
      </w:r>
      <w:r>
        <w:rPr>
          <w:rFonts w:hint="eastAsia"/>
        </w:rPr>
        <w:t>20</w:t>
      </w:r>
      <w:r>
        <w:rPr>
          <w:rFonts w:hint="eastAsia"/>
        </w:rPr>
        <w:t>段</w:t>
      </w:r>
      <w:r>
        <w:rPr>
          <w:rFonts w:hint="eastAsia"/>
        </w:rPr>
        <w:t>(</w:t>
      </w:r>
      <w:r>
        <w:rPr>
          <w:rFonts w:hint="eastAsia"/>
        </w:rPr>
        <w:t>真相委员会</w:t>
      </w:r>
      <w:r>
        <w:rPr>
          <w:rFonts w:hint="eastAsia"/>
        </w:rPr>
        <w:t>)</w:t>
      </w:r>
      <w:r>
        <w:rPr>
          <w:rFonts w:hint="eastAsia"/>
        </w:rPr>
        <w:t>、第</w:t>
      </w:r>
      <w:r>
        <w:rPr>
          <w:rFonts w:hint="eastAsia"/>
        </w:rPr>
        <w:t>24</w:t>
      </w:r>
      <w:r>
        <w:rPr>
          <w:rFonts w:hint="eastAsia"/>
        </w:rPr>
        <w:t>段</w:t>
      </w:r>
      <w:r>
        <w:rPr>
          <w:rFonts w:hint="eastAsia"/>
        </w:rPr>
        <w:t>(</w:t>
      </w:r>
      <w:r>
        <w:rPr>
          <w:rFonts w:hint="eastAsia"/>
        </w:rPr>
        <w:t>拘留条件和监狱暴力</w:t>
      </w:r>
      <w:r>
        <w:rPr>
          <w:rFonts w:hint="eastAsia"/>
        </w:rPr>
        <w:t>)</w:t>
      </w:r>
      <w:r>
        <w:rPr>
          <w:rFonts w:hint="eastAsia"/>
        </w:rPr>
        <w:t>和第</w:t>
      </w:r>
      <w:r>
        <w:rPr>
          <w:rFonts w:hint="eastAsia"/>
        </w:rPr>
        <w:t>28</w:t>
      </w:r>
      <w:r>
        <w:rPr>
          <w:rFonts w:hint="eastAsia"/>
        </w:rPr>
        <w:t>段</w:t>
      </w:r>
      <w:r>
        <w:rPr>
          <w:rFonts w:hint="eastAsia"/>
        </w:rPr>
        <w:t>(</w:t>
      </w:r>
      <w:r>
        <w:rPr>
          <w:rFonts w:hint="eastAsia"/>
        </w:rPr>
        <w:t>言论自由与和平集会自由</w:t>
      </w:r>
      <w:r>
        <w:rPr>
          <w:rFonts w:hint="eastAsia"/>
        </w:rPr>
        <w:t>)</w:t>
      </w:r>
      <w:r>
        <w:rPr>
          <w:rFonts w:hint="eastAsia"/>
        </w:rPr>
        <w:t>中所提建议的落实情况。</w:t>
      </w:r>
    </w:p>
    <w:p w:rsidR="0009384D" w:rsidRDefault="0009384D" w:rsidP="0009384D">
      <w:pPr>
        <w:pStyle w:val="SingleTxtGC"/>
      </w:pPr>
      <w:r>
        <w:rPr>
          <w:rFonts w:hint="eastAsia"/>
        </w:rPr>
        <w:t xml:space="preserve">41.  </w:t>
      </w:r>
      <w:r>
        <w:rPr>
          <w:rFonts w:hint="eastAsia"/>
        </w:rPr>
        <w:t>委员会请缔约国在</w:t>
      </w:r>
      <w:r>
        <w:rPr>
          <w:rFonts w:hint="eastAsia"/>
        </w:rPr>
        <w:t>2021</w:t>
      </w:r>
      <w:r>
        <w:rPr>
          <w:rFonts w:hint="eastAsia"/>
        </w:rPr>
        <w:t>年</w:t>
      </w:r>
      <w:r>
        <w:rPr>
          <w:rFonts w:hint="eastAsia"/>
        </w:rPr>
        <w:t>7</w:t>
      </w:r>
      <w:r>
        <w:rPr>
          <w:rFonts w:hint="eastAsia"/>
        </w:rPr>
        <w:t>月</w:t>
      </w:r>
      <w:r>
        <w:rPr>
          <w:rFonts w:hint="eastAsia"/>
        </w:rPr>
        <w:t>15</w:t>
      </w:r>
      <w:r>
        <w:rPr>
          <w:rFonts w:hint="eastAsia"/>
        </w:rPr>
        <w:t>日之前提交下一次定期报告，载列具体和最新资料说明落实委员会在本结论性意见中所提各项建议和执行整个《公约》的情况。委员会还请缔约国在编写其下次定期报告时，与民间社会和在本国开展活动的非政府组织广泛协商。</w:t>
      </w:r>
    </w:p>
    <w:p w:rsidR="0009384D" w:rsidRDefault="0009384D" w:rsidP="0009384D">
      <w:pPr>
        <w:pStyle w:val="SingleTxtGC"/>
      </w:pPr>
      <w:r>
        <w:rPr>
          <w:rFonts w:hint="eastAsia"/>
        </w:rPr>
        <w:t xml:space="preserve">42.  </w:t>
      </w:r>
      <w:r>
        <w:rPr>
          <w:rFonts w:hint="eastAsia"/>
        </w:rPr>
        <w:t>鉴于缔约国已接受简化报告程序，委员会将在适当时候向缔约国发送报告前问题清单。缔约国对清单的答复将构成其第七次定期报告。按照大会第</w:t>
      </w:r>
      <w:r>
        <w:rPr>
          <w:rFonts w:hint="eastAsia"/>
        </w:rPr>
        <w:t>68/268</w:t>
      </w:r>
      <w:r>
        <w:rPr>
          <w:rFonts w:hint="eastAsia"/>
        </w:rPr>
        <w:t>号决议，报告字数不超过</w:t>
      </w:r>
      <w:r>
        <w:rPr>
          <w:rFonts w:hint="eastAsia"/>
        </w:rPr>
        <w:t>21200</w:t>
      </w:r>
      <w:r>
        <w:rPr>
          <w:rFonts w:hint="eastAsia"/>
        </w:rPr>
        <w:t>字。</w:t>
      </w:r>
    </w:p>
    <w:p w:rsidR="0009384D" w:rsidRPr="006E057D" w:rsidRDefault="0009384D" w:rsidP="0009384D">
      <w:pPr>
        <w:pStyle w:val="SingleTxtGC"/>
        <w:jc w:val="center"/>
        <w:rPr>
          <w:rStyle w:val="PageNumber"/>
          <w:lang w:val="en-GB"/>
        </w:rPr>
      </w:pPr>
    </w:p>
    <w:p w:rsidR="0009384D" w:rsidRPr="002C0642" w:rsidRDefault="0009384D" w:rsidP="0009384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9384D" w:rsidRDefault="0009384D" w:rsidP="0009384D">
      <w:pPr>
        <w:pStyle w:val="SingleTxtGC"/>
      </w:pPr>
    </w:p>
    <w:sectPr w:rsidR="0009384D"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7E" w:rsidRPr="000D319F" w:rsidRDefault="007B2C7E" w:rsidP="000D319F">
      <w:pPr>
        <w:pStyle w:val="Footer"/>
        <w:spacing w:after="240"/>
        <w:ind w:left="907"/>
        <w:rPr>
          <w:rFonts w:asciiTheme="majorBidi" w:eastAsia="SimSun" w:hAnsiTheme="majorBidi" w:cstheme="majorBidi"/>
          <w:sz w:val="21"/>
          <w:szCs w:val="21"/>
          <w:lang w:val="en-US"/>
        </w:rPr>
      </w:pPr>
    </w:p>
    <w:p w:rsidR="007B2C7E" w:rsidRPr="000D319F" w:rsidRDefault="007B2C7E"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B2C7E" w:rsidRPr="000D319F" w:rsidRDefault="007B2C7E" w:rsidP="000D319F">
      <w:pPr>
        <w:pStyle w:val="Footer"/>
      </w:pPr>
    </w:p>
  </w:endnote>
  <w:endnote w:type="continuationNotice" w:id="1">
    <w:p w:rsidR="007B2C7E" w:rsidRDefault="007B2C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KaiTi_GB2312">
    <w:altName w:val="楷体"/>
    <w:panose1 w:val="02010609060101010101"/>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465D9" w:rsidRDefault="0009384D" w:rsidP="0009384D">
    <w:pPr>
      <w:pStyle w:val="Footer"/>
      <w:tabs>
        <w:tab w:val="clear" w:pos="431"/>
        <w:tab w:val="right" w:pos="9638"/>
      </w:tabs>
      <w:rPr>
        <w:rStyle w:val="PageNumber"/>
        <w:rFonts w:eastAsiaTheme="minorEastAsia"/>
        <w:lang w:eastAsia="zh-CN"/>
      </w:rPr>
    </w:pPr>
    <w:r>
      <w:rPr>
        <w:rStyle w:val="PageNumber"/>
      </w:rPr>
      <w:fldChar w:fldCharType="begin"/>
    </w:r>
    <w:r>
      <w:rPr>
        <w:rStyle w:val="PageNumber"/>
      </w:rPr>
      <w:instrText xml:space="preserve"> PAGE  \* MERGEFORMAT </w:instrText>
    </w:r>
    <w:r>
      <w:rPr>
        <w:rStyle w:val="PageNumber"/>
      </w:rPr>
      <w:fldChar w:fldCharType="separate"/>
    </w:r>
    <w:r w:rsidR="00850CDF">
      <w:rPr>
        <w:rStyle w:val="PageNumber"/>
        <w:noProof/>
      </w:rPr>
      <w:t>8</w:t>
    </w:r>
    <w:r>
      <w:rPr>
        <w:rStyle w:val="PageNumber"/>
      </w:rPr>
      <w:fldChar w:fldCharType="end"/>
    </w:r>
    <w:r>
      <w:rPr>
        <w:rStyle w:val="PageNumber"/>
      </w:rPr>
      <w:tab/>
    </w:r>
    <w:r w:rsidRPr="0009384D">
      <w:rPr>
        <w:rStyle w:val="PageNumber"/>
        <w:b w:val="0"/>
        <w:snapToGrid w:val="0"/>
        <w:sz w:val="16"/>
      </w:rPr>
      <w:t>GE.16-13867</w:t>
    </w:r>
    <w:r w:rsidR="00B465D9">
      <w:rPr>
        <w:rStyle w:val="PageNumber"/>
        <w:rFonts w:eastAsiaTheme="minorEastAsia" w:hint="eastAsia"/>
        <w:b w:val="0"/>
        <w:snapToGrid w:val="0"/>
        <w:sz w:val="16"/>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09384D" w:rsidRDefault="0009384D" w:rsidP="0009384D">
    <w:pPr>
      <w:pStyle w:val="Footer"/>
      <w:tabs>
        <w:tab w:val="clear" w:pos="431"/>
        <w:tab w:val="right" w:pos="9638"/>
      </w:tabs>
      <w:rPr>
        <w:rStyle w:val="PageNumber"/>
      </w:rPr>
    </w:pPr>
    <w:r>
      <w:t>GE.16-13867</w:t>
    </w:r>
    <w:r w:rsidR="00B465D9">
      <w:rPr>
        <w:rFonts w:eastAsiaTheme="minorEastAsia" w:hint="eastAsia"/>
        <w:lang w:eastAsia="zh-CN"/>
      </w:rPr>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850CDF">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09384D" w:rsidP="00487939">
    <w:pPr>
      <w:pStyle w:val="Footer"/>
      <w:tabs>
        <w:tab w:val="left" w:pos="1701"/>
        <w:tab w:val="left" w:pos="2552"/>
        <w:tab w:val="left" w:pos="8448"/>
      </w:tabs>
      <w:spacing w:before="360"/>
      <w:rPr>
        <w:rFonts w:eastAsiaTheme="minorEastAsia"/>
        <w:b/>
        <w:sz w:val="21"/>
        <w:lang w:eastAsia="zh-CN"/>
      </w:rPr>
    </w:pPr>
    <w:r>
      <w:rPr>
        <w:sz w:val="20"/>
        <w:lang w:eastAsia="zh-CN"/>
      </w:rPr>
      <w:t>GE.16-13867</w:t>
    </w:r>
    <w:r w:rsidR="00B465D9">
      <w:rPr>
        <w:sz w:val="20"/>
        <w:lang w:eastAsia="zh-CN"/>
      </w:rPr>
      <w:t xml:space="preserve"> (</w:t>
    </w:r>
    <w:r w:rsidR="00B465D9">
      <w:rPr>
        <w:rFonts w:eastAsiaTheme="minorEastAsia" w:hint="eastAsia"/>
        <w:sz w:val="20"/>
        <w:lang w:eastAsia="zh-CN"/>
      </w:rPr>
      <w:t>EXT</w:t>
    </w:r>
    <w:r w:rsidR="00731A42" w:rsidRPr="00EE277A">
      <w:rPr>
        <w:sz w:val="20"/>
        <w:lang w:eastAsia="zh-CN"/>
      </w:rPr>
      <w:t>)</w:t>
    </w:r>
  </w:p>
  <w:p w:rsidR="00056632" w:rsidRPr="00487939" w:rsidRDefault="0009384D"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ECU/CO/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ECU/CO/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92FB5A3" wp14:editId="0657F24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7E" w:rsidRPr="000157B1" w:rsidRDefault="007B2C7E"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B2C7E" w:rsidRPr="000157B1" w:rsidRDefault="007B2C7E"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B2C7E" w:rsidRDefault="007B2C7E"/>
  </w:footnote>
  <w:footnote w:id="2">
    <w:p w:rsidR="00B465D9" w:rsidRPr="00B465D9" w:rsidRDefault="00B465D9">
      <w:pPr>
        <w:pStyle w:val="FootnoteText"/>
      </w:pPr>
      <w:r>
        <w:rPr>
          <w:rStyle w:val="FootnoteReference"/>
          <w:rFonts w:eastAsia="SimSun" w:hint="eastAsia"/>
        </w:rPr>
        <w:tab/>
      </w:r>
      <w:r w:rsidRPr="00B465D9">
        <w:rPr>
          <w:rStyle w:val="FootnoteReference"/>
          <w:rFonts w:eastAsia="SimSun"/>
          <w:vertAlign w:val="baseline"/>
        </w:rPr>
        <w:t>*</w:t>
      </w:r>
      <w:r w:rsidRPr="00B465D9">
        <w:rPr>
          <w:rFonts w:hint="eastAsia"/>
        </w:rPr>
        <w:tab/>
      </w:r>
      <w:r w:rsidRPr="00B465D9">
        <w:rPr>
          <w:rFonts w:hint="eastAsia"/>
        </w:rPr>
        <w:t>经委员会第一百一十七届会议</w:t>
      </w:r>
      <w:r w:rsidRPr="00B465D9">
        <w:rPr>
          <w:rFonts w:hint="eastAsia"/>
        </w:rPr>
        <w:t>(2016</w:t>
      </w:r>
      <w:r w:rsidRPr="00B465D9">
        <w:rPr>
          <w:rFonts w:hint="eastAsia"/>
        </w:rPr>
        <w:t>年</w:t>
      </w:r>
      <w:r w:rsidRPr="00B465D9">
        <w:rPr>
          <w:rFonts w:hint="eastAsia"/>
        </w:rPr>
        <w:t>6</w:t>
      </w:r>
      <w:r w:rsidRPr="00B465D9">
        <w:rPr>
          <w:rFonts w:hint="eastAsia"/>
        </w:rPr>
        <w:t>月</w:t>
      </w:r>
      <w:r w:rsidRPr="00B465D9">
        <w:rPr>
          <w:rFonts w:hint="eastAsia"/>
        </w:rPr>
        <w:t>20</w:t>
      </w:r>
      <w:r w:rsidRPr="00B465D9">
        <w:rPr>
          <w:rFonts w:hint="eastAsia"/>
        </w:rPr>
        <w:t>日至</w:t>
      </w:r>
      <w:r w:rsidRPr="00B465D9">
        <w:rPr>
          <w:rFonts w:hint="eastAsia"/>
        </w:rPr>
        <w:t>7</w:t>
      </w:r>
      <w:r w:rsidRPr="00B465D9">
        <w:rPr>
          <w:rFonts w:hint="eastAsia"/>
        </w:rPr>
        <w:t>月</w:t>
      </w:r>
      <w:r w:rsidRPr="00B465D9">
        <w:rPr>
          <w:rFonts w:hint="eastAsia"/>
        </w:rPr>
        <w:t>15</w:t>
      </w:r>
      <w:r w:rsidRPr="00B465D9">
        <w:rPr>
          <w:rFonts w:hint="eastAsia"/>
        </w:rPr>
        <w:t>日</w:t>
      </w:r>
      <w:r w:rsidRPr="00B465D9">
        <w:rPr>
          <w:rFonts w:hint="eastAsia"/>
        </w:rPr>
        <w:t>)</w:t>
      </w:r>
      <w:r w:rsidRPr="00B465D9">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09384D" w:rsidP="0009384D">
    <w:pPr>
      <w:pStyle w:val="Header"/>
    </w:pPr>
    <w:r>
      <w:t>CCPR/C/ECU/CO/6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09384D" w:rsidP="0009384D">
    <w:pPr>
      <w:pStyle w:val="Header"/>
      <w:jc w:val="right"/>
    </w:pPr>
    <w:r>
      <w:t>CCPR/C/ECU/CO/6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11A1662"/>
    <w:multiLevelType w:val="hybridMultilevel"/>
    <w:tmpl w:val="EAC89CD4"/>
    <w:lvl w:ilvl="0" w:tplc="BB3444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50CDD"/>
    <w:multiLevelType w:val="hybridMultilevel"/>
    <w:tmpl w:val="3588E8DA"/>
    <w:lvl w:ilvl="0" w:tplc="4E56B62C">
      <w:start w:val="1"/>
      <w:numFmt w:val="lowerLetter"/>
      <w:lvlRestart w:val="0"/>
      <w:lvlText w:val="(%1)"/>
      <w:lvlJc w:val="left"/>
      <w:pPr>
        <w:tabs>
          <w:tab w:val="num" w:pos="2426"/>
        </w:tabs>
        <w:ind w:left="1134" w:firstLine="431"/>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A107C"/>
    <w:multiLevelType w:val="hybridMultilevel"/>
    <w:tmpl w:val="0C02FDEA"/>
    <w:lvl w:ilvl="0" w:tplc="B98A85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14F4D"/>
    <w:multiLevelType w:val="hybridMultilevel"/>
    <w:tmpl w:val="522A9980"/>
    <w:lvl w:ilvl="0" w:tplc="5C0C8D3A">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42A271F1"/>
    <w:multiLevelType w:val="hybridMultilevel"/>
    <w:tmpl w:val="A584251E"/>
    <w:lvl w:ilvl="0" w:tplc="E91EBD66">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72D5B69"/>
    <w:multiLevelType w:val="hybridMultilevel"/>
    <w:tmpl w:val="1DFE0B78"/>
    <w:lvl w:ilvl="0" w:tplc="51B4C89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E65E8"/>
    <w:multiLevelType w:val="hybridMultilevel"/>
    <w:tmpl w:val="1C3C8A22"/>
    <w:lvl w:ilvl="0" w:tplc="F5EC0548">
      <w:start w:val="1"/>
      <w:numFmt w:val="lowerLetter"/>
      <w:lvlText w:val="(%1)"/>
      <w:lvlJc w:val="left"/>
      <w:pPr>
        <w:ind w:left="1128" w:hanging="6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8"/>
  </w:num>
  <w:num w:numId="3">
    <w:abstractNumId w:val="2"/>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6"/>
  </w:num>
  <w:num w:numId="10">
    <w:abstractNumId w:val="5"/>
  </w:num>
  <w:num w:numId="11">
    <w:abstractNumId w:val="11"/>
  </w:num>
  <w:num w:numId="12">
    <w:abstractNumId w:val="7"/>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AC"/>
    <w:rsid w:val="00011483"/>
    <w:rsid w:val="0009384D"/>
    <w:rsid w:val="000D319F"/>
    <w:rsid w:val="000E4D0E"/>
    <w:rsid w:val="000F5EB8"/>
    <w:rsid w:val="00144B69"/>
    <w:rsid w:val="00153E86"/>
    <w:rsid w:val="00172E04"/>
    <w:rsid w:val="001B1BD1"/>
    <w:rsid w:val="001C3EF2"/>
    <w:rsid w:val="001D17F6"/>
    <w:rsid w:val="00204B42"/>
    <w:rsid w:val="00206D89"/>
    <w:rsid w:val="0021265F"/>
    <w:rsid w:val="002231C3"/>
    <w:rsid w:val="0024417F"/>
    <w:rsid w:val="00250F8D"/>
    <w:rsid w:val="002E1C97"/>
    <w:rsid w:val="002F5834"/>
    <w:rsid w:val="003006AB"/>
    <w:rsid w:val="00326EBF"/>
    <w:rsid w:val="00327FE4"/>
    <w:rsid w:val="003333CC"/>
    <w:rsid w:val="00356AE9"/>
    <w:rsid w:val="00427F63"/>
    <w:rsid w:val="00434D38"/>
    <w:rsid w:val="00494EB8"/>
    <w:rsid w:val="004C4A0A"/>
    <w:rsid w:val="004F348E"/>
    <w:rsid w:val="00501220"/>
    <w:rsid w:val="005E403A"/>
    <w:rsid w:val="00604D91"/>
    <w:rsid w:val="00680656"/>
    <w:rsid w:val="006B1119"/>
    <w:rsid w:val="006D3757"/>
    <w:rsid w:val="006D37EB"/>
    <w:rsid w:val="006E3E46"/>
    <w:rsid w:val="006E71B1"/>
    <w:rsid w:val="006F1404"/>
    <w:rsid w:val="0070593B"/>
    <w:rsid w:val="00705D89"/>
    <w:rsid w:val="00731A42"/>
    <w:rsid w:val="00767E69"/>
    <w:rsid w:val="0077079A"/>
    <w:rsid w:val="00771504"/>
    <w:rsid w:val="007A5599"/>
    <w:rsid w:val="007B2C7E"/>
    <w:rsid w:val="00850CDF"/>
    <w:rsid w:val="00856233"/>
    <w:rsid w:val="00860F27"/>
    <w:rsid w:val="008B0560"/>
    <w:rsid w:val="008B2BFA"/>
    <w:rsid w:val="008D31F4"/>
    <w:rsid w:val="008E6A3F"/>
    <w:rsid w:val="00923557"/>
    <w:rsid w:val="00936F03"/>
    <w:rsid w:val="00943B69"/>
    <w:rsid w:val="00944CB3"/>
    <w:rsid w:val="00986624"/>
    <w:rsid w:val="009B09D7"/>
    <w:rsid w:val="009C2C37"/>
    <w:rsid w:val="009D35ED"/>
    <w:rsid w:val="00A03CB6"/>
    <w:rsid w:val="00A1364C"/>
    <w:rsid w:val="00A21076"/>
    <w:rsid w:val="00A31BA8"/>
    <w:rsid w:val="00A3739A"/>
    <w:rsid w:val="00A52DAF"/>
    <w:rsid w:val="00A84072"/>
    <w:rsid w:val="00B16570"/>
    <w:rsid w:val="00B23B03"/>
    <w:rsid w:val="00B43EB7"/>
    <w:rsid w:val="00B465D9"/>
    <w:rsid w:val="00B53320"/>
    <w:rsid w:val="00BC6522"/>
    <w:rsid w:val="00C121D5"/>
    <w:rsid w:val="00C17349"/>
    <w:rsid w:val="00C351AA"/>
    <w:rsid w:val="00C70852"/>
    <w:rsid w:val="00C7253F"/>
    <w:rsid w:val="00C90707"/>
    <w:rsid w:val="00CE1D1C"/>
    <w:rsid w:val="00D26A05"/>
    <w:rsid w:val="00D9309B"/>
    <w:rsid w:val="00D97B98"/>
    <w:rsid w:val="00DC671F"/>
    <w:rsid w:val="00DE4DA7"/>
    <w:rsid w:val="00E02C13"/>
    <w:rsid w:val="00E33B38"/>
    <w:rsid w:val="00E442A1"/>
    <w:rsid w:val="00E47FE5"/>
    <w:rsid w:val="00E574AF"/>
    <w:rsid w:val="00EA7E67"/>
    <w:rsid w:val="00F144AC"/>
    <w:rsid w:val="00F24E6D"/>
    <w:rsid w:val="00F714DA"/>
    <w:rsid w:val="00FB456B"/>
    <w:rsid w:val="00FD19C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E442A1"/>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442A1"/>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442A1"/>
    <w:pPr>
      <w:keepLines w:val="0"/>
      <w:spacing w:after="0"/>
    </w:pPr>
  </w:style>
  <w:style w:type="character" w:customStyle="1" w:styleId="EndnoteTextChar">
    <w:name w:val="Endnote Text Char"/>
    <w:basedOn w:val="DefaultParagraphFont"/>
    <w:link w:val="EndnoteText"/>
    <w:rsid w:val="00E442A1"/>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31BA8"/>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31BA8"/>
    <w:rPr>
      <w:rFonts w:eastAsia="Times New Roman"/>
      <w:snapToGrid w:val="0"/>
      <w:sz w:val="16"/>
      <w:szCs w:val="16"/>
      <w:lang w:val="en-GB" w:eastAsia="en-US"/>
    </w:rPr>
  </w:style>
  <w:style w:type="character" w:styleId="PageNumber">
    <w:name w:val="page number"/>
    <w:aliases w:val="7_G"/>
    <w:basedOn w:val="DefaultParagraphFont"/>
    <w:qFormat/>
    <w:rsid w:val="00A31BA8"/>
    <w:rPr>
      <w:rFonts w:ascii="Times New Roman" w:hAnsi="Times New Roman"/>
      <w:b/>
      <w:i w:val="0"/>
      <w:snapToGrid w:val="0"/>
      <w:spacing w:val="0"/>
      <w:kern w:val="0"/>
      <w:sz w:val="18"/>
      <w14:cntxtAlts w14:val="0"/>
    </w:rPr>
  </w:style>
  <w:style w:type="paragraph" w:styleId="Header">
    <w:name w:val="header"/>
    <w:basedOn w:val="Normal"/>
    <w:link w:val="HeaderChar"/>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31BA8"/>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E442A1"/>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442A1"/>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442A1"/>
    <w:pPr>
      <w:keepLines w:val="0"/>
      <w:spacing w:after="0"/>
    </w:pPr>
  </w:style>
  <w:style w:type="character" w:customStyle="1" w:styleId="EndnoteTextChar">
    <w:name w:val="Endnote Text Char"/>
    <w:basedOn w:val="DefaultParagraphFont"/>
    <w:link w:val="EndnoteText"/>
    <w:rsid w:val="00E442A1"/>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31BA8"/>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31BA8"/>
    <w:rPr>
      <w:rFonts w:eastAsia="Times New Roman"/>
      <w:snapToGrid w:val="0"/>
      <w:sz w:val="16"/>
      <w:szCs w:val="16"/>
      <w:lang w:val="en-GB" w:eastAsia="en-US"/>
    </w:rPr>
  </w:style>
  <w:style w:type="character" w:styleId="PageNumber">
    <w:name w:val="page number"/>
    <w:aliases w:val="7_G"/>
    <w:basedOn w:val="DefaultParagraphFont"/>
    <w:qFormat/>
    <w:rsid w:val="00A31BA8"/>
    <w:rPr>
      <w:rFonts w:ascii="Times New Roman" w:hAnsi="Times New Roman"/>
      <w:b/>
      <w:i w:val="0"/>
      <w:snapToGrid w:val="0"/>
      <w:spacing w:val="0"/>
      <w:kern w:val="0"/>
      <w:sz w:val="18"/>
      <w14:cntxtAlts w14:val="0"/>
    </w:rPr>
  </w:style>
  <w:style w:type="paragraph" w:styleId="Header">
    <w:name w:val="header"/>
    <w:basedOn w:val="Normal"/>
    <w:link w:val="HeaderChar"/>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31BA8"/>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Cover%20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31EA-261D-43E0-8BC4-50A11733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1613867</vt:lpstr>
    </vt:vector>
  </TitlesOfParts>
  <Company>DCM</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1613867</dc:title>
  <dc:subject>CCPR/C/ECU/CO/6</dc:subject>
  <dc:creator>Xin</dc:creator>
  <cp:lastModifiedBy>yangw</cp:lastModifiedBy>
  <cp:revision>2</cp:revision>
  <cp:lastPrinted>2014-05-09T11:28:00Z</cp:lastPrinted>
  <dcterms:created xsi:type="dcterms:W3CDTF">2016-12-13T09:47:00Z</dcterms:created>
  <dcterms:modified xsi:type="dcterms:W3CDTF">2016-12-13T09:47:00Z</dcterms:modified>
</cp:coreProperties>
</file>